
<file path=[Content_Types].xml><?xml version="1.0" encoding="utf-8"?>
<Types xmlns="http://schemas.openxmlformats.org/package/2006/content-types">
  <Default Extension="xml" ContentType="application/xml"/>
  <Default Extension="gif" ContentType="image/gi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2"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before="146" w:line="360" w:lineRule="auto"/>
        <w:jc w:val="center"/>
        <w:rPr>
          <w:rFonts w:hint="eastAsia" w:ascii="华文行楷" w:hAnsi="华文行楷" w:eastAsia="华文行楷" w:cs="华文行楷"/>
          <w:color w:val="auto"/>
          <w:spacing w:val="19"/>
          <w:sz w:val="52"/>
          <w:szCs w:val="52"/>
          <w:highlight w:val="none"/>
          <w:lang w:val="en-US" w:eastAsia="zh-CN"/>
          <w14:textOutline w14:w="8166" w14:cap="flat" w14:cmpd="sng">
            <w14:solidFill>
              <w14:srgbClr w14:val="000000"/>
            </w14:solidFill>
            <w14:prstDash w14:val="solid"/>
            <w14:miter w14:val="0"/>
          </w14:textOutline>
        </w:rPr>
      </w:pPr>
      <w:r>
        <w:rPr>
          <w:rFonts w:hint="eastAsia" w:ascii="华文行楷" w:hAnsi="华文行楷" w:eastAsia="华文行楷" w:cs="华文行楷"/>
          <w:color w:val="auto"/>
          <w:spacing w:val="19"/>
          <w:sz w:val="52"/>
          <w:szCs w:val="52"/>
          <w:highlight w:val="none"/>
          <w:lang w:val="en-US" w:eastAsia="zh-CN"/>
          <w14:textOutline w14:w="8166" w14:cap="flat" w14:cmpd="sng">
            <w14:solidFill>
              <w14:srgbClr w14:val="000000"/>
            </w14:solidFill>
            <w14:prstDash w14:val="solid"/>
            <w14:miter w14:val="0"/>
          </w14:textOutline>
        </w:rPr>
        <w:t>磴口县</w:t>
      </w:r>
    </w:p>
    <w:p>
      <w:pPr>
        <w:spacing w:before="146" w:line="360" w:lineRule="auto"/>
        <w:jc w:val="center"/>
        <w:rPr>
          <w:rFonts w:hint="eastAsia" w:ascii="华文行楷" w:hAnsi="华文行楷" w:eastAsia="华文行楷" w:cs="华文行楷"/>
          <w:color w:val="auto"/>
          <w:spacing w:val="10"/>
          <w:sz w:val="52"/>
          <w:szCs w:val="52"/>
          <w:highlight w:val="none"/>
          <w14:textOutline w14:w="8166" w14:cap="flat" w14:cmpd="sng">
            <w14:solidFill>
              <w14:srgbClr w14:val="000000"/>
            </w14:solidFill>
            <w14:prstDash w14:val="solid"/>
            <w14:miter w14:val="0"/>
          </w14:textOutline>
        </w:rPr>
      </w:pPr>
      <w:r>
        <w:rPr>
          <w:rFonts w:hint="eastAsia" w:ascii="华文行楷" w:hAnsi="华文行楷" w:eastAsia="华文行楷" w:cs="华文行楷"/>
          <w:color w:val="auto"/>
          <w:spacing w:val="10"/>
          <w:sz w:val="52"/>
          <w:szCs w:val="52"/>
          <w:highlight w:val="none"/>
          <w:lang w:eastAsia="zh-CN"/>
          <w14:textOutline w14:w="8166" w14:cap="flat" w14:cmpd="sng">
            <w14:solidFill>
              <w14:srgbClr w14:val="000000"/>
            </w14:solidFill>
            <w14:prstDash w14:val="solid"/>
            <w14:miter w14:val="0"/>
          </w14:textOutline>
        </w:rPr>
        <w:t>冬青湖</w:t>
      </w:r>
      <w:r>
        <w:rPr>
          <w:rFonts w:hint="eastAsia" w:ascii="华文行楷" w:hAnsi="华文行楷" w:eastAsia="华文行楷" w:cs="华文行楷"/>
          <w:color w:val="auto"/>
          <w:spacing w:val="10"/>
          <w:sz w:val="52"/>
          <w:szCs w:val="52"/>
          <w:highlight w:val="none"/>
          <w14:textOutline w14:w="8166" w14:cap="flat" w14:cmpd="sng">
            <w14:solidFill>
              <w14:srgbClr w14:val="000000"/>
            </w14:solidFill>
            <w14:prstDash w14:val="solid"/>
            <w14:miter w14:val="0"/>
          </w14:textOutline>
        </w:rPr>
        <w:t>岸线保护</w:t>
      </w:r>
    </w:p>
    <w:p>
      <w:pPr>
        <w:spacing w:before="146" w:line="360" w:lineRule="auto"/>
        <w:jc w:val="center"/>
        <w:rPr>
          <w:rFonts w:hint="eastAsia" w:ascii="华文行楷" w:hAnsi="华文行楷" w:eastAsia="华文行楷" w:cs="华文行楷"/>
          <w:color w:val="auto"/>
          <w:sz w:val="52"/>
          <w:szCs w:val="52"/>
          <w:highlight w:val="none"/>
        </w:rPr>
      </w:pPr>
      <w:r>
        <w:rPr>
          <w:rFonts w:hint="eastAsia" w:ascii="华文行楷" w:hAnsi="华文行楷" w:eastAsia="华文行楷" w:cs="华文行楷"/>
          <w:color w:val="auto"/>
          <w:spacing w:val="10"/>
          <w:sz w:val="52"/>
          <w:szCs w:val="52"/>
          <w:highlight w:val="none"/>
          <w14:textOutline w14:w="8166" w14:cap="flat" w14:cmpd="sng">
            <w14:solidFill>
              <w14:srgbClr w14:val="000000"/>
            </w14:solidFill>
            <w14:prstDash w14:val="solid"/>
            <w14:miter w14:val="0"/>
          </w14:textOutline>
        </w:rPr>
        <w:t>与利用规划</w:t>
      </w: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r>
        <w:rPr>
          <w:rFonts w:hint="eastAsia"/>
          <w:color w:val="auto"/>
          <w:sz w:val="28"/>
          <w:szCs w:val="28"/>
          <w:lang w:val="en-US" w:eastAsia="zh-CN"/>
        </w:rPr>
        <w:drawing>
          <wp:anchor distT="0" distB="0" distL="114300" distR="114300" simplePos="0" relativeHeight="251675648" behindDoc="0" locked="0" layoutInCell="1" allowOverlap="1">
            <wp:simplePos x="0" y="0"/>
            <wp:positionH relativeFrom="column">
              <wp:posOffset>2039620</wp:posOffset>
            </wp:positionH>
            <wp:positionV relativeFrom="paragraph">
              <wp:posOffset>86360</wp:posOffset>
            </wp:positionV>
            <wp:extent cx="1608455" cy="1567180"/>
            <wp:effectExtent l="0" t="0" r="0" b="52070"/>
            <wp:wrapNone/>
            <wp:docPr id="1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1"/>
                    <pic:cNvPicPr>
                      <a:picLocks noChangeAspect="1"/>
                    </pic:cNvPicPr>
                  </pic:nvPicPr>
                  <pic:blipFill>
                    <a:blip r:embed="rId24"/>
                    <a:srcRect l="10503" t="13434" r="12621" b="15811"/>
                    <a:stretch>
                      <a:fillRect/>
                    </a:stretch>
                  </pic:blipFill>
                  <pic:spPr>
                    <a:xfrm rot="20520000">
                      <a:off x="0" y="0"/>
                      <a:ext cx="1608455" cy="1567180"/>
                    </a:xfrm>
                    <a:prstGeom prst="rect">
                      <a:avLst/>
                    </a:prstGeom>
                    <a:noFill/>
                    <a:ln>
                      <a:noFill/>
                    </a:ln>
                  </pic:spPr>
                </pic:pic>
              </a:graphicData>
            </a:graphic>
          </wp:anchor>
        </w:drawing>
      </w: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before="97" w:line="221" w:lineRule="auto"/>
        <w:ind w:left="92" w:leftChars="44" w:firstLine="6" w:firstLineChars="0"/>
        <w:jc w:val="center"/>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pacing w:val="8"/>
          <w:sz w:val="32"/>
          <w:szCs w:val="32"/>
          <w:highlight w:val="none"/>
        </w:rPr>
        <w:t>巴彦淖尔市</w:t>
      </w:r>
      <w:r>
        <w:rPr>
          <w:rFonts w:hint="eastAsia" w:ascii="仿宋" w:hAnsi="仿宋" w:eastAsia="仿宋" w:cs="仿宋"/>
          <w:b/>
          <w:bCs/>
          <w:color w:val="auto"/>
          <w:spacing w:val="8"/>
          <w:sz w:val="32"/>
          <w:szCs w:val="32"/>
          <w:highlight w:val="none"/>
          <w:lang w:eastAsia="zh-CN"/>
        </w:rPr>
        <w:t>鑫宇水利水电勘察设计有限公司</w:t>
      </w:r>
    </w:p>
    <w:p>
      <w:pPr>
        <w:spacing w:line="331" w:lineRule="auto"/>
        <w:rPr>
          <w:rFonts w:hint="eastAsia" w:ascii="仿宋" w:hAnsi="仿宋" w:eastAsia="仿宋" w:cs="仿宋"/>
          <w:b/>
          <w:bCs/>
          <w:color w:val="auto"/>
          <w:sz w:val="32"/>
          <w:szCs w:val="32"/>
          <w:highlight w:val="none"/>
        </w:rPr>
      </w:pPr>
    </w:p>
    <w:p>
      <w:pPr>
        <w:spacing w:before="97" w:line="221" w:lineRule="auto"/>
        <w:ind w:left="80" w:leftChars="0" w:hanging="80" w:hangingChars="27"/>
        <w:jc w:val="center"/>
        <w:rPr>
          <w:rFonts w:hint="eastAsia" w:ascii="仿宋" w:hAnsi="仿宋" w:eastAsia="仿宋" w:cs="仿宋"/>
          <w:b/>
          <w:bCs/>
          <w:color w:val="auto"/>
          <w:sz w:val="30"/>
          <w:szCs w:val="30"/>
          <w:highlight w:val="none"/>
        </w:rPr>
      </w:pPr>
      <w:r>
        <w:rPr>
          <w:rFonts w:hint="eastAsia" w:ascii="仿宋" w:hAnsi="仿宋" w:eastAsia="仿宋" w:cs="仿宋"/>
          <w:b/>
          <w:bCs/>
          <w:color w:val="auto"/>
          <w:spacing w:val="-13"/>
          <w:sz w:val="32"/>
          <w:szCs w:val="32"/>
          <w:highlight w:val="none"/>
        </w:rPr>
        <w:t>二0二</w:t>
      </w:r>
      <w:r>
        <w:rPr>
          <w:rFonts w:hint="eastAsia" w:ascii="仿宋" w:hAnsi="仿宋" w:eastAsia="仿宋" w:cs="仿宋"/>
          <w:b/>
          <w:bCs/>
          <w:color w:val="auto"/>
          <w:spacing w:val="-13"/>
          <w:sz w:val="32"/>
          <w:szCs w:val="32"/>
          <w:highlight w:val="none"/>
          <w:lang w:eastAsia="zh-CN"/>
        </w:rPr>
        <w:t>三</w:t>
      </w:r>
      <w:r>
        <w:rPr>
          <w:rFonts w:hint="eastAsia" w:ascii="仿宋" w:hAnsi="仿宋" w:eastAsia="仿宋" w:cs="仿宋"/>
          <w:b/>
          <w:bCs/>
          <w:color w:val="auto"/>
          <w:spacing w:val="-13"/>
          <w:sz w:val="32"/>
          <w:szCs w:val="32"/>
          <w:highlight w:val="none"/>
        </w:rPr>
        <w:t>年</w:t>
      </w:r>
      <w:r>
        <w:rPr>
          <w:rFonts w:hint="eastAsia" w:ascii="仿宋" w:hAnsi="仿宋" w:eastAsia="仿宋" w:cs="仿宋"/>
          <w:b/>
          <w:bCs/>
          <w:color w:val="auto"/>
          <w:spacing w:val="-13"/>
          <w:sz w:val="32"/>
          <w:szCs w:val="32"/>
          <w:highlight w:val="none"/>
          <w:lang w:val="en-US" w:eastAsia="zh-CN"/>
        </w:rPr>
        <w:t>九</w:t>
      </w:r>
      <w:r>
        <w:rPr>
          <w:rFonts w:hint="eastAsia" w:ascii="仿宋" w:hAnsi="仿宋" w:eastAsia="仿宋" w:cs="仿宋"/>
          <w:b/>
          <w:bCs/>
          <w:color w:val="auto"/>
          <w:spacing w:val="-13"/>
          <w:sz w:val="32"/>
          <w:szCs w:val="32"/>
          <w:highlight w:val="none"/>
        </w:rPr>
        <w:t>月</w:t>
      </w:r>
    </w:p>
    <w:p>
      <w:pPr>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ind w:left="0" w:leftChars="0" w:firstLine="0" w:firstLineChars="0"/>
      </w:pPr>
      <w:r>
        <w:drawing>
          <wp:inline distT="0" distB="0" distL="114300" distR="114300">
            <wp:extent cx="5371465" cy="7814945"/>
            <wp:effectExtent l="0" t="0" r="635" b="1460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5"/>
                    <a:stretch>
                      <a:fillRect/>
                    </a:stretch>
                  </pic:blipFill>
                  <pic:spPr>
                    <a:xfrm>
                      <a:off x="0" y="0"/>
                      <a:ext cx="5371465" cy="7814945"/>
                    </a:xfrm>
                    <a:prstGeom prst="rect">
                      <a:avLst/>
                    </a:prstGeom>
                    <a:noFill/>
                    <a:ln>
                      <a:noFill/>
                    </a:ln>
                  </pic:spPr>
                </pic:pic>
              </a:graphicData>
            </a:graphic>
          </wp:inline>
        </w:drawing>
      </w:r>
    </w:p>
    <w:p>
      <w:pPr>
        <w:pStyle w:val="2"/>
        <w:ind w:left="0" w:leftChars="0" w:firstLine="0" w:firstLineChars="0"/>
      </w:pPr>
    </w:p>
    <w:p>
      <w:pPr>
        <w:pStyle w:val="2"/>
        <w:ind w:left="0" w:leftChars="0" w:firstLine="0" w:firstLineChars="0"/>
      </w:pPr>
    </w:p>
    <w:p>
      <w:pPr>
        <w:pStyle w:val="10"/>
        <w:ind w:left="0" w:leftChars="0" w:firstLine="0" w:firstLineChars="0"/>
      </w:pPr>
      <w:r>
        <w:drawing>
          <wp:inline distT="0" distB="0" distL="114300" distR="114300">
            <wp:extent cx="5675630" cy="7448550"/>
            <wp:effectExtent l="0" t="0" r="1270" b="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6"/>
                    <a:stretch>
                      <a:fillRect/>
                    </a:stretch>
                  </pic:blipFill>
                  <pic:spPr>
                    <a:xfrm>
                      <a:off x="0" y="0"/>
                      <a:ext cx="5675630" cy="7448550"/>
                    </a:xfrm>
                    <a:prstGeom prst="rect">
                      <a:avLst/>
                    </a:prstGeom>
                    <a:noFill/>
                    <a:ln>
                      <a:noFill/>
                    </a:ln>
                  </pic:spPr>
                </pic:pic>
              </a:graphicData>
            </a:graphic>
          </wp:inline>
        </w:drawing>
      </w:r>
    </w:p>
    <w:p>
      <w:pPr>
        <w:pStyle w:val="10"/>
        <w:ind w:left="0" w:leftChars="0" w:firstLine="0" w:firstLineChars="0"/>
      </w:pPr>
      <w:r>
        <w:drawing>
          <wp:inline distT="0" distB="0" distL="114300" distR="114300">
            <wp:extent cx="5371465" cy="7415530"/>
            <wp:effectExtent l="0" t="0" r="635" b="1397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7"/>
                    <a:stretch>
                      <a:fillRect/>
                    </a:stretch>
                  </pic:blipFill>
                  <pic:spPr>
                    <a:xfrm>
                      <a:off x="0" y="0"/>
                      <a:ext cx="5371465" cy="7415530"/>
                    </a:xfrm>
                    <a:prstGeom prst="rect">
                      <a:avLst/>
                    </a:prstGeom>
                    <a:noFill/>
                    <a:ln>
                      <a:noFill/>
                    </a:ln>
                  </pic:spPr>
                </pic:pic>
              </a:graphicData>
            </a:graphic>
          </wp:inline>
        </w:drawing>
      </w:r>
    </w:p>
    <w:p>
      <w:pPr>
        <w:pStyle w:val="10"/>
        <w:ind w:left="0" w:leftChars="0" w:firstLine="0" w:firstLineChars="0"/>
        <w:sectPr>
          <w:pgSz w:w="12090" w:h="16970"/>
          <w:pgMar w:top="1700" w:right="1813" w:bottom="0" w:left="1813" w:header="227" w:footer="850" w:gutter="0"/>
          <w:pgNumType w:fmt="decimal"/>
          <w:cols w:space="720" w:num="1"/>
        </w:sectPr>
      </w:pPr>
    </w:p>
    <w:p>
      <w:pPr>
        <w:spacing w:line="480" w:lineRule="auto"/>
        <w:ind w:left="214" w:leftChars="95" w:hanging="15" w:hangingChars="5"/>
        <w:rPr>
          <w:rFonts w:hint="eastAsia"/>
          <w:b/>
          <w:bCs/>
          <w:color w:val="auto"/>
          <w:sz w:val="30"/>
          <w:szCs w:val="30"/>
          <w:highlight w:val="none"/>
          <w:lang w:val="en-US" w:eastAsia="zh-CN"/>
        </w:rPr>
      </w:pPr>
      <w:r>
        <w:rPr>
          <w:b/>
          <w:bCs/>
          <w:color w:val="auto"/>
          <w:sz w:val="30"/>
          <w:szCs w:val="30"/>
          <w:highlight w:val="none"/>
        </w:rPr>
        <w:t>工程名称</w:t>
      </w:r>
      <w:r>
        <w:rPr>
          <w:rFonts w:hint="eastAsia"/>
          <w:b/>
          <w:bCs/>
          <w:color w:val="auto"/>
          <w:sz w:val="30"/>
          <w:szCs w:val="30"/>
          <w:highlight w:val="none"/>
        </w:rPr>
        <w:t>：</w:t>
      </w:r>
      <w:r>
        <w:rPr>
          <w:rFonts w:hint="eastAsia"/>
          <w:b/>
          <w:bCs/>
          <w:color w:val="auto"/>
          <w:sz w:val="30"/>
          <w:szCs w:val="30"/>
          <w:highlight w:val="none"/>
          <w:lang w:val="en-US" w:eastAsia="zh-CN"/>
        </w:rPr>
        <w:t>磴口县冬青湖岸线保护与利用规划</w:t>
      </w:r>
    </w:p>
    <w:p>
      <w:pPr>
        <w:spacing w:line="480" w:lineRule="auto"/>
        <w:ind w:left="1416" w:leftChars="101" w:hanging="1204" w:hangingChars="401"/>
        <w:rPr>
          <w:b/>
          <w:bCs/>
          <w:color w:val="auto"/>
          <w:sz w:val="30"/>
          <w:szCs w:val="30"/>
          <w:highlight w:val="none"/>
        </w:rPr>
      </w:pPr>
      <w:r>
        <w:rPr>
          <w:b/>
          <w:bCs/>
          <w:color w:val="auto"/>
          <w:sz w:val="30"/>
          <w:szCs w:val="30"/>
          <w:highlight w:val="none"/>
        </w:rPr>
        <w:t>资质证书：水利行业</w:t>
      </w:r>
      <w:r>
        <w:rPr>
          <w:rFonts w:hint="eastAsia"/>
          <w:b/>
          <w:bCs/>
          <w:color w:val="auto"/>
          <w:sz w:val="30"/>
          <w:szCs w:val="30"/>
          <w:highlight w:val="none"/>
        </w:rPr>
        <w:t>丙</w:t>
      </w:r>
      <w:r>
        <w:rPr>
          <w:b/>
          <w:bCs/>
          <w:color w:val="auto"/>
          <w:sz w:val="30"/>
          <w:szCs w:val="30"/>
          <w:highlight w:val="none"/>
        </w:rPr>
        <w:t>级</w:t>
      </w:r>
    </w:p>
    <w:p>
      <w:pPr>
        <w:spacing w:line="480" w:lineRule="auto"/>
        <w:ind w:left="1416" w:leftChars="101" w:hanging="1204" w:hangingChars="401"/>
        <w:rPr>
          <w:b/>
          <w:bCs/>
          <w:color w:val="auto"/>
          <w:sz w:val="30"/>
          <w:szCs w:val="30"/>
          <w:highlight w:val="none"/>
        </w:rPr>
      </w:pPr>
      <w:r>
        <w:rPr>
          <w:b/>
          <w:bCs/>
          <w:color w:val="auto"/>
          <w:sz w:val="30"/>
          <w:szCs w:val="30"/>
          <w:highlight w:val="none"/>
        </w:rPr>
        <w:t>证书编号：</w:t>
      </w:r>
      <w:r>
        <w:rPr>
          <w:rFonts w:hint="eastAsia"/>
          <w:b/>
          <w:bCs/>
          <w:color w:val="auto"/>
          <w:sz w:val="30"/>
          <w:szCs w:val="30"/>
          <w:highlight w:val="none"/>
        </w:rPr>
        <w:t>A215005646</w:t>
      </w:r>
    </w:p>
    <w:p>
      <w:pPr>
        <w:spacing w:line="480" w:lineRule="auto"/>
        <w:ind w:left="1416" w:leftChars="101" w:hanging="1204" w:hangingChars="401"/>
        <w:rPr>
          <w:b/>
          <w:bCs/>
          <w:color w:val="auto"/>
          <w:sz w:val="30"/>
          <w:szCs w:val="30"/>
          <w:highlight w:val="none"/>
        </w:rPr>
      </w:pPr>
      <w:r>
        <w:rPr>
          <w:b/>
          <w:bCs/>
          <w:color w:val="auto"/>
          <w:sz w:val="30"/>
          <w:szCs w:val="30"/>
          <w:highlight w:val="none"/>
        </w:rPr>
        <w:t>完成时间：20</w:t>
      </w:r>
      <w:r>
        <w:rPr>
          <w:rFonts w:hint="eastAsia"/>
          <w:b/>
          <w:bCs/>
          <w:color w:val="auto"/>
          <w:sz w:val="30"/>
          <w:szCs w:val="30"/>
          <w:highlight w:val="none"/>
        </w:rPr>
        <w:t>2</w:t>
      </w:r>
      <w:r>
        <w:rPr>
          <w:rFonts w:hint="eastAsia" w:eastAsia="宋体"/>
          <w:b/>
          <w:bCs/>
          <w:color w:val="auto"/>
          <w:sz w:val="30"/>
          <w:szCs w:val="30"/>
          <w:highlight w:val="none"/>
          <w:lang w:val="en-US" w:eastAsia="zh-CN"/>
        </w:rPr>
        <w:t>3</w:t>
      </w:r>
      <w:r>
        <w:rPr>
          <w:b/>
          <w:bCs/>
          <w:color w:val="auto"/>
          <w:sz w:val="30"/>
          <w:szCs w:val="30"/>
          <w:highlight w:val="none"/>
        </w:rPr>
        <w:t>年</w:t>
      </w:r>
      <w:r>
        <w:rPr>
          <w:rFonts w:hint="eastAsia" w:eastAsia="宋体"/>
          <w:b/>
          <w:bCs/>
          <w:color w:val="auto"/>
          <w:sz w:val="30"/>
          <w:szCs w:val="30"/>
          <w:highlight w:val="none"/>
          <w:lang w:val="en-US" w:eastAsia="zh-CN"/>
        </w:rPr>
        <w:t>9</w:t>
      </w:r>
      <w:r>
        <w:rPr>
          <w:b/>
          <w:bCs/>
          <w:color w:val="auto"/>
          <w:sz w:val="30"/>
          <w:szCs w:val="30"/>
          <w:highlight w:val="none"/>
        </w:rPr>
        <w:t>月</w:t>
      </w:r>
    </w:p>
    <w:p>
      <w:pPr>
        <w:ind w:firstLine="562"/>
        <w:rPr>
          <w:b/>
          <w:bCs/>
          <w:color w:val="auto"/>
          <w:szCs w:val="28"/>
          <w:highlight w:val="none"/>
        </w:rPr>
      </w:pPr>
    </w:p>
    <w:tbl>
      <w:tblPr>
        <w:tblStyle w:val="11"/>
        <w:tblW w:w="0" w:type="auto"/>
        <w:jc w:val="center"/>
        <w:tblLayout w:type="fixed"/>
        <w:tblCellMar>
          <w:top w:w="0" w:type="dxa"/>
          <w:left w:w="108" w:type="dxa"/>
          <w:bottom w:w="0" w:type="dxa"/>
          <w:right w:w="108" w:type="dxa"/>
        </w:tblCellMar>
      </w:tblPr>
      <w:tblGrid>
        <w:gridCol w:w="2268"/>
        <w:gridCol w:w="1276"/>
        <w:gridCol w:w="1276"/>
        <w:gridCol w:w="922"/>
        <w:gridCol w:w="937"/>
        <w:gridCol w:w="1803"/>
      </w:tblGrid>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b/>
                <w:color w:val="auto"/>
                <w:sz w:val="30"/>
                <w:szCs w:val="30"/>
                <w:highlight w:val="none"/>
              </w:rPr>
            </w:pPr>
            <w:r>
              <w:rPr>
                <w:rFonts w:hint="eastAsia"/>
                <w:b/>
                <w:color w:val="auto"/>
                <w:sz w:val="30"/>
                <w:szCs w:val="30"/>
                <w:highlight w:val="none"/>
              </w:rPr>
              <w:t>批准：</w:t>
            </w:r>
          </w:p>
        </w:tc>
        <w:tc>
          <w:tcPr>
            <w:tcW w:w="1276" w:type="dxa"/>
            <w:vAlign w:val="center"/>
          </w:tcPr>
          <w:p>
            <w:pPr>
              <w:spacing w:line="240" w:lineRule="auto"/>
              <w:ind w:firstLine="0" w:firstLineChars="0"/>
              <w:jc w:val="both"/>
              <w:rPr>
                <w:rFonts w:hint="eastAsia" w:eastAsia="宋体"/>
                <w:color w:val="auto"/>
                <w:sz w:val="30"/>
                <w:szCs w:val="30"/>
                <w:highlight w:val="none"/>
                <w:lang w:eastAsia="zh-CN"/>
              </w:rPr>
            </w:pPr>
            <w:r>
              <w:rPr>
                <w:rFonts w:hint="eastAsia" w:ascii="宋体" w:hAnsi="宋体" w:cs="宋体"/>
                <w:color w:val="auto"/>
                <w:sz w:val="30"/>
                <w:szCs w:val="30"/>
                <w:highlight w:val="none"/>
              </w:rPr>
              <w:drawing>
                <wp:inline distT="0" distB="0" distL="114300" distR="114300">
                  <wp:extent cx="734060" cy="314325"/>
                  <wp:effectExtent l="0" t="0" r="889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8"/>
                          <a:stretch>
                            <a:fillRect/>
                          </a:stretch>
                        </pic:blipFill>
                        <pic:spPr>
                          <a:xfrm>
                            <a:off x="0" y="0"/>
                            <a:ext cx="734060" cy="314325"/>
                          </a:xfrm>
                          <a:prstGeom prst="rect">
                            <a:avLst/>
                          </a:prstGeom>
                          <a:noFill/>
                          <a:ln>
                            <a:noFill/>
                          </a:ln>
                        </pic:spPr>
                      </pic:pic>
                    </a:graphicData>
                  </a:graphic>
                </wp:inline>
              </w:drawing>
            </w:r>
          </w:p>
        </w:tc>
        <w:tc>
          <w:tcPr>
            <w:tcW w:w="1276" w:type="dxa"/>
            <w:vAlign w:val="center"/>
          </w:tcPr>
          <w:p>
            <w:pPr>
              <w:spacing w:line="240" w:lineRule="auto"/>
              <w:ind w:firstLine="0" w:firstLineChars="0"/>
              <w:jc w:val="center"/>
              <w:rPr>
                <w:color w:val="auto"/>
                <w:highlight w:val="none"/>
              </w:rPr>
            </w:pPr>
          </w:p>
        </w:tc>
        <w:tc>
          <w:tcPr>
            <w:tcW w:w="922" w:type="dxa"/>
            <w:vAlign w:val="center"/>
          </w:tcPr>
          <w:p>
            <w:pPr>
              <w:spacing w:line="240" w:lineRule="auto"/>
              <w:ind w:firstLine="0" w:firstLineChars="0"/>
              <w:jc w:val="center"/>
              <w:rPr>
                <w:color w:val="auto"/>
                <w:highlight w:val="none"/>
              </w:rPr>
            </w:pPr>
          </w:p>
        </w:tc>
        <w:tc>
          <w:tcPr>
            <w:tcW w:w="937" w:type="dxa"/>
            <w:vAlign w:val="center"/>
          </w:tcPr>
          <w:p>
            <w:pPr>
              <w:spacing w:line="240" w:lineRule="auto"/>
              <w:ind w:firstLine="0" w:firstLineChars="0"/>
              <w:jc w:val="center"/>
              <w:rPr>
                <w:color w:val="auto"/>
                <w:highlight w:val="none"/>
              </w:rPr>
            </w:pPr>
          </w:p>
        </w:tc>
        <w:tc>
          <w:tcPr>
            <w:tcW w:w="1803" w:type="dxa"/>
            <w:vAlign w:val="center"/>
          </w:tcPr>
          <w:p>
            <w:pPr>
              <w:spacing w:line="240" w:lineRule="auto"/>
              <w:ind w:firstLine="0" w:firstLineChars="0"/>
              <w:jc w:val="center"/>
              <w:rPr>
                <w:color w:val="auto"/>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color w:val="auto"/>
                <w:sz w:val="30"/>
                <w:szCs w:val="30"/>
                <w:highlight w:val="none"/>
              </w:rPr>
            </w:pPr>
            <w:r>
              <w:rPr>
                <w:rFonts w:hint="eastAsia"/>
                <w:b/>
                <w:color w:val="auto"/>
                <w:sz w:val="30"/>
                <w:szCs w:val="30"/>
                <w:highlight w:val="none"/>
              </w:rPr>
              <w:t>审定：</w:t>
            </w:r>
          </w:p>
        </w:tc>
        <w:tc>
          <w:tcPr>
            <w:tcW w:w="1276" w:type="dxa"/>
            <w:vAlign w:val="center"/>
          </w:tcPr>
          <w:p>
            <w:pPr>
              <w:spacing w:line="240" w:lineRule="auto"/>
              <w:ind w:firstLine="0" w:firstLineChars="0"/>
              <w:jc w:val="both"/>
              <w:rPr>
                <w:rFonts w:hint="eastAsia" w:eastAsia="宋体"/>
                <w:color w:val="auto"/>
                <w:sz w:val="30"/>
                <w:szCs w:val="30"/>
                <w:highlight w:val="none"/>
                <w:lang w:eastAsia="zh-CN"/>
              </w:rPr>
            </w:pPr>
            <w:r>
              <w:rPr>
                <w:rFonts w:hint="eastAsia" w:ascii="宋体" w:hAnsi="宋体" w:cs="宋体"/>
                <w:color w:val="auto"/>
                <w:sz w:val="30"/>
                <w:szCs w:val="30"/>
                <w:highlight w:val="none"/>
              </w:rPr>
              <w:drawing>
                <wp:inline distT="0" distB="0" distL="114300" distR="114300">
                  <wp:extent cx="734060" cy="314325"/>
                  <wp:effectExtent l="0" t="0" r="8890" b="952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8"/>
                          <a:stretch>
                            <a:fillRect/>
                          </a:stretch>
                        </pic:blipFill>
                        <pic:spPr>
                          <a:xfrm>
                            <a:off x="0" y="0"/>
                            <a:ext cx="734060" cy="314325"/>
                          </a:xfrm>
                          <a:prstGeom prst="rect">
                            <a:avLst/>
                          </a:prstGeom>
                          <a:noFill/>
                          <a:ln>
                            <a:noFill/>
                          </a:ln>
                        </pic:spPr>
                      </pic:pic>
                    </a:graphicData>
                  </a:graphic>
                </wp:inline>
              </w:drawing>
            </w:r>
          </w:p>
        </w:tc>
        <w:tc>
          <w:tcPr>
            <w:tcW w:w="1276" w:type="dxa"/>
            <w:vAlign w:val="center"/>
          </w:tcPr>
          <w:p>
            <w:pPr>
              <w:spacing w:line="240" w:lineRule="auto"/>
              <w:ind w:firstLine="0" w:firstLineChars="0"/>
              <w:jc w:val="center"/>
              <w:rPr>
                <w:color w:val="auto"/>
                <w:highlight w:val="none"/>
              </w:rPr>
            </w:pPr>
          </w:p>
        </w:tc>
        <w:tc>
          <w:tcPr>
            <w:tcW w:w="922" w:type="dxa"/>
            <w:vAlign w:val="center"/>
          </w:tcPr>
          <w:p>
            <w:pPr>
              <w:spacing w:line="240" w:lineRule="auto"/>
              <w:ind w:firstLine="0" w:firstLineChars="0"/>
              <w:jc w:val="center"/>
              <w:rPr>
                <w:color w:val="auto"/>
                <w:highlight w:val="none"/>
              </w:rPr>
            </w:pPr>
          </w:p>
        </w:tc>
        <w:tc>
          <w:tcPr>
            <w:tcW w:w="937" w:type="dxa"/>
            <w:vAlign w:val="center"/>
          </w:tcPr>
          <w:p>
            <w:pPr>
              <w:spacing w:line="240" w:lineRule="auto"/>
              <w:ind w:firstLine="0" w:firstLineChars="0"/>
              <w:jc w:val="center"/>
              <w:rPr>
                <w:color w:val="auto"/>
                <w:highlight w:val="none"/>
              </w:rPr>
            </w:pPr>
          </w:p>
        </w:tc>
        <w:tc>
          <w:tcPr>
            <w:tcW w:w="1803" w:type="dxa"/>
            <w:vAlign w:val="center"/>
          </w:tcPr>
          <w:p>
            <w:pPr>
              <w:spacing w:line="240" w:lineRule="auto"/>
              <w:ind w:firstLine="0" w:firstLineChars="0"/>
              <w:jc w:val="center"/>
              <w:rPr>
                <w:color w:val="auto"/>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color w:val="auto"/>
                <w:sz w:val="30"/>
                <w:szCs w:val="30"/>
                <w:highlight w:val="none"/>
              </w:rPr>
            </w:pPr>
            <w:r>
              <w:rPr>
                <w:rFonts w:hint="eastAsia"/>
                <w:b/>
                <w:color w:val="auto"/>
                <w:sz w:val="30"/>
                <w:szCs w:val="30"/>
                <w:highlight w:val="none"/>
              </w:rPr>
              <w:t>审查：</w:t>
            </w:r>
          </w:p>
        </w:tc>
        <w:tc>
          <w:tcPr>
            <w:tcW w:w="1276" w:type="dxa"/>
            <w:vAlign w:val="center"/>
          </w:tcPr>
          <w:p>
            <w:pPr>
              <w:spacing w:line="240" w:lineRule="auto"/>
              <w:ind w:firstLine="0" w:firstLineChars="0"/>
              <w:jc w:val="both"/>
              <w:rPr>
                <w:rFonts w:hint="eastAsia" w:eastAsia="宋体"/>
                <w:color w:val="auto"/>
                <w:sz w:val="30"/>
                <w:szCs w:val="30"/>
                <w:highlight w:val="none"/>
                <w:lang w:eastAsia="zh-CN"/>
              </w:rPr>
            </w:pPr>
            <w:r>
              <w:rPr>
                <w:color w:val="auto"/>
                <w:highlight w:val="none"/>
              </w:rPr>
              <w:drawing>
                <wp:inline distT="0" distB="0" distL="114300" distR="114300">
                  <wp:extent cx="729615" cy="436245"/>
                  <wp:effectExtent l="0" t="0" r="13335" b="190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9"/>
                          <a:stretch>
                            <a:fillRect/>
                          </a:stretch>
                        </pic:blipFill>
                        <pic:spPr>
                          <a:xfrm>
                            <a:off x="0" y="0"/>
                            <a:ext cx="729615" cy="436245"/>
                          </a:xfrm>
                          <a:prstGeom prst="rect">
                            <a:avLst/>
                          </a:prstGeom>
                          <a:noFill/>
                          <a:ln>
                            <a:noFill/>
                          </a:ln>
                        </pic:spPr>
                      </pic:pic>
                    </a:graphicData>
                  </a:graphic>
                </wp:inline>
              </w:drawing>
            </w:r>
          </w:p>
        </w:tc>
        <w:tc>
          <w:tcPr>
            <w:tcW w:w="1276" w:type="dxa"/>
            <w:vAlign w:val="center"/>
          </w:tcPr>
          <w:p>
            <w:pPr>
              <w:spacing w:line="240" w:lineRule="auto"/>
              <w:ind w:firstLine="0" w:firstLineChars="0"/>
              <w:jc w:val="center"/>
              <w:rPr>
                <w:rFonts w:hint="eastAsia" w:eastAsia="宋体"/>
                <w:color w:val="auto"/>
                <w:highlight w:val="none"/>
                <w:lang w:eastAsia="zh-CN"/>
              </w:rPr>
            </w:pPr>
          </w:p>
        </w:tc>
        <w:tc>
          <w:tcPr>
            <w:tcW w:w="922" w:type="dxa"/>
            <w:vAlign w:val="center"/>
          </w:tcPr>
          <w:p>
            <w:pPr>
              <w:spacing w:line="240" w:lineRule="auto"/>
              <w:ind w:firstLine="0" w:firstLineChars="0"/>
              <w:jc w:val="center"/>
              <w:rPr>
                <w:color w:val="auto"/>
                <w:highlight w:val="none"/>
              </w:rPr>
            </w:pPr>
          </w:p>
        </w:tc>
        <w:tc>
          <w:tcPr>
            <w:tcW w:w="937" w:type="dxa"/>
            <w:vAlign w:val="center"/>
          </w:tcPr>
          <w:p>
            <w:pPr>
              <w:spacing w:line="240" w:lineRule="auto"/>
              <w:ind w:firstLine="0" w:firstLineChars="0"/>
              <w:jc w:val="center"/>
              <w:rPr>
                <w:color w:val="auto"/>
                <w:highlight w:val="none"/>
              </w:rPr>
            </w:pPr>
          </w:p>
        </w:tc>
        <w:tc>
          <w:tcPr>
            <w:tcW w:w="1803" w:type="dxa"/>
            <w:vAlign w:val="center"/>
          </w:tcPr>
          <w:p>
            <w:pPr>
              <w:spacing w:line="240" w:lineRule="auto"/>
              <w:ind w:firstLine="0" w:firstLineChars="0"/>
              <w:jc w:val="center"/>
              <w:rPr>
                <w:color w:val="auto"/>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color w:val="auto"/>
                <w:sz w:val="30"/>
                <w:szCs w:val="30"/>
                <w:highlight w:val="none"/>
              </w:rPr>
            </w:pPr>
            <w:r>
              <w:rPr>
                <w:rFonts w:hint="eastAsia"/>
                <w:b/>
                <w:color w:val="auto"/>
                <w:sz w:val="30"/>
                <w:szCs w:val="30"/>
                <w:highlight w:val="none"/>
              </w:rPr>
              <w:t>项目负责人：</w:t>
            </w:r>
          </w:p>
        </w:tc>
        <w:tc>
          <w:tcPr>
            <w:tcW w:w="1276" w:type="dxa"/>
            <w:vAlign w:val="center"/>
          </w:tcPr>
          <w:p>
            <w:pPr>
              <w:spacing w:line="240" w:lineRule="auto"/>
              <w:ind w:firstLine="0" w:firstLineChars="0"/>
              <w:jc w:val="both"/>
              <w:rPr>
                <w:rFonts w:hint="eastAsia" w:eastAsia="宋体"/>
                <w:color w:val="auto"/>
                <w:sz w:val="30"/>
                <w:szCs w:val="30"/>
                <w:highlight w:val="none"/>
                <w:lang w:eastAsia="zh-CN"/>
              </w:rPr>
            </w:pPr>
            <w:r>
              <w:rPr>
                <w:color w:val="auto"/>
                <w:highlight w:val="none"/>
              </w:rPr>
              <w:drawing>
                <wp:inline distT="0" distB="0" distL="114300" distR="114300">
                  <wp:extent cx="637540" cy="466725"/>
                  <wp:effectExtent l="0" t="0" r="10160" b="952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0"/>
                          <a:stretch>
                            <a:fillRect/>
                          </a:stretch>
                        </pic:blipFill>
                        <pic:spPr>
                          <a:xfrm>
                            <a:off x="0" y="0"/>
                            <a:ext cx="637540" cy="466725"/>
                          </a:xfrm>
                          <a:prstGeom prst="rect">
                            <a:avLst/>
                          </a:prstGeom>
                          <a:noFill/>
                          <a:ln>
                            <a:noFill/>
                          </a:ln>
                        </pic:spPr>
                      </pic:pic>
                    </a:graphicData>
                  </a:graphic>
                </wp:inline>
              </w:drawing>
            </w:r>
          </w:p>
        </w:tc>
        <w:tc>
          <w:tcPr>
            <w:tcW w:w="1276" w:type="dxa"/>
            <w:vAlign w:val="center"/>
          </w:tcPr>
          <w:p>
            <w:pPr>
              <w:spacing w:line="240" w:lineRule="auto"/>
              <w:ind w:firstLine="0" w:firstLineChars="0"/>
              <w:jc w:val="center"/>
              <w:rPr>
                <w:color w:val="auto"/>
                <w:highlight w:val="none"/>
              </w:rPr>
            </w:pPr>
          </w:p>
        </w:tc>
        <w:tc>
          <w:tcPr>
            <w:tcW w:w="922" w:type="dxa"/>
            <w:vAlign w:val="center"/>
          </w:tcPr>
          <w:p>
            <w:pPr>
              <w:spacing w:line="240" w:lineRule="auto"/>
              <w:ind w:firstLine="0" w:firstLineChars="0"/>
              <w:jc w:val="center"/>
              <w:rPr>
                <w:color w:val="auto"/>
                <w:highlight w:val="none"/>
              </w:rPr>
            </w:pPr>
          </w:p>
        </w:tc>
        <w:tc>
          <w:tcPr>
            <w:tcW w:w="937" w:type="dxa"/>
            <w:vAlign w:val="center"/>
          </w:tcPr>
          <w:p>
            <w:pPr>
              <w:spacing w:line="240" w:lineRule="auto"/>
              <w:ind w:firstLine="0" w:firstLineChars="0"/>
              <w:jc w:val="center"/>
              <w:rPr>
                <w:color w:val="auto"/>
                <w:highlight w:val="none"/>
              </w:rPr>
            </w:pPr>
          </w:p>
        </w:tc>
        <w:tc>
          <w:tcPr>
            <w:tcW w:w="1803" w:type="dxa"/>
            <w:vAlign w:val="center"/>
          </w:tcPr>
          <w:p>
            <w:pPr>
              <w:spacing w:line="240" w:lineRule="auto"/>
              <w:ind w:firstLine="0" w:firstLineChars="0"/>
              <w:jc w:val="center"/>
              <w:rPr>
                <w:color w:val="auto"/>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rFonts w:ascii="Arial" w:hAnsi="Arial" w:eastAsia="Arial" w:cs="Arial"/>
                <w:snapToGrid w:val="0"/>
                <w:color w:val="auto"/>
                <w:kern w:val="0"/>
                <w:sz w:val="30"/>
                <w:szCs w:val="30"/>
                <w:highlight w:val="none"/>
              </w:rPr>
            </w:pPr>
            <w:r>
              <w:rPr>
                <w:rFonts w:hint="eastAsia"/>
                <w:b/>
                <w:color w:val="auto"/>
                <w:sz w:val="30"/>
                <w:szCs w:val="30"/>
                <w:highlight w:val="none"/>
              </w:rPr>
              <w:t>编写：</w:t>
            </w:r>
          </w:p>
        </w:tc>
        <w:tc>
          <w:tcPr>
            <w:tcW w:w="1276" w:type="dxa"/>
            <w:vAlign w:val="center"/>
          </w:tcPr>
          <w:p>
            <w:pPr>
              <w:spacing w:line="240" w:lineRule="auto"/>
              <w:ind w:firstLine="0" w:firstLineChars="0"/>
              <w:jc w:val="both"/>
              <w:rPr>
                <w:rFonts w:hint="eastAsia" w:ascii="Arial" w:hAnsi="Arial" w:eastAsia="宋体" w:cs="Arial"/>
                <w:snapToGrid w:val="0"/>
                <w:color w:val="auto"/>
                <w:kern w:val="0"/>
                <w:sz w:val="30"/>
                <w:szCs w:val="30"/>
                <w:highlight w:val="none"/>
                <w:lang w:eastAsia="zh-CN"/>
              </w:rPr>
            </w:pPr>
            <w:r>
              <w:rPr>
                <w:rFonts w:hint="eastAsia"/>
                <w:color w:val="auto"/>
                <w:sz w:val="30"/>
                <w:szCs w:val="30"/>
                <w:highlight w:val="none"/>
                <w:lang w:eastAsia="zh-CN"/>
              </w:rPr>
              <w:t>康鑫</w:t>
            </w:r>
          </w:p>
        </w:tc>
        <w:tc>
          <w:tcPr>
            <w:tcW w:w="1276" w:type="dxa"/>
            <w:vAlign w:val="center"/>
          </w:tcPr>
          <w:p>
            <w:pPr>
              <w:spacing w:line="240" w:lineRule="auto"/>
              <w:ind w:firstLine="0" w:firstLineChars="0"/>
              <w:jc w:val="both"/>
              <w:rPr>
                <w:rFonts w:hint="eastAsia" w:ascii="Arial" w:hAnsi="Arial" w:eastAsia="宋体" w:cs="Arial"/>
                <w:snapToGrid w:val="0"/>
                <w:color w:val="auto"/>
                <w:kern w:val="0"/>
                <w:sz w:val="30"/>
                <w:szCs w:val="30"/>
                <w:highlight w:val="none"/>
                <w:lang w:val="en-US" w:eastAsia="zh-CN"/>
              </w:rPr>
            </w:pPr>
            <w:r>
              <w:rPr>
                <w:rFonts w:hint="eastAsia" w:eastAsia="宋体"/>
                <w:color w:val="auto"/>
                <w:sz w:val="30"/>
                <w:szCs w:val="30"/>
                <w:highlight w:val="none"/>
                <w:lang w:val="en-US" w:eastAsia="zh-CN"/>
              </w:rPr>
              <w:t>孙爱民</w:t>
            </w:r>
          </w:p>
        </w:tc>
        <w:tc>
          <w:tcPr>
            <w:tcW w:w="922" w:type="dxa"/>
            <w:vAlign w:val="center"/>
          </w:tcPr>
          <w:p>
            <w:pPr>
              <w:spacing w:line="240" w:lineRule="auto"/>
              <w:ind w:firstLine="0" w:firstLineChars="0"/>
              <w:jc w:val="both"/>
              <w:rPr>
                <w:rFonts w:ascii="Arial" w:hAnsi="Arial" w:eastAsia="Arial" w:cs="Arial"/>
                <w:snapToGrid w:val="0"/>
                <w:color w:val="auto"/>
                <w:kern w:val="0"/>
                <w:sz w:val="30"/>
                <w:szCs w:val="30"/>
                <w:highlight w:val="none"/>
              </w:rPr>
            </w:pPr>
            <w:r>
              <w:rPr>
                <w:rFonts w:hint="eastAsia"/>
                <w:color w:val="auto"/>
                <w:sz w:val="30"/>
                <w:szCs w:val="30"/>
                <w:highlight w:val="none"/>
              </w:rPr>
              <w:t>彭阳</w:t>
            </w:r>
          </w:p>
        </w:tc>
        <w:tc>
          <w:tcPr>
            <w:tcW w:w="937" w:type="dxa"/>
            <w:vAlign w:val="center"/>
          </w:tcPr>
          <w:p>
            <w:pPr>
              <w:spacing w:line="240" w:lineRule="auto"/>
              <w:ind w:firstLine="0" w:firstLineChars="0"/>
              <w:jc w:val="left"/>
              <w:rPr>
                <w:b w:val="0"/>
                <w:bCs/>
                <w:color w:val="auto"/>
                <w:sz w:val="30"/>
                <w:szCs w:val="30"/>
                <w:highlight w:val="none"/>
              </w:rPr>
            </w:pPr>
            <w:r>
              <w:rPr>
                <w:rFonts w:hint="eastAsia"/>
                <w:b w:val="0"/>
                <w:bCs/>
                <w:color w:val="auto"/>
                <w:sz w:val="30"/>
                <w:szCs w:val="30"/>
                <w:highlight w:val="none"/>
              </w:rPr>
              <w:t>郭芳</w:t>
            </w:r>
          </w:p>
        </w:tc>
        <w:tc>
          <w:tcPr>
            <w:tcW w:w="1803" w:type="dxa"/>
            <w:vAlign w:val="center"/>
          </w:tcPr>
          <w:p>
            <w:pPr>
              <w:spacing w:line="240" w:lineRule="auto"/>
              <w:ind w:firstLine="0" w:firstLineChars="0"/>
              <w:rPr>
                <w:b w:val="0"/>
                <w:bCs/>
                <w:color w:val="auto"/>
                <w:sz w:val="30"/>
                <w:szCs w:val="30"/>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jc w:val="center"/>
              <w:rPr>
                <w:color w:val="auto"/>
                <w:highlight w:val="none"/>
              </w:rPr>
            </w:pPr>
          </w:p>
        </w:tc>
        <w:tc>
          <w:tcPr>
            <w:tcW w:w="1276" w:type="dxa"/>
            <w:vAlign w:val="center"/>
          </w:tcPr>
          <w:p>
            <w:pPr>
              <w:spacing w:line="240" w:lineRule="auto"/>
              <w:ind w:firstLine="0" w:firstLineChars="0"/>
              <w:rPr>
                <w:b/>
                <w:color w:val="auto"/>
                <w:sz w:val="30"/>
                <w:szCs w:val="30"/>
                <w:highlight w:val="none"/>
              </w:rPr>
            </w:pPr>
          </w:p>
        </w:tc>
        <w:tc>
          <w:tcPr>
            <w:tcW w:w="1276" w:type="dxa"/>
            <w:vAlign w:val="center"/>
          </w:tcPr>
          <w:p>
            <w:pPr>
              <w:spacing w:line="240" w:lineRule="auto"/>
              <w:ind w:firstLine="0" w:firstLineChars="0"/>
              <w:rPr>
                <w:b/>
                <w:color w:val="auto"/>
                <w:sz w:val="30"/>
                <w:szCs w:val="30"/>
                <w:highlight w:val="none"/>
              </w:rPr>
            </w:pPr>
          </w:p>
        </w:tc>
        <w:tc>
          <w:tcPr>
            <w:tcW w:w="922" w:type="dxa"/>
            <w:vAlign w:val="center"/>
          </w:tcPr>
          <w:p>
            <w:pPr>
              <w:spacing w:line="240" w:lineRule="auto"/>
              <w:ind w:firstLine="0" w:firstLineChars="0"/>
              <w:rPr>
                <w:b/>
                <w:color w:val="auto"/>
                <w:sz w:val="30"/>
                <w:szCs w:val="30"/>
                <w:highlight w:val="none"/>
              </w:rPr>
            </w:pPr>
          </w:p>
        </w:tc>
        <w:tc>
          <w:tcPr>
            <w:tcW w:w="937" w:type="dxa"/>
            <w:vAlign w:val="center"/>
          </w:tcPr>
          <w:p>
            <w:pPr>
              <w:spacing w:line="240" w:lineRule="auto"/>
              <w:ind w:firstLine="0" w:firstLineChars="0"/>
              <w:jc w:val="center"/>
              <w:rPr>
                <w:color w:val="auto"/>
                <w:sz w:val="30"/>
                <w:szCs w:val="30"/>
                <w:highlight w:val="none"/>
              </w:rPr>
            </w:pPr>
          </w:p>
        </w:tc>
        <w:tc>
          <w:tcPr>
            <w:tcW w:w="1803" w:type="dxa"/>
            <w:vAlign w:val="center"/>
          </w:tcPr>
          <w:p>
            <w:pPr>
              <w:spacing w:line="240" w:lineRule="auto"/>
              <w:ind w:firstLine="0" w:firstLineChars="0"/>
              <w:rPr>
                <w:b/>
                <w:color w:val="auto"/>
                <w:sz w:val="30"/>
                <w:szCs w:val="30"/>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jc w:val="center"/>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tc>
        <w:tc>
          <w:tcPr>
            <w:tcW w:w="1276" w:type="dxa"/>
            <w:vAlign w:val="center"/>
          </w:tcPr>
          <w:p>
            <w:pPr>
              <w:spacing w:line="240" w:lineRule="auto"/>
              <w:ind w:firstLine="0" w:firstLineChars="0"/>
              <w:rPr>
                <w:b/>
                <w:color w:val="auto"/>
                <w:sz w:val="30"/>
                <w:szCs w:val="30"/>
                <w:highlight w:val="none"/>
              </w:rPr>
            </w:pPr>
          </w:p>
        </w:tc>
        <w:tc>
          <w:tcPr>
            <w:tcW w:w="1276" w:type="dxa"/>
            <w:vAlign w:val="center"/>
          </w:tcPr>
          <w:p>
            <w:pPr>
              <w:spacing w:line="240" w:lineRule="auto"/>
              <w:ind w:firstLine="0" w:firstLineChars="0"/>
              <w:rPr>
                <w:b/>
                <w:color w:val="auto"/>
                <w:sz w:val="30"/>
                <w:szCs w:val="30"/>
                <w:highlight w:val="none"/>
              </w:rPr>
            </w:pPr>
          </w:p>
        </w:tc>
        <w:tc>
          <w:tcPr>
            <w:tcW w:w="922" w:type="dxa"/>
            <w:vAlign w:val="center"/>
          </w:tcPr>
          <w:p>
            <w:pPr>
              <w:spacing w:line="240" w:lineRule="auto"/>
              <w:ind w:firstLine="0" w:firstLineChars="0"/>
              <w:jc w:val="center"/>
              <w:rPr>
                <w:b/>
                <w:color w:val="auto"/>
                <w:sz w:val="30"/>
                <w:szCs w:val="30"/>
                <w:highlight w:val="none"/>
              </w:rPr>
            </w:pPr>
          </w:p>
        </w:tc>
        <w:tc>
          <w:tcPr>
            <w:tcW w:w="937" w:type="dxa"/>
            <w:vAlign w:val="center"/>
          </w:tcPr>
          <w:p>
            <w:pPr>
              <w:spacing w:line="240" w:lineRule="auto"/>
              <w:ind w:firstLine="0" w:firstLineChars="0"/>
              <w:jc w:val="center"/>
              <w:rPr>
                <w:b/>
                <w:color w:val="auto"/>
                <w:sz w:val="30"/>
                <w:szCs w:val="30"/>
                <w:highlight w:val="none"/>
              </w:rPr>
            </w:pPr>
          </w:p>
        </w:tc>
        <w:tc>
          <w:tcPr>
            <w:tcW w:w="1803" w:type="dxa"/>
            <w:vAlign w:val="center"/>
          </w:tcPr>
          <w:p>
            <w:pPr>
              <w:spacing w:line="240" w:lineRule="auto"/>
              <w:ind w:firstLine="0" w:firstLineChars="0"/>
              <w:rPr>
                <w:b/>
                <w:color w:val="auto"/>
                <w:sz w:val="30"/>
                <w:szCs w:val="30"/>
                <w:highlight w:val="none"/>
              </w:rPr>
            </w:pPr>
          </w:p>
        </w:tc>
      </w:tr>
    </w:tbl>
    <w:p>
      <w:pPr>
        <w:spacing w:before="101"/>
        <w:ind w:left="963"/>
        <w:rPr>
          <w:rFonts w:ascii="仿宋" w:hAnsi="仿宋" w:eastAsia="仿宋" w:cs="仿宋"/>
          <w:color w:val="auto"/>
          <w:spacing w:val="-12"/>
          <w:sz w:val="32"/>
          <w:szCs w:val="32"/>
          <w:highlight w:val="none"/>
        </w:rPr>
      </w:pPr>
    </w:p>
    <w:p>
      <w:pPr>
        <w:spacing w:before="101"/>
        <w:ind w:left="963"/>
        <w:rPr>
          <w:rFonts w:ascii="仿宋" w:hAnsi="仿宋" w:eastAsia="仿宋" w:cs="仿宋"/>
          <w:color w:val="auto"/>
          <w:spacing w:val="-12"/>
          <w:sz w:val="32"/>
          <w:szCs w:val="32"/>
          <w:highlight w:val="none"/>
        </w:rPr>
        <w:sectPr>
          <w:footerReference r:id="rId5" w:type="default"/>
          <w:pgSz w:w="11910" w:h="16850"/>
          <w:pgMar w:top="1432" w:right="1786" w:bottom="0" w:left="1786" w:header="1134" w:footer="567" w:gutter="0"/>
          <w:pgNumType w:fmt="decimal" w:start="1"/>
          <w:cols w:space="720" w:num="1"/>
        </w:sectPr>
      </w:pPr>
    </w:p>
    <w:p>
      <w:pPr>
        <w:spacing w:before="101" w:line="360" w:lineRule="auto"/>
        <w:ind w:left="3998"/>
        <w:rPr>
          <w:rFonts w:hint="eastAsia" w:ascii="宋体" w:hAnsi="宋体" w:eastAsia="宋体" w:cs="宋体"/>
          <w:color w:val="auto"/>
          <w:sz w:val="28"/>
          <w:szCs w:val="28"/>
          <w:highlight w:val="none"/>
        </w:rPr>
      </w:pPr>
      <w:r>
        <w:rPr>
          <w:rFonts w:hint="eastAsia" w:ascii="宋体" w:hAnsi="宋体" w:eastAsia="宋体" w:cs="宋体"/>
          <w:color w:val="auto"/>
          <w:spacing w:val="12"/>
          <w:sz w:val="28"/>
          <w:szCs w:val="28"/>
          <w:highlight w:val="none"/>
        </w:rPr>
        <w:t>前</w:t>
      </w:r>
      <w:r>
        <w:rPr>
          <w:rFonts w:hint="eastAsia" w:ascii="宋体" w:hAnsi="宋体" w:eastAsia="宋体" w:cs="宋体"/>
          <w:color w:val="auto"/>
          <w:spacing w:val="11"/>
          <w:sz w:val="28"/>
          <w:szCs w:val="28"/>
          <w:highlight w:val="none"/>
        </w:rPr>
        <w:t xml:space="preserve"> 言</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2016年10月11日，中央全面深化改革领导小组第二十八次会议审议通过了《关于全面推行河长制的意见》(以下简称《意见》)《意见》指出，要加强河湖水域岸线管理保护。严格水域岸线等水生态空间管控，依法划定河湖管理范围，落实规划岸线分区管理要求，强化岸线保护和集约利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2017年5月30日，为深入贯彻落实中共中央办公厅、国务院办公厅《意见》精神，进一步加强全区河湖管理保护工作，落实地方属地主体责任，建立健全河湖管理保护长效体制机制，内蒙古自治区党委办公厅、政府办公厅印发了《内蒙古自治区全面推行河长制工作方案》,并提出“严格水域岸线等水生态空间管控，依法划定河湖 管理范围。贯彻落实《内蒙古自治区水工程管理保护办法》和《内蒙古自治区水工程管理和保护范围划定标准》,到2020年基本完成河湖管理范围和国有水利工程管理保护范围划定工作，明确管理范围，设立界桩、管理和保护标志，并依法依规逐步确定河湖管理范围内的土地使用权属，逐步建立范围明确、权属清晰、责任落实的河湖管理、水利工程管理保护责任体系。落实规划岸线分区管理要求，强化岸线 保护和节约集约利用。分级负责科学编制主要河湖岸线利用规划，严格划定岸线保 护区、保留区、限制开发区、开发利用区。整治岸线乱占滥用、多占少用、占而不用等问题，恢复河湖水域岸线良好的生态功能。”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yellow"/>
          <w:lang w:val="en-US" w:eastAsia="zh-CN" w:bidi="ar-SA"/>
        </w:rPr>
      </w:pPr>
      <w:r>
        <w:rPr>
          <w:rFonts w:hint="eastAsia" w:ascii="宋体" w:hAnsi="宋体" w:eastAsia="宋体" w:cs="宋体"/>
          <w:snapToGrid/>
          <w:color w:val="auto"/>
          <w:kern w:val="0"/>
          <w:sz w:val="28"/>
          <w:szCs w:val="28"/>
          <w:highlight w:val="yellow"/>
          <w:lang w:val="en-US" w:eastAsia="zh-CN" w:bidi="ar-SA"/>
        </w:rPr>
        <w:t>2020年巴彦淖尔市人民政府办公室关于印发《巴彦淖尔市重点湖泊生态环境保护工作的实施意见》的通知中指出，“将湖泊作为国土空间规划编制的重点，严格落实‘三线一单’硬约束。重点湖泊管理范围划界工作在2020年完成，重点湖泊岸线保护与利用规划在2023年10月底前编制完成。”</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3"/>
          <w:szCs w:val="23"/>
          <w:highlight w:val="none"/>
        </w:rPr>
      </w:pPr>
      <w:r>
        <w:rPr>
          <w:rFonts w:hint="eastAsia" w:ascii="宋体" w:hAnsi="宋体" w:eastAsia="宋体" w:cs="宋体"/>
          <w:snapToGrid/>
          <w:color w:val="auto"/>
          <w:kern w:val="0"/>
          <w:sz w:val="28"/>
          <w:szCs w:val="28"/>
          <w:highlight w:val="none"/>
          <w:lang w:val="en-US" w:eastAsia="zh-CN" w:bidi="ar-SA"/>
        </w:rPr>
        <w:t>受磴口县水利局委托，巴彦淖尔市鑫宇水利水电勘察设计有限公司承担《磴口县冬青湖岸线保护与利用规划》的编制工作。接受委托后，我公司高度重视，立即抽调各专业力量成立项目组，收集基础资料、进行现场查勘、听取磴口县水利局专家建议和意见，规划编制过程中多次与当地水利局、河长制办公室有关领导和负责项目同志进行积极沟通，了解情况。</w:t>
      </w:r>
    </w:p>
    <w:p>
      <w:pPr>
        <w:rPr>
          <w:color w:val="auto"/>
          <w:highlight w:val="none"/>
        </w:rPr>
        <w:sectPr>
          <w:footerReference r:id="rId6" w:type="default"/>
          <w:pgSz w:w="12210" w:h="17060"/>
          <w:pgMar w:top="1440" w:right="1800" w:bottom="1440" w:left="1800" w:header="1077" w:footer="1020" w:gutter="0"/>
          <w:pgNumType w:fmt="decimal"/>
          <w:cols w:space="720" w:num="1"/>
        </w:sectPr>
      </w:pPr>
    </w:p>
    <w:sdt>
      <w:sdtPr>
        <w:rPr>
          <w:rFonts w:ascii="宋体" w:hAnsi="宋体" w:eastAsia="宋体" w:cs="Arial"/>
          <w:snapToGrid w:val="0"/>
          <w:color w:val="auto"/>
          <w:kern w:val="0"/>
          <w:sz w:val="21"/>
          <w:szCs w:val="21"/>
          <w:highlight w:val="none"/>
        </w:rPr>
        <w:id w:val="147455527"/>
        <w15:color w:val="DBDBDB"/>
        <w:docPartObj>
          <w:docPartGallery w:val="Table of Contents"/>
          <w:docPartUnique/>
        </w:docPartObj>
      </w:sdtPr>
      <w:sdtEndPr>
        <w:rPr>
          <w:rFonts w:ascii="Arial" w:hAnsi="Arial" w:eastAsia="Arial" w:cs="Arial"/>
          <w:b/>
          <w:snapToGrid w:val="0"/>
          <w:color w:val="auto"/>
          <w:kern w:val="0"/>
          <w:sz w:val="21"/>
          <w:szCs w:val="21"/>
          <w:highlight w:val="none"/>
        </w:rPr>
      </w:sdtEndPr>
      <w:sdtContent>
        <w:p>
          <w:pPr>
            <w:spacing w:before="0" w:beforeLines="0" w:after="0" w:afterLines="0" w:line="240" w:lineRule="auto"/>
            <w:ind w:left="0" w:leftChars="0" w:right="0" w:rightChars="0" w:firstLine="0" w:firstLineChars="0"/>
            <w:jc w:val="center"/>
            <w:rPr>
              <w:color w:val="auto"/>
              <w:sz w:val="32"/>
              <w:szCs w:val="32"/>
              <w:highlight w:val="none"/>
            </w:rPr>
          </w:pPr>
          <w:r>
            <w:rPr>
              <w:rFonts w:ascii="宋体" w:hAnsi="宋体" w:eastAsia="宋体"/>
              <w:color w:val="auto"/>
              <w:sz w:val="32"/>
              <w:szCs w:val="32"/>
              <w:highlight w:val="none"/>
            </w:rPr>
            <w:t>目录</w:t>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TOC \o "1-2" \h \u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_Toc25986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 xml:space="preserve">1 </w:t>
          </w:r>
          <w:r>
            <w:rPr>
              <w:rFonts w:hint="eastAsia" w:ascii="宋体" w:hAnsi="宋体" w:eastAsia="宋体" w:cs="宋体"/>
              <w:color w:val="000000" w:themeColor="text1"/>
              <w:sz w:val="28"/>
              <w:szCs w:val="28"/>
              <w:highlight w:val="none"/>
              <w14:textFill>
                <w14:solidFill>
                  <w14:schemeClr w14:val="tx1"/>
                </w14:solidFill>
              </w14:textFill>
            </w:rPr>
            <w:t>基本情况</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_Toc25986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_Toc32076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1.1</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规划背景</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_Toc32076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_Toc26618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湖泊概况</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_Toc26618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_Toc4797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水文气象</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_Toc4797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_Toc3901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1.4 社会经济</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_Toc3901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_Toc11223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1.5</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湖泊及涉湖工程现状</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_Toc11223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_Toc18027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1.6</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相关规划资料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_Toc18027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_Toc29047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1.7</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岸线利用与保护现状</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_Toc29047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_Toc23593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1.8</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河长组织体系</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_Toc23593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_Toc1030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2 岸线保护和利用形势分析</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_Toc1030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_Toc4676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2.1 岸线利用现状评价</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_Toc4676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_Toc23804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2.2 现状岸线管理存在的主要问题</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_Toc23804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_Toc18353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2.3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经济社会发展对岸线保护和利用的需求</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_Toc18353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_Toc25963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2.4</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岸线保护与利用控制条件分析</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_Toc25963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_Toc30559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3 编制依据</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_Toc30559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_Toc12808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3.1 法律法规</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_Toc12808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_Toc23214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规程规范</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_Toc23214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_Toc6215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政策文件</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_Toc6215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_Toc13452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3.4 有关规划</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_Toc13452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_Toc11650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3.5</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相关技术成果</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_Toc11650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_Toc12929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3.6 技术路线</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_Toc12929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_Toc2125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4 指导思想与原则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_Toc2125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_Toc31550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4.1 指导思想</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_Toc31550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_Toc7517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4.2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规划原则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_Toc7517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_Toc32352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4.3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规划范围及水平年</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_Toc32352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_Toc7337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4.4</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规划目标及任务</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_Toc7337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_Toc30596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5 岸线控制线确定</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_Toc30596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_Toc6332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5.1 岸线控制线定义</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_Toc6332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_Toc26349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5.2 岸线控制线划定的原则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_Toc26349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_Toc20801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5.3 岸线划定方法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_Toc20801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_Toc5179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5.4 岸线边界线确定</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_Toc5179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32</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_Toc857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6 岸线功能区划分</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_Toc857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_Toc5133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6.1 岸线功能区的划分原则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_Toc5133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_Toc30011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6.2 岸线功能区划分的基本要求及方法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_Toc30011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_Toc20355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6.3 岸线功能区划分方法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_Toc20355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_Toc24615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6.4 岸线功能区划分</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_Toc24615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_Toc17655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7 岸线保护与管控</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_Toc17655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_Toc12991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7.1</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功能区管控要求</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_Toc12991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_Toc13167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7.2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岸线边界线管控要求</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_Toc13167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_Toc14134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7.3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岸线管控能力建设措施</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_Toc14134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42</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_Toc11915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7.4</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岸线保护利用调整要求</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_Toc11915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_Toc17406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8 环境影响评价</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_Toc17406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_Toc18177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8.1 环境保护目标</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_Toc18177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_Toc4823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8.2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规划符合性分析</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_Toc4823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_Toc5094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8.3 环境影响预测与评价</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_Toc5094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_Toc31091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9 保障措施</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_Toc31091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_Toc2901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9.1 政策、制度保障</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_Toc2901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_Toc22530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9.2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行政管理保障</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_Toc22530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_Toc19763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9.3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经济措施</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_Toc19763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_Toc30056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9.4 公众参与保障</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_Toc30056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50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_Toc22812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7"/>
              <w:sz w:val="28"/>
              <w:szCs w:val="28"/>
              <w:highlight w:val="none"/>
              <w14:textFill>
                <w14:solidFill>
                  <w14:schemeClr w14:val="tx1"/>
                </w14:solidFill>
              </w14:textFill>
            </w:rPr>
            <w:t>附</w:t>
          </w:r>
          <w:r>
            <w:rPr>
              <w:rFonts w:hint="eastAsia" w:ascii="宋体" w:hAnsi="宋体" w:eastAsia="宋体" w:cs="宋体"/>
              <w:color w:val="000000" w:themeColor="text1"/>
              <w:spacing w:val="6"/>
              <w:sz w:val="28"/>
              <w:szCs w:val="28"/>
              <w:highlight w:val="none"/>
              <w14:textFill>
                <w14:solidFill>
                  <w14:schemeClr w14:val="tx1"/>
                </w14:solidFill>
              </w14:textFill>
            </w:rPr>
            <w:t>表</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_Toc22812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51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spacing w:before="0" w:beforeLines="0" w:after="0" w:afterLines="0" w:line="240" w:lineRule="auto"/>
            <w:ind w:left="0" w:leftChars="0" w:right="0" w:rightChars="0" w:firstLine="0" w:firstLineChars="0"/>
            <w:jc w:val="center"/>
            <w:rPr>
              <w:color w:val="auto"/>
              <w:highlight w:val="none"/>
            </w:rPr>
            <w:sectPr>
              <w:footerReference r:id="rId7" w:type="default"/>
              <w:pgSz w:w="12210" w:h="17060"/>
              <w:pgMar w:top="1250" w:right="1831" w:bottom="0" w:left="1831" w:header="1191" w:footer="1191" w:gutter="0"/>
              <w:pgNumType w:fmt="decimal"/>
              <w:cols w:space="720" w:num="1"/>
            </w:sectPr>
          </w:pPr>
          <w:r>
            <w:rPr>
              <w:rFonts w:hint="eastAsia" w:ascii="宋体" w:hAnsi="宋体" w:eastAsia="宋体" w:cs="宋体"/>
              <w:color w:val="000000" w:themeColor="text1"/>
              <w:szCs w:val="28"/>
              <w:highlight w:val="none"/>
              <w14:textFill>
                <w14:solidFill>
                  <w14:schemeClr w14:val="tx1"/>
                </w14:solidFill>
              </w14:textFill>
            </w:rPr>
            <w:fldChar w:fldCharType="end"/>
          </w:r>
        </w:p>
      </w:sdtContent>
    </w:sdt>
    <w:p>
      <w:pPr>
        <w:pStyle w:val="3"/>
        <w:bidi w:val="0"/>
        <w:spacing w:line="240" w:lineRule="auto"/>
        <w:jc w:val="center"/>
        <w:rPr>
          <w:rFonts w:hint="eastAsia" w:ascii="宋体" w:hAnsi="宋体" w:eastAsia="宋体" w:cs="宋体"/>
          <w:color w:val="auto"/>
          <w:sz w:val="32"/>
          <w:szCs w:val="32"/>
          <w:highlight w:val="none"/>
        </w:rPr>
      </w:pPr>
      <w:bookmarkStart w:id="0" w:name="_Toc5665"/>
      <w:bookmarkStart w:id="1" w:name="_Toc25986"/>
      <w:r>
        <w:rPr>
          <w:rFonts w:hint="eastAsia" w:ascii="宋体" w:hAnsi="宋体" w:eastAsia="宋体" w:cs="宋体"/>
          <w:color w:val="auto"/>
          <w:sz w:val="32"/>
          <w:szCs w:val="32"/>
          <w:highlight w:val="none"/>
          <w:lang w:val="en-US" w:eastAsia="zh-CN"/>
        </w:rPr>
        <w:t xml:space="preserve">1 </w:t>
      </w:r>
      <w:r>
        <w:rPr>
          <w:rFonts w:hint="eastAsia" w:ascii="宋体" w:hAnsi="宋体" w:eastAsia="宋体" w:cs="宋体"/>
          <w:color w:val="auto"/>
          <w:sz w:val="32"/>
          <w:szCs w:val="32"/>
          <w:highlight w:val="none"/>
        </w:rPr>
        <w:t>基本情况</w:t>
      </w:r>
      <w:bookmarkEnd w:id="0"/>
      <w:bookmarkEnd w:id="1"/>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2" w:name="_Toc9675"/>
      <w:bookmarkStart w:id="3" w:name="_Toc32076"/>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1.1</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规划背景</w:t>
      </w:r>
      <w:bookmarkEnd w:id="2"/>
      <w:bookmarkEnd w:id="3"/>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河湖岸线既是河湖空间的重要组成，又是服务经济社会发展不可再生的宝贵土地资源，更是维护河势稳定和防洪、供水、生态安全的重要保障。长期以来，由于河湖岸线范围不明，功能界定不清，管理缺乏依据，部分河段岸线开发无序和过渡开发严重，对河湖行(蓄)洪带来不利影响、甚至严重地破坏了河流生态环境。由于缺乏岸线功能区划和管理规定，在岸线利用与保护方面缺乏技术依据也给行政许可和审批带来一定的难度。</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2007年2月，水利部下发了《关于开展河道(湖泊)岸线利用管理规划工作的通知》(水建管〔2007〕67号),要求“在全面开展的流域综合规划修编中，以流域为单位，在全国范围内启动河道(湖泊)岸线利用管理专项规划工作”。2014年2月28日，水利部下发了《关于加强河湖管理工作的指导意见》(水建管〔2014〕76号),要求“各地要认真组织实施国家批准的流域综合规划、流域防洪规划、水资源保护规划、采砂管理规划、岸线利用管理规划等重要规划，要根据国家规划，结合本地河湖管理实际，科学编制相关规划，加强规划对河湖管理的指导和约束作用”。2019年3月，水利部印发了《河湖岸线保护与利用规划编制指南(试行)》(办河湖函〔2019〕394号)确定了岸线保护与利用规划工作的技术方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yellow"/>
          <w:lang w:val="en-US" w:eastAsia="zh-CN" w:bidi="ar-SA"/>
        </w:rPr>
      </w:pPr>
      <w:r>
        <w:rPr>
          <w:rFonts w:hint="eastAsia" w:ascii="宋体" w:hAnsi="宋体" w:eastAsia="宋体" w:cs="宋体"/>
          <w:snapToGrid/>
          <w:color w:val="auto"/>
          <w:kern w:val="0"/>
          <w:sz w:val="28"/>
          <w:szCs w:val="28"/>
          <w:highlight w:val="none"/>
          <w:lang w:val="en-US" w:eastAsia="zh-CN" w:bidi="ar-SA"/>
        </w:rPr>
        <w:t>为全面贯彻落实《内蒙古自治区人民政府办公厅关于加强重点湖泊生态环境保护工作的指导意见》,切实加强全市重点湖泊保护管理，有效改善重点湖泊生态环境，促进巴彦淖尔市生态经济协调发展，结合巴彦淖尔市实际，制定了《巴彦淖尔市重点湖泊生态环境保护工作的实施意见》(巴政办发〔2020〕25号)。意见中要求“湖泊作为国土空间规划编制的重点，</w:t>
      </w:r>
      <w:r>
        <w:rPr>
          <w:rFonts w:hint="eastAsia" w:ascii="宋体" w:hAnsi="宋体" w:eastAsia="宋体" w:cs="宋体"/>
          <w:snapToGrid/>
          <w:color w:val="auto"/>
          <w:kern w:val="0"/>
          <w:sz w:val="28"/>
          <w:szCs w:val="28"/>
          <w:highlight w:val="yellow"/>
          <w:lang w:val="en-US" w:eastAsia="zh-CN" w:bidi="ar-SA"/>
        </w:rPr>
        <w:t>严格落实‘三线一单’硬约束。重点湖泊管理范围划界工作在2020年完成，重点湖泊岸线保护与利用规划在2023年10月底前编制完成。”</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 w:name="_Toc26618"/>
      <w:bookmarkStart w:id="5" w:name="_Toc26171"/>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湖泊概况</w:t>
      </w:r>
      <w:bookmarkEnd w:id="4"/>
      <w:bookmarkEnd w:id="5"/>
    </w:p>
    <w:p>
      <w:pPr>
        <w:pStyle w:val="17"/>
        <w:adjustRightInd w:val="0"/>
        <w:snapToGrid w:val="0"/>
        <w:ind w:firstLine="560"/>
        <w:rPr>
          <w:color w:val="000000" w:themeColor="text1"/>
          <w14:textFill>
            <w14:solidFill>
              <w14:schemeClr w14:val="tx1"/>
            </w14:solidFill>
          </w14:textFill>
        </w:rPr>
      </w:pPr>
      <w:r>
        <w:rPr>
          <w:rFonts w:hint="eastAsia"/>
        </w:rPr>
        <w:t>冬青湖位于沙金套海苏木那仁宝力格嘎查境内，地理坐标介于东经106°30′7″，北纬40°29′45″。湖泊平均水面面积：3990亩。湖泊平均湿地面积4600亩。湖泊平均水深2m,最大水深5.5m。库容496.2万m3~1042.1万m3。</w:t>
      </w:r>
    </w:p>
    <w:p>
      <w:pPr>
        <w:pStyle w:val="17"/>
        <w:adjustRightInd w:val="0"/>
        <w:snapToGrid w:val="0"/>
        <w:ind w:firstLine="560"/>
        <w:rPr>
          <w:color w:val="000000" w:themeColor="text1"/>
          <w14:textFill>
            <w14:solidFill>
              <w14:schemeClr w14:val="tx1"/>
            </w14:solidFill>
          </w14:textFill>
        </w:rPr>
      </w:pPr>
    </w:p>
    <w:p>
      <w:pPr>
        <w:pStyle w:val="2"/>
        <w:ind w:left="0" w:leftChars="0" w:firstLine="0" w:firstLineChars="0"/>
        <w:jc w:val="center"/>
        <w:rPr>
          <w:rFonts w:hint="eastAsia" w:ascii="宋体" w:hAnsi="宋体" w:eastAsia="宋体" w:cs="宋体"/>
          <w:snapToGrid/>
          <w:color w:val="auto"/>
          <w:kern w:val="0"/>
          <w:sz w:val="28"/>
          <w:szCs w:val="28"/>
          <w:highlight w:val="none"/>
          <w:lang w:val="en-US" w:eastAsia="zh-CN" w:bidi="ar-SA"/>
        </w:rPr>
      </w:pPr>
      <w:r>
        <w:rPr>
          <w:color w:val="000000" w:themeColor="text1"/>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1364615</wp:posOffset>
                </wp:positionH>
                <wp:positionV relativeFrom="paragraph">
                  <wp:posOffset>1855470</wp:posOffset>
                </wp:positionV>
                <wp:extent cx="728345" cy="523240"/>
                <wp:effectExtent l="4445" t="13335" r="10160" b="15875"/>
                <wp:wrapNone/>
                <wp:docPr id="5" name="右箭头 5"/>
                <wp:cNvGraphicFramePr/>
                <a:graphic xmlns:a="http://schemas.openxmlformats.org/drawingml/2006/main">
                  <a:graphicData uri="http://schemas.microsoft.com/office/word/2010/wordprocessingShape">
                    <wps:wsp>
                      <wps:cNvSpPr/>
                      <wps:spPr>
                        <a:xfrm>
                          <a:off x="0" y="0"/>
                          <a:ext cx="728345" cy="523240"/>
                        </a:xfrm>
                        <a:prstGeom prst="rightArrow">
                          <a:avLst>
                            <a:gd name="adj1" fmla="val 50000"/>
                            <a:gd name="adj2" fmla="val 40340"/>
                          </a:avLst>
                        </a:prstGeom>
                        <a:solidFill>
                          <a:srgbClr val="FFFFFF"/>
                        </a:solidFill>
                        <a:ln w="9525" cap="flat" cmpd="sng">
                          <a:solidFill>
                            <a:srgbClr val="000000"/>
                          </a:solidFill>
                          <a:prstDash val="solid"/>
                          <a:miter/>
                          <a:headEnd type="none" w="med" len="med"/>
                          <a:tailEnd type="none" w="med" len="med"/>
                        </a:ln>
                      </wps:spPr>
                      <wps:txbx>
                        <w:txbxContent>
                          <w:p>
                            <w:r>
                              <w:rPr>
                                <w:rFonts w:hint="eastAsia" w:eastAsia="宋体"/>
                                <w:lang w:eastAsia="zh-CN"/>
                              </w:rPr>
                              <w:t>冬青湖</w:t>
                            </w:r>
                          </w:p>
                        </w:txbxContent>
                      </wps:txbx>
                      <wps:bodyPr upright="1"/>
                    </wps:wsp>
                  </a:graphicData>
                </a:graphic>
              </wp:anchor>
            </w:drawing>
          </mc:Choice>
          <mc:Fallback>
            <w:pict>
              <v:shape id="_x0000_s1026" o:spid="_x0000_s1026" o:spt="13" type="#_x0000_t13" style="position:absolute;left:0pt;margin-left:107.45pt;margin-top:146.1pt;height:41.2pt;width:57.35pt;z-index:251676672;mso-width-relative:page;mso-height-relative:page;" fillcolor="#FFFFFF" filled="t" stroked="t" coordsize="21600,21600" o:gfxdata="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fm1ml2AAAAAsBAAAPAAAAAAAAAAEAIAAAACIAAABkcnMvZG93bnJldi54bWxQSwECFAAU&#10;AAAACACHTuJAIJA7WSoCAACCBAAADgAAAAAAAAABACAAAAAnAQAAZHJzL2Uyb0RvYy54bWxQSwUG&#10;AAAAAAYABgBZAQAAwwUAAAAA&#10;" adj="15341,5400">
                <v:fill on="t" focussize="0,0"/>
                <v:stroke color="#000000" joinstyle="miter"/>
                <v:imagedata o:title=""/>
                <o:lock v:ext="edit" aspectratio="f"/>
                <v:textbox>
                  <w:txbxContent>
                    <w:p>
                      <w:r>
                        <w:rPr>
                          <w:rFonts w:hint="eastAsia" w:eastAsia="宋体"/>
                          <w:lang w:eastAsia="zh-CN"/>
                        </w:rPr>
                        <w:t>冬青湖</w:t>
                      </w:r>
                    </w:p>
                  </w:txbxContent>
                </v:textbox>
              </v:shape>
            </w:pict>
          </mc:Fallback>
        </mc:AlternateContent>
      </w:r>
      <w:r>
        <w:rPr>
          <w:rFonts w:hint="eastAsia"/>
          <w:color w:val="000000" w:themeColor="text1"/>
          <w14:textFill>
            <w14:solidFill>
              <w14:schemeClr w14:val="tx1"/>
            </w14:solidFill>
          </w14:textFill>
        </w:rPr>
        <w:drawing>
          <wp:inline distT="0" distB="0" distL="114300" distR="114300">
            <wp:extent cx="5273040" cy="3855720"/>
            <wp:effectExtent l="0" t="0" r="381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273040" cy="3855910"/>
                    </a:xfrm>
                    <a:prstGeom prst="rect">
                      <a:avLst/>
                    </a:prstGeom>
                  </pic:spPr>
                </pic:pic>
              </a:graphicData>
            </a:graphic>
          </wp:inline>
        </w:drawing>
      </w:r>
    </w:p>
    <w:p>
      <w:pPr>
        <w:spacing w:before="199" w:line="219" w:lineRule="auto"/>
        <w:ind w:left="0" w:leftChars="0" w:firstLine="0" w:firstLineChars="0"/>
        <w:jc w:val="center"/>
        <w:rPr>
          <w:rFonts w:ascii="宋体" w:hAnsi="宋体" w:eastAsia="宋体" w:cs="宋体"/>
          <w:color w:val="auto"/>
          <w:sz w:val="23"/>
          <w:szCs w:val="23"/>
          <w:highlight w:val="none"/>
        </w:rPr>
      </w:pPr>
      <w:r>
        <w:rPr>
          <w:rFonts w:ascii="宋体" w:hAnsi="宋体" w:eastAsia="宋体" w:cs="宋体"/>
          <w:color w:val="auto"/>
          <w:spacing w:val="-16"/>
          <w:sz w:val="24"/>
          <w:szCs w:val="24"/>
          <w:highlight w:val="none"/>
        </w:rPr>
        <w:t>图</w:t>
      </w:r>
      <w:r>
        <w:rPr>
          <w:rFonts w:ascii="宋体" w:hAnsi="宋体" w:eastAsia="宋体" w:cs="宋体"/>
          <w:color w:val="auto"/>
          <w:spacing w:val="-10"/>
          <w:sz w:val="24"/>
          <w:szCs w:val="24"/>
          <w:highlight w:val="none"/>
        </w:rPr>
        <w:t xml:space="preserve"> </w:t>
      </w:r>
      <w:r>
        <w:rPr>
          <w:rFonts w:ascii="宋体" w:hAnsi="宋体" w:eastAsia="宋体" w:cs="宋体"/>
          <w:color w:val="auto"/>
          <w:spacing w:val="-8"/>
          <w:sz w:val="24"/>
          <w:szCs w:val="24"/>
          <w:highlight w:val="none"/>
        </w:rPr>
        <w:t xml:space="preserve">1-1 </w:t>
      </w:r>
      <w:r>
        <w:rPr>
          <w:rFonts w:hint="eastAsia" w:eastAsia="宋体"/>
          <w:color w:val="000000" w:themeColor="text1"/>
          <w:lang w:eastAsia="zh-CN"/>
          <w14:textFill>
            <w14:solidFill>
              <w14:schemeClr w14:val="tx1"/>
            </w14:solidFill>
          </w14:textFill>
        </w:rPr>
        <w:t>冬青湖</w:t>
      </w:r>
      <w:r>
        <w:rPr>
          <w:rFonts w:ascii="宋体" w:hAnsi="宋体" w:eastAsia="宋体" w:cs="宋体"/>
          <w:color w:val="auto"/>
          <w:spacing w:val="-8"/>
          <w:sz w:val="24"/>
          <w:szCs w:val="24"/>
          <w:highlight w:val="none"/>
        </w:rPr>
        <w:t>位置图</w:t>
      </w:r>
    </w:p>
    <w:p>
      <w:pPr>
        <w:spacing w:line="306" w:lineRule="auto"/>
        <w:rPr>
          <w:rFonts w:ascii="Arial"/>
          <w:color w:val="auto"/>
          <w:sz w:val="21"/>
          <w:highlight w:val="none"/>
        </w:rPr>
      </w:pPr>
    </w:p>
    <w:p>
      <w:pPr>
        <w:spacing w:line="306" w:lineRule="auto"/>
        <w:rPr>
          <w:rFonts w:ascii="Arial"/>
          <w:color w:val="auto"/>
          <w:sz w:val="21"/>
          <w:highlight w:val="none"/>
        </w:rPr>
      </w:pP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 w:name="_Toc4797"/>
      <w:bookmarkStart w:id="7" w:name="_Toc3182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水文气象</w:t>
      </w:r>
      <w:bookmarkEnd w:id="6"/>
      <w:bookmarkEnd w:id="7"/>
    </w:p>
    <w:p>
      <w:pPr>
        <w:pStyle w:val="17"/>
        <w:ind w:firstLine="560"/>
      </w:pPr>
      <w:bookmarkStart w:id="8" w:name="_Toc3901"/>
      <w:bookmarkStart w:id="9" w:name="_Toc714"/>
      <w:r>
        <w:rPr>
          <w:rFonts w:hint="eastAsia"/>
        </w:rPr>
        <w:t>受蒙古高气压的控制和影响,属大陆性沙漠气候,冬春干旱多风。夏季雨量极少。地表面吸热放热速度快,昼夜温差大。年平均气温7.8℃,年极端最低气温-33.8℃,最高气温39.4℃。年最高与最低气温相差达62℃。晴日天数多于阴天,能见度很好,光照充足,对各种植物的生长是极为有利。</w:t>
      </w:r>
    </w:p>
    <w:p>
      <w:pPr>
        <w:pStyle w:val="17"/>
        <w:ind w:firstLine="560"/>
      </w:pPr>
      <w:r>
        <w:rPr>
          <w:rFonts w:hint="eastAsia"/>
        </w:rPr>
        <w:t>光能资源</w:t>
      </w:r>
    </w:p>
    <w:p>
      <w:pPr>
        <w:pStyle w:val="17"/>
        <w:ind w:firstLine="560"/>
      </w:pPr>
      <w:r>
        <w:rPr>
          <w:rFonts w:hint="eastAsia"/>
        </w:rPr>
        <w:t>磴口县全年日照时数3209.5小时，光能资源丰富。其中作物生育期4～9月份日照总时数1758.2小时，六月份最多，达319.3小时。全年太阳总辐射15369千卡/厘米2，全年有效光合辐射为75.29千卡/厘米2。其中4～9月份有效光辐射达47.71千卡/厘米。</w:t>
      </w:r>
    </w:p>
    <w:p>
      <w:pPr>
        <w:pStyle w:val="17"/>
        <w:ind w:firstLine="560"/>
      </w:pPr>
      <w:r>
        <w:rPr>
          <w:rFonts w:hint="eastAsia"/>
        </w:rPr>
        <w:t>6～8月，农作物和林草生长正值旺盛期，所需日照、热量、水份相应增加。这个时期，本县口照时数属全年最丰富时期，温度大于15度，积温2200C以上，降雨也集中。该时期降雨量占全年的80%，有效性高。</w:t>
      </w:r>
    </w:p>
    <w:p>
      <w:pPr>
        <w:pStyle w:val="17"/>
        <w:ind w:firstLine="560"/>
      </w:pPr>
      <w:r>
        <w:rPr>
          <w:rFonts w:hint="eastAsia"/>
        </w:rPr>
        <w:t>热量资源</w:t>
      </w:r>
    </w:p>
    <w:p>
      <w:pPr>
        <w:pStyle w:val="17"/>
        <w:ind w:firstLine="560"/>
      </w:pPr>
      <w:r>
        <w:rPr>
          <w:rFonts w:hint="eastAsia"/>
        </w:rPr>
        <w:t>热量充分、日照时间长，昼夜温差大、无霜期天数较多本县日照总时数3209.5小时，年平均气温7.6℃，≥10℃的积温3222℃，无霜期年平均136天.作物生育期4～9月份平均14.5℃，这使本县在发展某些作物上有着明显的优势。光热资源丰富无霜期长，有利于林木生长。日照时间长、昼夜温差大，有利于农作物干物质和糖份的积累，适宜发展果树甜菜、华菜士、蜜瓜、向日葵、酒花等。</w:t>
      </w:r>
    </w:p>
    <w:p>
      <w:pPr>
        <w:pStyle w:val="17"/>
        <w:ind w:firstLine="560"/>
      </w:pPr>
      <w:r>
        <w:rPr>
          <w:rFonts w:hint="eastAsia"/>
        </w:rPr>
        <w:t>降水和蒸发</w:t>
      </w:r>
    </w:p>
    <w:p>
      <w:pPr>
        <w:pStyle w:val="17"/>
        <w:ind w:firstLine="560"/>
      </w:pPr>
      <w:r>
        <w:rPr>
          <w:rFonts w:hint="eastAsia"/>
        </w:rPr>
        <w:t>冬青湖地区降水极少,年平均降水115.5㎜,各年降水的变化幅度很大,多则达到202.1㎜(1975年),少则仅有48.4㎜(1971年)。一年内降水多在7-9月间。灾害性天气主要为风沙、霜冻和冰雹。⑴.风沙:该地区最重要的灾害性天气是风沙,主风向为西南风,次风向为东北风。年最大风速为22m/秒,年平均有73天大风。冬春两季风最多。</w:t>
      </w:r>
    </w:p>
    <w:p>
      <w:pPr>
        <w:pStyle w:val="17"/>
        <w:ind w:firstLine="560"/>
      </w:pPr>
      <w:r>
        <w:rPr>
          <w:rFonts w:hint="eastAsia"/>
        </w:rPr>
        <w:t>风能资源</w:t>
      </w:r>
    </w:p>
    <w:p>
      <w:pPr>
        <w:pStyle w:val="17"/>
        <w:ind w:firstLine="560"/>
      </w:pPr>
      <w:r>
        <w:rPr>
          <w:rFonts w:hint="eastAsia"/>
        </w:rPr>
        <w:t>本县位于亚州大陆中部。由于距海遥远，夏季受海洋季风影响时间短、势力弱。巴彦高勒地区年平均降雨量为</w:t>
      </w:r>
      <w:r>
        <w:t>143.9</w:t>
      </w:r>
      <w:r>
        <w:rPr>
          <w:rFonts w:hint="eastAsia"/>
        </w:rPr>
        <w:t>毫米，年蒸发量</w:t>
      </w:r>
      <w:r>
        <w:t>2327</w:t>
      </w:r>
      <w:r>
        <w:rPr>
          <w:rFonts w:hint="eastAsia"/>
        </w:rPr>
        <w:t>毫米，是降雨量的</w:t>
      </w:r>
      <w:r>
        <w:t>16.5</w:t>
      </w:r>
      <w:r>
        <w:rPr>
          <w:rFonts w:hint="eastAsia"/>
        </w:rPr>
        <w:t>倍。年平均湿润系数</w:t>
      </w:r>
      <w:r>
        <w:t>0.094</w:t>
      </w:r>
      <w:r>
        <w:rPr>
          <w:rFonts w:hint="eastAsia"/>
        </w:rPr>
        <w:t>小于</w:t>
      </w:r>
      <w:r>
        <w:t>0.15</w:t>
      </w:r>
      <w:r>
        <w:rPr>
          <w:rFonts w:hint="eastAsia"/>
        </w:rPr>
        <w:t>，套区基本属干</w:t>
      </w:r>
      <w:r>
        <w:rPr>
          <w:rFonts w:hint="eastAsia" w:ascii="Batang" w:hAnsi="Batang" w:eastAsia="Batang" w:cs="Batang"/>
        </w:rPr>
        <w:t>부</w:t>
      </w:r>
      <w:r>
        <w:rPr>
          <w:rFonts w:hint="eastAsia" w:ascii="宋体" w:hAnsi="宋体" w:cs="宋体"/>
        </w:rPr>
        <w:t>区，沙区则属于极干旱区。冬春季节受蒙古高压控制，季风影响时间长，势力强。强劲的西南风从贺兰山和阴山之间的缺口而入，磴口县首当其冲。年平均风速为</w:t>
      </w:r>
      <w:r>
        <w:t>3</w:t>
      </w:r>
      <w:r>
        <w:rPr>
          <w:rFonts w:hint="eastAsia"/>
        </w:rPr>
        <w:t>米</w:t>
      </w:r>
      <w:r>
        <w:t>/</w:t>
      </w:r>
      <w:r>
        <w:rPr>
          <w:rFonts w:hint="eastAsia"/>
        </w:rPr>
        <w:t>秒，全年扬沙日数</w:t>
      </w:r>
      <w:r>
        <w:t>79.6</w:t>
      </w:r>
      <w:r>
        <w:rPr>
          <w:rFonts w:hint="eastAsia"/>
        </w:rPr>
        <w:t>天，沙暴日</w:t>
      </w:r>
      <w:r>
        <w:t>20</w:t>
      </w:r>
      <w:r>
        <w:rPr>
          <w:rFonts w:hint="eastAsia"/>
        </w:rPr>
        <w:t>天。愈往西部愈加尉烈。地质构造下部巨厚的松散物，提供了丰富的沙源。古老的黄河冲积平原的粘土表层日遭风力剥蚀，就形成沙漠。风沙给农业生产造成了一系列的灾害。</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1.4 社会经济</w:t>
      </w:r>
      <w:bookmarkEnd w:id="8"/>
      <w:bookmarkEnd w:id="9"/>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磴口县南临黄河，依乌兰布和沙漠，北靠阴山，独特的地理优势和气候特征使这里的自然资源十分丰富。农作物：粮食作物主要有小麦和玉米。经济作物以葵花为主，此外还有华莱士、蕃茄、南瓜、籽瓜籽、油葵、甘草、胡麻等。天然林资源：全县树种有乔木22种，灌木29种;野生植物资源：全县共有野生植物350种，被列为自治区一级珍稀濒危保护植物有梭梭、胡杨、肉苁蓉、沙冬青。被列为自治区二级珍稀濒危保护植物有甘草、文冠果。野生经济植物主要有甘草、肉苁蓉、锁阳、发菜及蒙古扁桃。野生动物：解放初期，沙区有大量的黄羊、山区石羊、盘羊，如今已为数不多。主要有天鹅、水鹤、野鸭、野鸡、野兔等，此外还有少量的狐狸、獾等。渔业资源：磴口县境内较大的湖泊有16处，面积共43290亩，主要出产鲤鱼、草鱼、鲢鱼、鲶鱼、鲫鱼等，年产量可达805吨，其中尤以黄河鲶鱼、鲤鱼最为出名。著名土特产品：华莱士、蕃茄、苹果梨、籽瓜籽、南瓜、甘草、枸杞、二狼山白山羊绒等。矿产资源：磴口县境内蕴藏着丰富的矿产资源，现已探明的伴生金银铜矿、绢英岩型白瓷石矿、红柱石矿等，20多种矿藏、储量可观、品位高、埋藏浅、宜开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磴口县的工业以化工、建材、农机和乳品加工为主。磴口县是内蒙古西部区的文物县，秦汉时期的古长城、丰火台、古墓群、鸡鹿塞、古城县城、闻名于世的阴山岩画。宗教文化景观，历史悠久的藏传佛教圣地阿贵庙;闻名中外西洋建筑风格的三盛公天主教堂;小巧别致的伊斯兰清真寺;古色古香的慈云寺。这些有形的资源中蕴含着黄河文化、大漠文化、宗教文化和历史文化，集观赏性、休闲性、知识性和科考性为一体，极具开发潜力。</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2019年巴彦淖尔市统计年鉴》,2019年全县实现地区生产总值54.90亿元，按可比价格计算，比上年增长5.8%。其中，第一产业增加值12.10亿元增长4.1%;第二产业增加值21.97亿元，增长12.4%,其中工业增加值19.97亿元，增长13.7%;第三产业增加值20.83亿元，增长2.1%。全年人均生产总值4.68万元。年末牲畜总头数达到45.97万头(只),其中：生猪存栏3.83万头，羊存栏35.79万只，大牲畜存栏6.36万头只。</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全县农田实灌面积120.83万亩，其中，水浇地118.85万亩，菜田1.98万亩;林果地灌溉面积10.48万亩，草场灌溉面积4.2万亩，鱼塘补水面积1.4万亩。</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0" w:name="_Toc26718"/>
      <w:bookmarkStart w:id="11" w:name="_Toc1122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1.5</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湖泊及涉湖工程现状</w:t>
      </w:r>
      <w:bookmarkEnd w:id="10"/>
      <w:bookmarkEnd w:id="11"/>
    </w:p>
    <w:p>
      <w:pPr>
        <w:widowControl w:val="0"/>
        <w:kinsoku/>
        <w:adjustRightInd w:val="0"/>
        <w:snapToGrid/>
        <w:spacing w:line="360" w:lineRule="auto"/>
        <w:ind w:right="80" w:rightChars="38" w:firstLine="560" w:firstLineChars="200"/>
        <w:contextualSpacing/>
        <w:jc w:val="left"/>
        <w:textAlignment w:val="auto"/>
        <w:rPr>
          <w:highlight w:val="green"/>
        </w:rPr>
      </w:pPr>
      <w:r>
        <w:rPr>
          <w:rFonts w:hint="eastAsia" w:ascii="宋体" w:hAnsi="宋体" w:eastAsia="宋体" w:cs="宋体"/>
          <w:snapToGrid/>
          <w:color w:val="auto"/>
          <w:kern w:val="0"/>
          <w:sz w:val="28"/>
          <w:szCs w:val="28"/>
          <w:highlight w:val="green"/>
          <w:lang w:val="en-US" w:eastAsia="zh-CN" w:bidi="ar-SA"/>
        </w:rPr>
        <w:t>湖泊内目前情况良好，无黑臭现象，水质清澈见底。湖区中水沉水植物甚少,藻类及其它浮游生物繁盛。</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从调查情况，湖泊周边存在部分村民直排生活污水的现象，隆盛合镇在监督、处理方面力度有限。湖泊管理范围内，没有规模养殖场及工业企业，不存在工业废水直排现象。</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bookmarkStart w:id="12" w:name="_Toc18027"/>
      <w:bookmarkStart w:id="13" w:name="_Toc4887"/>
      <w:r>
        <w:rPr>
          <w:rFonts w:hint="eastAsia" w:ascii="宋体" w:hAnsi="宋体" w:eastAsia="宋体" w:cs="宋体"/>
          <w:snapToGrid/>
          <w:color w:val="auto"/>
          <w:kern w:val="0"/>
          <w:sz w:val="28"/>
          <w:szCs w:val="28"/>
          <w:highlight w:val="green"/>
          <w:lang w:val="en-US" w:eastAsia="zh-CN" w:bidi="ar-SA"/>
        </w:rPr>
        <w:t xml:space="preserve">湖面保洁、河岸保洁均已由各村落实人员、职责明确，制度健全，但还存在 薄弱环节，一是保洁人员履职不到位的现象时有出现；二是监管执行力度不够。 </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冬青湖的总湖长由乡镇镇长陶奋山担任、沿湖各村段的湖长由各村支部书 记担任；各站、办、所负责人为湖长制办公室成员。</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1.6</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相关规划资料</w:t>
      </w:r>
      <w:bookmarkEnd w:id="12"/>
      <w:bookmarkEnd w:id="13"/>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1.《内蒙古自治区国家生态保护红线划定建议方案》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内蒙古自治区禁止开发区红线主要为国家级自然保护区核心区和缓冲区。为保障省域、市县域生态安全，建议内蒙古自治区及其所辖市县可参照《国家生态保护红线一生态功能红线划定技术指南(试行)》要求，在国家级生态功能红线基础上，补充划定地方级生态功能红线，构建区域生态安全格局。</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2.《内蒙古自治区主体功能区规划》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推进实现主体功能区主要目标的时间是2020年，规划任务是更长远的。</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3.《内蒙古自治区人民政府关于印发水污染防治工作方案的通知》,发布日期：2015-12-31,工作目标为：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到2020年，全区水环境质量得到阶段性改善，优良水体有所增加，污染严重水体较大幅度减少，饮用水安全保障水平持续提升，地下水超采得到严格控制，地下水污染趋势得到初步遏制。到2030年，力争全区水环境质量总体改善，水生态系统功能初步恢复。到本世纪中叶，生态环境质量全面改善，生态系统实现良性循环。</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到2020年，全区重点流域水质优良比例总体达到59.6%。完成国家规定的城市建成区黑臭水体治理目标，地级城市集中式饮用水水源水质达到或优于Ⅲ类比例总体高于81.0%。全区地下水质量考核点位水质级别保持稳定且极差比例控制在21.3%左右。到2030年，全区四大重点流域水质优良比例总体为75%左右，地级城市建成区黑臭水体总体得到消除，城市集中式饮用水水源水质达到或优于Ⅲ类比例总体为95%左右。</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(3)强化经济技术开发区、高新技术产业开发区、出口加工区等工业集聚区污染治理。旗县(市、区)污水处理率达到85%。地级城市建成区于2020年底前污水基本实现全收集、全处理，城镇力争实现截污纳管全覆盖。</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(4)四大重点流域干流沿岸，要严格控制煤化工、石油加工、化学原料和化学制品制造、医药制造、化学纤维制造、有色金属冶炼、纺织印染等项目环境风险，合理布局生产装置及危险化学品仓储等设施。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(5)城市规划区范围内应保留一定比例的水域面积，新建项目一律不得违规占用水域。严格水域岸线用途管制，土地开发利用应留足河道、湖泊的管理和保护范围，非法挤占的应限期退出。</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4" w:name="_Toc27970"/>
      <w:bookmarkStart w:id="15" w:name="_Toc29047"/>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1.7</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岸线利用与保护现状</w:t>
      </w:r>
      <w:bookmarkEnd w:id="14"/>
      <w:bookmarkEnd w:id="1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水域岸线定义为河湖水域水陆边界线一定范围的带状区域。其中，河湖水域是指江、河、湖泊、水库、塘坝、人工水道等在设计洪水位或历史最高洪水位下的水面范围;带状区域是指岸线向陆向水延伸占用空间所形成的带状区域。现状冬青湖沿湖既有岸线为自然形成的岸线界限，岸线保护较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yellow"/>
          <w:lang w:val="en-US" w:eastAsia="zh-CN" w:bidi="ar-SA"/>
        </w:rPr>
        <w:t>2019年3月，水利部办公厅印发了《河湖岸线保护与利用规划编制指南(试行)》,为新时期岸线规划编制工作提供了明确指引。</w:t>
      </w:r>
      <w:r>
        <w:rPr>
          <w:rFonts w:hint="eastAsia" w:ascii="宋体" w:hAnsi="宋体" w:eastAsia="宋体" w:cs="宋体"/>
          <w:snapToGrid/>
          <w:color w:val="auto"/>
          <w:kern w:val="0"/>
          <w:sz w:val="28"/>
          <w:szCs w:val="28"/>
          <w:highlight w:val="none"/>
          <w:lang w:val="en-US" w:eastAsia="zh-CN" w:bidi="ar-SA"/>
        </w:rPr>
        <w:t>2019年5月，自治区水利厅印发文件指出，岸线规划编制是加强河湖岸线空间管控的基础工作，是推动岸线有效保护和合理利用的重要措施。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冬青湖已设立湖长责任制，明确了其相应职责。冬青湖目前尚未编制岸线保护与利用规划。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目前冬青湖湖长组织体系已经初步建立，根据各级河(湖)长制文件要求，各部门负责分工基本明确。但仍需要进一步完善河湖建设项目监管、占用水域补偿、河流日常巡查制度等制度体系。</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6" w:name="_Toc23593"/>
      <w:bookmarkStart w:id="17" w:name="_Toc1886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1.8</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河长组织体系</w:t>
      </w:r>
      <w:bookmarkEnd w:id="16"/>
      <w:bookmarkEnd w:id="17"/>
    </w:p>
    <w:p>
      <w:pPr>
        <w:bidi w:val="0"/>
        <w:spacing w:line="360" w:lineRule="auto"/>
        <w:rPr>
          <w:rFonts w:hint="eastAsia" w:ascii="宋体" w:hAnsi="宋体" w:eastAsia="宋体" w:cs="宋体"/>
          <w:b/>
          <w:bCs/>
          <w:color w:val="auto"/>
          <w:sz w:val="28"/>
          <w:szCs w:val="28"/>
          <w:highlight w:val="none"/>
        </w:rPr>
      </w:pPr>
      <w:bookmarkStart w:id="18" w:name="_Toc17869"/>
      <w:r>
        <w:rPr>
          <w:rFonts w:hint="eastAsia" w:ascii="宋体" w:hAnsi="宋体" w:eastAsia="宋体" w:cs="宋体"/>
          <w:b/>
          <w:bCs/>
          <w:color w:val="auto"/>
          <w:sz w:val="28"/>
          <w:szCs w:val="28"/>
          <w:highlight w:val="none"/>
        </w:rPr>
        <w:t>1.8.1 组织形式</w:t>
      </w:r>
      <w:bookmarkEnd w:id="18"/>
    </w:p>
    <w:p>
      <w:pPr>
        <w:widowControl w:val="0"/>
        <w:kinsoku/>
        <w:adjustRightInd w:val="0"/>
        <w:snapToGrid/>
        <w:spacing w:line="360" w:lineRule="auto"/>
        <w:ind w:right="80" w:rightChars="38" w:firstLine="560" w:firstLineChars="200"/>
        <w:contextualSpacing/>
        <w:jc w:val="left"/>
        <w:textAlignment w:val="auto"/>
        <w:rPr>
          <w:rFonts w:ascii="Arial"/>
          <w:color w:val="auto"/>
          <w:sz w:val="21"/>
          <w:highlight w:val="none"/>
        </w:rPr>
      </w:pPr>
      <w:r>
        <w:rPr>
          <w:rFonts w:hint="eastAsia" w:ascii="宋体" w:hAnsi="宋体" w:eastAsia="宋体" w:cs="宋体"/>
          <w:snapToGrid/>
          <w:color w:val="auto"/>
          <w:kern w:val="0"/>
          <w:sz w:val="28"/>
          <w:szCs w:val="28"/>
          <w:highlight w:val="yellow"/>
          <w:lang w:val="en-US" w:eastAsia="zh-CN" w:bidi="ar-SA"/>
        </w:rPr>
        <w:t>磴口县设立由沙金套海苏木党委书记担任总河长。冬青湖湖长由沙金套海苏木镇级湖长担任，嘎查村级湖长由所在嘎查村的村支部书记担任。</w:t>
      </w:r>
    </w:p>
    <w:p>
      <w:pPr>
        <w:bidi w:val="0"/>
        <w:spacing w:line="360" w:lineRule="auto"/>
        <w:rPr>
          <w:rFonts w:hint="eastAsia" w:ascii="宋体" w:hAnsi="宋体" w:eastAsia="宋体" w:cs="宋体"/>
          <w:b/>
          <w:bCs/>
          <w:color w:val="auto"/>
          <w:sz w:val="28"/>
          <w:szCs w:val="28"/>
          <w:highlight w:val="none"/>
        </w:rPr>
      </w:pPr>
      <w:bookmarkStart w:id="19" w:name="_Toc26295"/>
      <w:r>
        <w:rPr>
          <w:rFonts w:hint="eastAsia" w:ascii="宋体" w:hAnsi="宋体" w:eastAsia="宋体" w:cs="宋体"/>
          <w:b/>
          <w:bCs/>
          <w:color w:val="auto"/>
          <w:sz w:val="28"/>
          <w:szCs w:val="28"/>
          <w:highlight w:val="none"/>
        </w:rPr>
        <w:t>1.8.2 河长职责</w:t>
      </w:r>
      <w:bookmarkEnd w:id="19"/>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总河长、副总河长负责领导、组织本行政区域内湖长制工作，担任推行河长制的总督导、总调度职责。各级河长是所辖河湖管理和保护的直接责任人。总河(湖)长负责牵头推进河湖突出问题整治、水污染综合防治、河湖巡查保洁、生态修复、保护管理，协调上下游、左右岸实行联防联控，协调解决实际问题，检查督导下级河长和相关部门履职情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none"/>
          <w:lang w:val="en-US" w:eastAsia="zh-CN" w:bidi="ar-SA"/>
        </w:rPr>
        <w:t>1、</w:t>
      </w:r>
      <w:r>
        <w:rPr>
          <w:rFonts w:hint="eastAsia" w:ascii="宋体" w:hAnsi="宋体" w:eastAsia="宋体" w:cs="宋体"/>
          <w:snapToGrid/>
          <w:color w:val="auto"/>
          <w:kern w:val="0"/>
          <w:sz w:val="28"/>
          <w:szCs w:val="28"/>
          <w:highlight w:val="green"/>
          <w:lang w:val="en-US" w:eastAsia="zh-CN" w:bidi="ar-SA"/>
        </w:rPr>
        <w:t>总湖长(1)对冬青湖的管理保护负总责，统筹协调湖泊与入湖河流的管理保护工作，协调解决冬青湖管理保护中的重大问题。(2)确定湖泊管理保护目标任务，组织制定县级“一湖一策”方案。(3)明确各级湖长职责，对本级相关部门和下一级湖长履职情况进行督导。</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2、副湖长(1)协助总湖长工作。(2)冬青湖管理保护负主体责任，参与确定湖泊管理保护目标任务，负责组织、督促、落实县级“一湖一策”及综合治理规划确定的各项目标任务。(3)组织领导巴彦套海农场相关部门和下级湖长开展湖泊管理保护和治理工作。</w:t>
      </w:r>
    </w:p>
    <w:p>
      <w:pPr>
        <w:widowControl w:val="0"/>
        <w:kinsoku/>
        <w:adjustRightInd w:val="0"/>
        <w:snapToGrid/>
        <w:spacing w:line="360" w:lineRule="auto"/>
        <w:ind w:right="80" w:rightChars="38" w:firstLine="560" w:firstLineChars="200"/>
        <w:contextualSpacing/>
        <w:jc w:val="left"/>
        <w:textAlignment w:val="auto"/>
        <w:rPr>
          <w:rFonts w:hint="default"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w:t>
      </w:r>
      <w:r>
        <w:rPr>
          <w:rFonts w:hint="eastAsia" w:ascii="宋体" w:hAnsi="宋体" w:eastAsia="宋体" w:cs="宋体"/>
          <w:snapToGrid/>
          <w:color w:val="auto"/>
          <w:kern w:val="0"/>
          <w:sz w:val="28"/>
          <w:szCs w:val="28"/>
          <w:highlight w:val="green"/>
          <w:lang w:val="en-US" w:eastAsia="zh-CN" w:bidi="ar-SA"/>
        </w:rPr>
        <w:t>苏木木乡镇级湖长(1)对冬青湖的</w:t>
      </w:r>
      <w:r>
        <w:rPr>
          <w:rFonts w:hint="eastAsia" w:ascii="宋体" w:hAnsi="宋体" w:eastAsia="宋体" w:cs="宋体"/>
          <w:snapToGrid/>
          <w:color w:val="auto"/>
          <w:kern w:val="0"/>
          <w:sz w:val="28"/>
          <w:szCs w:val="28"/>
          <w:highlight w:val="none"/>
          <w:lang w:val="en-US" w:eastAsia="zh-CN" w:bidi="ar-SA"/>
        </w:rPr>
        <w:t>管理保护负直接责任，并组织实施管理保护工作。(2)确定本级管理保护目标任务，依据县级“一湖一策”方案组织制定乡镇苏木级“一湖一策”方案。(3)依法组织整治围垦湖泊、侵占水域、超标排污、违法养殖、非法采砂等突出问题。(4)对本级相关部门和下一级湖长履职情况进行督导。</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w:t>
      </w:r>
      <w:r>
        <w:rPr>
          <w:rFonts w:hint="eastAsia" w:ascii="宋体" w:hAnsi="宋体" w:eastAsia="宋体" w:cs="宋体"/>
          <w:snapToGrid/>
          <w:color w:val="auto"/>
          <w:kern w:val="0"/>
          <w:sz w:val="28"/>
          <w:szCs w:val="28"/>
          <w:highlight w:val="green"/>
          <w:lang w:val="en-US" w:eastAsia="zh-CN" w:bidi="ar-SA"/>
        </w:rPr>
        <w:t>嘎查村级湖长具体落实本辖区内的冬青湖</w:t>
      </w:r>
      <w:r>
        <w:rPr>
          <w:rFonts w:hint="eastAsia" w:ascii="宋体" w:hAnsi="宋体" w:eastAsia="宋体" w:cs="宋体"/>
          <w:snapToGrid/>
          <w:color w:val="auto"/>
          <w:kern w:val="0"/>
          <w:sz w:val="28"/>
          <w:szCs w:val="28"/>
          <w:highlight w:val="none"/>
          <w:lang w:val="en-US" w:eastAsia="zh-CN" w:bidi="ar-SA"/>
        </w:rPr>
        <w:t>管理保护任务，开展管理保护宣传教育，进行日常巡湖、落实日常保洁等管理保护工作，劝阻相关违法行为，并及时向上级反映巡湖中发现的重大问题。</w:t>
      </w:r>
    </w:p>
    <w:p>
      <w:pPr>
        <w:bidi w:val="0"/>
        <w:spacing w:line="360" w:lineRule="auto"/>
        <w:rPr>
          <w:rFonts w:hint="eastAsia" w:ascii="宋体" w:hAnsi="宋体" w:eastAsia="宋体" w:cs="宋体"/>
          <w:b/>
          <w:bCs/>
          <w:color w:val="auto"/>
          <w:sz w:val="28"/>
          <w:szCs w:val="28"/>
          <w:highlight w:val="none"/>
        </w:rPr>
      </w:pPr>
      <w:bookmarkStart w:id="20" w:name="_Toc10201"/>
      <w:r>
        <w:rPr>
          <w:rFonts w:hint="eastAsia" w:ascii="宋体" w:hAnsi="宋体" w:eastAsia="宋体" w:cs="宋体"/>
          <w:b/>
          <w:bCs/>
          <w:color w:val="auto"/>
          <w:sz w:val="28"/>
          <w:szCs w:val="28"/>
          <w:highlight w:val="none"/>
        </w:rPr>
        <w:t>1.8.3 河长办公室</w:t>
      </w:r>
      <w:bookmarkEnd w:id="20"/>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县级河长设置相应的河长制办公室，承担河长制组织实施具体工作，落实河长确定的事项，主要职责为组织协调、调度督导、检查考核。</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河(湖)长制办公室设在水利局，办公室主任由水利局局长担任。县各有关部门为推行河长制的责任单位，确定一名副科级干部作为河长制办公室组成人员。</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sectPr>
          <w:headerReference r:id="rId8" w:type="default"/>
          <w:footerReference r:id="rId9" w:type="default"/>
          <w:pgSz w:w="12080" w:h="16970"/>
          <w:pgMar w:top="1442" w:right="1705" w:bottom="2068" w:left="1812" w:header="1020" w:footer="1587" w:gutter="0"/>
          <w:pgNumType w:fmt="decimal" w:start="1"/>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21" w:name="_Toc1030"/>
      <w:bookmarkStart w:id="22" w:name="_Toc3522"/>
      <w:r>
        <w:rPr>
          <w:rFonts w:hint="eastAsia" w:ascii="宋体" w:hAnsi="宋体" w:eastAsia="宋体" w:cs="宋体"/>
          <w:color w:val="auto"/>
          <w:sz w:val="32"/>
          <w:szCs w:val="32"/>
          <w:highlight w:val="none"/>
          <w:lang w:val="en-US" w:eastAsia="zh-CN"/>
        </w:rPr>
        <w:t>2 岸线保护和利用形势分析</w:t>
      </w:r>
      <w:bookmarkEnd w:id="21"/>
      <w:bookmarkEnd w:id="22"/>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23" w:name="_Toc4676"/>
      <w:bookmarkStart w:id="24" w:name="_Toc24909"/>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2.1 岸线利用现状评价</w:t>
      </w:r>
      <w:bookmarkEnd w:id="23"/>
      <w:bookmarkEnd w:id="24"/>
    </w:p>
    <w:p>
      <w:pPr>
        <w:bidi w:val="0"/>
        <w:spacing w:line="360" w:lineRule="auto"/>
        <w:rPr>
          <w:rFonts w:hint="eastAsia" w:ascii="宋体" w:hAnsi="宋体" w:eastAsia="宋体" w:cs="宋体"/>
          <w:b/>
          <w:bCs/>
          <w:color w:val="auto"/>
          <w:sz w:val="28"/>
          <w:szCs w:val="28"/>
          <w:highlight w:val="none"/>
        </w:rPr>
      </w:pPr>
      <w:bookmarkStart w:id="25" w:name="_Toc4942"/>
      <w:r>
        <w:rPr>
          <w:rFonts w:hint="eastAsia" w:ascii="宋体" w:hAnsi="宋体" w:eastAsia="宋体" w:cs="宋体"/>
          <w:b/>
          <w:bCs/>
          <w:color w:val="auto"/>
          <w:sz w:val="28"/>
          <w:szCs w:val="28"/>
          <w:highlight w:val="none"/>
        </w:rPr>
        <w:t>2.1.1 岸线评价的一般原则</w:t>
      </w:r>
      <w:bookmarkEnd w:id="2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(1)综合分析与主导因素相结合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因为岸线的各种自然、人文因子对岸线利用潜力所起的作用是不平衡的，不同利用方式对岸线的质量要求也不同，所以，在岸线评价时，必须找出几个起主导作用的支配因子，这些因子对各种利用方式来说具备一定的共通性特征。在综合分析的基础上，利用主导因子进行岸线的质量的分等、分级，指出对各种利用方式的适宜、不适宜，确定开发顺序等。</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(2)自然属性和社会属性相结合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自然属性是决定其质量的基础。在进行岸线评价时应以岸线的自然属性为主，首先考虑的是相对重要的自然因子，如水深、岸线稳定性等。自然因子是岸线质量评价的主要因子。另一方面，岸线的适宜性、限制性及其质量高低同时也受人类对岸线所作的工程技术设施的影响，人们对岸线适宜性、限制性及其质量高低的认识受评价时技术水平的影响，所以岸线评价还要考虑岸线所处的社会经济背景，如岸线利用现状，岸线利用的社会经济背景和人为因素对岸线自然属性的影响，岸线陆域腹地的经济发展水平等。社会经济因子影响了岸线开发条件的好坏。</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(3)可持续发展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岸线资源评价过程中，经济效益的高低是衡量岸线质量的主要依据，但根据岸线资源的特点，开发利用与治理保护同等重要，如果不重视这对矛盾，处理不好二者之间的关系，就不能达到岸线资源的持续利用。岸线资源的特征决定了岸线的评价要考虑经济和生态以及社会三方面的效益。所以生态效益和社会效益是岸线评价工作中都要考虑的目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(4)定性与定量相结合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定量化有助于增加评价结果的科学性和可信度，促进评价指标与标准的统一化，但由于岸线资源是一个复杂的资源系统，其开发利用受多种因素的综合影响。因此，岸线评价要以定量评价为基础，兼之以定性的修正，这样才能使评价结果更符合实际。</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(5)以应用为主</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方案一定要面向生产实际、从生产实际出发，着眼于挖掘潜力，达到合理而充分利用岸线资源的目的。参评因子的选择和指标的确定都必须符合当地生产实际，即根据规定用途对自然条件的要求而定。最终的结果要经过生产实践的检验，评价结果要符合科学性，有利于有关部门掌握和应用。</w:t>
      </w:r>
    </w:p>
    <w:p>
      <w:pPr>
        <w:bidi w:val="0"/>
        <w:spacing w:line="360" w:lineRule="auto"/>
        <w:rPr>
          <w:rFonts w:hint="eastAsia" w:ascii="宋体" w:hAnsi="宋体" w:eastAsia="宋体" w:cs="宋体"/>
          <w:b/>
          <w:bCs/>
          <w:color w:val="auto"/>
          <w:sz w:val="28"/>
          <w:szCs w:val="28"/>
          <w:highlight w:val="none"/>
        </w:rPr>
      </w:pPr>
      <w:bookmarkStart w:id="26" w:name="_Toc528"/>
      <w:r>
        <w:rPr>
          <w:rFonts w:hint="eastAsia" w:ascii="宋体" w:hAnsi="宋体" w:eastAsia="宋体" w:cs="宋体"/>
          <w:b/>
          <w:bCs/>
          <w:color w:val="auto"/>
          <w:sz w:val="28"/>
          <w:szCs w:val="28"/>
          <w:highlight w:val="none"/>
        </w:rPr>
        <w:t>2.1.2 岸线评价的一般程序</w:t>
      </w:r>
      <w:bookmarkEnd w:id="2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(1)指标选取与方法确定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评价的首要工作是选取评价指标，即参评因子。指标要尽可能全面而符合客观实际，最主要的是要有代表性，能比较真实地反映岸线的自然和社会经济属性。指标体系要根据评价目的不同而建立。质量评价应以重要的自然因子为主，适宜性评价还要综合分析岸线的社会特征。由于各种因素对岸线属性的影响程度有差异，不同利用方式对岸线的质量要求有差异，所以岸线的评价不能拘泥于固定的指标模式，一方面要综合分析各种因素的影响，另一方面也针对专门的利用方式选择主导因素设立相对比较灵活的指标体系。</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评价方法主要包括：评价单元的划分方法、指标的评价方法和评价结果的获取方法。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单元是岸线评价的最小地域单元，其划分要反映岸线的主要自然属性。划分方法可采用目测法或定量分析法。目测法是通过观察评价底图上岸线自然属性的变化，参照一定的自然、人文标志物，将待评价岸线划分为若干单元。定量分析法是选取反映岸线自然属性的重要因子并将其做定量化处理，通过分析这些因子在待评岸线上的变化，划分评价单元。这种方法一般要先将岸线划分为等长的初始评价岸段，然后计算各岸段评价因子的值，最后运用计量方法将初始岸段合并成需要的评价单元。</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指标的评价是将指标划分成若干等级，等级的多少可视指标的特征而定，也可根据评价的要求或需要而定。等级划分尽量采用定量指标，对有些无法或目前还难以定量化的指标，也可采用定向描述来划分等级。等级的表示可采用文字如A、B、C……等形式，也可采用顺序或逆序的等差数列如1、2、3……,9、7、5……等形式。</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结果的获取方法较多，通常采用的方法有限制因素法、经营权重法和统计分析法等。限制因素法是选取参评因子中限制因子的等级分值作为评价岸段的分值。经验权重法是根据参评因子的重要性，赋予其一定的权重系数，通过建立评价结果与因子之间的回归方程，求得评价岸段的分值。统计分析法是通过对评价单元各因子的得分矩阵进行主成分分析或聚类分析，来划分评价结果。</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(2)评价的一般程序</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岸线评价涉及多学科、多领域，是一项综合性较强的工作，其评价过程一般分为准备、野外调查、具体评价和提交成果阶段，详见图2.1-1。</w:t>
      </w:r>
    </w:p>
    <w:p>
      <w:pPr>
        <w:spacing w:line="419" w:lineRule="auto"/>
        <w:rPr>
          <w:rFonts w:ascii="Arial"/>
          <w:color w:val="auto"/>
          <w:sz w:val="21"/>
          <w:highlight w:val="none"/>
        </w:rPr>
      </w:pPr>
      <w:r>
        <w:rPr>
          <w:color w:val="auto"/>
          <w:sz w:val="21"/>
          <w:highlight w:val="none"/>
        </w:rPr>
        <mc:AlternateContent>
          <mc:Choice Requires="wps">
            <w:drawing>
              <wp:anchor distT="0" distB="0" distL="114300" distR="114300" simplePos="0" relativeHeight="251668480" behindDoc="0" locked="0" layoutInCell="1" allowOverlap="1">
                <wp:simplePos x="0" y="0"/>
                <wp:positionH relativeFrom="column">
                  <wp:posOffset>4257040</wp:posOffset>
                </wp:positionH>
                <wp:positionV relativeFrom="paragraph">
                  <wp:posOffset>116840</wp:posOffset>
                </wp:positionV>
                <wp:extent cx="311785" cy="1029335"/>
                <wp:effectExtent l="0" t="0" r="12065" b="18415"/>
                <wp:wrapNone/>
                <wp:docPr id="30" name="文本框 30"/>
                <wp:cNvGraphicFramePr/>
                <a:graphic xmlns:a="http://schemas.openxmlformats.org/drawingml/2006/main">
                  <a:graphicData uri="http://schemas.microsoft.com/office/word/2010/wordprocessingShape">
                    <wps:wsp>
                      <wps:cNvSpPr txBox="1"/>
                      <wps:spPr>
                        <a:xfrm>
                          <a:off x="0" y="0"/>
                          <a:ext cx="311785" cy="1029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eastAsia="zh-CN"/>
                              </w:rPr>
                            </w:pPr>
                            <w:r>
                              <w:rPr>
                                <w:rFonts w:hint="eastAsia" w:eastAsia="宋体"/>
                                <w:sz w:val="18"/>
                                <w:szCs w:val="18"/>
                                <w:lang w:eastAsia="zh-CN"/>
                              </w:rPr>
                              <w:t>提</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交</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成</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2pt;margin-top:9.2pt;height:81.05pt;width:24.55pt;z-index:251668480;mso-width-relative:page;mso-height-relative:page;" fillcolor="#FFFFFF [3201]" filled="t" stroked="f" coordsize="21600,21600" o:gfxdata="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6kvfsNUAAAAKAQAADwAA&#10;AAAAAAABACAAAAAiAAAAZHJzL2Rvd25yZXYueG1sUEsBAhQAFAAAAAgAh07iQG1lRmNSAgAAkQQA&#10;AA4AAAAAAAAAAQAgAAAAJAEAAGRycy9lMm9Eb2MueG1sUEsFBgAAAAAGAAYAWQEAAOgFAAAAAA==&#10;">
                <v:fill on="t" focussize="0,0"/>
                <v:stroke on="f" weight="0.5pt"/>
                <v:imagedata o:title=""/>
                <o:lock v:ext="edit" aspectratio="f"/>
                <v:textbox>
                  <w:txbxContent>
                    <w:p>
                      <w:pPr>
                        <w:rPr>
                          <w:rFonts w:hint="eastAsia" w:eastAsia="宋体"/>
                          <w:sz w:val="18"/>
                          <w:szCs w:val="18"/>
                          <w:lang w:eastAsia="zh-CN"/>
                        </w:rPr>
                      </w:pPr>
                      <w:r>
                        <w:rPr>
                          <w:rFonts w:hint="eastAsia" w:eastAsia="宋体"/>
                          <w:sz w:val="18"/>
                          <w:szCs w:val="18"/>
                          <w:lang w:eastAsia="zh-CN"/>
                        </w:rPr>
                        <w:t>提</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交</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成</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果</w:t>
                      </w:r>
                    </w:p>
                  </w:txbxContent>
                </v:textbox>
              </v:shape>
            </w:pict>
          </mc:Fallback>
        </mc:AlternateContent>
      </w:r>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4224020</wp:posOffset>
                </wp:positionH>
                <wp:positionV relativeFrom="paragraph">
                  <wp:posOffset>59055</wp:posOffset>
                </wp:positionV>
                <wp:extent cx="1035050" cy="1161415"/>
                <wp:effectExtent l="12700" t="12700" r="19050" b="26035"/>
                <wp:wrapNone/>
                <wp:docPr id="29" name="文本框 26"/>
                <wp:cNvGraphicFramePr/>
                <a:graphic xmlns:a="http://schemas.openxmlformats.org/drawingml/2006/main">
                  <a:graphicData uri="http://schemas.microsoft.com/office/word/2010/wordprocessingShape">
                    <wps:wsp>
                      <wps:cNvSpPr txBox="1"/>
                      <wps:spPr>
                        <a:xfrm>
                          <a:off x="0" y="0"/>
                          <a:ext cx="1035050" cy="1161415"/>
                        </a:xfrm>
                        <a:prstGeom prst="rect">
                          <a:avLst/>
                        </a:prstGeom>
                      </wps:spPr>
                      <wps:style>
                        <a:lnRef idx="2">
                          <a:schemeClr val="accent6"/>
                        </a:lnRef>
                        <a:fillRef idx="1">
                          <a:schemeClr val="lt1"/>
                        </a:fillRef>
                        <a:effectRef idx="0">
                          <a:schemeClr val="accent6"/>
                        </a:effectRef>
                        <a:fontRef idx="minor">
                          <a:schemeClr val="dk1"/>
                        </a:fontRef>
                      </wps:style>
                      <wps:txbx>
                        <w:txbxContent>
                          <w:p>
                            <w:pPr>
                              <w:spacing w:before="19" w:line="218" w:lineRule="auto"/>
                              <w:rPr>
                                <w:rFonts w:hint="default" w:ascii="Times New Roman" w:hAnsi="Times New Roman" w:eastAsia="宋体" w:cs="Times New Roman"/>
                                <w:spacing w:val="8"/>
                                <w:sz w:val="18"/>
                                <w:szCs w:val="18"/>
                              </w:rPr>
                            </w:pP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岸线长度</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质量分级</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适宜特征</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图件成果</w:t>
                            </w:r>
                          </w:p>
                          <w:p>
                            <w:pPr>
                              <w:spacing w:before="19" w:line="218" w:lineRule="auto"/>
                              <w:ind w:firstLine="588" w:firstLineChars="300"/>
                              <w:rPr>
                                <w:rFonts w:hint="eastAsia" w:ascii="宋体" w:hAnsi="宋体" w:eastAsia="宋体" w:cs="宋体"/>
                                <w:spacing w:val="8"/>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问题分析</w:t>
                            </w:r>
                          </w:p>
                          <w:p>
                            <w:pPr>
                              <w:pStyle w:val="2"/>
                              <w:ind w:left="0" w:leftChars="0" w:firstLine="588" w:firstLineChars="300"/>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对策建议</w:t>
                            </w:r>
                          </w:p>
                        </w:txbxContent>
                      </wps:txbx>
                      <wps:bodyPr lIns="0" tIns="0" rIns="0" bIns="0" upright="1"/>
                    </wps:wsp>
                  </a:graphicData>
                </a:graphic>
              </wp:anchor>
            </w:drawing>
          </mc:Choice>
          <mc:Fallback>
            <w:pict>
              <v:shape id="文本框 26" o:spid="_x0000_s1026" o:spt="202" type="#_x0000_t202" style="position:absolute;left:0pt;margin-left:332.6pt;margin-top:4.65pt;height:91.45pt;width:81.5pt;z-index:251667456;mso-width-relative:page;mso-height-relative:page;" fillcolor="#FFFFFF [3201]" filled="t" stroked="t" coordsize="21600,21600" o:gfxdata="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a0rtYAAAAJAQAADwAAAAAAAAABACAAAAAiAAAAZHJzL2Rvd25y&#10;ZXYueG1sUEsBAhQAFAAAAAgAh07iQMwKO5AAAgAACwQAAA4AAAAAAAAAAQAgAAAAJQEAAGRycy9l&#10;Mm9Eb2MueG1sUEsFBgAAAAAGAAYAWQEAAJcFAAAAAA==&#10;">
                <v:fill on="t" focussize="0,0"/>
                <v:stroke weight="2pt" color="#F79646 [3209]" joinstyle="round"/>
                <v:imagedata o:title=""/>
                <o:lock v:ext="edit" aspectratio="f"/>
                <v:textbox inset="0mm,0mm,0mm,0mm">
                  <w:txbxContent>
                    <w:p>
                      <w:pPr>
                        <w:spacing w:before="19" w:line="218" w:lineRule="auto"/>
                        <w:rPr>
                          <w:rFonts w:hint="default" w:ascii="Times New Roman" w:hAnsi="Times New Roman" w:eastAsia="宋体" w:cs="Times New Roman"/>
                          <w:spacing w:val="8"/>
                          <w:sz w:val="18"/>
                          <w:szCs w:val="18"/>
                        </w:rPr>
                      </w:pP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岸线长度</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质量分级</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适宜特征</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图件成果</w:t>
                      </w:r>
                    </w:p>
                    <w:p>
                      <w:pPr>
                        <w:spacing w:before="19" w:line="218" w:lineRule="auto"/>
                        <w:ind w:firstLine="588" w:firstLineChars="300"/>
                        <w:rPr>
                          <w:rFonts w:hint="eastAsia" w:ascii="宋体" w:hAnsi="宋体" w:eastAsia="宋体" w:cs="宋体"/>
                          <w:spacing w:val="8"/>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问题分析</w:t>
                      </w:r>
                    </w:p>
                    <w:p>
                      <w:pPr>
                        <w:pStyle w:val="2"/>
                        <w:ind w:left="0" w:leftChars="0" w:firstLine="588" w:firstLineChars="300"/>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对策建议</w:t>
                      </w:r>
                    </w:p>
                  </w:txbxContent>
                </v:textbox>
              </v:shape>
            </w:pict>
          </mc:Fallback>
        </mc:AlternateContent>
      </w:r>
      <w:r>
        <w:rPr>
          <w:color w:val="auto"/>
          <w:sz w:val="21"/>
          <w:highlight w:val="none"/>
        </w:rPr>
        <mc:AlternateContent>
          <mc:Choice Requires="wps">
            <w:drawing>
              <wp:anchor distT="0" distB="0" distL="114300" distR="114300" simplePos="0" relativeHeight="251666432" behindDoc="0" locked="0" layoutInCell="1" allowOverlap="1">
                <wp:simplePos x="0" y="0"/>
                <wp:positionH relativeFrom="column">
                  <wp:posOffset>2857500</wp:posOffset>
                </wp:positionH>
                <wp:positionV relativeFrom="paragraph">
                  <wp:posOffset>102870</wp:posOffset>
                </wp:positionV>
                <wp:extent cx="311785" cy="1029335"/>
                <wp:effectExtent l="0" t="0" r="12065" b="18415"/>
                <wp:wrapNone/>
                <wp:docPr id="28" name="文本框 28"/>
                <wp:cNvGraphicFramePr/>
                <a:graphic xmlns:a="http://schemas.openxmlformats.org/drawingml/2006/main">
                  <a:graphicData uri="http://schemas.microsoft.com/office/word/2010/wordprocessingShape">
                    <wps:wsp>
                      <wps:cNvSpPr txBox="1"/>
                      <wps:spPr>
                        <a:xfrm>
                          <a:off x="0" y="0"/>
                          <a:ext cx="311785" cy="1029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eastAsia="zh-CN"/>
                              </w:rPr>
                            </w:pPr>
                            <w:r>
                              <w:rPr>
                                <w:rFonts w:hint="eastAsia" w:eastAsia="宋体"/>
                                <w:sz w:val="18"/>
                                <w:szCs w:val="18"/>
                                <w:lang w:eastAsia="zh-CN"/>
                              </w:rPr>
                              <w:t>具</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体</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评</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pt;margin-top:8.1pt;height:81.05pt;width:24.55pt;z-index:251666432;mso-width-relative:page;mso-height-relative:page;" fillcolor="#FFFFFF [3201]" filled="t" stroked="f" coordsize="21600,21600" o:gfxdata="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oqbQPWAAAACgEAAA8A&#10;AAAAAAAAAQAgAAAAIgAAAGRycy9kb3ducmV2LnhtbFBLAQIUABQAAAAIAIdO4kC9H1d9UgIAAJEE&#10;AAAOAAAAAAAAAAEAIAAAACUBAABkcnMvZTJvRG9jLnhtbFBLBQYAAAAABgAGAFkBAADpBQAAAAA=&#10;">
                <v:fill on="t" focussize="0,0"/>
                <v:stroke on="f" weight="0.5pt"/>
                <v:imagedata o:title=""/>
                <o:lock v:ext="edit" aspectratio="f"/>
                <v:textbox>
                  <w:txbxContent>
                    <w:p>
                      <w:pPr>
                        <w:rPr>
                          <w:rFonts w:hint="eastAsia" w:eastAsia="宋体"/>
                          <w:sz w:val="18"/>
                          <w:szCs w:val="18"/>
                          <w:lang w:eastAsia="zh-CN"/>
                        </w:rPr>
                      </w:pPr>
                      <w:r>
                        <w:rPr>
                          <w:rFonts w:hint="eastAsia" w:eastAsia="宋体"/>
                          <w:sz w:val="18"/>
                          <w:szCs w:val="18"/>
                          <w:lang w:eastAsia="zh-CN"/>
                        </w:rPr>
                        <w:t>具</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体</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评</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价</w:t>
                      </w:r>
                    </w:p>
                  </w:txbxContent>
                </v:textbox>
              </v:shape>
            </w:pict>
          </mc:Fallback>
        </mc:AlternateContent>
      </w:r>
      <w:r>
        <w:rPr>
          <w:color w:val="auto"/>
          <w:sz w:val="21"/>
          <w:highlight w:val="none"/>
        </w:rPr>
        <mc:AlternateContent>
          <mc:Choice Requires="wps">
            <w:drawing>
              <wp:anchor distT="0" distB="0" distL="114300" distR="114300" simplePos="0" relativeHeight="251661312" behindDoc="0" locked="0" layoutInCell="1" allowOverlap="1">
                <wp:simplePos x="0" y="0"/>
                <wp:positionH relativeFrom="column">
                  <wp:posOffset>1085215</wp:posOffset>
                </wp:positionH>
                <wp:positionV relativeFrom="paragraph">
                  <wp:posOffset>427990</wp:posOffset>
                </wp:positionV>
                <wp:extent cx="286385" cy="424815"/>
                <wp:effectExtent l="12700" t="12700" r="24765" b="19685"/>
                <wp:wrapNone/>
                <wp:docPr id="21" name="右箭头 21"/>
                <wp:cNvGraphicFramePr/>
                <a:graphic xmlns:a="http://schemas.openxmlformats.org/drawingml/2006/main">
                  <a:graphicData uri="http://schemas.microsoft.com/office/word/2010/wordprocessingShape">
                    <wps:wsp>
                      <wps:cNvSpPr/>
                      <wps:spPr>
                        <a:xfrm>
                          <a:off x="2727325" y="4147820"/>
                          <a:ext cx="286385" cy="42481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85.45pt;margin-top:33.7pt;height:33.45pt;width:22.55pt;z-index:251661312;v-text-anchor:middle;mso-width-relative:page;mso-height-relative:page;" fillcolor="#FFFFFF [3201]" filled="t" stroked="t" coordsize="21600,21600" o:gfxdata="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yO7b+1gAAAAoBAAAPAAAAAAAAAAEAIAAAACIA&#10;AABkcnMvZG93bnJldi54bWxQSwECFAAUAAAACACHTuJA9LqLrX0CAAD+BAAADgAAAAAAAAABACAA&#10;AAAlAQAAZHJzL2Uyb0RvYy54bWxQSwUGAAAAAAYABgBZAQAAFAYAAAAA&#10;" adj="10800,5400">
                <v:fill on="t" focussize="0,0"/>
                <v:stroke weight="2pt" color="#000000 [3213]" joinstyle="round"/>
                <v:imagedata o:title=""/>
                <o:lock v:ext="edit" aspectratio="f"/>
                <v:textbox>
                  <w:txbxContent>
                    <w:p>
                      <w:pPr>
                        <w:jc w:val="center"/>
                      </w:pPr>
                    </w:p>
                  </w:txbxContent>
                </v:textbox>
              </v:shape>
            </w:pict>
          </mc:Fallback>
        </mc:AlternateContent>
      </w:r>
      <w:r>
        <w:rPr>
          <w:color w:val="auto"/>
          <w:sz w:val="21"/>
          <w:highlight w:val="none"/>
        </w:rPr>
        <mc:AlternateContent>
          <mc:Choice Requires="wps">
            <w:drawing>
              <wp:anchor distT="0" distB="0" distL="114300" distR="114300" simplePos="0" relativeHeight="251663360" behindDoc="0" locked="0" layoutInCell="1" allowOverlap="1">
                <wp:simplePos x="0" y="0"/>
                <wp:positionH relativeFrom="column">
                  <wp:posOffset>2433320</wp:posOffset>
                </wp:positionH>
                <wp:positionV relativeFrom="paragraph">
                  <wp:posOffset>450215</wp:posOffset>
                </wp:positionV>
                <wp:extent cx="330200" cy="434975"/>
                <wp:effectExtent l="12700" t="12700" r="19050" b="28575"/>
                <wp:wrapNone/>
                <wp:docPr id="23" name="右箭头 23"/>
                <wp:cNvGraphicFramePr/>
                <a:graphic xmlns:a="http://schemas.openxmlformats.org/drawingml/2006/main">
                  <a:graphicData uri="http://schemas.microsoft.com/office/word/2010/wordprocessingShape">
                    <wps:wsp>
                      <wps:cNvSpPr/>
                      <wps:spPr>
                        <a:xfrm>
                          <a:off x="0" y="0"/>
                          <a:ext cx="330200" cy="43497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91.6pt;margin-top:35.45pt;height:34.25pt;width:26pt;z-index:251663360;v-text-anchor:middle;mso-width-relative:page;mso-height-relative:page;" fillcolor="#FFFFFF [3201]" filled="t" stroked="t" coordsize="21600,21600" o:gfxdata="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Cy33DYAAAACgEAAA8AAAAAAAAAAQAgAAAAIgAAAGRycy9kb3du&#10;cmV2LnhtbFBLAQIUABQAAAAIAIdO4kBu+5RmcQIAAPIEAAAOAAAAAAAAAAEAIAAAACcBAABkcnMv&#10;ZTJvRG9jLnhtbFBLBQYAAAAABgAGAFkBAAAKBgAAAAA=&#10;" adj="10800,5400">
                <v:fill on="t" focussize="0,0"/>
                <v:stroke weight="2pt" color="#000000 [3213]" joinstyle="round"/>
                <v:imagedata o:title=""/>
                <o:lock v:ext="edit" aspectratio="f"/>
                <v:textbox>
                  <w:txbxContent>
                    <w:p>
                      <w:pPr>
                        <w:jc w:val="center"/>
                      </w:pPr>
                    </w:p>
                  </w:txbxContent>
                </v:textbox>
              </v:shape>
            </w:pict>
          </mc:Fallback>
        </mc:AlternateContent>
      </w:r>
      <w:r>
        <w:rPr>
          <w:color w:val="auto"/>
          <w:sz w:val="21"/>
          <w:highlight w:val="none"/>
        </w:rPr>
        <mc:AlternateContent>
          <mc:Choice Requires="wps">
            <w:drawing>
              <wp:anchor distT="0" distB="0" distL="114300" distR="114300" simplePos="0" relativeHeight="251665408" behindDoc="0" locked="0" layoutInCell="1" allowOverlap="1">
                <wp:simplePos x="0" y="0"/>
                <wp:positionH relativeFrom="column">
                  <wp:posOffset>3850005</wp:posOffset>
                </wp:positionH>
                <wp:positionV relativeFrom="paragraph">
                  <wp:posOffset>464185</wp:posOffset>
                </wp:positionV>
                <wp:extent cx="330200" cy="434975"/>
                <wp:effectExtent l="12700" t="12700" r="19050" b="28575"/>
                <wp:wrapNone/>
                <wp:docPr id="27" name="右箭头 27"/>
                <wp:cNvGraphicFramePr/>
                <a:graphic xmlns:a="http://schemas.openxmlformats.org/drawingml/2006/main">
                  <a:graphicData uri="http://schemas.microsoft.com/office/word/2010/wordprocessingShape">
                    <wps:wsp>
                      <wps:cNvSpPr/>
                      <wps:spPr>
                        <a:xfrm>
                          <a:off x="0" y="0"/>
                          <a:ext cx="330200" cy="43497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03.15pt;margin-top:36.55pt;height:34.25pt;width:26pt;z-index:251665408;v-text-anchor:middle;mso-width-relative:page;mso-height-relative:page;" fillcolor="#FFFFFF [3201]" filled="t" stroked="t" coordsize="21600,21600" o:gfxdata="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6CwKDXAAAACgEAAA8AAAAAAAAAAQAgAAAAIgAAAGRycy9kb3du&#10;cmV2LnhtbFBLAQIUABQAAAAIAIdO4kDoViErcgIAAPIEAAAOAAAAAAAAAAEAIAAAACYBAABkcnMv&#10;ZTJvRG9jLnhtbFBLBQYAAAAABgAGAFkBAAAKBgAAAAA=&#10;" adj="10800,5400">
                <v:fill on="t" focussize="0,0"/>
                <v:stroke weight="2pt" color="#000000 [3213]" joinstyle="round"/>
                <v:imagedata o:title=""/>
                <o:lock v:ext="edit" aspectratio="f"/>
                <v:textbox>
                  <w:txbxContent>
                    <w:p>
                      <w:pPr>
                        <w:jc w:val="center"/>
                      </w:pPr>
                    </w:p>
                  </w:txbxContent>
                </v:textbox>
              </v:shape>
            </w:pict>
          </mc:Fallback>
        </mc:AlternateContent>
      </w: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2790190</wp:posOffset>
                </wp:positionH>
                <wp:positionV relativeFrom="paragraph">
                  <wp:posOffset>53975</wp:posOffset>
                </wp:positionV>
                <wp:extent cx="1035050" cy="1161415"/>
                <wp:effectExtent l="12700" t="12700" r="19050" b="26035"/>
                <wp:wrapNone/>
                <wp:docPr id="25" name="文本框 26"/>
                <wp:cNvGraphicFramePr/>
                <a:graphic xmlns:a="http://schemas.openxmlformats.org/drawingml/2006/main">
                  <a:graphicData uri="http://schemas.microsoft.com/office/word/2010/wordprocessingShape">
                    <wps:wsp>
                      <wps:cNvSpPr txBox="1"/>
                      <wps:spPr>
                        <a:xfrm>
                          <a:off x="0" y="0"/>
                          <a:ext cx="1035050" cy="1161415"/>
                        </a:xfrm>
                        <a:prstGeom prst="rect">
                          <a:avLst/>
                        </a:prstGeom>
                      </wps:spPr>
                      <wps:style>
                        <a:lnRef idx="2">
                          <a:schemeClr val="accent6"/>
                        </a:lnRef>
                        <a:fillRef idx="1">
                          <a:schemeClr val="lt1"/>
                        </a:fillRef>
                        <a:effectRef idx="0">
                          <a:schemeClr val="accent6"/>
                        </a:effectRef>
                        <a:fontRef idx="minor">
                          <a:schemeClr val="dk1"/>
                        </a:fontRef>
                      </wps:style>
                      <wps:txbx>
                        <w:txbxContent>
                          <w:p>
                            <w:pPr>
                              <w:pStyle w:val="2"/>
                              <w:ind w:left="0" w:leftChars="0" w:firstLine="0" w:firstLineChars="0"/>
                              <w:rPr>
                                <w:rFonts w:hint="default"/>
                              </w:rPr>
                            </w:pP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指标体系</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单元划分</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方法研究</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指标评价</w:t>
                            </w:r>
                          </w:p>
                          <w:p>
                            <w:pPr>
                              <w:spacing w:before="19" w:line="218" w:lineRule="auto"/>
                              <w:ind w:firstLine="588" w:firstLineChars="300"/>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结果汇总</w:t>
                            </w:r>
                          </w:p>
                        </w:txbxContent>
                      </wps:txbx>
                      <wps:bodyPr lIns="0" tIns="0" rIns="0" bIns="0" upright="1"/>
                    </wps:wsp>
                  </a:graphicData>
                </a:graphic>
              </wp:anchor>
            </w:drawing>
          </mc:Choice>
          <mc:Fallback>
            <w:pict>
              <v:shape id="文本框 26" o:spid="_x0000_s1026" o:spt="202" type="#_x0000_t202" style="position:absolute;left:0pt;margin-left:219.7pt;margin-top:4.25pt;height:91.45pt;width:81.5pt;z-index:251664384;mso-width-relative:page;mso-height-relative:page;" fillcolor="#FFFFFF [3201]" filled="t" stroked="t" coordsize="21600,21600" o:gfxdata="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lvtr1gAAAAkBAAAPAAAAAAAAAAEAIAAAACIAAABkcnMvZG93bnJl&#10;di54bWxQSwECFAAUAAAACACHTuJAypqh9P8BAAALBAAADgAAAAAAAAABACAAAAAlAQAAZHJzL2Uy&#10;b0RvYy54bWxQSwUGAAAAAAYABgBZAQAAlgUAAAAA&#10;">
                <v:fill on="t" focussize="0,0"/>
                <v:stroke weight="2pt" color="#F79646 [3209]" joinstyle="round"/>
                <v:imagedata o:title=""/>
                <o:lock v:ext="edit" aspectratio="f"/>
                <v:textbox inset="0mm,0mm,0mm,0mm">
                  <w:txbxContent>
                    <w:p>
                      <w:pPr>
                        <w:pStyle w:val="2"/>
                        <w:ind w:left="0" w:leftChars="0" w:firstLine="0" w:firstLineChars="0"/>
                        <w:rPr>
                          <w:rFonts w:hint="default"/>
                        </w:rPr>
                      </w:pP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指标体系</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单元划分</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方法研究</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指标评价</w:t>
                      </w:r>
                    </w:p>
                    <w:p>
                      <w:pPr>
                        <w:spacing w:before="19" w:line="218" w:lineRule="auto"/>
                        <w:ind w:firstLine="588" w:firstLineChars="300"/>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结果汇总</w:t>
                      </w:r>
                    </w:p>
                  </w:txbxContent>
                </v:textbox>
              </v:shape>
            </w:pict>
          </mc:Fallback>
        </mc:AlternateContent>
      </w:r>
      <w:r>
        <w:rPr>
          <w:color w:val="auto"/>
          <w:sz w:val="21"/>
          <w:highlight w:val="none"/>
        </w:rPr>
        <mc:AlternateContent>
          <mc:Choice Requires="wps">
            <w:drawing>
              <wp:anchor distT="0" distB="0" distL="114300" distR="114300" simplePos="0" relativeHeight="251662336" behindDoc="0" locked="0" layoutInCell="1" allowOverlap="1">
                <wp:simplePos x="0" y="0"/>
                <wp:positionH relativeFrom="column">
                  <wp:posOffset>1440815</wp:posOffset>
                </wp:positionH>
                <wp:positionV relativeFrom="paragraph">
                  <wp:posOffset>114935</wp:posOffset>
                </wp:positionV>
                <wp:extent cx="311785" cy="1029335"/>
                <wp:effectExtent l="0" t="0" r="12065" b="18415"/>
                <wp:wrapNone/>
                <wp:docPr id="22" name="文本框 22"/>
                <wp:cNvGraphicFramePr/>
                <a:graphic xmlns:a="http://schemas.openxmlformats.org/drawingml/2006/main">
                  <a:graphicData uri="http://schemas.microsoft.com/office/word/2010/wordprocessingShape">
                    <wps:wsp>
                      <wps:cNvSpPr txBox="1"/>
                      <wps:spPr>
                        <a:xfrm>
                          <a:off x="3125470" y="3489960"/>
                          <a:ext cx="311785" cy="1029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eastAsia="zh-CN"/>
                              </w:rPr>
                            </w:pPr>
                            <w:r>
                              <w:rPr>
                                <w:rFonts w:hint="eastAsia" w:eastAsia="宋体"/>
                                <w:sz w:val="18"/>
                                <w:szCs w:val="18"/>
                                <w:lang w:eastAsia="zh-CN"/>
                              </w:rPr>
                              <w:t>野</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外</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调</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5pt;margin-top:9.05pt;height:81.05pt;width:24.55pt;z-index:251662336;mso-width-relative:page;mso-height-relative:page;" fillcolor="#FFFFFF [3201]" filled="t" stroked="f" coordsize="21600,21600" o:gfxdata="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hW/SV1AAA&#10;AAoBAAAPAAAAAAAAAAEAIAAAACIAAABkcnMvZG93bnJldi54bWxQSwECFAAUAAAACACHTuJAKNX0&#10;plsCAACdBAAADgAAAAAAAAABACAAAAAjAQAAZHJzL2Uyb0RvYy54bWxQSwUGAAAAAAYABgBZAQAA&#10;8AUAAAAA&#10;">
                <v:fill on="t" focussize="0,0"/>
                <v:stroke on="f" weight="0.5pt"/>
                <v:imagedata o:title=""/>
                <o:lock v:ext="edit" aspectratio="f"/>
                <v:textbox>
                  <w:txbxContent>
                    <w:p>
                      <w:pPr>
                        <w:rPr>
                          <w:rFonts w:hint="eastAsia" w:eastAsia="宋体"/>
                          <w:sz w:val="18"/>
                          <w:szCs w:val="18"/>
                          <w:lang w:eastAsia="zh-CN"/>
                        </w:rPr>
                      </w:pPr>
                      <w:r>
                        <w:rPr>
                          <w:rFonts w:hint="eastAsia" w:eastAsia="宋体"/>
                          <w:sz w:val="18"/>
                          <w:szCs w:val="18"/>
                          <w:lang w:eastAsia="zh-CN"/>
                        </w:rPr>
                        <w:t>野</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外</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调</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查</w:t>
                      </w:r>
                    </w:p>
                  </w:txbxContent>
                </v:textbox>
              </v:shape>
            </w:pict>
          </mc:Fallback>
        </mc:AlternateContent>
      </w:r>
      <w:r>
        <w:rPr>
          <w:color w:val="auto"/>
          <w:highlight w:val="none"/>
        </w:rPr>
        <mc:AlternateContent>
          <mc:Choice Requires="wpg">
            <w:drawing>
              <wp:inline distT="0" distB="0" distL="114300" distR="114300">
                <wp:extent cx="5196205" cy="1296670"/>
                <wp:effectExtent l="0" t="0" r="4445" b="17780"/>
                <wp:docPr id="24" name="组合 23"/>
                <wp:cNvGraphicFramePr/>
                <a:graphic xmlns:a="http://schemas.openxmlformats.org/drawingml/2006/main">
                  <a:graphicData uri="http://schemas.microsoft.com/office/word/2010/wordprocessingGroup">
                    <wpg:wgp>
                      <wpg:cNvGrpSpPr/>
                      <wpg:grpSpPr>
                        <a:xfrm>
                          <a:off x="0" y="0"/>
                          <a:ext cx="5196205" cy="1296520"/>
                          <a:chOff x="66" y="189"/>
                          <a:chExt cx="7760" cy="1202"/>
                        </a:xfrm>
                      </wpg:grpSpPr>
                      <pic:pic xmlns:pic="http://schemas.openxmlformats.org/drawingml/2006/picture">
                        <pic:nvPicPr>
                          <pic:cNvPr id="2" name="图片 24"/>
                          <pic:cNvPicPr>
                            <a:picLocks noChangeAspect="1"/>
                          </pic:cNvPicPr>
                        </pic:nvPicPr>
                        <pic:blipFill>
                          <a:blip r:embed="rId32"/>
                          <a:stretch>
                            <a:fillRect/>
                          </a:stretch>
                        </pic:blipFill>
                        <pic:spPr>
                          <a:xfrm>
                            <a:off x="66" y="189"/>
                            <a:ext cx="7760" cy="1202"/>
                          </a:xfrm>
                          <a:prstGeom prst="rect">
                            <a:avLst/>
                          </a:prstGeom>
                          <a:noFill/>
                          <a:ln>
                            <a:noFill/>
                          </a:ln>
                        </pic:spPr>
                      </pic:pic>
                      <wps:wsp>
                        <wps:cNvPr id="4" name="文本框 26"/>
                        <wps:cNvSpPr txBox="1"/>
                        <wps:spPr>
                          <a:xfrm>
                            <a:off x="2139" y="223"/>
                            <a:ext cx="1495" cy="1115"/>
                          </a:xfrm>
                          <a:prstGeom prst="rect">
                            <a:avLst/>
                          </a:prstGeom>
                        </wps:spPr>
                        <wps:style>
                          <a:lnRef idx="2">
                            <a:schemeClr val="accent6"/>
                          </a:lnRef>
                          <a:fillRef idx="1">
                            <a:schemeClr val="lt1"/>
                          </a:fillRef>
                          <a:effectRef idx="0">
                            <a:schemeClr val="accent6"/>
                          </a:effectRef>
                          <a:fontRef idx="minor">
                            <a:schemeClr val="dk1"/>
                          </a:fontRef>
                        </wps:style>
                        <wps:txbx>
                          <w:txbxContent>
                            <w:p>
                              <w:pPr>
                                <w:spacing w:before="19" w:line="218" w:lineRule="auto"/>
                                <w:ind w:firstLine="452" w:firstLineChars="200"/>
                                <w:rPr>
                                  <w:rFonts w:hint="default" w:ascii="Times New Roman" w:hAnsi="Times New Roman" w:eastAsia="宋体" w:cs="Times New Roman"/>
                                  <w:spacing w:val="8"/>
                                  <w:sz w:val="21"/>
                                  <w:szCs w:val="21"/>
                                </w:rPr>
                              </w:pPr>
                            </w:p>
                            <w:p>
                              <w:pPr>
                                <w:spacing w:before="19" w:line="218" w:lineRule="auto"/>
                                <w:ind w:left="0" w:leftChars="0" w:firstLine="578" w:firstLineChars="256"/>
                                <w:rPr>
                                  <w:rFonts w:hint="eastAsia" w:ascii="宋体" w:hAnsi="宋体" w:eastAsia="宋体" w:cs="宋体"/>
                                  <w:sz w:val="18"/>
                                  <w:szCs w:val="18"/>
                                  <w:lang w:eastAsia="zh-CN"/>
                                </w:rPr>
                              </w:pPr>
                              <w:r>
                                <w:rPr>
                                  <w:rFonts w:hint="default" w:ascii="Times New Roman" w:hAnsi="Times New Roman" w:eastAsia="宋体" w:cs="Times New Roman"/>
                                  <w:spacing w:val="8"/>
                                  <w:sz w:val="21"/>
                                  <w:szCs w:val="21"/>
                                </w:rPr>
                                <w:t>·</w:t>
                              </w:r>
                              <w:r>
                                <w:rPr>
                                  <w:rFonts w:hint="eastAsia" w:ascii="宋体" w:hAnsi="宋体" w:eastAsia="宋体" w:cs="宋体"/>
                                  <w:spacing w:val="8"/>
                                  <w:sz w:val="18"/>
                                  <w:szCs w:val="18"/>
                                  <w:lang w:eastAsia="zh-CN"/>
                                </w:rPr>
                                <w:t>河势分析</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保护特征</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利用现状</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地区规划</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经济发展</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相关图件</w:t>
                              </w:r>
                            </w:p>
                            <w:p>
                              <w:pPr>
                                <w:spacing w:before="21" w:line="110" w:lineRule="exact"/>
                                <w:ind w:firstLine="29"/>
                                <w:textAlignment w:val="center"/>
                              </w:pPr>
                            </w:p>
                          </w:txbxContent>
                        </wps:txbx>
                        <wps:bodyPr lIns="0" tIns="0" rIns="0" bIns="0" upright="1"/>
                      </wps:wsp>
                      <wps:wsp>
                        <wps:cNvPr id="13" name="文本框 28"/>
                        <wps:cNvSpPr txBox="1"/>
                        <wps:spPr>
                          <a:xfrm>
                            <a:off x="181" y="208"/>
                            <a:ext cx="1459" cy="1100"/>
                          </a:xfrm>
                          <a:prstGeom prst="rect">
                            <a:avLst/>
                          </a:prstGeom>
                        </wps:spPr>
                        <wps:style>
                          <a:lnRef idx="2">
                            <a:schemeClr val="accent6"/>
                          </a:lnRef>
                          <a:fillRef idx="1">
                            <a:schemeClr val="lt1"/>
                          </a:fillRef>
                          <a:effectRef idx="0">
                            <a:schemeClr val="accent6"/>
                          </a:effectRef>
                          <a:fontRef idx="minor">
                            <a:schemeClr val="dk1"/>
                          </a:fontRef>
                        </wps:style>
                        <wps:txbx>
                          <w:txbxContent>
                            <w:p>
                              <w:pPr>
                                <w:spacing w:before="19" w:line="218" w:lineRule="auto"/>
                                <w:ind w:left="20"/>
                                <w:rPr>
                                  <w:rFonts w:hint="eastAsia" w:ascii="Times New Roman" w:hAnsi="Times New Roman" w:eastAsia="宋体" w:cs="Times New Roman"/>
                                  <w:spacing w:val="8"/>
                                  <w:sz w:val="21"/>
                                  <w:szCs w:val="21"/>
                                  <w:lang w:eastAsia="zh-CN"/>
                                </w:rPr>
                              </w:pPr>
                            </w:p>
                            <w:p>
                              <w:pPr>
                                <w:spacing w:before="19" w:line="218" w:lineRule="auto"/>
                                <w:ind w:left="20" w:firstLine="226" w:firstLineChars="100"/>
                                <w:rPr>
                                  <w:rFonts w:hint="default" w:ascii="Times New Roman" w:hAnsi="Times New Roman" w:eastAsia="宋体" w:cs="Times New Roman"/>
                                  <w:spacing w:val="8"/>
                                  <w:sz w:val="21"/>
                                  <w:szCs w:val="21"/>
                                </w:rPr>
                              </w:pPr>
                              <w:r>
                                <w:rPr>
                                  <w:rFonts w:hint="eastAsia" w:ascii="Times New Roman" w:hAnsi="Times New Roman" w:eastAsia="宋体" w:cs="Times New Roman"/>
                                  <w:spacing w:val="8"/>
                                  <w:sz w:val="21"/>
                                  <w:szCs w:val="21"/>
                                  <w:lang w:eastAsia="zh-CN"/>
                                </w:rPr>
                                <w:t>准</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评价范围</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评价目的</w:t>
                              </w:r>
                            </w:p>
                            <w:p>
                              <w:pPr>
                                <w:spacing w:before="19" w:line="218" w:lineRule="auto"/>
                                <w:ind w:firstLine="588" w:firstLineChars="300"/>
                                <w:rPr>
                                  <w:rFonts w:hint="eastAsia" w:ascii="宋体" w:hAnsi="宋体" w:eastAsia="宋体" w:cs="宋体"/>
                                  <w:spacing w:val="8"/>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工作计划</w:t>
                              </w:r>
                            </w:p>
                            <w:p>
                              <w:pPr>
                                <w:pStyle w:val="2"/>
                                <w:ind w:left="0" w:leftChars="0" w:firstLine="226" w:firstLineChars="100"/>
                                <w:rPr>
                                  <w:rFonts w:hint="eastAsia"/>
                                  <w:sz w:val="21"/>
                                  <w:szCs w:val="21"/>
                                  <w:lang w:eastAsia="zh-CN"/>
                                </w:rPr>
                              </w:pPr>
                              <w:r>
                                <w:rPr>
                                  <w:rFonts w:hint="eastAsia" w:ascii="Times New Roman" w:hAnsi="Times New Roman" w:eastAsia="宋体" w:cs="Times New Roman"/>
                                  <w:spacing w:val="8"/>
                                  <w:sz w:val="21"/>
                                  <w:szCs w:val="21"/>
                                  <w:lang w:eastAsia="zh-CN"/>
                                </w:rPr>
                                <w:t>备</w:t>
                              </w:r>
                            </w:p>
                          </w:txbxContent>
                        </wps:txbx>
                        <wps:bodyPr lIns="0" tIns="0" rIns="0" bIns="0" upright="1"/>
                      </wps:wsp>
                    </wpg:wgp>
                  </a:graphicData>
                </a:graphic>
              </wp:inline>
            </w:drawing>
          </mc:Choice>
          <mc:Fallback>
            <w:pict>
              <v:group id="组合 23" o:spid="_x0000_s1026" o:spt="203" style="height:102.1pt;width:409.15pt;" coordorigin="66,189" coordsize="7760,1202" o:gfxdata="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">
                <o:lock v:ext="edit" aspectratio="f"/>
                <v:shape id="图片 24" o:spid="_x0000_s1026" o:spt="75" type="#_x0000_t75" style="position:absolute;left:66;top:189;height:1202;width:7760;" filled="f" o:preferrelative="t" stroked="f" coordsize="21600,21600" o:gfxdata="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uL/rbsAAADa&#10;AAAADwAAAAAAAAABACAAAAAiAAAAZHJzL2Rvd25yZXYueG1sUEsBAhQAFAAAAAgAh07iQDMvBZ47&#10;AAAAOQAAABAAAAAAAAAAAQAgAAAACgEAAGRycy9zaGFwZXhtbC54bWxQSwUGAAAAAAYABgBbAQAA&#10;tAMAAAAA&#10;">
                  <v:fill on="f" focussize="0,0"/>
                  <v:stroke on="f"/>
                  <v:imagedata r:id="rId32" o:title=""/>
                  <o:lock v:ext="edit" aspectratio="t"/>
                </v:shape>
                <v:shape id="文本框 26" o:spid="_x0000_s1026" o:spt="202" type="#_x0000_t202" style="position:absolute;left:2139;top:223;height:1115;width:1495;" fillcolor="#FFFFFF [3201]" filled="t" stroked="t" coordsize="21600,21600" o:gfxdata="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4rQ7sAAADa&#10;AAAADwAAAAAAAAABACAAAAAiAAAAZHJzL2Rvd25yZXYueG1sUEsBAhQAFAAAAAgAh07iQDMvBZ47&#10;AAAAOQAAABAAAAAAAAAAAQAgAAAACgEAAGRycy9zaGFwZXhtbC54bWxQSwUGAAAAAAYABgBbAQAA&#10;tAMAAAAA&#10;">
                  <v:fill on="t" focussize="0,0"/>
                  <v:stroke weight="2pt" color="#F79646 [3209]" joinstyle="round"/>
                  <v:imagedata o:title=""/>
                  <o:lock v:ext="edit" aspectratio="f"/>
                  <v:textbox inset="0mm,0mm,0mm,0mm">
                    <w:txbxContent>
                      <w:p>
                        <w:pPr>
                          <w:spacing w:before="19" w:line="218" w:lineRule="auto"/>
                          <w:ind w:firstLine="452" w:firstLineChars="200"/>
                          <w:rPr>
                            <w:rFonts w:hint="default" w:ascii="Times New Roman" w:hAnsi="Times New Roman" w:eastAsia="宋体" w:cs="Times New Roman"/>
                            <w:spacing w:val="8"/>
                            <w:sz w:val="21"/>
                            <w:szCs w:val="21"/>
                          </w:rPr>
                        </w:pPr>
                      </w:p>
                      <w:p>
                        <w:pPr>
                          <w:spacing w:before="19" w:line="218" w:lineRule="auto"/>
                          <w:ind w:left="0" w:leftChars="0" w:firstLine="578" w:firstLineChars="256"/>
                          <w:rPr>
                            <w:rFonts w:hint="eastAsia" w:ascii="宋体" w:hAnsi="宋体" w:eastAsia="宋体" w:cs="宋体"/>
                            <w:sz w:val="18"/>
                            <w:szCs w:val="18"/>
                            <w:lang w:eastAsia="zh-CN"/>
                          </w:rPr>
                        </w:pPr>
                        <w:r>
                          <w:rPr>
                            <w:rFonts w:hint="default" w:ascii="Times New Roman" w:hAnsi="Times New Roman" w:eastAsia="宋体" w:cs="Times New Roman"/>
                            <w:spacing w:val="8"/>
                            <w:sz w:val="21"/>
                            <w:szCs w:val="21"/>
                          </w:rPr>
                          <w:t>·</w:t>
                        </w:r>
                        <w:r>
                          <w:rPr>
                            <w:rFonts w:hint="eastAsia" w:ascii="宋体" w:hAnsi="宋体" w:eastAsia="宋体" w:cs="宋体"/>
                            <w:spacing w:val="8"/>
                            <w:sz w:val="18"/>
                            <w:szCs w:val="18"/>
                            <w:lang w:eastAsia="zh-CN"/>
                          </w:rPr>
                          <w:t>河势分析</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保护特征</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利用现状</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地区规划</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经济发展</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相关图件</w:t>
                        </w:r>
                      </w:p>
                      <w:p>
                        <w:pPr>
                          <w:spacing w:before="21" w:line="110" w:lineRule="exact"/>
                          <w:ind w:firstLine="29"/>
                          <w:textAlignment w:val="center"/>
                        </w:pPr>
                      </w:p>
                    </w:txbxContent>
                  </v:textbox>
                </v:shape>
                <v:shape id="文本框 28" o:spid="_x0000_s1026" o:spt="202" type="#_x0000_t202" style="position:absolute;left:181;top:208;height:1100;width:1459;" fillcolor="#FFFFFF [3201]" filled="t" stroked="t" coordsize="21600,21600" o:gfxdata="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f/E/25AAAA2wAA&#10;AA8AAAAAAAAAAQAgAAAAIgAAAGRycy9kb3ducmV2LnhtbFBLAQIUABQAAAAIAIdO4kAzLwWeOwAA&#10;ADkAAAAQAAAAAAAAAAEAIAAAAAgBAABkcnMvc2hhcGV4bWwueG1sUEsFBgAAAAAGAAYAWwEAALID&#10;AAAAAA==&#10;">
                  <v:fill on="t" focussize="0,0"/>
                  <v:stroke weight="2pt" color="#F79646 [3209]" joinstyle="round"/>
                  <v:imagedata o:title=""/>
                  <o:lock v:ext="edit" aspectratio="f"/>
                  <v:textbox inset="0mm,0mm,0mm,0mm">
                    <w:txbxContent>
                      <w:p>
                        <w:pPr>
                          <w:spacing w:before="19" w:line="218" w:lineRule="auto"/>
                          <w:ind w:left="20"/>
                          <w:rPr>
                            <w:rFonts w:hint="eastAsia" w:ascii="Times New Roman" w:hAnsi="Times New Roman" w:eastAsia="宋体" w:cs="Times New Roman"/>
                            <w:spacing w:val="8"/>
                            <w:sz w:val="21"/>
                            <w:szCs w:val="21"/>
                            <w:lang w:eastAsia="zh-CN"/>
                          </w:rPr>
                        </w:pPr>
                      </w:p>
                      <w:p>
                        <w:pPr>
                          <w:spacing w:before="19" w:line="218" w:lineRule="auto"/>
                          <w:ind w:left="20" w:firstLine="226" w:firstLineChars="100"/>
                          <w:rPr>
                            <w:rFonts w:hint="default" w:ascii="Times New Roman" w:hAnsi="Times New Roman" w:eastAsia="宋体" w:cs="Times New Roman"/>
                            <w:spacing w:val="8"/>
                            <w:sz w:val="21"/>
                            <w:szCs w:val="21"/>
                          </w:rPr>
                        </w:pPr>
                        <w:r>
                          <w:rPr>
                            <w:rFonts w:hint="eastAsia" w:ascii="Times New Roman" w:hAnsi="Times New Roman" w:eastAsia="宋体" w:cs="Times New Roman"/>
                            <w:spacing w:val="8"/>
                            <w:sz w:val="21"/>
                            <w:szCs w:val="21"/>
                            <w:lang w:eastAsia="zh-CN"/>
                          </w:rPr>
                          <w:t>准</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评价范围</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评价目的</w:t>
                        </w:r>
                      </w:p>
                      <w:p>
                        <w:pPr>
                          <w:spacing w:before="19" w:line="218" w:lineRule="auto"/>
                          <w:ind w:firstLine="588" w:firstLineChars="300"/>
                          <w:rPr>
                            <w:rFonts w:hint="eastAsia" w:ascii="宋体" w:hAnsi="宋体" w:eastAsia="宋体" w:cs="宋体"/>
                            <w:spacing w:val="8"/>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工作计划</w:t>
                        </w:r>
                      </w:p>
                      <w:p>
                        <w:pPr>
                          <w:pStyle w:val="2"/>
                          <w:ind w:left="0" w:leftChars="0" w:firstLine="226" w:firstLineChars="100"/>
                          <w:rPr>
                            <w:rFonts w:hint="eastAsia"/>
                            <w:sz w:val="21"/>
                            <w:szCs w:val="21"/>
                            <w:lang w:eastAsia="zh-CN"/>
                          </w:rPr>
                        </w:pPr>
                        <w:r>
                          <w:rPr>
                            <w:rFonts w:hint="eastAsia" w:ascii="Times New Roman" w:hAnsi="Times New Roman" w:eastAsia="宋体" w:cs="Times New Roman"/>
                            <w:spacing w:val="8"/>
                            <w:sz w:val="21"/>
                            <w:szCs w:val="21"/>
                            <w:lang w:eastAsia="zh-CN"/>
                          </w:rPr>
                          <w:t>备</w:t>
                        </w:r>
                      </w:p>
                    </w:txbxContent>
                  </v:textbox>
                </v:shape>
                <w10:wrap type="none"/>
                <w10:anchorlock/>
              </v:group>
            </w:pict>
          </mc:Fallback>
        </mc:AlternateContent>
      </w:r>
    </w:p>
    <w:p>
      <w:pPr>
        <w:spacing w:before="61" w:line="218" w:lineRule="auto"/>
        <w:ind w:left="3030"/>
        <w:rPr>
          <w:rFonts w:ascii="宋体" w:hAnsi="宋体" w:eastAsia="宋体" w:cs="宋体"/>
          <w:color w:val="auto"/>
          <w:sz w:val="19"/>
          <w:szCs w:val="19"/>
          <w:highlight w:val="none"/>
        </w:rPr>
      </w:pPr>
      <w:r>
        <w:rPr>
          <w:rFonts w:ascii="宋体" w:hAnsi="宋体" w:eastAsia="宋体" w:cs="宋体"/>
          <w:color w:val="auto"/>
          <w:spacing w:val="16"/>
          <w:sz w:val="19"/>
          <w:szCs w:val="19"/>
          <w:highlight w:val="none"/>
          <w14:textOutline w14:w="3454" w14:cap="flat" w14:cmpd="sng">
            <w14:solidFill>
              <w14:srgbClr w14:val="000000"/>
            </w14:solidFill>
            <w14:prstDash w14:val="solid"/>
            <w14:miter w14:val="0"/>
          </w14:textOutline>
        </w:rPr>
        <w:t>图</w:t>
      </w:r>
      <w:r>
        <w:rPr>
          <w:rFonts w:ascii="宋体" w:hAnsi="宋体" w:eastAsia="宋体" w:cs="宋体"/>
          <w:color w:val="auto"/>
          <w:spacing w:val="11"/>
          <w:sz w:val="19"/>
          <w:szCs w:val="19"/>
          <w:highlight w:val="none"/>
        </w:rPr>
        <w:t xml:space="preserve"> </w:t>
      </w:r>
      <w:r>
        <w:rPr>
          <w:rFonts w:ascii="宋体" w:hAnsi="宋体" w:eastAsia="宋体" w:cs="宋体"/>
          <w:color w:val="auto"/>
          <w:spacing w:val="11"/>
          <w:sz w:val="19"/>
          <w:szCs w:val="19"/>
          <w:highlight w:val="none"/>
          <w14:textOutline w14:w="3454" w14:cap="flat" w14:cmpd="sng">
            <w14:solidFill>
              <w14:srgbClr w14:val="000000"/>
            </w14:solidFill>
            <w14:prstDash w14:val="solid"/>
            <w14:miter w14:val="0"/>
          </w14:textOutline>
        </w:rPr>
        <w:t>2-1</w:t>
      </w:r>
      <w:r>
        <w:rPr>
          <w:rFonts w:ascii="宋体" w:hAnsi="宋体" w:eastAsia="宋体" w:cs="宋体"/>
          <w:color w:val="auto"/>
          <w:spacing w:val="11"/>
          <w:sz w:val="19"/>
          <w:szCs w:val="19"/>
          <w:highlight w:val="none"/>
        </w:rPr>
        <w:t xml:space="preserve">  </w:t>
      </w:r>
      <w:r>
        <w:rPr>
          <w:rFonts w:ascii="宋体" w:hAnsi="宋体" w:eastAsia="宋体" w:cs="宋体"/>
          <w:color w:val="auto"/>
          <w:spacing w:val="11"/>
          <w:sz w:val="19"/>
          <w:szCs w:val="19"/>
          <w:highlight w:val="none"/>
          <w14:textOutline w14:w="3454" w14:cap="flat" w14:cmpd="sng">
            <w14:solidFill>
              <w14:srgbClr w14:val="000000"/>
            </w14:solidFill>
            <w14:prstDash w14:val="solid"/>
            <w14:miter w14:val="0"/>
          </w14:textOutline>
        </w:rPr>
        <w:t>岸线资源评价的一般步骤</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1)准备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准备阶段一般首先要确定评价区域的范围，根据发范围大小初步确定评价的深度。其次要明确评价目的，根据目的初步掌握评价区内基本的自然、社会经济背景，重要资源的分布状况，并对结果进行可能性假设。最后根据了解的情况拟定初步的工作计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2)野外调查</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野外调查时评价工作的重要环节，野外工作的细致与否，将直接影响到将来评价结果的科学合理性和实用性。野外调查主要是获得感性认识和资料收集，收集的资料主要包括与岸线变迁、岸线利用现状、岸线人工构筑物的分布和等级、沿岸港口分布、发展现状和规划方向等相关的文字、地图、航片、卫片资料等等。</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3)具体评价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这个阶段的工作首先是对各种来源的资料进行分类、分区统计、并进行分析、综合。然后是实施评价。评价过程是：建立指标体系、划分评价单元、各岸段各指标评价、汇总结果。评价结果要与初始假设和地方规划进行比较、验证，并根据评价目的和原则分析各自的合理性，如有必要还要对评价方案进行适当地修改、补充。</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4)提交成果</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主要成果一般包括评价区岸线资源的总体特征阐述，岸线的长度量算与分类、分区统计，岸线资源的质量分等与地区差异，各段岸线的适宜性评价特征，岸线资源评价图、利用现状图及相关文字说明，并提出利用建议。</w:t>
      </w:r>
    </w:p>
    <w:p>
      <w:pPr>
        <w:bidi w:val="0"/>
        <w:spacing w:line="360" w:lineRule="auto"/>
        <w:rPr>
          <w:rFonts w:hint="eastAsia" w:ascii="宋体" w:hAnsi="宋体" w:eastAsia="宋体" w:cs="宋体"/>
          <w:b/>
          <w:bCs/>
          <w:color w:val="auto"/>
          <w:sz w:val="28"/>
          <w:szCs w:val="28"/>
          <w:highlight w:val="none"/>
        </w:rPr>
      </w:pPr>
      <w:bookmarkStart w:id="27" w:name="_Toc18276"/>
      <w:r>
        <w:rPr>
          <w:rFonts w:hint="eastAsia" w:ascii="宋体" w:hAnsi="宋体" w:eastAsia="宋体" w:cs="宋体"/>
          <w:b/>
          <w:bCs/>
          <w:color w:val="auto"/>
          <w:sz w:val="28"/>
          <w:szCs w:val="28"/>
          <w:highlight w:val="none"/>
        </w:rPr>
        <w:t>2.1.3 岸线评价的结论</w:t>
      </w:r>
      <w:bookmarkEnd w:id="2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岸线功能区功能属性和控制利用要求，结合岸线利用项目的具体情况，对沿河地区岸线利用项目进行了分析，冬青湖岸线沿线绝大部分以农田为主，以各岸线功能区的岸线利用率来评价现状岸线利用程度，并对岸线功能区利用现状提出评价意见。各岸线功能区的岸线利用率是指每种功能区已利用岸线长度占总岸线长度的比率。</w:t>
      </w:r>
      <w:r>
        <w:rPr>
          <w:rFonts w:hint="eastAsia" w:ascii="宋体" w:hAnsi="宋体" w:eastAsia="宋体" w:cs="宋体"/>
          <w:snapToGrid/>
          <w:color w:val="auto"/>
          <w:kern w:val="0"/>
          <w:sz w:val="28"/>
          <w:szCs w:val="28"/>
          <w:highlight w:val="green"/>
          <w:lang w:val="en-US" w:eastAsia="zh-CN" w:bidi="ar-SA"/>
        </w:rPr>
        <w:t>冬青湖岸线基本利用率为零</w:t>
      </w:r>
      <w:r>
        <w:rPr>
          <w:rFonts w:hint="eastAsia" w:ascii="宋体" w:hAnsi="宋体" w:eastAsia="宋体" w:cs="宋体"/>
          <w:snapToGrid/>
          <w:color w:val="auto"/>
          <w:kern w:val="0"/>
          <w:sz w:val="28"/>
          <w:szCs w:val="28"/>
          <w:highlight w:val="none"/>
          <w:lang w:val="en-US" w:eastAsia="zh-CN" w:bidi="ar-SA"/>
        </w:rPr>
        <w:t>。</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28" w:name="_Toc23804"/>
      <w:bookmarkStart w:id="29" w:name="_Toc8906"/>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2.2 现状岸线管理存在的主要问题</w:t>
      </w:r>
      <w:bookmarkEnd w:id="28"/>
      <w:bookmarkEnd w:id="29"/>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由于历史原因加上缺乏岸线统一规划，目前岸线利用管理存在以下主要问题</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(1)沿湖有畜禽养殖污染，湖泊内漂浮物较多。湖泊内存在乱到生活垃圾、建筑垃圾现象。</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yellow"/>
          <w:lang w:val="en-US" w:eastAsia="zh-CN" w:bidi="ar-SA"/>
        </w:rPr>
      </w:pPr>
      <w:r>
        <w:rPr>
          <w:rFonts w:hint="eastAsia" w:ascii="宋体" w:hAnsi="宋体" w:eastAsia="宋体" w:cs="宋体"/>
          <w:snapToGrid/>
          <w:color w:val="auto"/>
          <w:kern w:val="0"/>
          <w:sz w:val="28"/>
          <w:szCs w:val="28"/>
          <w:highlight w:val="none"/>
          <w:lang w:val="en-US" w:eastAsia="zh-CN" w:bidi="ar-SA"/>
        </w:rPr>
        <w:t>(2)岸线管理与保护仍需加强，</w:t>
      </w:r>
      <w:r>
        <w:rPr>
          <w:rFonts w:hint="eastAsia" w:ascii="宋体" w:hAnsi="宋体" w:eastAsia="宋体" w:cs="宋体"/>
          <w:snapToGrid/>
          <w:color w:val="auto"/>
          <w:kern w:val="0"/>
          <w:sz w:val="28"/>
          <w:szCs w:val="28"/>
          <w:highlight w:val="green"/>
          <w:lang w:val="en-US" w:eastAsia="zh-CN" w:bidi="ar-SA"/>
        </w:rPr>
        <w:t>由于冬青湖四周现状岸线大部分以自然湖堤坝为界，岸线范围界定不明确，只有沿湖有不完整的海坝，与当地农牧民农田、牧地交叉交错，造成管理单位管理困难，岸线的定界与保护缺乏有效的控制措施，占用海滩、随意围垦等现象时有发生，对冬青湖生态保护有较大的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岸线利用缺乏规范的管理制度和政策。由于缺乏具有法律效力的岸线资源利用规划，岸线界定没有统一标准，岸线界限范围不明确，难以确定岸线利用项目涉及的区域是否侵占河道，没有形成完善的岸线利用管理制度，管理依据不足，可能影响水生态环境等。岸线利用也还缺少有效的经济调控手段，现行的无偿或低偿获取岸线资源开发权的办法，与稳定岸线的投入极不相应，不利于岸线资源的节约使用和合理开发。</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总体上，目前岸线利用管理机制不完善，也缺乏规范的管理制度和政策，难以有效规范和调节岸线利用行为。</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30" w:name="_Toc18353"/>
      <w:bookmarkStart w:id="31" w:name="_Toc1175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2.3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经济社会发展对岸线保护和利用的需求</w:t>
      </w:r>
      <w:bookmarkEnd w:id="30"/>
      <w:bookmarkEnd w:id="31"/>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绿水青山就是金山银山，我们既要绿水青山又要金山银山”。河湖岸线是有限的宝贵资源，具有行洪、调节水流、维持河流生态平衡的自然属性，还具有开发利用价值，为社会经济发展提供服务的资源属性。优良的岸线可以满足国民经济各部门对岸线利用的需求，其综合功能有力支撑了流域经济社会的发展和流域水生态环境的保护。</w:t>
      </w:r>
    </w:p>
    <w:p>
      <w:pPr>
        <w:bidi w:val="0"/>
        <w:spacing w:line="360" w:lineRule="auto"/>
        <w:rPr>
          <w:rFonts w:hint="eastAsia" w:ascii="宋体" w:hAnsi="宋体" w:eastAsia="宋体" w:cs="宋体"/>
          <w:b/>
          <w:bCs/>
          <w:color w:val="auto"/>
          <w:sz w:val="28"/>
          <w:szCs w:val="28"/>
          <w:highlight w:val="none"/>
        </w:rPr>
      </w:pPr>
      <w:bookmarkStart w:id="32" w:name="_Toc5725"/>
      <w:r>
        <w:rPr>
          <w:rFonts w:hint="eastAsia" w:ascii="宋体" w:hAnsi="宋体" w:eastAsia="宋体" w:cs="宋体"/>
          <w:b/>
          <w:bCs/>
          <w:color w:val="auto"/>
          <w:sz w:val="28"/>
          <w:szCs w:val="28"/>
          <w:highlight w:val="none"/>
        </w:rPr>
        <w:t>2.3.1 岸线保护需求</w:t>
      </w:r>
      <w:bookmarkEnd w:id="3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1、水生态环境保护对岸线保护的需求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现状年</w:t>
      </w:r>
      <w:r>
        <w:rPr>
          <w:rFonts w:hint="eastAsia" w:ascii="宋体" w:hAnsi="宋体" w:eastAsia="宋体" w:cs="宋体"/>
          <w:snapToGrid/>
          <w:color w:val="auto"/>
          <w:kern w:val="0"/>
          <w:sz w:val="28"/>
          <w:szCs w:val="28"/>
          <w:highlight w:val="green"/>
          <w:lang w:val="en-US" w:eastAsia="zh-CN" w:bidi="ar-SA"/>
        </w:rPr>
        <w:t>冬青湖所在的磴口县水资源短缺，生产或生活用水挤占生态用水的现象日益严重，以及农业生产和生活排污量不断增加，致使河道水质出现恶化，给水资源保护和城乡饮水安全带来了威胁。对河岸线进行功能区划分，合理规划岸线资源利用、保护和控制分区，是保障经济社会可持续发展，是不断改善和保护水生态环境的重要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磴口县的生态状况不仅关系巴彦淖尔市群众生存和发展，而且关系华北、东北、西北乃至全国生态安全，水生态环境对构筑我国北方重要生态安全屏障具有重要作用。随着国民经济的发展，水生态环境保护的形势更加严峻，水资源短缺、水体污染已经成为制约国民经济可持续发展的重要因素。</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2、防洪安全对岸线保护的需求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随着人口的增加和畜牧业的发展，由于自然和人为因素的影响，河势发生了较大的变化。放牧导致河滨带湿地土壤紧实，下渗降低，地表径流增加，增加的地表径流又引起更大的水土流失。牲畜对河岸的踩踏，加剧河岸的坍塌。随着淤积作用，河道变得宽浅，抬高了河道洪水位，加大了洪水危害。</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3、岸线利用需求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湖泊岸线的开发主要为利用其土地资源以及河道水域，规划阶段内岸线的利用以保护生态环境为前提，兼顾地方经济发展，适当开发防洪、供水等类型的工程。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4、岸线保护需求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随着地区经济的快速发展，临、跨河建筑物日益增多，存在缩小湖区面积、影响湖区生态环境的现象。部分村庄距离湖区较近，再加之湖区散乱、无明显主区，演变较为剧烈，对岸线会造成不利影响。岸线资源的有效保护与防洪安全、洪涝灾害程度存在着密切的联系，对河湖岸线资源实施有效保护是保障防洪安全的重要条件。</w:t>
      </w:r>
    </w:p>
    <w:p>
      <w:pPr>
        <w:bidi w:val="0"/>
        <w:spacing w:line="360" w:lineRule="auto"/>
        <w:rPr>
          <w:rFonts w:hint="eastAsia" w:ascii="宋体" w:hAnsi="宋体" w:eastAsia="宋体" w:cs="宋体"/>
          <w:b/>
          <w:bCs/>
          <w:color w:val="auto"/>
          <w:sz w:val="28"/>
          <w:szCs w:val="28"/>
          <w:highlight w:val="none"/>
        </w:rPr>
      </w:pPr>
      <w:bookmarkStart w:id="33" w:name="_Toc23177"/>
      <w:r>
        <w:rPr>
          <w:rFonts w:hint="eastAsia" w:ascii="宋体" w:hAnsi="宋体" w:eastAsia="宋体" w:cs="宋体"/>
          <w:b/>
          <w:bCs/>
          <w:color w:val="auto"/>
          <w:sz w:val="28"/>
          <w:szCs w:val="28"/>
          <w:highlight w:val="none"/>
        </w:rPr>
        <w:t>2.3.2</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岸线利用需求</w:t>
      </w:r>
      <w:bookmarkEnd w:id="33"/>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随着沿河地区经济的发展，河道岸线土地资源日益为开发建设关注，对于部分常年少水或无水河段，开发岸线主要是利用其土地资源和生态风景属性，以河岸为依托，利用河道水域的开发项目少，今后的需求也主要集中在土地资源和生态风景属性。</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34" w:name="_Toc1150"/>
      <w:bookmarkStart w:id="35" w:name="_Toc2596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2.4</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岸线保护与利用控制条件分析</w:t>
      </w:r>
      <w:bookmarkEnd w:id="34"/>
      <w:bookmarkEnd w:id="3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从防洪、供水、生态、经济社会和重要涉水工程等方面对岸线保护与利用提出管控要求，各类控制要求如下：</w:t>
      </w:r>
    </w:p>
    <w:p>
      <w:pPr>
        <w:bidi w:val="0"/>
        <w:spacing w:line="360" w:lineRule="auto"/>
        <w:rPr>
          <w:rFonts w:hint="eastAsia" w:ascii="宋体" w:hAnsi="宋体" w:eastAsia="宋体" w:cs="宋体"/>
          <w:b w:val="0"/>
          <w:bCs w:val="0"/>
          <w:color w:val="auto"/>
          <w:sz w:val="28"/>
          <w:szCs w:val="28"/>
          <w:highlight w:val="none"/>
          <w:lang w:val="en-US" w:eastAsia="zh-CN"/>
        </w:rPr>
      </w:pPr>
      <w:bookmarkStart w:id="36" w:name="_Toc5537"/>
      <w:r>
        <w:rPr>
          <w:rFonts w:hint="eastAsia" w:ascii="宋体" w:hAnsi="宋体" w:eastAsia="宋体" w:cs="宋体"/>
          <w:b w:val="0"/>
          <w:bCs w:val="0"/>
          <w:color w:val="auto"/>
          <w:sz w:val="28"/>
          <w:szCs w:val="28"/>
          <w:highlight w:val="none"/>
          <w:lang w:val="en-US" w:eastAsia="zh-CN"/>
        </w:rPr>
        <w:t>1、保障防洪安全</w:t>
      </w:r>
      <w:bookmarkEnd w:id="3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防洪安全是国民经济可持续发展以及岸线资源保护与利用的重要条件，本次岸线保护与利用规划把保障防洪安全放在了尤为突出的重要位置。按照保障防洪安全的要求，岸线保护与利用的控制条件包括：严格按照岸线利用管理的要求，对超越和侵占临水控制线的岸线利用项目实施清退和调整。</w:t>
      </w:r>
    </w:p>
    <w:p>
      <w:pPr>
        <w:bidi w:val="0"/>
        <w:spacing w:line="360" w:lineRule="auto"/>
        <w:rPr>
          <w:rFonts w:hint="eastAsia" w:ascii="宋体" w:hAnsi="宋体" w:eastAsia="宋体" w:cs="宋体"/>
          <w:b w:val="0"/>
          <w:bCs w:val="0"/>
          <w:color w:val="auto"/>
          <w:sz w:val="28"/>
          <w:szCs w:val="28"/>
          <w:highlight w:val="none"/>
          <w:lang w:val="en-US" w:eastAsia="zh-CN"/>
        </w:rPr>
      </w:pPr>
      <w:bookmarkStart w:id="37" w:name="_Toc7649"/>
      <w:r>
        <w:rPr>
          <w:rFonts w:hint="eastAsia" w:ascii="宋体" w:hAnsi="宋体" w:eastAsia="宋体" w:cs="宋体"/>
          <w:b w:val="0"/>
          <w:bCs w:val="0"/>
          <w:color w:val="auto"/>
          <w:sz w:val="28"/>
          <w:szCs w:val="28"/>
          <w:highlight w:val="none"/>
          <w:lang w:val="en-US" w:eastAsia="zh-CN"/>
        </w:rPr>
        <w:t>2、保护水资源与水环境</w:t>
      </w:r>
      <w:bookmarkEnd w:id="3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水资源是国民经济可持续发展的战略资源。水资源短缺是我国的基本国情之一，岸线利用应重视水资源和水环境保护，合理确定各功能区内的岸线利用项目。按照水资源与水环境保护的要求，岸线保护与利用的控制条件包括以下方面：</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(1)严格控制排污口水质达标排放和污染物负荷总量控制，对无法达标排放或污染物负荷总量超标的排污口应限期治理，必要时应对其占用岸线的位置予以调整。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(2)清退保护区内影响水资源保护的排污口、污染企业等项目，对影响水质控制指标的建设项目加以清退和调整。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(3)对水质有重大影响的岸线利用项目，应予以调整或迁建。</w:t>
      </w:r>
    </w:p>
    <w:p>
      <w:pPr>
        <w:bidi w:val="0"/>
        <w:spacing w:line="360" w:lineRule="auto"/>
        <w:rPr>
          <w:rFonts w:hint="eastAsia" w:ascii="宋体" w:hAnsi="宋体" w:eastAsia="宋体" w:cs="宋体"/>
          <w:b w:val="0"/>
          <w:bCs w:val="0"/>
          <w:color w:val="auto"/>
          <w:sz w:val="28"/>
          <w:szCs w:val="28"/>
          <w:highlight w:val="none"/>
          <w:lang w:val="en-US" w:eastAsia="zh-CN"/>
        </w:rPr>
      </w:pPr>
      <w:bookmarkStart w:id="38" w:name="_Toc22551"/>
      <w:r>
        <w:rPr>
          <w:rFonts w:hint="eastAsia" w:ascii="宋体" w:hAnsi="宋体" w:eastAsia="宋体" w:cs="宋体"/>
          <w:b w:val="0"/>
          <w:bCs w:val="0"/>
          <w:color w:val="auto"/>
          <w:sz w:val="28"/>
          <w:szCs w:val="28"/>
          <w:highlight w:val="none"/>
          <w:lang w:val="en-US" w:eastAsia="zh-CN"/>
        </w:rPr>
        <w:t>3、合理配置岸线资源，实现有序高效利用</w:t>
      </w:r>
      <w:bookmarkEnd w:id="38"/>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按照优化配置岸线资源，实现岸线资源的有序、高效利用和有效保护要求，岸线保护与利用的控制条件包括以下方面：</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(1)对岸线资源利用效率不高的项目予以调整，将优良岸线资源合理配置，有利于当地经济社会可持续发展。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(2)将可以集中布置的岸线开发利用项目集中布置，节约有限的岸线资源促进多个利益主体共享岸线，提高岸线利用效率。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(3)重视对岸线利用项目的占用岸线长度的合理性评价，避免过多占岸线，严禁闲置已占用的岸线。</w:t>
      </w:r>
    </w:p>
    <w:p>
      <w:pPr>
        <w:keepNext w:val="0"/>
        <w:keepLines w:val="0"/>
        <w:pageBreakBefore w:val="0"/>
        <w:widowControl/>
        <w:kinsoku w:val="0"/>
        <w:wordWrap/>
        <w:overflowPunct/>
        <w:topLinePunct w:val="0"/>
        <w:autoSpaceDE w:val="0"/>
        <w:autoSpaceDN w:val="0"/>
        <w:bidi w:val="0"/>
        <w:adjustRightInd w:val="0"/>
        <w:snapToGrid w:val="0"/>
        <w:spacing w:before="120" w:line="344" w:lineRule="auto"/>
        <w:ind w:left="295" w:right="164" w:firstLine="448"/>
        <w:textAlignment w:val="baseline"/>
        <w:rPr>
          <w:rFonts w:hint="eastAsia" w:ascii="宋体" w:hAnsi="宋体" w:eastAsia="宋体" w:cs="宋体"/>
          <w:snapToGrid/>
          <w:color w:val="auto"/>
          <w:kern w:val="0"/>
          <w:sz w:val="28"/>
          <w:szCs w:val="28"/>
          <w:highlight w:val="none"/>
          <w:lang w:val="en-US" w:eastAsia="zh-CN" w:bidi="ar-SA"/>
        </w:rPr>
        <w:sectPr>
          <w:footerReference r:id="rId10" w:type="default"/>
          <w:pgSz w:w="12070" w:h="16960"/>
          <w:pgMar w:top="1441" w:right="1810" w:bottom="2016" w:left="1810" w:header="1020" w:footer="1474" w:gutter="0"/>
          <w:pgNumType w:fmt="decimal"/>
          <w:cols w:space="720" w:num="1"/>
        </w:sectPr>
      </w:pPr>
    </w:p>
    <w:p>
      <w:pPr>
        <w:spacing w:line="268" w:lineRule="auto"/>
        <w:rPr>
          <w:rFonts w:ascii="Arial"/>
          <w:color w:val="auto"/>
          <w:sz w:val="21"/>
          <w:highlight w:val="none"/>
        </w:r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39" w:name="_Toc24259"/>
      <w:bookmarkStart w:id="40" w:name="_Toc30559"/>
      <w:r>
        <w:rPr>
          <w:rFonts w:hint="eastAsia" w:ascii="宋体" w:hAnsi="宋体" w:eastAsia="宋体" w:cs="宋体"/>
          <w:color w:val="auto"/>
          <w:sz w:val="32"/>
          <w:szCs w:val="32"/>
          <w:highlight w:val="none"/>
          <w:lang w:val="en-US" w:eastAsia="zh-CN"/>
        </w:rPr>
        <w:t>3 编制依据</w:t>
      </w:r>
      <w:bookmarkEnd w:id="39"/>
      <w:bookmarkEnd w:id="40"/>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1" w:name="_Toc12808"/>
      <w:bookmarkStart w:id="42" w:name="_Toc2464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3.1 法律法规</w:t>
      </w:r>
      <w:bookmarkEnd w:id="41"/>
      <w:bookmarkEnd w:id="4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1、《中华人民共和国水法》;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2、《中华人民共和国防洪法》;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3、《中华人民共和国水土保持法》;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4、《中华人民共和国水污染防治法》;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5、《中华人民共和国环境保护法》;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6、《中华人民共和国城乡规划法》;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7、《中华人民共和国土地管理法》;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8、《中华人民共和国河道管理条例》;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9、《中华人民共和国水文条例》;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10、《中华人民共和国自然保护区条例》;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11、《中华人民共和国风景名胜区条例》;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12、《中华人民共和国草原法》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13、《中华人民共和国水库大坝安全管理条例》;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14、《中华人民共和国土地管理法实施条例》;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15、《内蒙古自治区节约用水条例》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16、《内蒙古自治区水工程管理保护办法》;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17、《内蒙古自治区水工程管理和保护范围划定标准》;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18、《内蒙古自治区水土保持条例》;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19、《内蒙古自治区取水许可和水资源费征收管理实施办法》;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20、《内蒙古自治区农村牧区饮用水供水条例》;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21、《内蒙古自治区实施&lt;中华人民共和国防洪法&gt;办法》;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22、《内蒙古自治区草原管理条例》;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23、《内蒙古自治区基本草原保护条例》;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24、《公路安全保护条例》;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25、《铁路安全管理条例》;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26、《电子设施保护条例》;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27、其他相关法律法规文件。</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3" w:name="_bookmark26"/>
      <w:bookmarkEnd w:id="43"/>
      <w:bookmarkStart w:id="44" w:name="_Toc15074"/>
      <w:bookmarkStart w:id="45" w:name="_Toc23214"/>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规程规范</w:t>
      </w:r>
      <w:bookmarkEnd w:id="44"/>
      <w:bookmarkEnd w:id="4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1、《江河流域规划编制规程》(SL201-2015)</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2、《防洪标准》(GB50201-2014);</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3、《河道整治设计规范》(GB50707-2011);</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6、《水利水电工程设计洪水计算规范》(SL44-2006);</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8、《水利水电工程水利计算规范》(SL104-2015);</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9、《水利水电工程水文计算规范》(SL278-2002);</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10、《水库工程管理设计规范》(SL106-2017)</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11、《河湖岸线保护与利用规划编制指南》(试行);</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12、国家及行业颁布的其他有关现行规范、规程、标准等。</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6" w:name="_Toc6215"/>
      <w:bookmarkStart w:id="47" w:name="_Toc28304"/>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政策文件</w:t>
      </w:r>
      <w:bookmarkEnd w:id="46"/>
      <w:bookmarkEnd w:id="4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1、《中共中央国务院关于加快推进生态文明建设的意见》(中发(2015)12号);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2、《中共中央办公厅、国务院办公厅印发&lt;关于全面推行河长制的意见&gt;的通知》(厅字〔2016〕42号);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3、《关于在湖泊实施湖长制的指导意见》(2018年1月中共中央办公厅、国务院办公厅印发);</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4、《关于划定并严守生态保护红线的若干意见》(2017年2月中共中央办公厅、国务院办公厅印发);</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5、《水利部办公厅关于印发河湖岸线保护与利用规划编制指南(试行)的通知》(办河湖〔2019〕394号);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6、《关于开展河道(湖泊)岸线利用管理规划工作的通知》(水利部，水建管(2007)67号，2007年2月);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7、《水利部关于加快推进河湖管理范围划定工作的通知》(水河湖〔2018)314号);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8、《关于印发&lt;生态保护红线划定指南&gt;的通知》(环办生态〔2017〕48号);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9、《内蒙古自治区水利厅关于转发&lt;水利部关于加快推进河湖管理范围划定</w:t>
      </w:r>
      <w:bookmarkStart w:id="48" w:name="_bookmark27"/>
      <w:bookmarkEnd w:id="48"/>
      <w:r>
        <w:rPr>
          <w:rFonts w:hint="eastAsia" w:ascii="宋体" w:hAnsi="宋体" w:eastAsia="宋体" w:cs="宋体"/>
          <w:snapToGrid/>
          <w:color w:val="auto"/>
          <w:kern w:val="0"/>
          <w:sz w:val="28"/>
          <w:szCs w:val="28"/>
          <w:highlight w:val="none"/>
          <w:lang w:val="en-US" w:eastAsia="zh-CN" w:bidi="ar-SA"/>
        </w:rPr>
        <w:t>工作的通知&gt;的通知》(内河湖〔2019〕4号);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10、《内蒙古自治区党委办公厅、自治区人民政府办公厅关于印发&lt;内蒙古自治区全面推行河长制工作方案&gt;的通知》(厅发〔2017〕12号);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11、《内蒙古自治区水利厅关于抓紧构建各级河长体系的通知》(内水建(2017)120号);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12、《内蒙古自治区河长制办公室关于做好一河一策实施方案编制工作的通知》(内河长办〔2017)15号〕;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13、内蒙古自治区人民政府办公厅关于印发《内蒙古自治区水土保持规划(2016-2030年)》的通知，内政办发(2017)8号;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14、《内蒙古自治区人民政府办公厅关于印发&lt;内蒙古自治区生态环境保护“十三五”规划&gt;的通知》(内政办发(2017)95号)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15、《内蒙古自治区人民政府关于加强地下水生态保护和治理的指导意见》(内政发[2018]52号);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16、内蒙古自治区人民办公厅印发《关于划定并严守生态保护红线的工作方案》(内政办发〔2017)133号〕;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17、中共巴彦淖尔市市委办公室文件政府办公室关于印发《巴彦淖尔市全面推行湖长制实施方案》的通知室发[2018]33号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18、巴彦淖尔市市委政府《关于全面推行河长制工作情况的报告》巴党报[2018]16号;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19、巴彦淖尔市人民政府办公室关于《巴彦淖尔市重点湖泊生态环境保护工作的实施意见》[2020]25号;</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9" w:name="_Toc13452"/>
      <w:bookmarkStart w:id="50" w:name="_Toc976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3.4 有关规划</w:t>
      </w:r>
      <w:bookmarkEnd w:id="49"/>
      <w:bookmarkEnd w:id="50"/>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1、《生态文明体制改革总体方案》;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2、《全国水资源综合规划》;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3、《全国抗旱规划》;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4、《水利改革发展“十四五”规划》;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5、《巴彦淖尔市水利发展“十四五”规划》;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6、《巴彦淖尔市生态环境保护“十四五”规划》巴彦淖尔市人民政府，规划期2021年-2025年;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7、《巴彦淖尔市国民经济和社会发展第十四个五年规划》;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8、《巴彦淖尔市“十四五”时期城乡社区建设发展规划》;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9、《巴彦淖尔市公路、水路交通运输“十四五”发展规划中期评估及调整》巴彦淖尔市交通运输局，2021年9月。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10、《内蒙古自治区水功能区划》;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11、《内蒙古自治区“十四五”国控重点流域水质月报》</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12、《内蒙古自治区节水型社会建设“十四五”规划》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13、《内蒙古自治区水土保持规划(2016~2030年)》;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14、《内蒙古自治区城市饮用水水源地安全保障规划》;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yellow"/>
          <w:lang w:val="en-US" w:eastAsia="zh-CN" w:bidi="ar-SA"/>
        </w:rPr>
      </w:pPr>
      <w:r>
        <w:rPr>
          <w:rFonts w:hint="eastAsia" w:ascii="宋体" w:hAnsi="宋体" w:eastAsia="宋体" w:cs="宋体"/>
          <w:snapToGrid/>
          <w:color w:val="auto"/>
          <w:kern w:val="0"/>
          <w:sz w:val="28"/>
          <w:szCs w:val="28"/>
          <w:highlight w:val="none"/>
          <w:lang w:val="en-US" w:eastAsia="zh-CN" w:bidi="ar-SA"/>
        </w:rPr>
        <w:t>15、</w:t>
      </w:r>
      <w:r>
        <w:rPr>
          <w:rFonts w:hint="eastAsia" w:ascii="宋体" w:hAnsi="宋体" w:eastAsia="宋体" w:cs="宋体"/>
          <w:snapToGrid/>
          <w:color w:val="auto"/>
          <w:kern w:val="0"/>
          <w:sz w:val="28"/>
          <w:szCs w:val="28"/>
          <w:highlight w:val="yellow"/>
          <w:lang w:val="en-US" w:eastAsia="zh-CN" w:bidi="ar-SA"/>
        </w:rPr>
        <w:t>《内蒙古自治区江河湖库水系连通实施方案(2017~2020年)》;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16、《内蒙古自治区“十四五”节水灌溉工程发展规划》;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17、其他相关规划成果</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51" w:name="_Toc11650"/>
      <w:bookmarkStart w:id="52" w:name="_Toc2866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3.5</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相关技术成果</w:t>
      </w:r>
      <w:bookmarkEnd w:id="51"/>
      <w:bookmarkEnd w:id="5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1、《全国重要江河湖泊水功能区划(2011—2030)》(国务院国函(2011)167号);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2、《内蒙古自治区水功能区划》(内蒙古自治区水利厅、内蒙古自治区环境保护厅，2010年12月);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w:t>
      </w:r>
      <w:r>
        <w:rPr>
          <w:rFonts w:hint="eastAsia" w:ascii="宋体" w:hAnsi="宋体" w:eastAsia="宋体" w:cs="宋体"/>
          <w:snapToGrid/>
          <w:color w:val="auto"/>
          <w:kern w:val="0"/>
          <w:sz w:val="28"/>
          <w:szCs w:val="28"/>
          <w:highlight w:val="yellow"/>
          <w:lang w:val="en-US" w:eastAsia="zh-CN" w:bidi="ar-SA"/>
        </w:rPr>
        <w:t>《内蒙古自治区水利发展“十四五”规划》,内蒙古自治区水利厅，2021年9月;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w:t>
      </w:r>
      <w:r>
        <w:rPr>
          <w:rFonts w:hint="eastAsia" w:ascii="宋体" w:hAnsi="宋体" w:eastAsia="宋体" w:cs="宋体"/>
          <w:snapToGrid/>
          <w:color w:val="auto"/>
          <w:kern w:val="0"/>
          <w:sz w:val="28"/>
          <w:szCs w:val="28"/>
          <w:highlight w:val="yellow"/>
          <w:lang w:val="en-US" w:eastAsia="zh-CN" w:bidi="ar-SA"/>
        </w:rPr>
        <w:t>《内蒙古自治区水利网建设规划(2016~2020年)》,内蒙古自治区水利水电勘测设计院，2011年3月</w:t>
      </w:r>
      <w:r>
        <w:rPr>
          <w:rFonts w:hint="eastAsia" w:ascii="宋体" w:hAnsi="宋体" w:eastAsia="宋体" w:cs="宋体"/>
          <w:snapToGrid/>
          <w:color w:val="auto"/>
          <w:kern w:val="0"/>
          <w:sz w:val="28"/>
          <w:szCs w:val="28"/>
          <w:highlight w:val="none"/>
          <w:lang w:val="en-US" w:eastAsia="zh-CN" w:bidi="ar-SA"/>
        </w:rPr>
        <w:t>;</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5、《内蒙古自治区城市饮用水水源地安全保障规划》,内蒙古自治区水利厅，2015年3月;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6、《2019年巴彦淖尔市统计年鉴》,巴彦淖尔市统计局;</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7、《内蒙古自治区水利风景区建设发展规划(2016年~2025年)》,内蒙古自治区水利水电勘测设计院，2017年;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8、《内蒙古自治区河流湖泊特征值手册》,巴彦淖尔市卷;</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4"/>
          <w:szCs w:val="24"/>
          <w:highlight w:val="none"/>
        </w:rPr>
      </w:pPr>
      <w:r>
        <w:rPr>
          <w:rFonts w:hint="eastAsia" w:ascii="宋体" w:hAnsi="宋体" w:eastAsia="宋体" w:cs="宋体"/>
          <w:snapToGrid/>
          <w:color w:val="auto"/>
          <w:kern w:val="0"/>
          <w:sz w:val="28"/>
          <w:szCs w:val="28"/>
          <w:highlight w:val="none"/>
          <w:lang w:val="en-US" w:eastAsia="zh-CN" w:bidi="ar-SA"/>
        </w:rPr>
        <w:t>9、其他已编制的规划报告、设计报告。</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53" w:name="_bookmark29"/>
      <w:bookmarkEnd w:id="53"/>
      <w:bookmarkStart w:id="54" w:name="_bookmark30"/>
      <w:bookmarkEnd w:id="54"/>
      <w:bookmarkStart w:id="55" w:name="_bookmark28"/>
      <w:bookmarkEnd w:id="55"/>
      <w:bookmarkStart w:id="56" w:name="_Toc18299"/>
      <w:bookmarkStart w:id="57" w:name="_Toc12929"/>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3.6 技术路线</w:t>
      </w:r>
      <w:bookmarkEnd w:id="56"/>
      <w:bookmarkEnd w:id="5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资料收集与分析整理等基础上，分析岸线保护和利用现状，按照有关法律。法规、规程规范和相关上位规划有关要求，确定岸线管控目标与指标，划分功能区和拟定规划方案，提出岸线保护利用的行动计划于实施安排，形成河流水域岸线保护利用规划成果。并制定本次规划报告技术路线图。见图3-1。</w:t>
      </w:r>
    </w:p>
    <w:p>
      <w:pPr>
        <w:spacing w:line="318" w:lineRule="auto"/>
        <w:rPr>
          <w:rFonts w:ascii="Arial"/>
          <w:color w:val="auto"/>
          <w:sz w:val="21"/>
          <w:highlight w:val="none"/>
        </w:rPr>
      </w:pPr>
    </w:p>
    <w:p>
      <w:pPr>
        <w:spacing w:line="319" w:lineRule="auto"/>
        <w:rPr>
          <w:rFonts w:ascii="Arial"/>
          <w:color w:val="auto"/>
          <w:sz w:val="21"/>
          <w:highlight w:val="none"/>
        </w:rPr>
      </w:pPr>
      <w:r>
        <w:rPr>
          <w:color w:val="auto"/>
          <w:highlight w:val="none"/>
        </w:rPr>
        <w:drawing>
          <wp:inline distT="0" distB="0" distL="114300" distR="114300">
            <wp:extent cx="5377815" cy="4258310"/>
            <wp:effectExtent l="0" t="0" r="13335" b="889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33"/>
                    <a:stretch>
                      <a:fillRect/>
                    </a:stretch>
                  </pic:blipFill>
                  <pic:spPr>
                    <a:xfrm>
                      <a:off x="0" y="0"/>
                      <a:ext cx="5377815" cy="4258310"/>
                    </a:xfrm>
                    <a:prstGeom prst="rect">
                      <a:avLst/>
                    </a:prstGeom>
                    <a:noFill/>
                    <a:ln>
                      <a:noFill/>
                    </a:ln>
                  </pic:spPr>
                </pic:pic>
              </a:graphicData>
            </a:graphic>
          </wp:inline>
        </w:drawing>
      </w:r>
    </w:p>
    <w:p>
      <w:pPr>
        <w:spacing w:line="319" w:lineRule="auto"/>
        <w:rPr>
          <w:rFonts w:ascii="Arial"/>
          <w:color w:val="auto"/>
          <w:sz w:val="21"/>
          <w:highlight w:val="none"/>
        </w:rPr>
      </w:pPr>
    </w:p>
    <w:p>
      <w:pPr>
        <w:spacing w:before="75" w:line="219" w:lineRule="auto"/>
        <w:ind w:left="0" w:leftChars="0" w:firstLine="0" w:firstLineChars="0"/>
        <w:jc w:val="center"/>
        <w:rPr>
          <w:rFonts w:ascii="宋体" w:hAnsi="宋体" w:eastAsia="宋体" w:cs="宋体"/>
          <w:color w:val="auto"/>
          <w:sz w:val="23"/>
          <w:szCs w:val="23"/>
          <w:highlight w:val="none"/>
        </w:rPr>
      </w:pPr>
      <w:r>
        <w:rPr>
          <w:rFonts w:hint="eastAsia" w:ascii="宋体" w:hAnsi="宋体" w:eastAsia="宋体" w:cs="宋体"/>
          <w:snapToGrid/>
          <w:color w:val="auto"/>
          <w:kern w:val="0"/>
          <w:sz w:val="28"/>
          <w:szCs w:val="28"/>
          <w:highlight w:val="none"/>
          <w:lang w:val="en-US" w:eastAsia="zh-CN" w:bidi="ar-SA"/>
        </w:rPr>
        <w:t>图3-1 河流水域岸线保护利用规划编制技术路线图</w:t>
      </w:r>
    </w:p>
    <w:p>
      <w:pPr>
        <w:rPr>
          <w:color w:val="auto"/>
          <w:highlight w:val="none"/>
        </w:rPr>
        <w:sectPr>
          <w:footerReference r:id="rId11" w:type="default"/>
          <w:pgSz w:w="11910" w:h="16850"/>
          <w:pgMar w:top="1432" w:right="1644" w:bottom="2008" w:left="1786" w:header="1020" w:footer="1474"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58" w:name="_bookmark31"/>
      <w:bookmarkEnd w:id="58"/>
      <w:bookmarkStart w:id="59" w:name="_Toc2125"/>
      <w:bookmarkStart w:id="60" w:name="_Toc19953"/>
      <w:r>
        <w:rPr>
          <w:rFonts w:hint="eastAsia" w:ascii="宋体" w:hAnsi="宋体" w:eastAsia="宋体" w:cs="宋体"/>
          <w:color w:val="auto"/>
          <w:sz w:val="32"/>
          <w:szCs w:val="32"/>
          <w:highlight w:val="none"/>
          <w:lang w:val="en-US" w:eastAsia="zh-CN"/>
        </w:rPr>
        <w:t>4 指导思想与原则</w:t>
      </w:r>
      <w:bookmarkEnd w:id="59"/>
      <w:bookmarkEnd w:id="60"/>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1" w:name="_Toc31550"/>
      <w:bookmarkStart w:id="62" w:name="_Toc20412"/>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4.1 指导思想</w:t>
      </w:r>
      <w:bookmarkEnd w:id="61"/>
      <w:bookmarkEnd w:id="6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全面贯彻党的十八大和党的十九大精神，深入学习、贯彻落实习近平总书记系列重要讲话精神，落实党中央、国务院和省委、省政府关于河长制工作要求，坚持绿色发展理念，正确处理岸线资源开发利用与治理保护的关系;综合协调上、下游、左右岸及相关部门和行业间的关系，统筹兼顾近远期的要求，通过对岸线资源的合理布局和优化配置，在保障防洪安全、河势稳定、供水安全和满足水生态环境保护要求的前提下，实现岸线资源的有效利用、科学保护、强化管理、实现岸线资源的可持续利用，促进经济社会的可持续发展。</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3" w:name="_Toc5703"/>
      <w:bookmarkStart w:id="64" w:name="_Toc7517"/>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4.2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规划原则</w:t>
      </w:r>
      <w:bookmarkEnd w:id="63"/>
      <w:bookmarkEnd w:id="64"/>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(1)保护优先、合理利用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坚持保护优先，把岸线保护作为岸线利用的前提，实现在保护中有序开发、在开发中落实保护。协调城市发展、产业开发、生态保护等方面对岸线的利用需求，统筹岸线与后方土地的使用和管理，促进岸线合理利用、强化节约集约利用。做好与生态保护红线划定、空间规划等工作的相互衔接。</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(2)统筹兼顾、科学布局</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遵循河湖演变的自然规律，根据岸线自然条件，充分考虑防洪安全、河势稳定、供水安全、生态环境保护等方面要求，兼顾上下游、左右岸、不同地区及不同行业的开发利用需求，科学布局河湖岸线生态空间、生活空间、生产空间，合理划定划分岸线功能分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(3)依法依规、从严管控</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按照《水法》《防洪法》《河道管理条例》等法律法规的要求，针对岸线利用与保护中存在的突出问题，强调制度建设、强化整体保护、落实监管责任，确保岸线得到有效保护、合理利用和依法管理。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(4)远近结合、持续发展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既考虑近期经济社会发展需要，节约集约利用岸线，又充分兼顾未来经济社会发展需求，做好岸线的保护，为远期发展预留空间，划定一定范围的保留区做到远近结合、持续发展。</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5" w:name="_bookmark32"/>
      <w:bookmarkEnd w:id="65"/>
      <w:bookmarkStart w:id="66" w:name="_Toc32352"/>
      <w:bookmarkStart w:id="67" w:name="_Toc3189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4.3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规划范围及水平年</w:t>
      </w:r>
      <w:bookmarkEnd w:id="66"/>
      <w:bookmarkEnd w:id="67"/>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4.3.1 规划范围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冬青湖</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4.3.2 规划水平年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现状基准年：2022年;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规划水平年：2035年。</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8" w:name="_Toc730"/>
      <w:bookmarkStart w:id="69" w:name="_Toc7337"/>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4.4</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规划目标及任务</w:t>
      </w:r>
      <w:bookmarkEnd w:id="68"/>
      <w:bookmarkEnd w:id="69"/>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4.4.1 规划目标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总目标：通过制定湖泊岸线保护与利用规划，统筹协调经济发展与河道防洪、河势演变及水生态、水环境保护等方面的需求，科学划分岸线功能区，为有效保护和合理利用岸线资源，发挥岸线综合功能提供依据，形成保护与利用紧密结合、协调发展的新机制。优化配置岸线资源，使得岸线功能得到全面、有效、持续的发挥。磴口县冬青湖形成经济社会协调发展、水生态和水环境良好、人水和谐相处的自然美景。</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近期目标：摸清冬青湖岸线开发利用现状，通过制定岸线利用管理规划，科学合理地划分岸线控制线和岸线功能区，提出岸线控制利用管理意见及规划实施保障措施。在保障防洪安全、供水安全、河势稳定、保护水生态环境和其它公共利益的前提下，按照保护优先、开发有序、合理控制的要求，提出岸线合理开发有效保护、科学利用、强化管理的布局和方案，建立开发利用与治理保护紧密结合、协调发展的机制，为实现岸线的依法、科学、有序利用和控制保护奠定基础为今后一定时期内岸线开发利用与管理提供重要依据和准则，实现岸线的依法、科学、有序利用，全面发挥岸线的综合功能，促进经济社会与资源、环境的协调发展。</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4.4.2 规划任务</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分析湖泊演变规律，调查分析岸线资源及岸线开发利用现状，分析总结岸线开发利用与保护中存在的主要问题;在深入分析岸线利用与保护对湖势控制、防洪安全、水资源利用、生态环境保护及其它方面影响的基础上，确定岸线的范围</w:t>
      </w:r>
      <w:bookmarkStart w:id="70" w:name="_bookmark33"/>
      <w:bookmarkEnd w:id="70"/>
      <w:r>
        <w:rPr>
          <w:rFonts w:hint="eastAsia" w:ascii="宋体" w:hAnsi="宋体" w:eastAsia="宋体" w:cs="宋体"/>
          <w:snapToGrid/>
          <w:color w:val="auto"/>
          <w:kern w:val="0"/>
          <w:sz w:val="28"/>
          <w:szCs w:val="28"/>
          <w:highlight w:val="none"/>
          <w:lang w:val="en-US" w:eastAsia="zh-CN" w:bidi="ar-SA"/>
        </w:rPr>
        <w:t>合理划定岸线控制线;根据不同河段岸线的主要功能特点，统筹考虑防洪、城市建设、河道生态环境保护以及沿河地区经济社会发展的要求，科学合理地划分岸线功能区;按照保障防洪安全、供水安全、维护河流健康、促进岸线资源合理利用和有效保护的要求，对现状岸线资源利用不合理的地区，研究提出岸线布局调整和控制利用与保护的管理指导意见，以及岸线管理的保障措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sectPr>
          <w:footerReference r:id="rId12" w:type="default"/>
          <w:pgSz w:w="12120" w:h="17000"/>
          <w:pgMar w:top="1445" w:right="1818" w:bottom="2063" w:left="1818" w:header="1020" w:footer="1587"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71" w:name="_Toc26733"/>
      <w:bookmarkStart w:id="72" w:name="_Toc30596"/>
      <w:r>
        <w:rPr>
          <w:rFonts w:hint="eastAsia" w:ascii="宋体" w:hAnsi="宋体" w:eastAsia="宋体" w:cs="宋体"/>
          <w:color w:val="auto"/>
          <w:sz w:val="32"/>
          <w:szCs w:val="32"/>
          <w:highlight w:val="none"/>
          <w:lang w:val="en-US" w:eastAsia="zh-CN"/>
        </w:rPr>
        <w:t>5 岸线控制线确定</w:t>
      </w:r>
      <w:bookmarkEnd w:id="71"/>
      <w:bookmarkEnd w:id="72"/>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73" w:name="_Toc1291"/>
      <w:bookmarkStart w:id="74" w:name="_Toc6332"/>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5.1 岸线控制线定义</w:t>
      </w:r>
      <w:bookmarkEnd w:id="73"/>
      <w:bookmarkEnd w:id="74"/>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岸线边界线：是指沿河流走向或湖泊沿岸周边划定的用于界定各类岸线功能区垂向带区范围的边界线，分为临水边界线和外缘边界线。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临水边界线：是根据稳定河势、保障河道行洪安全和维护河流湖泊生态等基本要求，在河流沿岸临水一侧顺水流方向或湖泊(水库)沿岸边临水一侧划定的岸线带区内边界线。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外缘边界线：是根据河流湖泊岸线管理保护、维护河流功能等管控要求，在河流沿岸陆域一侧或湖泊(水库)沿岸周边陆域一侧划定的岸线带区外边界线。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是在外缘边界线和临水边界线之间的带状区域。岸线既具有调节水流和维护渠道健康的自然生态功能属性，同时在一定情况下，也具有开发利用价值的资源功能属性。任何进入外缘边界线以内岸线区域的开发利用行为都必须符合岸线功能区划的规定及管理要求，且原则上不得逾越临水边界线。</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75" w:name="_Toc3310"/>
      <w:bookmarkStart w:id="76" w:name="_Toc26349"/>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5.2 岸线控制线划定的原则</w:t>
      </w:r>
      <w:bookmarkEnd w:id="75"/>
      <w:bookmarkEnd w:id="7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合理利用与有效保护相结合的原则。根据岸线利用与保护的总体目标和要求，结合冬青湖的湖泊状况、岸线自然特点、岸线资源状况，在服从防洪安全、湖泊稳定和维护河流健康的前提下，充分考虑水资源利用与保护的要求，按照合理利用与有效保护相结合的原则划定岸线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综合利用、统筹协调的原则。按照流域综合规划、防洪规划、水功能区划及河湖整治规划等方面的要求，统筹协调近远期防洪工程建设、河流生态功能保护、滩地合理利用、土地利用等规划以及各部门对岸线利用的要求，按照岸线保护的要求，结合需要与可能合理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考虑河势演变、适当留有余地的原则。应充分考虑河湖岸线的地形地质条件、河势演变趋势及与岸线开发利用与治理的相互影响，以及周边经济社会发展、防洪保安和生态环境保护对岸线利用与保护的要求等因素，合理划定河湖的岸线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(4)结合实际、因地制宜原则。城市段的岸线控制线应充分考虑城市防洪安全与生态环境保护的要求，结合城市发展总体规划、岸线开发利用与保护现状、</w:t>
      </w:r>
      <w:bookmarkStart w:id="77" w:name="_bookmark35"/>
      <w:bookmarkEnd w:id="77"/>
      <w:bookmarkStart w:id="78" w:name="_bookmark36"/>
      <w:bookmarkEnd w:id="78"/>
      <w:bookmarkStart w:id="79" w:name="_bookmark34"/>
      <w:bookmarkEnd w:id="79"/>
      <w:bookmarkStart w:id="80" w:name="_bookmark37"/>
      <w:bookmarkEnd w:id="80"/>
      <w:r>
        <w:rPr>
          <w:rFonts w:hint="eastAsia" w:ascii="宋体" w:hAnsi="宋体" w:eastAsia="宋体" w:cs="宋体"/>
          <w:snapToGrid/>
          <w:color w:val="auto"/>
          <w:kern w:val="0"/>
          <w:sz w:val="28"/>
          <w:szCs w:val="28"/>
          <w:highlight w:val="none"/>
          <w:lang w:val="en-US" w:eastAsia="zh-CN" w:bidi="ar-SA"/>
        </w:rPr>
        <w:t>城市景观建设等因素。</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连续性和一致性原则。岸线控制线的划定应保持连续性和一致性,特别是各行政区域交界处，应按照河流特性，在综合考虑各行业要求，统筹岸线资源状况和区域经济发展对岸线的需求等综合因素的前提下，科学合理进行划定，避免因地区间社会经济发展要求的差异，导致岸线控制线划分不合理。</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81" w:name="_Toc26174"/>
      <w:bookmarkStart w:id="82" w:name="_Toc20801"/>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5.3 岸线划定方法</w:t>
      </w:r>
      <w:bookmarkEnd w:id="81"/>
      <w:bookmarkEnd w:id="8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一、临水控制线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根据河湖特点和上述条件，制定临水边界线定线方法如下：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1、对丘陵区河道，洪水涨落较快，岸坡较陡，临水边界线按一定重现期(如三年一遇或五年一遇)洪水位水边线并留有适当的河宽确定。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2、对河道滩槽关系明显、主槽具有一定规模(可通过三年一遇洪水)、河势较稳定的河段，采用滩槽分界线作为临水边界线定线依据，定线时结合河流演变特性适当留有余地;</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3、对河道滩槽关系不明显和主槽很小主要靠滩地行洪的河段，采用河道中水整治流量(采用第一造床流量或多年平均洪峰流量)水边线或临水堤脚线作为临水边界线;具体根据实际情况分析确定。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4、对河势不稳、河槽冲淤变化明显、主流摆动的河段，划定临水边界线时应考虑河势演变影响，适当留有余地。</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5、临水边界线与河道水流流向保持基本平顺。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二、外缘边界线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岸线外缘边界线按照水利部印发《河湖岸线保护与利用规划编制指南(试行)》规定，确定外缘边界线定线方法如下：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1、对于无堤防河段，因已确权，按照确权资料中的岸线长度及宽度确定岸线外缘线;若未确权，采用河道设计洪水位与岸边的交界线作为外缘控制线。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2、对于已建有堤防的河段，已确权的河段，按照确权资料中的岸线长度及宽度确定岸线外缘线;若未确权，采用堤防工程的管理范围外缘线作为外缘控制线。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3、对于已规划建设堤防工程而目前尚未建设的河段，根据规划要求及相关设计资料，以规划堤防管理范围外缘线或征地线划定外缘控制线。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三、管理范围线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依据《中华人民共和国防洪法》第二十一条第三款：有堤防的河道、湖泊其管理范围为两岸堤防之间的水域沙洲、滩地、行洪区和堤防及护堤地;无堤防的河道、湖泊，其管理范围为历史最高洪水位或者设计洪水位之间的水域、沙洲、滩地和行洪区。《中华人民共和国河道管理条例》中的第二十条给出了与“防洪法”中相同的规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根据水利部《河湖岸线保护与利用规划编制指南(试行)》中对外缘边界线的定义，结合河流的实际情况，管理范围线即为外缘边界线。</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83" w:name="_Toc5179"/>
      <w:bookmarkStart w:id="84" w:name="_Toc1045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5.4 岸线边界线确定</w:t>
      </w:r>
      <w:bookmarkEnd w:id="83"/>
      <w:bookmarkEnd w:id="84"/>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1、控制线定线条件</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冬青湖湖岸均属于自然坡型式，水域外围无堤防，管理范围划定工作已进行。</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2、临水控制线定线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采用冬青湖湖泊多年平均水位线。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3、外缘控制线定线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sectPr>
          <w:footerReference r:id="rId13" w:type="default"/>
          <w:pgSz w:w="12080" w:h="16970"/>
          <w:pgMar w:top="1442" w:right="1812" w:bottom="2023" w:left="1812" w:header="1020" w:footer="1531" w:gutter="0"/>
          <w:pgNumType w:fmt="decimal"/>
          <w:cols w:space="720" w:num="1"/>
        </w:sectPr>
      </w:pPr>
      <w:r>
        <w:rPr>
          <w:rFonts w:hint="eastAsia" w:ascii="宋体" w:hAnsi="宋体" w:eastAsia="宋体" w:cs="宋体"/>
          <w:snapToGrid/>
          <w:color w:val="auto"/>
          <w:kern w:val="0"/>
          <w:sz w:val="28"/>
          <w:szCs w:val="28"/>
          <w:highlight w:val="green"/>
          <w:lang w:val="en-US" w:eastAsia="zh-CN" w:bidi="ar-SA"/>
        </w:rPr>
        <w:t>冬青湖外缘控制线已在《冬青湖管理范围划定方案》中划定。划定成果见附表4。</w:t>
      </w: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85" w:name="_Toc857"/>
      <w:bookmarkStart w:id="86" w:name="_Toc13437"/>
      <w:r>
        <w:rPr>
          <w:rFonts w:hint="eastAsia" w:ascii="宋体" w:hAnsi="宋体" w:eastAsia="宋体" w:cs="宋体"/>
          <w:color w:val="auto"/>
          <w:sz w:val="32"/>
          <w:szCs w:val="32"/>
          <w:highlight w:val="none"/>
          <w:lang w:val="en-US" w:eastAsia="zh-CN"/>
        </w:rPr>
        <w:t>6 岸线功能区划分</w:t>
      </w:r>
      <w:bookmarkEnd w:id="85"/>
      <w:bookmarkEnd w:id="86"/>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87" w:name="_Toc11891"/>
      <w:bookmarkStart w:id="88" w:name="_Toc513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6.1 岸线功能区的划分原则</w:t>
      </w:r>
      <w:bookmarkEnd w:id="87"/>
      <w:bookmarkEnd w:id="88"/>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近远期结合、开发与保护并重的原则。岸线功能区划分应正确处理近期与远期、开发与保护之间的关系，做到近远期结合，开发利用与保护并重，确保防洪安全和水资源、水环境及河流生态得到有效保护，促进岸线资源的可持续利用，保障沿岸地区经济社会的可持续发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(2)上下游、左右岸协调统一的原则。岸线功能区划分应统筹考虑和协调处理好上下游、左右岸之间的关系及岸线的开发利用可能带来相互的影响。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(3)与相关功能分区协调一致的原则。岸线功能区划分应与已有的防洪分区、水功能分区、农业分区、自然生态分区等区划相协调。</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因地制宜、兼顾现实的原则。岸线功能区划分应本着因地制宜，实事求是的原则，充分考虑河流自然生态属性，以及河势演变、河道冲淤特性及河道岸线的稳定性，并结合行政区划分界，进行科学划分，保证岸线功能区划分的合理性。</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89" w:name="_Toc27091"/>
      <w:bookmarkStart w:id="90" w:name="_Toc30011"/>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6.2 岸线功能区划分的基本要求及方法</w:t>
      </w:r>
      <w:bookmarkEnd w:id="89"/>
      <w:bookmarkEnd w:id="90"/>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本次岸线功能区划分根据《河湖岸线保护与利用规划编制指南》,指南中对河道岸线功能区划分提出了基本要求。本次规划针对巴彦套海农场境内河流特点，参照指南中对河道岸线划分的要求与方法，提出河道岸线功能区划分的基本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1、岸线功能区划分应突出强调保护与管控，尽可能提高岸线保护区、岸线保留区在河流、湖泊岸线功能区中的比例，从严控制岸线开发利用区和控制利用区，尽可能减小岸线开发利用区所占比例。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2、岸线功能区的划分应在已划分的岸线边界线的带状区域内合理进行划分。岸线功能区划定时应尽可能详细具体，以便于管理。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3、对于岸线开发利用要求相对较低，经济发展相对落后的河段，或位于上游两岸人口稀少的山丘区河道，可结合实际情况适当加大单个功能区的长度。</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91" w:name="_Toc16032"/>
      <w:bookmarkStart w:id="92" w:name="_Toc2035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6.3 岸线功能区划分方法</w:t>
      </w:r>
      <w:bookmarkEnd w:id="91"/>
      <w:bookmarkEnd w:id="92"/>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6.3.1 岸线保护区划定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岸线保护区是指岸线开发利用可能对防洪安全、河势稳定、供水安全、生态环境、重要枢纽和涉水工程安全等有明显不利影响的岸段。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岸线保护区划分方法如下：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根据《河湖岸线保护与利用规划编制指南(试行)》的要求：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1、引起深泓变迁的节点段或改变分汊河段分流态势的分汇流段等重要河势敏感区岸线应划为岸线保护区。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2、列入各省(自治区、直辖市)集中式饮用水水源地名录的水源地，其一级保护区应划为岸线保护区，列入全国重要饮用水水源地地名录的应划为岸线保护区。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3、位于国家级和省级自然保护区核心区和缓冲区、风景名胜区核心景区等生态敏感区，法律法规有明确禁止性规定的，需要实施严格保护的各类保护地的河湖岸线，应从严划分为岸线保护区。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4、根据地方划定的生态保护红线范围，位于生态保护红线范围的河湖岸线，按红线管控要求划定岸线保护区。</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6.3.2 岸线保留区划定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岸线保留区是指规划期内暂时不宜开发利用或者尚不具备开发利用条件、为生态保护预留的岸段。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岸线保留区划分方法如下：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根据《河湖岸线保护与利用规划编制指南(试行)》的要求：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1、对河势变化剧烈、岸线开发利用条件较差，河道治理和河势调整方案尚未确定或尚未实施等暂不具备开发利用条件的岸段，划分为岸线保留区。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位于国家级和省级自然保护区的实验区、水产种质资源保护区、国际重要湿地、国家重要湿地以及国家湿地公园、森林公园生态保育区和核心景区、地质公园地质遗迹保护区、世界自然遗产核心区和缓冲区等生态敏感区，但未纳入生态保护红线范围内的河湖岸线，应划为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3、已列入国家或省级规划，尚未实施的防洪保留区、水资源保护区、供水水源地的岸段等应划为岸线保留区。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4、为生态建设需要预留的岸段，划为岸线保留区。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5、对虽具备开发利用条件，但经济社会发展水平相对较低，规划期内暂无开发利用需求的岸段，划为岸线保留区。</w:t>
      </w:r>
    </w:p>
    <w:p>
      <w:pPr>
        <w:bidi w:val="0"/>
        <w:spacing w:line="360" w:lineRule="auto"/>
        <w:rPr>
          <w:rFonts w:hint="eastAsia" w:ascii="宋体" w:hAnsi="宋体" w:eastAsia="宋体" w:cs="宋体"/>
          <w:b/>
          <w:bCs/>
          <w:color w:val="auto"/>
          <w:sz w:val="28"/>
          <w:szCs w:val="28"/>
          <w:highlight w:val="none"/>
        </w:rPr>
      </w:pPr>
      <w:bookmarkStart w:id="93" w:name="_bookmark39"/>
      <w:bookmarkEnd w:id="93"/>
      <w:bookmarkStart w:id="94" w:name="_bookmark40"/>
      <w:bookmarkEnd w:id="94"/>
      <w:r>
        <w:rPr>
          <w:rFonts w:hint="eastAsia" w:ascii="宋体" w:hAnsi="宋体" w:eastAsia="宋体" w:cs="宋体"/>
          <w:b/>
          <w:bCs/>
          <w:color w:val="auto"/>
          <w:sz w:val="28"/>
          <w:szCs w:val="28"/>
          <w:highlight w:val="none"/>
        </w:rPr>
        <w:t>6.3.3 岸线控制利用区划定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岸线控制利用区是指岸线开发利用程度较高，或开发利用对防洪安全、河势稳定、供水安全、生态环境可能造成一定影响，需要控制其开发利用强度、调整开发利用方式或开发利用用途的岸段。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岸线控制利用区划分方法如下：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根据《河湖岸线保护与利用规划编制指南(试行)》的要求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1、对岸线开发利用程度相对较高的岸段，为避免进一步开发可能对防洪安全、河势稳定、供水安全、航道稳定等带来不利影响，需要控制或减少其开发利用强度的岸段，划分为岸线控制利用区。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2、重要险工险段、重要涉水工程及设施、河势变化敏感区、地质灾害易发区、水土流失严重区需控制开发利用方式的岸段，划为岸线控制利用区。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3、位于风景名胜区的一般景区、地方重要湿地和地方一般湿地、湿地公园以及饮用水源地二级保护区、准保护区等生态敏感区未纳入生态红线范围，但需控制开发利用方式的部分岸段，划为岸线控制利用区。</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6.3.4 岸线开发利用区划定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岸线开发利用区是指河势基本稳定、岸线利用条件较好，岸线开发利用对防洪安全、河势稳定、供水安全以及生态环境影响较小的岸段。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岸线开发利用区划分方法如下：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根据《河湖岸线保护与利用规划编制指南(试行)》的要求：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河势基本稳定、岸线利用条件较好，岸线开发利用对防洪安全、河势稳定、供水安全以及生态环境影响较小的岸段，划为岸线开发利用区。但要在规划中充分体现岸线的集约节约利用。</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95" w:name="_Toc24615"/>
      <w:bookmarkStart w:id="96" w:name="_Toc25441"/>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6.4 岸线功能区划分</w:t>
      </w:r>
      <w:bookmarkEnd w:id="95"/>
      <w:bookmarkEnd w:id="9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岸线资源及其开发利用的实际情况，考虑经济社会发展各方面对岸线利用的需求，同时根据前述岸线功能区划分原则及方法的指导下，将冬青湖管理范围界以内功能区划分为岸线保留区。最终确定管理范围面积为1.53km²。成果汇总详见表6-1。岸线功能区分区图见图 6-1。</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sectPr>
          <w:footerReference r:id="rId14" w:type="default"/>
          <w:pgSz w:w="12160" w:h="17020"/>
          <w:pgMar w:top="1446" w:right="1824" w:bottom="2076" w:left="1824" w:header="1020" w:footer="1531" w:gutter="0"/>
          <w:pgNumType w:fmt="decimal"/>
          <w:cols w:space="720" w:num="1"/>
        </w:sectPr>
      </w:pPr>
    </w:p>
    <w:p>
      <w:pPr>
        <w:spacing w:line="269" w:lineRule="auto"/>
        <w:rPr>
          <w:rFonts w:ascii="Arial"/>
          <w:color w:val="auto"/>
          <w:sz w:val="21"/>
          <w:highlight w:val="yellow"/>
        </w:rPr>
      </w:pPr>
    </w:p>
    <w:p>
      <w:pPr>
        <w:spacing w:before="78" w:line="196" w:lineRule="auto"/>
        <w:ind w:left="0" w:leftChars="0" w:firstLine="0" w:firstLineChars="0"/>
        <w:rPr>
          <w:rFonts w:ascii="宋体" w:hAnsi="宋体" w:eastAsia="宋体" w:cs="宋体"/>
          <w:color w:val="auto"/>
          <w:sz w:val="21"/>
          <w:szCs w:val="21"/>
          <w:highlight w:val="yellow"/>
        </w:rPr>
      </w:pPr>
      <w:bookmarkStart w:id="97" w:name="_bookmark41"/>
      <w:bookmarkEnd w:id="97"/>
      <w:r>
        <w:rPr>
          <w:rFonts w:ascii="宋体" w:hAnsi="宋体" w:eastAsia="宋体" w:cs="宋体"/>
          <w:color w:val="auto"/>
          <w:spacing w:val="-1"/>
          <w:sz w:val="21"/>
          <w:szCs w:val="21"/>
          <w:highlight w:val="yellow"/>
        </w:rPr>
        <w:t>表6-1</w:t>
      </w:r>
      <w:r>
        <w:rPr>
          <w:rFonts w:hint="eastAsia" w:ascii="宋体" w:hAnsi="宋体" w:eastAsia="宋体" w:cs="宋体"/>
          <w:color w:val="auto"/>
          <w:spacing w:val="-1"/>
          <w:sz w:val="21"/>
          <w:szCs w:val="21"/>
          <w:highlight w:val="yellow"/>
          <w:lang w:val="en-US" w:eastAsia="zh-CN"/>
        </w:rPr>
        <w:t xml:space="preserve">                                               </w:t>
      </w:r>
      <w:r>
        <w:rPr>
          <w:rFonts w:hint="eastAsia" w:ascii="宋体" w:hAnsi="宋体" w:eastAsia="宋体" w:cs="宋体"/>
          <w:snapToGrid/>
          <w:color w:val="auto"/>
          <w:kern w:val="0"/>
          <w:sz w:val="28"/>
          <w:szCs w:val="28"/>
          <w:highlight w:val="yellow"/>
          <w:lang w:val="en-US" w:eastAsia="zh-CN" w:bidi="ar-SA"/>
        </w:rPr>
        <w:t>冬青湖</w:t>
      </w:r>
      <w:r>
        <w:rPr>
          <w:rFonts w:ascii="宋体" w:hAnsi="宋体" w:eastAsia="宋体" w:cs="宋体"/>
          <w:color w:val="auto"/>
          <w:sz w:val="28"/>
          <w:szCs w:val="28"/>
          <w:highlight w:val="yellow"/>
        </w:rPr>
        <w:t>岸线划分成果表</w:t>
      </w:r>
    </w:p>
    <w:p>
      <w:pPr>
        <w:rPr>
          <w:rFonts w:ascii="Arial"/>
          <w:color w:val="auto"/>
          <w:sz w:val="21"/>
          <w:highlight w:val="yellow"/>
        </w:rPr>
      </w:pPr>
    </w:p>
    <w:p>
      <w:pPr>
        <w:rPr>
          <w:color w:val="auto"/>
          <w:highlight w:val="yellow"/>
        </w:rPr>
      </w:pPr>
    </w:p>
    <w:tbl>
      <w:tblPr>
        <w:tblStyle w:val="13"/>
        <w:tblW w:w="501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13"/>
        <w:gridCol w:w="764"/>
        <w:gridCol w:w="628"/>
        <w:gridCol w:w="2383"/>
        <w:gridCol w:w="2210"/>
        <w:gridCol w:w="1419"/>
        <w:gridCol w:w="1435"/>
        <w:gridCol w:w="1419"/>
        <w:gridCol w:w="28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153" w:type="pct"/>
            <w:vAlign w:val="top"/>
          </w:tcPr>
          <w:p>
            <w:pPr>
              <w:spacing w:before="200" w:line="220" w:lineRule="auto"/>
              <w:ind w:left="44"/>
              <w:jc w:val="center"/>
              <w:rPr>
                <w:rFonts w:hint="eastAsia" w:ascii="楷体" w:hAnsi="楷体" w:eastAsia="楷体" w:cs="楷体"/>
                <w:b/>
                <w:bCs/>
                <w:color w:val="auto"/>
                <w:spacing w:val="-4"/>
                <w:sz w:val="21"/>
                <w:szCs w:val="21"/>
                <w:highlight w:val="none"/>
              </w:rPr>
            </w:pPr>
            <w:r>
              <w:rPr>
                <w:rFonts w:hint="eastAsia" w:ascii="楷体" w:hAnsi="楷体" w:eastAsia="楷体" w:cs="楷体"/>
                <w:b/>
                <w:bCs/>
                <w:color w:val="auto"/>
                <w:spacing w:val="-4"/>
                <w:sz w:val="21"/>
                <w:szCs w:val="21"/>
                <w:highlight w:val="none"/>
              </w:rPr>
              <w:t>序号</w:t>
            </w:r>
          </w:p>
        </w:tc>
        <w:tc>
          <w:tcPr>
            <w:tcW w:w="282" w:type="pct"/>
            <w:tcBorders>
              <w:bottom w:val="single" w:color="auto" w:sz="4" w:space="0"/>
            </w:tcBorders>
            <w:vAlign w:val="top"/>
          </w:tcPr>
          <w:p>
            <w:pPr>
              <w:spacing w:before="200" w:line="220" w:lineRule="auto"/>
              <w:ind w:left="44"/>
              <w:jc w:val="center"/>
              <w:rPr>
                <w:rFonts w:hint="eastAsia" w:ascii="楷体" w:hAnsi="楷体" w:eastAsia="楷体" w:cs="楷体"/>
                <w:b/>
                <w:bCs/>
                <w:color w:val="auto"/>
                <w:spacing w:val="-4"/>
                <w:sz w:val="21"/>
                <w:szCs w:val="21"/>
                <w:highlight w:val="none"/>
              </w:rPr>
            </w:pPr>
            <w:r>
              <w:rPr>
                <w:rFonts w:hint="eastAsia" w:ascii="楷体" w:hAnsi="楷体" w:eastAsia="楷体" w:cs="楷体"/>
                <w:b/>
                <w:bCs/>
                <w:color w:val="auto"/>
                <w:spacing w:val="-4"/>
                <w:sz w:val="21"/>
                <w:szCs w:val="21"/>
                <w:highlight w:val="none"/>
              </w:rPr>
              <w:t>市（地）级行政区</w:t>
            </w:r>
          </w:p>
        </w:tc>
        <w:tc>
          <w:tcPr>
            <w:tcW w:w="232" w:type="pct"/>
            <w:tcBorders>
              <w:bottom w:val="single" w:color="auto" w:sz="4" w:space="0"/>
            </w:tcBorders>
            <w:vAlign w:val="top"/>
          </w:tcPr>
          <w:p>
            <w:pPr>
              <w:spacing w:before="200" w:line="220" w:lineRule="auto"/>
              <w:ind w:left="44"/>
              <w:jc w:val="center"/>
              <w:rPr>
                <w:rFonts w:hint="eastAsia" w:ascii="楷体" w:hAnsi="楷体" w:eastAsia="楷体" w:cs="楷体"/>
                <w:b/>
                <w:bCs/>
                <w:color w:val="auto"/>
                <w:spacing w:val="-4"/>
                <w:sz w:val="21"/>
                <w:szCs w:val="21"/>
                <w:highlight w:val="none"/>
              </w:rPr>
            </w:pPr>
            <w:r>
              <w:rPr>
                <w:rFonts w:hint="eastAsia" w:ascii="楷体" w:hAnsi="楷体" w:eastAsia="楷体" w:cs="楷体"/>
                <w:b/>
                <w:bCs/>
                <w:color w:val="auto"/>
                <w:spacing w:val="-4"/>
                <w:sz w:val="21"/>
                <w:szCs w:val="21"/>
                <w:highlight w:val="none"/>
              </w:rPr>
              <w:t>旗县级行政区</w:t>
            </w:r>
          </w:p>
        </w:tc>
        <w:tc>
          <w:tcPr>
            <w:tcW w:w="880" w:type="pct"/>
            <w:vAlign w:val="center"/>
          </w:tcPr>
          <w:p>
            <w:pPr>
              <w:spacing w:before="200" w:line="220" w:lineRule="auto"/>
              <w:ind w:left="44"/>
              <w:jc w:val="center"/>
              <w:rPr>
                <w:rFonts w:hint="eastAsia" w:ascii="楷体" w:hAnsi="楷体" w:eastAsia="楷体" w:cs="楷体"/>
                <w:b/>
                <w:bCs/>
                <w:color w:val="auto"/>
                <w:spacing w:val="-4"/>
                <w:sz w:val="21"/>
                <w:szCs w:val="21"/>
                <w:highlight w:val="none"/>
              </w:rPr>
            </w:pPr>
            <w:r>
              <w:rPr>
                <w:rFonts w:hint="eastAsia" w:ascii="楷体" w:hAnsi="楷体" w:eastAsia="楷体" w:cs="楷体"/>
                <w:b/>
                <w:bCs/>
                <w:color w:val="auto"/>
                <w:spacing w:val="-4"/>
                <w:sz w:val="21"/>
                <w:szCs w:val="21"/>
                <w:highlight w:val="none"/>
              </w:rPr>
              <w:t>起止位置</w:t>
            </w:r>
          </w:p>
        </w:tc>
        <w:tc>
          <w:tcPr>
            <w:tcW w:w="816" w:type="pct"/>
            <w:vAlign w:val="center"/>
          </w:tcPr>
          <w:p>
            <w:pPr>
              <w:spacing w:before="200" w:line="220" w:lineRule="auto"/>
              <w:ind w:left="44"/>
              <w:jc w:val="center"/>
              <w:rPr>
                <w:rFonts w:hint="eastAsia" w:ascii="楷体" w:hAnsi="楷体" w:eastAsia="楷体" w:cs="楷体"/>
                <w:b/>
                <w:bCs/>
                <w:color w:val="auto"/>
                <w:spacing w:val="-4"/>
                <w:sz w:val="21"/>
                <w:szCs w:val="21"/>
                <w:highlight w:val="none"/>
              </w:rPr>
            </w:pPr>
            <w:r>
              <w:rPr>
                <w:rFonts w:hint="eastAsia" w:ascii="楷体" w:hAnsi="楷体" w:eastAsia="楷体" w:cs="楷体"/>
                <w:b/>
                <w:bCs/>
                <w:color w:val="auto"/>
                <w:spacing w:val="-4"/>
                <w:sz w:val="21"/>
                <w:szCs w:val="21"/>
                <w:highlight w:val="none"/>
              </w:rPr>
              <w:t>功能区类型</w:t>
            </w:r>
          </w:p>
        </w:tc>
        <w:tc>
          <w:tcPr>
            <w:tcW w:w="524" w:type="pct"/>
            <w:vAlign w:val="top"/>
          </w:tcPr>
          <w:p>
            <w:pPr>
              <w:spacing w:before="200" w:line="220" w:lineRule="auto"/>
              <w:ind w:left="44"/>
              <w:jc w:val="center"/>
              <w:rPr>
                <w:rFonts w:hint="eastAsia" w:ascii="楷体" w:hAnsi="楷体" w:eastAsia="楷体" w:cs="楷体"/>
                <w:b/>
                <w:bCs/>
                <w:color w:val="auto"/>
                <w:spacing w:val="-4"/>
                <w:sz w:val="21"/>
                <w:szCs w:val="21"/>
                <w:highlight w:val="none"/>
              </w:rPr>
            </w:pPr>
            <w:r>
              <w:rPr>
                <w:rFonts w:hint="eastAsia" w:ascii="楷体" w:hAnsi="楷体" w:eastAsia="楷体" w:cs="楷体"/>
                <w:b/>
                <w:bCs/>
                <w:color w:val="auto"/>
                <w:spacing w:val="-4"/>
                <w:sz w:val="21"/>
                <w:szCs w:val="21"/>
                <w:highlight w:val="none"/>
              </w:rPr>
              <w:t>外缘边界线长度</w:t>
            </w:r>
          </w:p>
          <w:p>
            <w:pPr>
              <w:spacing w:before="200" w:line="220" w:lineRule="auto"/>
              <w:ind w:left="44"/>
              <w:jc w:val="center"/>
              <w:rPr>
                <w:rFonts w:hint="eastAsia" w:ascii="楷体" w:hAnsi="楷体" w:eastAsia="楷体" w:cs="楷体"/>
                <w:b/>
                <w:bCs/>
                <w:color w:val="auto"/>
                <w:spacing w:val="-4"/>
                <w:sz w:val="21"/>
                <w:szCs w:val="21"/>
                <w:highlight w:val="none"/>
              </w:rPr>
            </w:pPr>
            <w:r>
              <w:rPr>
                <w:rFonts w:hint="eastAsia" w:ascii="楷体" w:hAnsi="楷体" w:eastAsia="楷体" w:cs="楷体"/>
                <w:b/>
                <w:bCs/>
                <w:color w:val="auto"/>
                <w:spacing w:val="-4"/>
                <w:sz w:val="21"/>
                <w:szCs w:val="21"/>
                <w:highlight w:val="none"/>
              </w:rPr>
              <w:t>(km)</w:t>
            </w:r>
          </w:p>
        </w:tc>
        <w:tc>
          <w:tcPr>
            <w:tcW w:w="530" w:type="pct"/>
            <w:vAlign w:val="top"/>
          </w:tcPr>
          <w:p>
            <w:pPr>
              <w:spacing w:before="200" w:line="220" w:lineRule="auto"/>
              <w:ind w:left="44"/>
              <w:jc w:val="center"/>
              <w:rPr>
                <w:rFonts w:hint="eastAsia" w:ascii="楷体" w:hAnsi="楷体" w:eastAsia="楷体" w:cs="楷体"/>
                <w:b/>
                <w:bCs/>
                <w:color w:val="auto"/>
                <w:spacing w:val="-4"/>
                <w:sz w:val="21"/>
                <w:szCs w:val="21"/>
                <w:highlight w:val="none"/>
              </w:rPr>
            </w:pPr>
            <w:r>
              <w:rPr>
                <w:rFonts w:hint="eastAsia" w:ascii="楷体" w:hAnsi="楷体" w:eastAsia="楷体" w:cs="楷体"/>
                <w:b/>
                <w:bCs/>
                <w:color w:val="auto"/>
                <w:spacing w:val="-4"/>
                <w:sz w:val="21"/>
                <w:szCs w:val="21"/>
                <w:highlight w:val="none"/>
              </w:rPr>
              <w:t>临水边界线长度</w:t>
            </w:r>
          </w:p>
          <w:p>
            <w:pPr>
              <w:spacing w:before="200" w:line="220" w:lineRule="auto"/>
              <w:ind w:left="44"/>
              <w:jc w:val="center"/>
              <w:rPr>
                <w:rFonts w:hint="eastAsia" w:ascii="楷体" w:hAnsi="楷体" w:eastAsia="楷体" w:cs="楷体"/>
                <w:b/>
                <w:bCs/>
                <w:color w:val="auto"/>
                <w:spacing w:val="-4"/>
                <w:sz w:val="21"/>
                <w:szCs w:val="21"/>
                <w:highlight w:val="none"/>
              </w:rPr>
            </w:pPr>
            <w:r>
              <w:rPr>
                <w:rFonts w:hint="eastAsia" w:ascii="楷体" w:hAnsi="楷体" w:eastAsia="楷体" w:cs="楷体"/>
                <w:b/>
                <w:bCs/>
                <w:color w:val="auto"/>
                <w:spacing w:val="-4"/>
                <w:sz w:val="21"/>
                <w:szCs w:val="21"/>
                <w:highlight w:val="none"/>
              </w:rPr>
              <w:t>(km)</w:t>
            </w:r>
          </w:p>
        </w:tc>
        <w:tc>
          <w:tcPr>
            <w:tcW w:w="524" w:type="pct"/>
            <w:vAlign w:val="top"/>
          </w:tcPr>
          <w:p>
            <w:pPr>
              <w:spacing w:before="200" w:line="220" w:lineRule="auto"/>
              <w:ind w:left="44"/>
              <w:jc w:val="center"/>
              <w:rPr>
                <w:rFonts w:hint="eastAsia" w:ascii="楷体" w:hAnsi="楷体" w:eastAsia="楷体" w:cs="楷体"/>
                <w:b/>
                <w:bCs/>
                <w:color w:val="auto"/>
                <w:spacing w:val="-4"/>
                <w:sz w:val="21"/>
                <w:szCs w:val="21"/>
                <w:highlight w:val="none"/>
              </w:rPr>
            </w:pPr>
            <w:r>
              <w:rPr>
                <w:rFonts w:hint="eastAsia" w:ascii="楷体" w:hAnsi="楷体" w:eastAsia="楷体" w:cs="楷体"/>
                <w:b/>
                <w:bCs/>
                <w:color w:val="auto"/>
                <w:spacing w:val="-4"/>
                <w:sz w:val="21"/>
                <w:szCs w:val="21"/>
                <w:highlight w:val="none"/>
              </w:rPr>
              <w:t>岸线功能区面积(km²)</w:t>
            </w:r>
          </w:p>
        </w:tc>
        <w:tc>
          <w:tcPr>
            <w:tcW w:w="1055" w:type="pct"/>
            <w:vAlign w:val="top"/>
          </w:tcPr>
          <w:p>
            <w:pPr>
              <w:spacing w:before="200" w:line="220" w:lineRule="auto"/>
              <w:ind w:left="44"/>
              <w:jc w:val="center"/>
              <w:rPr>
                <w:rFonts w:hint="eastAsia" w:ascii="楷体" w:hAnsi="楷体" w:eastAsia="楷体" w:cs="楷体"/>
                <w:b/>
                <w:bCs/>
                <w:color w:val="auto"/>
                <w:spacing w:val="-4"/>
                <w:sz w:val="21"/>
                <w:szCs w:val="21"/>
                <w:highlight w:val="none"/>
              </w:rPr>
            </w:pPr>
            <w:r>
              <w:rPr>
                <w:rFonts w:hint="eastAsia" w:ascii="楷体" w:hAnsi="楷体" w:eastAsia="楷体" w:cs="楷体"/>
                <w:b/>
                <w:bCs/>
                <w:color w:val="auto"/>
                <w:spacing w:val="-4"/>
                <w:sz w:val="21"/>
                <w:szCs w:val="21"/>
                <w:highlight w:val="none"/>
              </w:rPr>
              <w:t>主要划分依据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8" w:hRule="atLeast"/>
        </w:trPr>
        <w:tc>
          <w:tcPr>
            <w:tcW w:w="153" w:type="pct"/>
            <w:tcBorders>
              <w:right w:val="single" w:color="auto" w:sz="4" w:space="0"/>
            </w:tcBorders>
            <w:vAlign w:val="top"/>
          </w:tcPr>
          <w:p>
            <w:pPr>
              <w:jc w:val="center"/>
              <w:rPr>
                <w:rFonts w:hint="eastAsia" w:ascii="楷体" w:hAnsi="楷体" w:eastAsia="楷体" w:cs="楷体"/>
                <w:color w:val="auto"/>
                <w:sz w:val="21"/>
                <w:szCs w:val="21"/>
                <w:highlight w:val="none"/>
              </w:rPr>
            </w:pPr>
          </w:p>
          <w:p>
            <w:pPr>
              <w:spacing w:line="241" w:lineRule="auto"/>
              <w:jc w:val="center"/>
              <w:rPr>
                <w:rFonts w:hint="eastAsia" w:ascii="楷体" w:hAnsi="楷体" w:eastAsia="楷体" w:cs="楷体"/>
                <w:color w:val="auto"/>
                <w:sz w:val="21"/>
                <w:szCs w:val="21"/>
                <w:highlight w:val="none"/>
              </w:rPr>
            </w:pPr>
          </w:p>
          <w:p>
            <w:pPr>
              <w:spacing w:before="65" w:line="184" w:lineRule="auto"/>
              <w:ind w:left="74"/>
              <w:jc w:val="center"/>
              <w:rPr>
                <w:rFonts w:hint="eastAsia" w:ascii="楷体" w:hAnsi="楷体" w:eastAsia="楷体" w:cs="楷体"/>
                <w:color w:val="auto"/>
                <w:sz w:val="21"/>
                <w:szCs w:val="21"/>
                <w:highlight w:val="none"/>
              </w:rPr>
            </w:pPr>
            <w:r>
              <w:rPr>
                <w:rFonts w:hint="eastAsia" w:ascii="楷体" w:hAnsi="楷体" w:eastAsia="楷体" w:cs="楷体"/>
                <w:color w:val="auto"/>
                <w:sz w:val="21"/>
                <w:szCs w:val="21"/>
                <w:highlight w:val="none"/>
              </w:rPr>
              <w:t>1</w:t>
            </w:r>
          </w:p>
        </w:tc>
        <w:tc>
          <w:tcPr>
            <w:tcW w:w="282" w:type="pct"/>
            <w:vMerge w:val="restart"/>
            <w:tcBorders>
              <w:top w:val="single" w:color="auto" w:sz="4" w:space="0"/>
              <w:left w:val="single" w:color="auto" w:sz="4" w:space="0"/>
              <w:bottom w:val="single" w:color="auto" w:sz="4" w:space="0"/>
            </w:tcBorders>
            <w:vAlign w:val="center"/>
          </w:tcPr>
          <w:p>
            <w:pPr>
              <w:spacing w:before="65" w:line="248" w:lineRule="auto"/>
              <w:ind w:left="49" w:right="47" w:firstLine="100"/>
              <w:jc w:val="center"/>
              <w:rPr>
                <w:rFonts w:hint="eastAsia" w:ascii="楷体" w:hAnsi="楷体" w:eastAsia="楷体" w:cs="楷体"/>
                <w:color w:val="auto"/>
                <w:sz w:val="21"/>
                <w:szCs w:val="21"/>
                <w:highlight w:val="none"/>
              </w:rPr>
            </w:pPr>
            <w:r>
              <w:rPr>
                <w:rFonts w:hint="eastAsia" w:ascii="楷体" w:hAnsi="楷体" w:eastAsia="楷体" w:cs="楷体"/>
                <w:color w:val="auto"/>
                <w:spacing w:val="8"/>
                <w:sz w:val="21"/>
                <w:szCs w:val="21"/>
                <w:highlight w:val="none"/>
              </w:rPr>
              <w:t>巴彦</w:t>
            </w:r>
            <w:r>
              <w:rPr>
                <w:rFonts w:hint="eastAsia" w:ascii="楷体" w:hAnsi="楷体" w:eastAsia="楷体" w:cs="楷体"/>
                <w:color w:val="auto"/>
                <w:spacing w:val="3"/>
                <w:sz w:val="21"/>
                <w:szCs w:val="21"/>
                <w:highlight w:val="none"/>
              </w:rPr>
              <w:t>淖尔市</w:t>
            </w:r>
          </w:p>
        </w:tc>
        <w:tc>
          <w:tcPr>
            <w:tcW w:w="232" w:type="pct"/>
            <w:vMerge w:val="restart"/>
            <w:tcBorders>
              <w:top w:val="single" w:color="auto" w:sz="4" w:space="0"/>
              <w:bottom w:val="single" w:color="auto" w:sz="4" w:space="0"/>
              <w:right w:val="single" w:color="auto" w:sz="4" w:space="0"/>
            </w:tcBorders>
            <w:vAlign w:val="center"/>
          </w:tcPr>
          <w:p>
            <w:pPr>
              <w:spacing w:before="65" w:line="254" w:lineRule="auto"/>
              <w:ind w:left="10" w:right="1"/>
              <w:jc w:val="center"/>
              <w:rPr>
                <w:rFonts w:hint="eastAsia" w:ascii="楷体" w:hAnsi="楷体" w:eastAsia="楷体" w:cs="楷体"/>
                <w:color w:val="auto"/>
                <w:sz w:val="21"/>
                <w:szCs w:val="21"/>
                <w:highlight w:val="none"/>
                <w:lang w:eastAsia="zh-CN"/>
              </w:rPr>
            </w:pPr>
            <w:r>
              <w:rPr>
                <w:rFonts w:hint="eastAsia" w:ascii="楷体" w:hAnsi="楷体" w:eastAsia="楷体" w:cs="楷体"/>
                <w:color w:val="auto"/>
                <w:spacing w:val="-12"/>
                <w:sz w:val="21"/>
                <w:szCs w:val="21"/>
                <w:highlight w:val="none"/>
                <w:lang w:val="en-US" w:eastAsia="zh-CN"/>
              </w:rPr>
              <w:t>磴口县</w:t>
            </w:r>
          </w:p>
        </w:tc>
        <w:tc>
          <w:tcPr>
            <w:tcW w:w="880" w:type="pct"/>
            <w:tcBorders>
              <w:left w:val="single" w:color="auto" w:sz="4" w:space="0"/>
            </w:tcBorders>
            <w:vAlign w:val="top"/>
          </w:tcPr>
          <w:p>
            <w:pPr>
              <w:spacing w:line="430" w:lineRule="auto"/>
              <w:rPr>
                <w:rFonts w:hint="eastAsia" w:ascii="楷体" w:hAnsi="楷体" w:eastAsia="楷体" w:cs="楷体"/>
                <w:color w:val="auto"/>
                <w:sz w:val="21"/>
                <w:szCs w:val="21"/>
                <w:highlight w:val="none"/>
              </w:rPr>
            </w:pPr>
          </w:p>
          <w:p>
            <w:pPr>
              <w:spacing w:before="65" w:line="219" w:lineRule="auto"/>
              <w:ind w:left="42"/>
              <w:jc w:val="center"/>
              <w:rPr>
                <w:rFonts w:hint="default" w:ascii="楷体" w:hAnsi="楷体" w:eastAsia="楷体" w:cs="楷体"/>
                <w:color w:val="auto"/>
                <w:sz w:val="21"/>
                <w:szCs w:val="21"/>
                <w:highlight w:val="none"/>
                <w:lang w:val="en-US" w:eastAsia="zh-CN"/>
              </w:rPr>
            </w:pPr>
            <w:r>
              <w:rPr>
                <w:rFonts w:hint="eastAsia" w:ascii="楷体" w:hAnsi="楷体" w:eastAsia="楷体" w:cs="楷体"/>
                <w:color w:val="auto"/>
                <w:sz w:val="21"/>
                <w:szCs w:val="21"/>
                <w:highlight w:val="none"/>
                <w:lang w:val="en-US" w:eastAsia="zh-CN"/>
              </w:rPr>
              <w:t>0+000</w:t>
            </w:r>
            <w:r>
              <w:rPr>
                <w:rFonts w:hint="eastAsia" w:ascii="楷体" w:hAnsi="楷体" w:eastAsia="楷体" w:cs="楷体"/>
                <w:color w:val="auto"/>
                <w:sz w:val="21"/>
                <w:szCs w:val="21"/>
                <w:highlight w:val="none"/>
              </w:rPr>
              <w:t>～</w:t>
            </w:r>
            <w:r>
              <w:rPr>
                <w:rFonts w:hint="eastAsia" w:ascii="楷体" w:hAnsi="楷体" w:eastAsia="楷体" w:cs="楷体"/>
                <w:color w:val="auto"/>
                <w:sz w:val="21"/>
                <w:szCs w:val="21"/>
                <w:highlight w:val="none"/>
                <w:lang w:val="en-US" w:eastAsia="zh-CN"/>
              </w:rPr>
              <w:t>0+117、11+032</w:t>
            </w:r>
            <w:r>
              <w:rPr>
                <w:rFonts w:hint="eastAsia" w:ascii="楷体" w:hAnsi="楷体" w:eastAsia="楷体" w:cs="楷体"/>
                <w:color w:val="auto"/>
                <w:sz w:val="21"/>
                <w:szCs w:val="21"/>
                <w:highlight w:val="none"/>
              </w:rPr>
              <w:t>～</w:t>
            </w:r>
            <w:r>
              <w:rPr>
                <w:rFonts w:hint="eastAsia" w:ascii="楷体" w:hAnsi="楷体" w:eastAsia="楷体" w:cs="楷体"/>
                <w:color w:val="auto"/>
                <w:sz w:val="21"/>
                <w:szCs w:val="21"/>
                <w:highlight w:val="none"/>
                <w:lang w:val="en-US" w:eastAsia="zh-CN"/>
              </w:rPr>
              <w:t>11+369</w:t>
            </w:r>
          </w:p>
        </w:tc>
        <w:tc>
          <w:tcPr>
            <w:tcW w:w="816" w:type="pct"/>
            <w:vAlign w:val="top"/>
          </w:tcPr>
          <w:p>
            <w:pPr>
              <w:spacing w:line="432" w:lineRule="auto"/>
              <w:jc w:val="center"/>
              <w:rPr>
                <w:rFonts w:hint="eastAsia" w:ascii="楷体" w:hAnsi="楷体" w:eastAsia="楷体" w:cs="楷体"/>
                <w:color w:val="auto"/>
                <w:sz w:val="21"/>
                <w:szCs w:val="21"/>
                <w:highlight w:val="none"/>
              </w:rPr>
            </w:pPr>
          </w:p>
          <w:p>
            <w:pPr>
              <w:spacing w:before="65" w:line="220" w:lineRule="auto"/>
              <w:ind w:left="64"/>
              <w:jc w:val="center"/>
              <w:rPr>
                <w:rFonts w:hint="eastAsia" w:ascii="楷体" w:hAnsi="楷体" w:eastAsia="楷体" w:cs="楷体"/>
                <w:color w:val="auto"/>
                <w:sz w:val="21"/>
                <w:szCs w:val="21"/>
                <w:highlight w:val="none"/>
              </w:rPr>
            </w:pPr>
            <w:r>
              <w:rPr>
                <w:rFonts w:hint="eastAsia" w:ascii="楷体" w:hAnsi="楷体" w:eastAsia="楷体" w:cs="楷体"/>
                <w:color w:val="auto"/>
                <w:spacing w:val="2"/>
                <w:sz w:val="21"/>
                <w:szCs w:val="21"/>
                <w:highlight w:val="none"/>
              </w:rPr>
              <w:t>岸线</w:t>
            </w:r>
            <w:r>
              <w:rPr>
                <w:rFonts w:hint="eastAsia" w:ascii="楷体" w:hAnsi="楷体" w:eastAsia="楷体" w:cs="楷体"/>
                <w:color w:val="auto"/>
                <w:spacing w:val="2"/>
                <w:sz w:val="21"/>
                <w:szCs w:val="21"/>
                <w:highlight w:val="none"/>
                <w:lang w:val="en-US" w:eastAsia="zh-CN"/>
              </w:rPr>
              <w:t>开发</w:t>
            </w:r>
            <w:r>
              <w:rPr>
                <w:rFonts w:hint="eastAsia" w:ascii="楷体" w:hAnsi="楷体" w:eastAsia="楷体" w:cs="楷体"/>
                <w:color w:val="auto"/>
                <w:spacing w:val="2"/>
                <w:sz w:val="21"/>
                <w:szCs w:val="21"/>
                <w:highlight w:val="none"/>
              </w:rPr>
              <w:t>利用区</w:t>
            </w:r>
          </w:p>
        </w:tc>
        <w:tc>
          <w:tcPr>
            <w:tcW w:w="524" w:type="pct"/>
            <w:vAlign w:val="top"/>
          </w:tcPr>
          <w:p>
            <w:pPr>
              <w:rPr>
                <w:rFonts w:hint="eastAsia" w:ascii="楷体" w:hAnsi="楷体" w:eastAsia="楷体" w:cs="楷体"/>
                <w:color w:val="auto"/>
                <w:sz w:val="21"/>
                <w:szCs w:val="21"/>
                <w:highlight w:val="none"/>
              </w:rPr>
            </w:pPr>
          </w:p>
          <w:p>
            <w:pPr>
              <w:spacing w:line="241" w:lineRule="auto"/>
              <w:rPr>
                <w:rFonts w:hint="eastAsia" w:ascii="楷体" w:hAnsi="楷体" w:eastAsia="楷体" w:cs="楷体"/>
                <w:color w:val="auto"/>
                <w:sz w:val="21"/>
                <w:szCs w:val="21"/>
                <w:highlight w:val="none"/>
              </w:rPr>
            </w:pPr>
          </w:p>
          <w:p>
            <w:pPr>
              <w:spacing w:before="65" w:line="184" w:lineRule="auto"/>
              <w:ind w:left="404"/>
              <w:rPr>
                <w:rFonts w:hint="default" w:ascii="楷体" w:hAnsi="楷体" w:eastAsia="楷体" w:cs="楷体"/>
                <w:color w:val="auto"/>
                <w:sz w:val="21"/>
                <w:szCs w:val="21"/>
                <w:highlight w:val="none"/>
                <w:lang w:val="en-US" w:eastAsia="zh-CN"/>
              </w:rPr>
            </w:pPr>
            <w:r>
              <w:rPr>
                <w:rFonts w:hint="eastAsia" w:ascii="楷体" w:hAnsi="楷体" w:eastAsia="楷体" w:cs="楷体"/>
                <w:color w:val="auto"/>
                <w:spacing w:val="-4"/>
                <w:sz w:val="21"/>
                <w:szCs w:val="21"/>
                <w:highlight w:val="none"/>
                <w:lang w:val="en-US" w:eastAsia="zh-CN"/>
              </w:rPr>
              <w:t>0.454</w:t>
            </w:r>
          </w:p>
        </w:tc>
        <w:tc>
          <w:tcPr>
            <w:tcW w:w="530" w:type="pct"/>
            <w:vAlign w:val="top"/>
          </w:tcPr>
          <w:p>
            <w:pPr>
              <w:rPr>
                <w:rFonts w:hint="eastAsia" w:ascii="楷体" w:hAnsi="楷体" w:eastAsia="楷体" w:cs="楷体"/>
                <w:color w:val="auto"/>
                <w:sz w:val="21"/>
                <w:szCs w:val="21"/>
                <w:highlight w:val="none"/>
              </w:rPr>
            </w:pPr>
          </w:p>
          <w:p>
            <w:pPr>
              <w:spacing w:line="241" w:lineRule="auto"/>
              <w:rPr>
                <w:rFonts w:hint="eastAsia" w:ascii="楷体" w:hAnsi="楷体" w:eastAsia="楷体" w:cs="楷体"/>
                <w:color w:val="auto"/>
                <w:sz w:val="21"/>
                <w:szCs w:val="21"/>
                <w:highlight w:val="none"/>
              </w:rPr>
            </w:pPr>
          </w:p>
          <w:p>
            <w:pPr>
              <w:spacing w:before="65" w:line="184" w:lineRule="auto"/>
              <w:ind w:left="415"/>
              <w:rPr>
                <w:rFonts w:hint="default" w:ascii="楷体" w:hAnsi="楷体" w:eastAsia="楷体" w:cs="楷体"/>
                <w:color w:val="auto"/>
                <w:sz w:val="21"/>
                <w:szCs w:val="21"/>
                <w:highlight w:val="none"/>
                <w:lang w:val="en-US" w:eastAsia="zh-CN"/>
              </w:rPr>
            </w:pPr>
            <w:r>
              <w:rPr>
                <w:rFonts w:hint="eastAsia" w:ascii="楷体" w:hAnsi="楷体" w:eastAsia="楷体" w:cs="楷体"/>
                <w:color w:val="auto"/>
                <w:spacing w:val="-4"/>
                <w:sz w:val="21"/>
                <w:szCs w:val="21"/>
                <w:highlight w:val="none"/>
                <w:lang w:val="en-US" w:eastAsia="zh-CN"/>
              </w:rPr>
              <w:t>0.454</w:t>
            </w:r>
          </w:p>
        </w:tc>
        <w:tc>
          <w:tcPr>
            <w:tcW w:w="524" w:type="pct"/>
            <w:vAlign w:val="top"/>
          </w:tcPr>
          <w:p>
            <w:pPr>
              <w:rPr>
                <w:rFonts w:hint="eastAsia" w:ascii="楷体" w:hAnsi="楷体" w:eastAsia="楷体" w:cs="楷体"/>
                <w:color w:val="auto"/>
                <w:sz w:val="21"/>
                <w:szCs w:val="21"/>
                <w:highlight w:val="none"/>
              </w:rPr>
            </w:pPr>
          </w:p>
          <w:p>
            <w:pPr>
              <w:spacing w:line="241" w:lineRule="auto"/>
              <w:rPr>
                <w:rFonts w:hint="eastAsia" w:ascii="楷体" w:hAnsi="楷体" w:eastAsia="楷体" w:cs="楷体"/>
                <w:color w:val="auto"/>
                <w:sz w:val="21"/>
                <w:szCs w:val="21"/>
                <w:highlight w:val="none"/>
              </w:rPr>
            </w:pPr>
          </w:p>
          <w:p>
            <w:pPr>
              <w:spacing w:before="65" w:line="184" w:lineRule="auto"/>
              <w:ind w:left="406"/>
              <w:rPr>
                <w:rFonts w:hint="default" w:ascii="楷体" w:hAnsi="楷体" w:eastAsia="楷体" w:cs="楷体"/>
                <w:color w:val="auto"/>
                <w:sz w:val="21"/>
                <w:szCs w:val="21"/>
                <w:highlight w:val="none"/>
                <w:lang w:val="en-US" w:eastAsia="zh-CN"/>
              </w:rPr>
            </w:pPr>
            <w:r>
              <w:rPr>
                <w:rFonts w:hint="eastAsia" w:ascii="楷体" w:hAnsi="楷体" w:eastAsia="楷体" w:cs="楷体"/>
                <w:color w:val="auto"/>
                <w:spacing w:val="-2"/>
                <w:sz w:val="21"/>
                <w:szCs w:val="21"/>
                <w:highlight w:val="none"/>
                <w:lang w:val="en-US" w:eastAsia="zh-CN"/>
              </w:rPr>
              <w:t>0.11</w:t>
            </w:r>
          </w:p>
        </w:tc>
        <w:tc>
          <w:tcPr>
            <w:tcW w:w="1055" w:type="pct"/>
            <w:vAlign w:val="top"/>
          </w:tcPr>
          <w:p>
            <w:pPr>
              <w:spacing w:before="89" w:line="219" w:lineRule="auto"/>
              <w:ind w:left="57"/>
              <w:rPr>
                <w:rFonts w:hint="eastAsia" w:ascii="楷体" w:hAnsi="楷体" w:eastAsia="楷体" w:cs="楷体"/>
                <w:color w:val="auto"/>
                <w:spacing w:val="10"/>
                <w:sz w:val="21"/>
                <w:szCs w:val="21"/>
                <w:highlight w:val="none"/>
              </w:rPr>
            </w:pPr>
            <w:r>
              <w:rPr>
                <w:rFonts w:hint="eastAsia" w:ascii="楷体" w:hAnsi="楷体" w:eastAsia="楷体" w:cs="楷体"/>
                <w:color w:val="auto"/>
                <w:spacing w:val="10"/>
                <w:sz w:val="21"/>
                <w:szCs w:val="21"/>
                <w:highlight w:val="none"/>
                <w:lang w:val="en-US" w:eastAsia="zh-CN"/>
              </w:rPr>
              <w:t>岸线利用条件较好</w:t>
            </w:r>
          </w:p>
          <w:p>
            <w:pPr>
              <w:spacing w:before="89" w:line="219" w:lineRule="auto"/>
              <w:ind w:left="57"/>
              <w:rPr>
                <w:rFonts w:hint="eastAsia" w:ascii="楷体" w:hAnsi="楷体" w:eastAsia="楷体" w:cs="楷体"/>
                <w:color w:val="auto"/>
                <w:sz w:val="21"/>
                <w:szCs w:val="21"/>
                <w:highlight w:val="none"/>
              </w:rPr>
            </w:pPr>
            <w:r>
              <w:rPr>
                <w:rFonts w:hint="eastAsia" w:ascii="楷体" w:hAnsi="楷体" w:eastAsia="楷体" w:cs="楷体"/>
                <w:color w:val="auto"/>
                <w:spacing w:val="10"/>
                <w:sz w:val="21"/>
                <w:szCs w:val="21"/>
                <w:highlight w:val="none"/>
                <w:lang w:val="en-US" w:eastAsia="zh-CN"/>
              </w:rPr>
              <w:t>对防洪安全、河势稳定、供水安全以及生态环境影响较小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153" w:type="pct"/>
            <w:tcBorders>
              <w:right w:val="single" w:color="auto" w:sz="4" w:space="0"/>
            </w:tcBorders>
            <w:vAlign w:val="top"/>
          </w:tcPr>
          <w:p>
            <w:pPr>
              <w:spacing w:line="455" w:lineRule="auto"/>
              <w:jc w:val="center"/>
              <w:rPr>
                <w:rFonts w:hint="eastAsia" w:ascii="楷体" w:hAnsi="楷体" w:eastAsia="楷体" w:cs="楷体"/>
                <w:color w:val="auto"/>
                <w:sz w:val="21"/>
                <w:szCs w:val="21"/>
                <w:highlight w:val="none"/>
              </w:rPr>
            </w:pPr>
          </w:p>
          <w:p>
            <w:pPr>
              <w:spacing w:before="65" w:line="183" w:lineRule="auto"/>
              <w:ind w:left="74"/>
              <w:jc w:val="center"/>
              <w:rPr>
                <w:rFonts w:hint="eastAsia" w:ascii="楷体" w:hAnsi="楷体" w:eastAsia="楷体" w:cs="楷体"/>
                <w:color w:val="auto"/>
                <w:sz w:val="21"/>
                <w:szCs w:val="21"/>
                <w:highlight w:val="none"/>
              </w:rPr>
            </w:pPr>
            <w:r>
              <w:rPr>
                <w:rFonts w:hint="eastAsia" w:ascii="楷体" w:hAnsi="楷体" w:eastAsia="楷体" w:cs="楷体"/>
                <w:color w:val="auto"/>
                <w:sz w:val="21"/>
                <w:szCs w:val="21"/>
                <w:highlight w:val="none"/>
              </w:rPr>
              <w:t>2</w:t>
            </w:r>
          </w:p>
        </w:tc>
        <w:tc>
          <w:tcPr>
            <w:tcW w:w="282" w:type="pct"/>
            <w:vMerge w:val="continue"/>
            <w:tcBorders>
              <w:top w:val="single" w:color="auto" w:sz="4" w:space="0"/>
              <w:left w:val="single" w:color="auto" w:sz="4" w:space="0"/>
              <w:bottom w:val="single" w:color="auto" w:sz="4" w:space="0"/>
            </w:tcBorders>
            <w:vAlign w:val="top"/>
          </w:tcPr>
          <w:p>
            <w:pPr>
              <w:rPr>
                <w:rFonts w:hint="eastAsia" w:ascii="楷体" w:hAnsi="楷体" w:eastAsia="楷体" w:cs="楷体"/>
                <w:color w:val="auto"/>
                <w:sz w:val="21"/>
                <w:szCs w:val="21"/>
                <w:highlight w:val="none"/>
              </w:rPr>
            </w:pPr>
          </w:p>
        </w:tc>
        <w:tc>
          <w:tcPr>
            <w:tcW w:w="232" w:type="pct"/>
            <w:vMerge w:val="continue"/>
            <w:tcBorders>
              <w:top w:val="single" w:color="auto" w:sz="4" w:space="0"/>
              <w:bottom w:val="single" w:color="auto" w:sz="4" w:space="0"/>
              <w:right w:val="single" w:color="auto" w:sz="4" w:space="0"/>
            </w:tcBorders>
            <w:vAlign w:val="top"/>
          </w:tcPr>
          <w:p>
            <w:pPr>
              <w:rPr>
                <w:rFonts w:hint="eastAsia" w:ascii="楷体" w:hAnsi="楷体" w:eastAsia="楷体" w:cs="楷体"/>
                <w:color w:val="auto"/>
                <w:sz w:val="21"/>
                <w:szCs w:val="21"/>
                <w:highlight w:val="none"/>
              </w:rPr>
            </w:pPr>
          </w:p>
        </w:tc>
        <w:tc>
          <w:tcPr>
            <w:tcW w:w="880" w:type="pct"/>
            <w:tcBorders>
              <w:left w:val="single" w:color="auto" w:sz="4" w:space="0"/>
            </w:tcBorders>
            <w:vAlign w:val="top"/>
          </w:tcPr>
          <w:p>
            <w:pPr>
              <w:spacing w:line="403" w:lineRule="auto"/>
              <w:rPr>
                <w:rFonts w:hint="eastAsia" w:ascii="楷体" w:hAnsi="楷体" w:eastAsia="楷体" w:cs="楷体"/>
                <w:color w:val="auto"/>
                <w:sz w:val="21"/>
                <w:szCs w:val="21"/>
                <w:highlight w:val="none"/>
              </w:rPr>
            </w:pPr>
          </w:p>
          <w:p>
            <w:pPr>
              <w:spacing w:before="65" w:line="219" w:lineRule="auto"/>
              <w:ind w:left="42"/>
              <w:jc w:val="center"/>
              <w:rPr>
                <w:rFonts w:hint="default" w:ascii="楷体" w:hAnsi="楷体" w:eastAsia="楷体" w:cs="楷体"/>
                <w:color w:val="auto"/>
                <w:sz w:val="21"/>
                <w:szCs w:val="21"/>
                <w:highlight w:val="none"/>
                <w:lang w:val="en-US" w:eastAsia="zh-CN"/>
              </w:rPr>
            </w:pPr>
            <w:r>
              <w:rPr>
                <w:rFonts w:hint="eastAsia" w:ascii="楷体" w:hAnsi="楷体" w:eastAsia="楷体" w:cs="楷体"/>
                <w:color w:val="auto"/>
                <w:spacing w:val="2"/>
                <w:sz w:val="21"/>
                <w:szCs w:val="21"/>
                <w:highlight w:val="none"/>
                <w:lang w:val="en-US" w:eastAsia="zh-CN"/>
              </w:rPr>
              <w:t>0+117</w:t>
            </w:r>
            <w:r>
              <w:rPr>
                <w:rFonts w:hint="eastAsia" w:ascii="楷体" w:hAnsi="楷体" w:eastAsia="楷体" w:cs="楷体"/>
                <w:color w:val="auto"/>
                <w:spacing w:val="2"/>
                <w:sz w:val="21"/>
                <w:szCs w:val="21"/>
                <w:highlight w:val="none"/>
              </w:rPr>
              <w:t>～</w:t>
            </w:r>
            <w:r>
              <w:rPr>
                <w:rFonts w:hint="eastAsia" w:ascii="楷体" w:hAnsi="楷体" w:eastAsia="楷体" w:cs="楷体"/>
                <w:color w:val="auto"/>
                <w:spacing w:val="2"/>
                <w:sz w:val="21"/>
                <w:szCs w:val="21"/>
                <w:highlight w:val="none"/>
                <w:lang w:val="en-US" w:eastAsia="zh-CN"/>
              </w:rPr>
              <w:t>11+032、11+369</w:t>
            </w:r>
            <w:r>
              <w:rPr>
                <w:rFonts w:hint="eastAsia" w:ascii="楷体" w:hAnsi="楷体" w:eastAsia="楷体" w:cs="楷体"/>
                <w:color w:val="auto"/>
                <w:sz w:val="21"/>
                <w:szCs w:val="21"/>
                <w:highlight w:val="none"/>
              </w:rPr>
              <w:t>～</w:t>
            </w:r>
            <w:r>
              <w:rPr>
                <w:rFonts w:hint="eastAsia" w:ascii="楷体" w:hAnsi="楷体" w:eastAsia="楷体" w:cs="楷体"/>
                <w:color w:val="auto"/>
                <w:sz w:val="21"/>
                <w:szCs w:val="21"/>
                <w:highlight w:val="none"/>
                <w:lang w:val="en-US" w:eastAsia="zh-CN"/>
              </w:rPr>
              <w:t>27+032</w:t>
            </w:r>
          </w:p>
        </w:tc>
        <w:tc>
          <w:tcPr>
            <w:tcW w:w="816" w:type="pct"/>
            <w:vAlign w:val="top"/>
          </w:tcPr>
          <w:p>
            <w:pPr>
              <w:spacing w:line="404" w:lineRule="auto"/>
              <w:jc w:val="center"/>
              <w:rPr>
                <w:rFonts w:hint="eastAsia" w:ascii="楷体" w:hAnsi="楷体" w:eastAsia="楷体" w:cs="楷体"/>
                <w:color w:val="auto"/>
                <w:sz w:val="21"/>
                <w:szCs w:val="21"/>
                <w:highlight w:val="none"/>
              </w:rPr>
            </w:pPr>
          </w:p>
          <w:p>
            <w:pPr>
              <w:spacing w:before="65" w:line="220" w:lineRule="auto"/>
              <w:ind w:left="0" w:leftChars="0" w:firstLine="0" w:firstLineChars="0"/>
              <w:jc w:val="center"/>
              <w:rPr>
                <w:rFonts w:hint="eastAsia" w:ascii="楷体" w:hAnsi="楷体" w:eastAsia="楷体" w:cs="楷体"/>
                <w:color w:val="auto"/>
                <w:sz w:val="21"/>
                <w:szCs w:val="21"/>
                <w:highlight w:val="none"/>
              </w:rPr>
            </w:pPr>
            <w:r>
              <w:rPr>
                <w:rFonts w:hint="eastAsia" w:ascii="楷体" w:hAnsi="楷体" w:eastAsia="楷体" w:cs="楷体"/>
                <w:color w:val="auto"/>
                <w:spacing w:val="3"/>
                <w:sz w:val="21"/>
                <w:szCs w:val="21"/>
                <w:highlight w:val="none"/>
              </w:rPr>
              <w:t>岸线保留区</w:t>
            </w:r>
          </w:p>
        </w:tc>
        <w:tc>
          <w:tcPr>
            <w:tcW w:w="524" w:type="pct"/>
            <w:vAlign w:val="top"/>
          </w:tcPr>
          <w:p>
            <w:pPr>
              <w:spacing w:line="455" w:lineRule="auto"/>
              <w:rPr>
                <w:rFonts w:hint="eastAsia" w:ascii="楷体" w:hAnsi="楷体" w:eastAsia="楷体" w:cs="楷体"/>
                <w:color w:val="auto"/>
                <w:sz w:val="21"/>
                <w:szCs w:val="21"/>
                <w:highlight w:val="none"/>
              </w:rPr>
            </w:pPr>
          </w:p>
          <w:p>
            <w:pPr>
              <w:spacing w:before="65" w:line="183" w:lineRule="auto"/>
              <w:ind w:left="404"/>
              <w:rPr>
                <w:rFonts w:hint="default" w:ascii="楷体" w:hAnsi="楷体" w:eastAsia="楷体" w:cs="楷体"/>
                <w:color w:val="auto"/>
                <w:sz w:val="21"/>
                <w:szCs w:val="21"/>
                <w:highlight w:val="none"/>
                <w:lang w:val="en-US" w:eastAsia="zh-CN"/>
              </w:rPr>
            </w:pPr>
            <w:r>
              <w:rPr>
                <w:rFonts w:hint="eastAsia" w:ascii="楷体" w:hAnsi="楷体" w:eastAsia="楷体" w:cs="楷体"/>
                <w:color w:val="auto"/>
                <w:spacing w:val="-2"/>
                <w:sz w:val="21"/>
                <w:szCs w:val="21"/>
                <w:highlight w:val="none"/>
                <w:lang w:val="en-US" w:eastAsia="zh-CN"/>
              </w:rPr>
              <w:t>26.578</w:t>
            </w:r>
          </w:p>
        </w:tc>
        <w:tc>
          <w:tcPr>
            <w:tcW w:w="530" w:type="pct"/>
            <w:vAlign w:val="top"/>
          </w:tcPr>
          <w:p>
            <w:pPr>
              <w:spacing w:line="455" w:lineRule="auto"/>
              <w:rPr>
                <w:rFonts w:hint="eastAsia" w:ascii="楷体" w:hAnsi="楷体" w:eastAsia="楷体" w:cs="楷体"/>
                <w:color w:val="auto"/>
                <w:sz w:val="21"/>
                <w:szCs w:val="21"/>
                <w:highlight w:val="none"/>
              </w:rPr>
            </w:pPr>
          </w:p>
          <w:p>
            <w:pPr>
              <w:spacing w:before="65" w:line="183" w:lineRule="auto"/>
              <w:ind w:left="415"/>
              <w:rPr>
                <w:rFonts w:hint="default" w:ascii="楷体" w:hAnsi="楷体" w:eastAsia="楷体" w:cs="楷体"/>
                <w:color w:val="auto"/>
                <w:sz w:val="21"/>
                <w:szCs w:val="21"/>
                <w:highlight w:val="none"/>
                <w:lang w:val="en-US" w:eastAsia="zh-CN"/>
              </w:rPr>
            </w:pPr>
            <w:r>
              <w:rPr>
                <w:rFonts w:hint="eastAsia" w:ascii="楷体" w:hAnsi="楷体" w:eastAsia="楷体" w:cs="楷体"/>
                <w:color w:val="auto"/>
                <w:spacing w:val="-2"/>
                <w:sz w:val="21"/>
                <w:szCs w:val="21"/>
                <w:highlight w:val="none"/>
                <w:lang w:val="en-US" w:eastAsia="zh-CN"/>
              </w:rPr>
              <w:t>22.55</w:t>
            </w:r>
          </w:p>
        </w:tc>
        <w:tc>
          <w:tcPr>
            <w:tcW w:w="524" w:type="pct"/>
            <w:vAlign w:val="top"/>
          </w:tcPr>
          <w:p>
            <w:pPr>
              <w:spacing w:line="453" w:lineRule="auto"/>
              <w:rPr>
                <w:rFonts w:hint="eastAsia" w:ascii="楷体" w:hAnsi="楷体" w:eastAsia="楷体" w:cs="楷体"/>
                <w:color w:val="auto"/>
                <w:sz w:val="21"/>
                <w:szCs w:val="21"/>
                <w:highlight w:val="none"/>
              </w:rPr>
            </w:pPr>
          </w:p>
          <w:p>
            <w:pPr>
              <w:spacing w:before="65" w:line="184" w:lineRule="auto"/>
              <w:ind w:left="406"/>
              <w:rPr>
                <w:rFonts w:hint="default" w:ascii="楷体" w:hAnsi="楷体" w:eastAsia="楷体" w:cs="楷体"/>
                <w:color w:val="auto"/>
                <w:sz w:val="21"/>
                <w:szCs w:val="21"/>
                <w:highlight w:val="none"/>
                <w:lang w:val="en-US" w:eastAsia="zh-CN"/>
              </w:rPr>
            </w:pPr>
            <w:r>
              <w:rPr>
                <w:rFonts w:hint="eastAsia" w:ascii="楷体" w:hAnsi="楷体" w:eastAsia="楷体" w:cs="楷体"/>
                <w:color w:val="auto"/>
                <w:spacing w:val="-2"/>
                <w:sz w:val="21"/>
                <w:szCs w:val="21"/>
                <w:highlight w:val="none"/>
                <w:lang w:val="en-US" w:eastAsia="zh-CN"/>
              </w:rPr>
              <w:t>1.2</w:t>
            </w:r>
          </w:p>
        </w:tc>
        <w:tc>
          <w:tcPr>
            <w:tcW w:w="1055" w:type="pct"/>
            <w:vAlign w:val="top"/>
          </w:tcPr>
          <w:p>
            <w:pPr>
              <w:spacing w:before="211" w:line="219" w:lineRule="auto"/>
              <w:ind w:left="57"/>
              <w:rPr>
                <w:rFonts w:hint="eastAsia" w:ascii="楷体" w:hAnsi="楷体" w:eastAsia="楷体" w:cs="楷体"/>
                <w:color w:val="auto"/>
                <w:sz w:val="21"/>
                <w:szCs w:val="21"/>
                <w:highlight w:val="none"/>
              </w:rPr>
            </w:pPr>
            <w:r>
              <w:rPr>
                <w:rFonts w:hint="eastAsia" w:ascii="楷体" w:hAnsi="楷体" w:eastAsia="楷体" w:cs="楷体"/>
                <w:color w:val="auto"/>
                <w:spacing w:val="3"/>
                <w:sz w:val="21"/>
                <w:szCs w:val="21"/>
                <w:highlight w:val="none"/>
              </w:rPr>
              <w:t>生态保护红线内</w:t>
            </w:r>
          </w:p>
          <w:p>
            <w:pPr>
              <w:spacing w:before="63" w:line="290" w:lineRule="exact"/>
              <w:ind w:left="57"/>
              <w:rPr>
                <w:rFonts w:hint="eastAsia" w:ascii="楷体" w:hAnsi="楷体" w:eastAsia="楷体" w:cs="楷体"/>
                <w:color w:val="auto"/>
                <w:sz w:val="21"/>
                <w:szCs w:val="21"/>
                <w:highlight w:val="none"/>
              </w:rPr>
            </w:pPr>
            <w:r>
              <w:rPr>
                <w:rFonts w:hint="eastAsia" w:ascii="楷体" w:hAnsi="楷体" w:eastAsia="楷体" w:cs="楷体"/>
                <w:color w:val="auto"/>
                <w:spacing w:val="-2"/>
                <w:position w:val="6"/>
                <w:sz w:val="21"/>
                <w:szCs w:val="21"/>
                <w:highlight w:val="none"/>
              </w:rPr>
              <w:t>生态保护预留岸段</w:t>
            </w:r>
          </w:p>
          <w:p>
            <w:pPr>
              <w:spacing w:line="220" w:lineRule="auto"/>
              <w:ind w:left="57"/>
              <w:rPr>
                <w:rFonts w:hint="eastAsia" w:ascii="楷体" w:hAnsi="楷体" w:eastAsia="楷体" w:cs="楷体"/>
                <w:color w:val="auto"/>
                <w:sz w:val="21"/>
                <w:szCs w:val="21"/>
                <w:highlight w:val="none"/>
              </w:rPr>
            </w:pPr>
            <w:r>
              <w:rPr>
                <w:rFonts w:hint="eastAsia" w:ascii="楷体" w:hAnsi="楷体" w:eastAsia="楷体" w:cs="楷体"/>
                <w:color w:val="auto"/>
                <w:spacing w:val="1"/>
                <w:sz w:val="21"/>
                <w:szCs w:val="21"/>
                <w:highlight w:val="none"/>
              </w:rPr>
              <w:t>暂无开发利用需求</w:t>
            </w:r>
          </w:p>
        </w:tc>
      </w:tr>
    </w:tbl>
    <w:p>
      <w:pPr>
        <w:pStyle w:val="2"/>
        <w:rPr>
          <w:color w:val="auto"/>
          <w:highlight w:val="none"/>
        </w:rPr>
      </w:pPr>
    </w:p>
    <w:p>
      <w:pPr>
        <w:pStyle w:val="2"/>
        <w:rPr>
          <w:color w:val="auto"/>
          <w:highlight w:val="none"/>
        </w:rPr>
      </w:pPr>
    </w:p>
    <w:p>
      <w:pPr>
        <w:pStyle w:val="2"/>
        <w:rPr>
          <w:color w:val="auto"/>
          <w:highlight w:val="none"/>
        </w:rPr>
        <w:sectPr>
          <w:footerReference r:id="rId15" w:type="default"/>
          <w:pgSz w:w="16850" w:h="11910"/>
          <w:pgMar w:top="1012" w:right="1584" w:bottom="1550" w:left="1775" w:header="624" w:footer="1077" w:gutter="0"/>
          <w:pgNumType w:fmt="decimal"/>
          <w:cols w:space="720" w:num="1"/>
        </w:sectPr>
      </w:pPr>
    </w:p>
    <w:p>
      <w:pPr>
        <w:spacing w:line="273" w:lineRule="auto"/>
        <w:rPr>
          <w:rFonts w:ascii="Arial"/>
          <w:color w:val="auto"/>
          <w:sz w:val="21"/>
          <w:highlight w:val="none"/>
        </w:rPr>
      </w:pPr>
    </w:p>
    <w:p>
      <w:pPr>
        <w:spacing w:before="81" w:line="360" w:lineRule="auto"/>
        <w:ind w:right="111"/>
        <w:jc w:val="center"/>
        <w:rPr>
          <w:rFonts w:hint="eastAsia" w:ascii="宋体" w:hAnsi="宋体" w:eastAsia="宋体" w:cs="宋体"/>
          <w:snapToGrid/>
          <w:color w:val="auto"/>
          <w:kern w:val="0"/>
          <w:sz w:val="21"/>
          <w:szCs w:val="21"/>
          <w:highlight w:val="none"/>
          <w:lang w:val="en-US" w:eastAsia="zh-CN" w:bidi="ar-SA"/>
        </w:rPr>
      </w:pPr>
      <w:bookmarkStart w:id="98" w:name="_bookmark43"/>
      <w:bookmarkEnd w:id="98"/>
      <w:bookmarkStart w:id="99" w:name="_bookmark42"/>
      <w:bookmarkEnd w:id="99"/>
    </w:p>
    <w:p>
      <w:pPr>
        <w:spacing w:line="360" w:lineRule="auto"/>
        <w:ind w:left="0" w:leftChars="0" w:firstLine="0" w:firstLineChars="0"/>
        <w:textAlignment w:val="center"/>
        <w:rPr>
          <w:color w:val="auto"/>
          <w:highlight w:val="none"/>
        </w:rPr>
      </w:pPr>
      <w:r>
        <w:drawing>
          <wp:inline distT="0" distB="0" distL="114300" distR="114300">
            <wp:extent cx="5219700" cy="64865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4"/>
                    <a:stretch>
                      <a:fillRect/>
                    </a:stretch>
                  </pic:blipFill>
                  <pic:spPr>
                    <a:xfrm>
                      <a:off x="0" y="0"/>
                      <a:ext cx="5219700" cy="6486525"/>
                    </a:xfrm>
                    <a:prstGeom prst="rect">
                      <a:avLst/>
                    </a:prstGeom>
                    <a:noFill/>
                    <a:ln>
                      <a:noFill/>
                    </a:ln>
                  </pic:spPr>
                </pic:pic>
              </a:graphicData>
            </a:graphic>
          </wp:inline>
        </w:drawing>
      </w:r>
    </w:p>
    <w:p>
      <w:pPr>
        <w:jc w:val="center"/>
        <w:rPr>
          <w:rFonts w:hint="eastAsia" w:ascii="宋体" w:hAnsi="宋体" w:eastAsia="宋体" w:cs="宋体"/>
          <w:snapToGrid/>
          <w:color w:val="auto"/>
          <w:kern w:val="0"/>
          <w:sz w:val="24"/>
          <w:szCs w:val="24"/>
          <w:highlight w:val="yellow"/>
          <w:lang w:val="en-US" w:eastAsia="zh-CN" w:bidi="ar-SA"/>
        </w:rPr>
      </w:pPr>
      <w:r>
        <w:rPr>
          <w:rFonts w:hint="eastAsia" w:ascii="宋体" w:hAnsi="宋体" w:eastAsia="宋体" w:cs="宋体"/>
          <w:snapToGrid/>
          <w:color w:val="auto"/>
          <w:kern w:val="0"/>
          <w:sz w:val="24"/>
          <w:szCs w:val="24"/>
          <w:highlight w:val="yellow"/>
          <w:lang w:val="en-US" w:eastAsia="zh-CN" w:bidi="ar-SA"/>
        </w:rPr>
        <w:t>图 6-1 磴口县冬青湖岸线功能区分区图</w:t>
      </w:r>
    </w:p>
    <w:p>
      <w:pPr>
        <w:rPr>
          <w:rFonts w:ascii="Arial"/>
          <w:color w:val="auto"/>
          <w:sz w:val="21"/>
          <w:highlight w:val="yellow"/>
        </w:rPr>
      </w:pPr>
    </w:p>
    <w:p>
      <w:pPr>
        <w:rPr>
          <w:color w:val="auto"/>
          <w:highlight w:val="yellow"/>
        </w:rPr>
        <w:sectPr>
          <w:footerReference r:id="rId16" w:type="default"/>
          <w:pgSz w:w="11910" w:h="16850"/>
          <w:pgMar w:top="1432" w:right="1786" w:bottom="2256" w:left="1786" w:header="1020" w:footer="1757"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100" w:name="_bookmark45"/>
      <w:bookmarkEnd w:id="100"/>
      <w:bookmarkStart w:id="101" w:name="_bookmark44"/>
      <w:bookmarkEnd w:id="101"/>
      <w:bookmarkStart w:id="102" w:name="_Toc9174"/>
      <w:bookmarkStart w:id="103" w:name="_Toc17655"/>
      <w:r>
        <w:rPr>
          <w:rFonts w:hint="eastAsia" w:ascii="宋体" w:hAnsi="宋体" w:eastAsia="宋体" w:cs="宋体"/>
          <w:color w:val="auto"/>
          <w:sz w:val="32"/>
          <w:szCs w:val="32"/>
          <w:highlight w:val="none"/>
          <w:lang w:val="en-US" w:eastAsia="zh-CN"/>
        </w:rPr>
        <w:t>7 岸线保护与管控</w:t>
      </w:r>
      <w:bookmarkEnd w:id="102"/>
      <w:bookmarkEnd w:id="103"/>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04" w:name="_Toc12991"/>
      <w:bookmarkStart w:id="105" w:name="_Toc1990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7.1</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功能区管控要求</w:t>
      </w:r>
      <w:bookmarkEnd w:id="104"/>
      <w:bookmarkEnd w:id="105"/>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7.1.1</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岸线保护区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有效保护是岸线保护区管理的首要目标。结合不同岸线保护区的具体要求确定其保护目标，有针对性地提出岸线保护区的</w:t>
      </w:r>
      <w:bookmarkStart w:id="143" w:name="_GoBack"/>
      <w:bookmarkEnd w:id="143"/>
      <w:r>
        <w:rPr>
          <w:rFonts w:hint="eastAsia" w:ascii="宋体" w:hAnsi="宋体" w:eastAsia="宋体" w:cs="宋体"/>
          <w:snapToGrid/>
          <w:color w:val="auto"/>
          <w:kern w:val="0"/>
          <w:sz w:val="28"/>
          <w:szCs w:val="28"/>
          <w:highlight w:val="none"/>
          <w:lang w:val="en-US" w:eastAsia="zh-CN" w:bidi="ar-SA"/>
        </w:rPr>
        <w:t>管理意见，确保实现岸线保护区的保护目标。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1、岸线保护区原则上不准进行与保护对象无关的开发利用，确需开发的，应经过重点论证并报水行政主管部门审批。</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2、城镇引水水源地类岸线保护区，禁止除取水工程以外的各类项目建设行为。在城镇引水水源地类岸线保护区河段的取水工程，施工期间应避免发生污染水源地水质的行为。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3、岸线保护区河段利用堤防建设公路的路堤结合项目，公路建设应符合所在河段堤防的远期规划防洪标准。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对为保护生态环境和文物划定的岸线保护区，原则上不允许进行河道治理以外的任何项目建设。若要建设河道治理工程，应满足防洪和河势稳定要求，不破坏风景名胜区和自然保护区，且符合风景名胜区和自然保护区的相关保护条例，进行生态环境影响评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5、岸线保护区内的生态景观项目建设，应符合河道近远期防洪以及河势稳定要求，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6、险工段和部分河势不稳的支流河口段类岸线保护区，禁止岸线开发利用行为。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对于此次冬青湖，并未列入生态敏感区及生态保护红线范围，故本次不设置岸线保护区。</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7.1.2 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岸线保留区是指对于河势不稳定，或河道治理和河势控制方案尚未确定或尚未实施或为防洪等水利建设预留较大空间的河段岸线;重要堤防一定范围需改线的区段，或重</w:t>
      </w:r>
      <w:bookmarkStart w:id="106" w:name="_bookmark46"/>
      <w:bookmarkEnd w:id="106"/>
      <w:bookmarkStart w:id="107" w:name="_bookmark47"/>
      <w:bookmarkEnd w:id="107"/>
      <w:r>
        <w:rPr>
          <w:rFonts w:hint="eastAsia" w:ascii="宋体" w:hAnsi="宋体" w:eastAsia="宋体" w:cs="宋体"/>
          <w:snapToGrid/>
          <w:color w:val="auto"/>
          <w:kern w:val="0"/>
          <w:sz w:val="28"/>
          <w:szCs w:val="28"/>
          <w:highlight w:val="none"/>
          <w:lang w:val="en-US" w:eastAsia="zh-CN" w:bidi="ar-SA"/>
        </w:rPr>
        <w:t>要的城市工业水源、自备水源集中区段，或为航电枢纽等重要工程建设预留用地的河段岸线;重要河口区段，其汇入后的区域防洪保安、河势稳定、水资源利用、生态环境等方面可能对本河段岸线利用有特定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保留区在规划期内不应实施岸线利用建设项目和开发利用活动。确需启用规划保留区的，要事先征得河流管理机构同意，并按基本建设程序报批。在不影响防洪安全和生态安全的条件下，允许开发跨穿河建筑和河岸景观等项目。禁止建设排放污染物或加重水土流失的建设项目。</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对于本次冬青湖未纳入生态保护红线范围内，故应划为岸线保留区。</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7.1.3</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岸线控制利用区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岸线控制利用区内建设的岸线利用项目，应重视和加强管理，注重岸线利用的指导与控制，以实现岸线的可持续利用。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为现状开发利用程度比较高的河段而划定的岸线控制利用区，严格控制桥梁、取水工程等项目的建设，项目新占用岸线长度比率不得超过现有岸线占有的率20%;特别是同类岸线利用项目，如现状项目较多，应对项目的必要性、可行性重点论证，充分考虑其不利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2、容许进行生态景观和堤顶公路项目建设的河段，项目建设应满足所在河段堤防的远期防洪标准。</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4"/>
          <w:szCs w:val="24"/>
          <w:highlight w:val="none"/>
        </w:rPr>
      </w:pPr>
      <w:r>
        <w:rPr>
          <w:rFonts w:hint="eastAsia" w:ascii="宋体" w:hAnsi="宋体" w:eastAsia="宋体" w:cs="宋体"/>
          <w:snapToGrid/>
          <w:color w:val="auto"/>
          <w:kern w:val="0"/>
          <w:sz w:val="28"/>
          <w:szCs w:val="28"/>
          <w:highlight w:val="none"/>
          <w:lang w:val="en-US" w:eastAsia="zh-CN" w:bidi="ar-SA"/>
        </w:rPr>
        <w:t>3、在岸线开发利用可能对防洪安全、河势稳定、河流生态保护造成不利影响的河段，应根据项目类型及其开发利用行为进行研究或论证，充分考虑其不利影响，并采取必要措施，减小或消除不利影响。</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7.1.4</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岸线开发利用区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1、在城区段的岸线开发利用区，控制岸线开发类型，禁止污染严重性的项目建设。</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禁止影响护岸工程安全的项目建设，要注重对河岸的保护。在非城区的岸线开发利用区，可开发桥梁、取排水口、管线、生态景观、旅游等项目，项目建设不得影响防洪安全、河势稳定、水环境安全，并满足防汛交通要求，并应符合河道内建设项目管理要求。桥梁、取排水口等项目建设(不包括生态景观项目)的岸线占用率累计不得超过50%(50%为项目占用自然岸线长度净比例，如条件允许，不同类型建设项目可重复占用岸线，因此实际占用比例可适当高于50%)。</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除上述管理规划目标，与岸线功能区管理规划目标不符的已有开发利用项目或设施，不得在现有规模上进行改建、扩建;严重影响防洪、水质及水利设施安全的，应逐步进行调整、清退或搬迁。</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08" w:name="_Toc13167"/>
      <w:bookmarkStart w:id="109" w:name="_Toc2657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7.2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岸线边界线管控要求</w:t>
      </w:r>
      <w:bookmarkEnd w:id="108"/>
      <w:bookmarkEnd w:id="109"/>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利用必须保障河势稳定、防洪安全、供水安全，保护水生态环境。在满足行洪安全的前提下，要实现岸线的合理开发、科学保护、有效管理，必须对岸线范围加以界定。岸线控制线是确定岸线范围的重要依据，包括临水控制线和外缘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临水控制线是为保障河流畅通、行洪安全、稳定河势和维护河流健康生命的基本要求，对进入河道范围的岸线利用项目加以限定的控制线，除防洪及河势控制工程，任何阻水的实体建筑物原则上不允许逾越临水控制线。对必须在河道内修建的跨河建筑物的墩台、重要的取水口、水下控导工程及水利水电枢纽工程等建筑实体，应依法依规充分论证。确需越过临水控制线穿越河道的岸线利用建设项目，必须充分论证项目及其影响，提出穿越方案，并经有审批权限的水行政主管部门审查同意后方可实施。桥梁、管线、取水、排水等基础设施需超越临水控制线的项目，超越临水控制线的部分应尽量采取架空、贴地或下沉等方式，尽量减小占用河道过流断面。</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3"/>
          <w:szCs w:val="23"/>
          <w:highlight w:val="none"/>
        </w:rPr>
      </w:pPr>
      <w:r>
        <w:rPr>
          <w:rFonts w:hint="eastAsia" w:ascii="宋体" w:hAnsi="宋体" w:eastAsia="宋体" w:cs="宋体"/>
          <w:snapToGrid/>
          <w:color w:val="auto"/>
          <w:kern w:val="0"/>
          <w:sz w:val="28"/>
          <w:szCs w:val="28"/>
          <w:highlight w:val="none"/>
          <w:lang w:val="en-US" w:eastAsia="zh-CN" w:bidi="ar-SA"/>
        </w:rPr>
        <w:t>外缘控制线是岸线保护和管理的外缘边界线，边界线外围50m内不允许建设水利等相关建筑物，进入外缘控制线的建设项目必须服从岸线利用管理规划的要求。</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10" w:name="_bookmark50"/>
      <w:bookmarkEnd w:id="110"/>
      <w:bookmarkStart w:id="111" w:name="_bookmark49"/>
      <w:bookmarkEnd w:id="111"/>
      <w:bookmarkStart w:id="112" w:name="_bookmark48"/>
      <w:bookmarkEnd w:id="112"/>
      <w:bookmarkStart w:id="113" w:name="_Toc1317"/>
      <w:bookmarkStart w:id="114" w:name="_Toc14134"/>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7.3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岸线管控能力建设措施</w:t>
      </w:r>
      <w:bookmarkEnd w:id="113"/>
      <w:bookmarkEnd w:id="114"/>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一、设立界碑，明确管控范围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按照属地管理原则，在本次岸线规划划定的岸线边界线和功能区划分基础上，在控制性节点位置，设立界桩、标示牌，明确管理者和管理界线和管控目标。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二、建立河长负责、多部门统筹协调的岸线管控机制</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在河长制基础上，按照盟、县、乡进行分级管理，河长负责岸线管理，明确各级河长岸线管理职责，建立“一条线管理、以块为主、属地负责”的岸线管控机制。</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强化地方各级政府责任，严格考核评估和监督。建立以政府为主导，水务部门为主体的组织体系，各单位各司其职、各负其责，密切配合、通力协作。建立定期通报机制和重大问题协调机制，及时解决各类矛盾和问题。</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三、开展动态监测，建立岸线监管信息共享平台</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以区域可持续发展为目标，以空间管控为核心，以生态保护为重点，开展动态监测，构建岸线监管信息平台，全面掌握岸线演变、使用和整治修复情况。编制岸线监测与统计公报，定期评估岸线保护情况和生态效益，为岸线管护提供技术支撑。</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四、加强宣传，提高群众岸线资源保护意识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以旗组织培训各乡(镇)河长为切入点，由各乡(镇)河长负责本乡(镇)沿河各村的宣传工作，建立乡(镇)包村、村包组、干部党员包群众的“包保”宣传体系，向牧民宣传岸线划分与保护的必要性和意义，提高牧民自觉保护水域和岸线资源的意识，改变沿河倾倒垃圾的习惯。</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15" w:name="_Toc4562"/>
      <w:bookmarkStart w:id="116" w:name="_Toc1191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7.4</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岸线保护利用调整要求</w:t>
      </w:r>
      <w:bookmarkEnd w:id="115"/>
      <w:bookmarkEnd w:id="11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为切实做好岸线的有效保护与合理利用，保障防洪安全和水生态环境保护，统筹协调上下游、左右岸关系，合理配置岸线，对照岸线功能区的规划成果和现状岸线利用情况，对不符合岸线功能区划管理的岸线利用行为和设施，按照岸线利用管理规划要求，</w:t>
      </w:r>
      <w:bookmarkStart w:id="117" w:name="_bookmark51"/>
      <w:bookmarkEnd w:id="117"/>
      <w:r>
        <w:rPr>
          <w:rFonts w:hint="eastAsia" w:ascii="宋体" w:hAnsi="宋体" w:eastAsia="宋体" w:cs="宋体"/>
          <w:snapToGrid/>
          <w:color w:val="auto"/>
          <w:kern w:val="0"/>
          <w:sz w:val="28"/>
          <w:szCs w:val="28"/>
          <w:highlight w:val="none"/>
          <w:lang w:val="en-US" w:eastAsia="zh-CN" w:bidi="ar-SA"/>
        </w:rPr>
        <w:t>对岸线利用及其布局进行规范和调整，使岸线利用项目符合岸线功能区的要求。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根据现状利用与管理情况提出现状岸线利用的调整要求如下：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1、治理违章</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在湖泊管理范围内，未经审批、取得建设项目同意书的建设项目，属违章建设，必须改正或清除。</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2、保障防洪安全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防洪安全是国民经济可持续发展以及岸线利用与保护的重要前提条件。按照保障防</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洪安全的要求，岸线利用项目的调整包括以下方面：</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(1)清理阻碍行(蓄)洪的滩地占用、侵占岸线、设障等现象;</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(2)严格按照岸线利用管理的要求，对超越和侵占临水控制线的设障项目实施清退或改建。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3、水资源与水环境保护</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水资源是国民经济可持续发展的战略资源。岸线利用应重视水资源和水环境保护合理确定各功能区内的岸线利用项目。按照水资源与水环境保护的要求，岸线利用项目的调整包括以下方面：</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(1)岸线保护区严禁堆放垃圾。</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(2)由于放牧对规划河道水质有重大影响，应予以调整，改变岸线植被类型，进行岸线植物的种植设计，使之从放牧区向自然风景区转化。</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4"/>
          <w:szCs w:val="24"/>
          <w:highlight w:val="none"/>
        </w:rPr>
      </w:pPr>
      <w:r>
        <w:rPr>
          <w:rFonts w:hint="eastAsia" w:ascii="宋体" w:hAnsi="宋体" w:eastAsia="宋体" w:cs="宋体"/>
          <w:snapToGrid/>
          <w:color w:val="auto"/>
          <w:kern w:val="0"/>
          <w:sz w:val="28"/>
          <w:szCs w:val="28"/>
          <w:highlight w:val="none"/>
          <w:lang w:val="en-US" w:eastAsia="zh-CN" w:bidi="ar-SA"/>
        </w:rPr>
        <w:t>(3)加大河道两岸垃圾、腐殖质等污染物入河管控措施，做好河道两岸管理范围内的保洁工作。</w:t>
      </w:r>
    </w:p>
    <w:p>
      <w:pPr>
        <w:rPr>
          <w:color w:val="auto"/>
          <w:highlight w:val="none"/>
        </w:rPr>
        <w:sectPr>
          <w:footerReference r:id="rId17" w:type="default"/>
          <w:pgSz w:w="11910" w:h="16850"/>
          <w:pgMar w:top="1432" w:right="1427" w:bottom="2280" w:left="1779" w:header="1020" w:footer="1757"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118" w:name="_bookmark52"/>
      <w:bookmarkEnd w:id="118"/>
      <w:bookmarkStart w:id="119" w:name="_Toc2092"/>
      <w:bookmarkStart w:id="120" w:name="_Toc17406"/>
      <w:r>
        <w:rPr>
          <w:rFonts w:hint="eastAsia" w:ascii="宋体" w:hAnsi="宋体" w:eastAsia="宋体" w:cs="宋体"/>
          <w:color w:val="auto"/>
          <w:sz w:val="32"/>
          <w:szCs w:val="32"/>
          <w:highlight w:val="none"/>
          <w:lang w:val="en-US" w:eastAsia="zh-CN"/>
        </w:rPr>
        <w:t>8 环境影响评价</w:t>
      </w:r>
      <w:bookmarkEnd w:id="119"/>
      <w:bookmarkEnd w:id="120"/>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21" w:name="_Toc12461"/>
      <w:bookmarkStart w:id="122" w:name="_Toc18177"/>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8.1 环境保护目标</w:t>
      </w:r>
      <w:bookmarkEnd w:id="121"/>
      <w:bookmarkEnd w:id="12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规划主要环境保护目标为：维护河流水环境功能，维护水生生态系统完整性和连通性;保护区域生物多样性;保护湿地及珍稀濒危动植物生态系统功能。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继续推进落实《水污染防治行动计划》、《内蒙古自治区水污染防治工作方案》,加快构建“政府统领、企业施治、市场驱动、公众参与”的水污染防治新机制。继续做好污染源防治工作，推进工业、农牧业面源污染综合治理，深入开展“五控”行动，到2025年畜禽粪污资源化综合利用率达到80%。防止湖泊内源性污染，每年根据芦苇蔓延情况收割，进行资源化利用。规范零散畜禽养殖户粪污处理设施装备配套，使农业污染源得到有效控制;依托农村环境连片整治，推进农村生活污水与生活垃圾集中收纳和处理，减少污水与垃圾的入河量，使农村污染源得到有效控制。</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中共中央国务院关于全面加强生态环境保护坚决打好污染防治攻坚战的意见》、《关于印发水污染防治工作方案的通知》等相关文件精神，加强水功能区监管力度，增加对跨界断面的监测;加大水域岸线环境综合治理力度，河道管理范围乱占乱建、乱围乱堵、乱倒乱排等现象得到有效遏制，河湖水事秩序良好;加强水环境质量监测，从2023年开始，冬青湖水体功能区监测覆盖率达100%,2023-2025年冬青湖水体水质全年控制在地表Ⅳ类水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针对重点水土流失区，建立预防监督体系和水土流失监测网络，明确禁止和限制开发的区域范围，加大监督管理，逐步完成水土流失区的整治工作。到2025年完成湖岸边绿化，有效控制水土流失现象，加强林业生态建设，森林覆盖率达到21%,水土流失得到有效治理，河道淤积得到有效缓解。</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持续做好冬青湖生态补水工作，理顺生态补水机制，连通生态补水工程，争取每年在黄河凌汛期给冬青湖补水100万m3,维持湿地正常水面面积。</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23" w:name="_bookmark53"/>
      <w:bookmarkEnd w:id="123"/>
      <w:bookmarkStart w:id="124" w:name="_Toc4823"/>
      <w:bookmarkStart w:id="125" w:name="_Toc12909"/>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8.2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规划符合性分析</w:t>
      </w:r>
      <w:bookmarkEnd w:id="124"/>
      <w:bookmarkEnd w:id="12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1、与相关法律、法规及政策符合性分析</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主要任务是实现岸线资源的科学合理利用和有效保护，支撑当地经济的建设和长远可持续发展。规划充分考虑了防洪安全、河势稳定、饮用水安全及生态环境保护要求，规划成果符合《中华人民共和国防洪法》、《中华人民共和国河道管理条例》、《中华人民共和国自然保护区条例》、《风景名胜区条例》、《饮用水水源保护区污染防治管理规定》以及自治区、盟级有关水源保护区和水污染防治的管理规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2、与发展战略符合性分析</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遵循创新、协调、绿色、开放、共享的发展理念，坚持统筹兼顾、科学布局、保护优先、综合利用、持续发展等原则，在确保防洪安全、河势稳定、供水安全，满足生态环境保护等要求的前提下，妥善处理岸线保护和开发利用的关系，规划符合国家确立的可持续发展战略和方针政策。</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3、与相关规划的协调性分析</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2"/>
          <w:szCs w:val="22"/>
          <w:highlight w:val="none"/>
        </w:rPr>
      </w:pPr>
      <w:r>
        <w:rPr>
          <w:rFonts w:hint="eastAsia" w:ascii="宋体" w:hAnsi="宋体" w:eastAsia="宋体" w:cs="宋体"/>
          <w:snapToGrid/>
          <w:color w:val="auto"/>
          <w:kern w:val="0"/>
          <w:sz w:val="28"/>
          <w:szCs w:val="28"/>
          <w:highlight w:val="none"/>
          <w:lang w:val="en-US" w:eastAsia="zh-CN" w:bidi="ar-SA"/>
        </w:rPr>
        <w:t>本规划与《内蒙古主体功能区规划》。规划编制过程中已考虑了相关规划对岸线的利用要求，规划与其是协调一致的。</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26" w:name="_Toc5094"/>
      <w:bookmarkStart w:id="127" w:name="_Toc8596"/>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8.3 环境影响预测与评价</w:t>
      </w:r>
      <w:bookmarkEnd w:id="126"/>
      <w:bookmarkEnd w:id="12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(1)水文水资源影响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开发利用不涉及拦河建筑物工程，没有调水、引水等规划项目，规划实施不影响河流水文过程，对冬青湖的总体水文情势基本无影响;规划不对区域水资源配置进行调整，不改变流域水资源的时空分布格局，对水资源利用基本无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(2)水环境影响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功能区划考虑了湖泊水功能区管理要求，有利于河流水环境保护。岸线开发利用区岸段对水环境的影响取决于岸线利用的具体用途，如布置工业园区等可能产生污水排放影响局部水环境，在具体项目实施过程中，应落实环境影响评价制度，分析具体项目实施对河段水质的影响，并采取相应的水污染防治措施，保护水功能区水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(3)社会环境影响</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4"/>
          <w:szCs w:val="24"/>
          <w:highlight w:val="none"/>
        </w:rPr>
      </w:pPr>
      <w:r>
        <w:rPr>
          <w:rFonts w:hint="eastAsia" w:ascii="宋体" w:hAnsi="宋体" w:eastAsia="宋体" w:cs="宋体"/>
          <w:snapToGrid/>
          <w:color w:val="auto"/>
          <w:kern w:val="0"/>
          <w:sz w:val="28"/>
          <w:szCs w:val="28"/>
          <w:highlight w:val="none"/>
          <w:lang w:val="en-US" w:eastAsia="zh-CN" w:bidi="ar-SA"/>
        </w:rPr>
        <w:t>本规划对规划范围内冬青湖岸线进行科学合理的保护与开发布局。规划实施以后，岸线资源将得到统一有效的管理，其利用效益和利用价值都将得到很大程度地提高，对湖泊沿岸地区社会环境的可持续发展具有有利影响。</w:t>
      </w:r>
    </w:p>
    <w:p>
      <w:pPr>
        <w:rPr>
          <w:color w:val="auto"/>
          <w:highlight w:val="none"/>
        </w:rPr>
        <w:sectPr>
          <w:footerReference r:id="rId18" w:type="default"/>
          <w:pgSz w:w="11910" w:h="16850"/>
          <w:pgMar w:top="1419" w:right="1409" w:bottom="2313" w:left="1730" w:header="1020" w:footer="1757"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128" w:name="_Toc1121"/>
      <w:bookmarkStart w:id="129" w:name="_Toc31091"/>
      <w:r>
        <w:rPr>
          <w:rFonts w:hint="eastAsia" w:ascii="宋体" w:hAnsi="宋体" w:eastAsia="宋体" w:cs="宋体"/>
          <w:color w:val="auto"/>
          <w:sz w:val="32"/>
          <w:szCs w:val="32"/>
          <w:highlight w:val="none"/>
          <w:lang w:val="en-US" w:eastAsia="zh-CN"/>
        </w:rPr>
        <w:t>9 保障措施</w:t>
      </w:r>
      <w:bookmarkEnd w:id="128"/>
      <w:bookmarkEnd w:id="129"/>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30" w:name="_Toc2901"/>
      <w:bookmarkStart w:id="131" w:name="_Toc25314"/>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9.1 政策、制度保障</w:t>
      </w:r>
      <w:bookmarkEnd w:id="130"/>
      <w:bookmarkEnd w:id="131"/>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健全岸线管理的政策规章。深入贯彻《中华人民共和国水法》、《中华人民共和国防洪法》、《中华人民共和国河道管理条例》和《中华人民共和国水污染防治法》等法律法规，坚持统一管理、探索实行岸线占用许可制度、岸线水域有偿使用制度和影响补偿制度、限制限期开发、鼓励岸线整治开发等措施，使岸线得到进一步有效管理，确保岸线管理的权威性、严肃性和延续性。</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2"/>
          <w:szCs w:val="22"/>
          <w:highlight w:val="none"/>
        </w:rPr>
      </w:pPr>
      <w:r>
        <w:rPr>
          <w:rFonts w:hint="eastAsia" w:ascii="宋体" w:hAnsi="宋体" w:eastAsia="宋体" w:cs="宋体"/>
          <w:snapToGrid/>
          <w:color w:val="auto"/>
          <w:kern w:val="0"/>
          <w:sz w:val="28"/>
          <w:szCs w:val="28"/>
          <w:highlight w:val="none"/>
          <w:lang w:val="en-US" w:eastAsia="zh-CN" w:bidi="ar-SA"/>
        </w:rPr>
        <w:t>加强水行政执法。按照统一、精简、效能原则，进一步加强包括涉河建设项目监督的水行政执法队伍建设，保障岸线利用管理各项法规、规定的全面贯彻和执行;进一步推进水行政执法责任制，保证各项法律规定落到实处;加强执法检查监督工作，落实执法责任，规范执法行为，提高流域水行政执法质量。</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32" w:name="_Toc11153"/>
      <w:bookmarkStart w:id="133" w:name="_Toc2253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9.2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行政管理保障</w:t>
      </w:r>
      <w:bookmarkEnd w:id="132"/>
      <w:bookmarkEnd w:id="133"/>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明确职责，实行分级管理。建立水利牵头、部门配合的工作机制，进一步细化责任、明确分工，严格考核和责任追究。按照《中华人民共和国河道管理条例》中关于涉河建设项目审查权限的划分，实行自治区与、盟、县水行政主管部门负责，按照岸线规划确定的开发利用范围，审批各自管辖范围内的建设项目，并参与其范围内城乡规划、跨河湖交通规划、生态湿地保护规划和旅游业、工业园规划的审查等。</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严格基本建设立项程序。贯彻落实《中华人民共和国行政许可法》、《中共中央国务院关于深化投融资体制改革的意见》(中发[2016]18号)精神，改进和加强建设项目管理，发展改革部门严格执行基本建设程序，建设单位认真做好项目前期工作，水行政主管部门按照规定的审批权限审批建设项目，推进政务公开。各类公益性项目和基本建设项目要符合流域规划以及防洪、水资源、城市建设、水土保持等专项规划的要求，力求避免对河湖水域岸线的占用。开发建设项目涉及防洪和水资源的建设项目，要实行防洪评价和水资源论证制度，立项前必须经水行政主管部门进行专项审批。</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继续推行河长制工作机制。进一步落实并加强河长制责任主体，协调整合各方力量，构建责任明确、协调有序、监管严格、保护有力的河湖管理保护机制，为维护河湖健康生命、实现河湖功能永续利用提供制度保障。各级河长要牵头组织对岸线乱占滥用、多占少用、占而不用等突出问题依法进行清理整治，协调解决重大问题;对跨行政区域的河湖明晰管理职责，协调上下游、左右岸实行联防联控;对目标任务完成情况进行考核等，恢复河湖水域岸线生态功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建立完善有效的管理监督机制。按照分级管理的原则，地方发改委需会同规划、交通、水利、建设、环境、国上、渔业等部门，根据本规划要求，联合对城镇规划、交通、旅游规划等涉及河道岸线部分进行审查;建立健全规划实施监督和评估机制，协调推进并保障规划的贯彻落实。</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3"/>
          <w:szCs w:val="23"/>
          <w:highlight w:val="none"/>
        </w:rPr>
      </w:pPr>
      <w:r>
        <w:rPr>
          <w:rFonts w:hint="eastAsia" w:ascii="宋体" w:hAnsi="宋体" w:eastAsia="宋体" w:cs="宋体"/>
          <w:snapToGrid/>
          <w:color w:val="auto"/>
          <w:kern w:val="0"/>
          <w:sz w:val="28"/>
          <w:szCs w:val="28"/>
          <w:highlight w:val="none"/>
          <w:lang w:val="en-US" w:eastAsia="zh-CN" w:bidi="ar-SA"/>
        </w:rPr>
        <w:t>加强监测分析和基础研究工作，提高科学管理水平。建立河道管理信息系统，将河道日常巡查、问题督办、情况通报、责任落实等纳入信息化、一体化的现代化管理，提高工作效能，接受社会监督。</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34" w:name="_Toc31258"/>
      <w:bookmarkStart w:id="135" w:name="_Toc1976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9.3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经济措施</w:t>
      </w:r>
      <w:bookmarkEnd w:id="134"/>
      <w:bookmarkEnd w:id="13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水利建设资金、环境保护资金、林业发展资金、国家污染防治专项资金等现有资金渠道的基础上，积极争取各种途径中央财政投资。探索以政府公共财政为主导、市场化投资为补充的投入机制，试点各种社会组织和民间组织参与岸线保护与利用规划工作。</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考虑资源稀缺程度、河道治理成本、市场供求关系、生态环境损害成本等因素，探索建立岸线资源有偿使用制度，促进岸线资源的节约、集约利用。出台岸线资源有偿使用指导意见，明确岸线资源使用权登记、岸线资源税费征收制度及岸线资源综合评价指标体系、征收标准。在指导意见出台前，磴口县人民政府依据相关规划，按照“科学布局，集约利用”的原则，可探索采用招标、拍卖、挂牌等市场手段对岸线资源进行有偿出让。</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36" w:name="_Toc21809"/>
      <w:bookmarkStart w:id="137" w:name="_Toc30056"/>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9.4 公众参与保障</w:t>
      </w:r>
      <w:bookmarkEnd w:id="136"/>
      <w:bookmarkEnd w:id="13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营造有效的公众参与机制。建立公开透明、公众参与、公正廉洁的民主管理机制和行政管理体制。与群众利益密切相关的重大问题，要广泛听取和充分反映公众意见，提高全社会对加快经济发展和保护岸线相协调的认同程度。促使沿岸开发利用的地方政府、企业单位,特别是非政府组织充分参与到保护水域、岸线中来。提高全民保护水、珍惜岸线的意识，将维护河道、湖泊变得更接近自然状态成为全社会每个成员的实际行动，取得更好的经济社会和环境效果。</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加强社会监督。进一步加强规划实施的民主监督，扩大政务公开，强化信息引导，面向企业和公众，积极广泛地组织好规划宣传，形成全社会关心规划、参与实施和共同监督的良好氛围。设立含基础数据、举报建议、查看阅读、治河动态等功能的微信公众号，方便公众参与，落实全民管理理念。</w:t>
      </w:r>
    </w:p>
    <w:p>
      <w:pPr>
        <w:rPr>
          <w:color w:val="auto"/>
          <w:highlight w:val="none"/>
        </w:rPr>
        <w:sectPr>
          <w:footerReference r:id="rId19" w:type="default"/>
          <w:pgSz w:w="11910" w:h="16850"/>
          <w:pgMar w:top="1432" w:right="1285" w:bottom="2300" w:left="1759" w:header="1020" w:footer="1757" w:gutter="0"/>
          <w:pgNumType w:fmt="decimal"/>
          <w:cols w:space="720" w:num="1"/>
        </w:sectPr>
      </w:pPr>
    </w:p>
    <w:p>
      <w:pPr>
        <w:spacing w:line="242" w:lineRule="auto"/>
        <w:rPr>
          <w:rFonts w:ascii="Arial"/>
          <w:color w:val="auto"/>
          <w:sz w:val="21"/>
          <w:highlight w:val="none"/>
        </w:rPr>
      </w:pPr>
    </w:p>
    <w:p>
      <w:pPr>
        <w:spacing w:before="98" w:line="223" w:lineRule="auto"/>
        <w:ind w:left="789"/>
        <w:outlineLvl w:val="0"/>
        <w:rPr>
          <w:rFonts w:ascii="黑体" w:hAnsi="黑体" w:eastAsia="黑体" w:cs="黑体"/>
          <w:color w:val="auto"/>
          <w:sz w:val="30"/>
          <w:szCs w:val="30"/>
          <w:highlight w:val="none"/>
        </w:rPr>
      </w:pPr>
      <w:bookmarkStart w:id="138" w:name="_Toc28299"/>
      <w:bookmarkStart w:id="139" w:name="_Toc22812"/>
      <w:r>
        <w:rPr>
          <w:rFonts w:ascii="黑体" w:hAnsi="黑体" w:eastAsia="黑体" w:cs="黑体"/>
          <w:color w:val="auto"/>
          <w:spacing w:val="7"/>
          <w:sz w:val="30"/>
          <w:szCs w:val="30"/>
          <w:highlight w:val="none"/>
          <w14:textOutline w14:w="5448" w14:cap="flat" w14:cmpd="sng">
            <w14:solidFill>
              <w14:srgbClr w14:val="000000"/>
            </w14:solidFill>
            <w14:prstDash w14:val="solid"/>
            <w14:miter w14:val="0"/>
          </w14:textOutline>
        </w:rPr>
        <w:t>附</w:t>
      </w:r>
      <w:r>
        <w:rPr>
          <w:rFonts w:ascii="黑体" w:hAnsi="黑体" w:eastAsia="黑体" w:cs="黑体"/>
          <w:color w:val="auto"/>
          <w:spacing w:val="6"/>
          <w:sz w:val="30"/>
          <w:szCs w:val="30"/>
          <w:highlight w:val="none"/>
          <w14:textOutline w14:w="5448" w14:cap="flat" w14:cmpd="sng">
            <w14:solidFill>
              <w14:srgbClr w14:val="000000"/>
            </w14:solidFill>
            <w14:prstDash w14:val="solid"/>
            <w14:miter w14:val="0"/>
          </w14:textOutline>
        </w:rPr>
        <w:t>表</w:t>
      </w:r>
      <w:bookmarkEnd w:id="138"/>
      <w:bookmarkEnd w:id="139"/>
    </w:p>
    <w:p>
      <w:pPr>
        <w:spacing w:line="286" w:lineRule="auto"/>
        <w:rPr>
          <w:rFonts w:ascii="Arial"/>
          <w:color w:val="auto"/>
          <w:sz w:val="21"/>
          <w:highlight w:val="none"/>
        </w:rPr>
      </w:pPr>
    </w:p>
    <w:p>
      <w:pPr>
        <w:spacing w:line="287" w:lineRule="auto"/>
        <w:rPr>
          <w:rFonts w:ascii="Arial"/>
          <w:color w:val="auto"/>
          <w:sz w:val="21"/>
          <w:highlight w:val="none"/>
        </w:rPr>
      </w:pPr>
    </w:p>
    <w:p>
      <w:pPr>
        <w:spacing w:before="97" w:line="221" w:lineRule="auto"/>
        <w:ind w:left="4419"/>
        <w:rPr>
          <w:rFonts w:ascii="黑体" w:hAnsi="黑体" w:eastAsia="黑体" w:cs="黑体"/>
          <w:color w:val="auto"/>
          <w:sz w:val="30"/>
          <w:szCs w:val="30"/>
          <w:highlight w:val="none"/>
        </w:rPr>
      </w:pPr>
      <w:r>
        <w:rPr>
          <w:rFonts w:ascii="黑体" w:hAnsi="黑体" w:eastAsia="黑体" w:cs="黑体"/>
          <w:color w:val="auto"/>
          <w:spacing w:val="-22"/>
          <w:sz w:val="30"/>
          <w:szCs w:val="30"/>
          <w:highlight w:val="none"/>
          <w14:textOutline w14:w="5448" w14:cap="flat" w14:cmpd="sng">
            <w14:solidFill>
              <w14:srgbClr w14:val="000000"/>
            </w14:solidFill>
            <w14:prstDash w14:val="solid"/>
            <w14:miter w14:val="0"/>
          </w14:textOutline>
        </w:rPr>
        <w:t>表</w:t>
      </w:r>
      <w:r>
        <w:rPr>
          <w:rFonts w:ascii="黑体" w:hAnsi="黑体" w:eastAsia="黑体" w:cs="黑体"/>
          <w:color w:val="auto"/>
          <w:spacing w:val="-19"/>
          <w:sz w:val="30"/>
          <w:szCs w:val="30"/>
          <w:highlight w:val="none"/>
          <w14:textOutline w14:w="5448" w14:cap="flat" w14:cmpd="sng">
            <w14:solidFill>
              <w14:srgbClr w14:val="000000"/>
            </w14:solidFill>
            <w14:prstDash w14:val="solid"/>
            <w14:miter w14:val="0"/>
          </w14:textOutline>
        </w:rPr>
        <w:t>1</w:t>
      </w:r>
      <w:r>
        <w:rPr>
          <w:rFonts w:ascii="黑体" w:hAnsi="黑体" w:eastAsia="黑体" w:cs="黑体"/>
          <w:color w:val="auto"/>
          <w:spacing w:val="-19"/>
          <w:sz w:val="30"/>
          <w:szCs w:val="30"/>
          <w:highlight w:val="none"/>
        </w:rPr>
        <w:t xml:space="preserve"> </w:t>
      </w:r>
      <w:r>
        <w:rPr>
          <w:rFonts w:hint="eastAsia" w:ascii="黑体" w:hAnsi="黑体" w:eastAsia="黑体" w:cs="黑体"/>
          <w:color w:val="auto"/>
          <w:spacing w:val="-19"/>
          <w:sz w:val="30"/>
          <w:szCs w:val="30"/>
          <w:highlight w:val="none"/>
          <w:lang w:val="en-US" w:eastAsia="zh-CN"/>
          <w14:textOutline w14:w="5448" w14:cap="flat" w14:cmpd="sng">
            <w14:solidFill>
              <w14:srgbClr w14:val="000000"/>
            </w14:solidFill>
            <w14:prstDash w14:val="solid"/>
            <w14:miter w14:val="0"/>
          </w14:textOutline>
        </w:rPr>
        <w:t>冬青湖</w:t>
      </w:r>
      <w:r>
        <w:rPr>
          <w:rFonts w:ascii="黑体" w:hAnsi="黑体" w:eastAsia="黑体" w:cs="黑体"/>
          <w:color w:val="auto"/>
          <w:spacing w:val="-19"/>
          <w:sz w:val="30"/>
          <w:szCs w:val="30"/>
          <w:highlight w:val="none"/>
          <w14:textOutline w14:w="5448" w14:cap="flat" w14:cmpd="sng">
            <w14:solidFill>
              <w14:srgbClr w14:val="000000"/>
            </w14:solidFill>
            <w14:prstDash w14:val="solid"/>
            <w14:miter w14:val="0"/>
          </w14:textOutline>
        </w:rPr>
        <w:t>所在县级以上行政区主要经济社会指标</w:t>
      </w:r>
    </w:p>
    <w:p>
      <w:pPr>
        <w:spacing w:line="40" w:lineRule="exact"/>
        <w:rPr>
          <w:color w:val="auto"/>
          <w:highlight w:val="none"/>
        </w:rPr>
      </w:pPr>
    </w:p>
    <w:tbl>
      <w:tblPr>
        <w:tblStyle w:val="13"/>
        <w:tblW w:w="141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4"/>
        <w:gridCol w:w="1579"/>
        <w:gridCol w:w="1568"/>
        <w:gridCol w:w="1599"/>
        <w:gridCol w:w="1568"/>
        <w:gridCol w:w="1579"/>
        <w:gridCol w:w="1569"/>
        <w:gridCol w:w="1569"/>
        <w:gridCol w:w="15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9" w:hRule="atLeast"/>
        </w:trPr>
        <w:tc>
          <w:tcPr>
            <w:tcW w:w="1594" w:type="dxa"/>
            <w:tcBorders>
              <w:top w:val="single" w:color="000000" w:sz="2" w:space="0"/>
              <w:bottom w:val="single" w:color="000000" w:sz="2" w:space="0"/>
            </w:tcBorders>
            <w:vAlign w:val="top"/>
          </w:tcPr>
          <w:p>
            <w:pPr>
              <w:spacing w:line="264" w:lineRule="auto"/>
              <w:rPr>
                <w:rFonts w:ascii="Arial"/>
                <w:color w:val="auto"/>
                <w:sz w:val="21"/>
                <w:highlight w:val="none"/>
              </w:rPr>
            </w:pPr>
          </w:p>
          <w:p>
            <w:pPr>
              <w:spacing w:line="264" w:lineRule="auto"/>
              <w:rPr>
                <w:rFonts w:ascii="Arial"/>
                <w:color w:val="auto"/>
                <w:sz w:val="21"/>
                <w:highlight w:val="none"/>
              </w:rPr>
            </w:pPr>
          </w:p>
          <w:p>
            <w:pPr>
              <w:spacing w:before="68" w:line="221" w:lineRule="auto"/>
              <w:ind w:left="574"/>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序号</w:t>
            </w:r>
          </w:p>
        </w:tc>
        <w:tc>
          <w:tcPr>
            <w:tcW w:w="1579" w:type="dxa"/>
            <w:tcBorders>
              <w:top w:val="single" w:color="000000" w:sz="2" w:space="0"/>
              <w:bottom w:val="single" w:color="000000" w:sz="2" w:space="0"/>
            </w:tcBorders>
            <w:vAlign w:val="top"/>
          </w:tcPr>
          <w:p>
            <w:pPr>
              <w:spacing w:line="263" w:lineRule="auto"/>
              <w:rPr>
                <w:rFonts w:ascii="Arial"/>
                <w:color w:val="auto"/>
                <w:sz w:val="21"/>
                <w:highlight w:val="none"/>
              </w:rPr>
            </w:pPr>
          </w:p>
          <w:p>
            <w:pPr>
              <w:spacing w:line="264" w:lineRule="auto"/>
              <w:rPr>
                <w:rFonts w:ascii="Arial"/>
                <w:color w:val="auto"/>
                <w:sz w:val="21"/>
                <w:highlight w:val="none"/>
              </w:rPr>
            </w:pPr>
          </w:p>
          <w:p>
            <w:pPr>
              <w:spacing w:before="68" w:line="219" w:lineRule="auto"/>
              <w:ind w:left="670"/>
              <w:rPr>
                <w:rFonts w:ascii="宋体" w:hAnsi="宋体" w:eastAsia="宋体" w:cs="宋体"/>
                <w:color w:val="auto"/>
                <w:sz w:val="21"/>
                <w:szCs w:val="21"/>
                <w:highlight w:val="none"/>
              </w:rPr>
            </w:pPr>
            <w:r>
              <w:rPr>
                <w:rFonts w:ascii="宋体" w:hAnsi="宋体" w:eastAsia="宋体" w:cs="宋体"/>
                <w:color w:val="auto"/>
                <w:sz w:val="21"/>
                <w:szCs w:val="21"/>
                <w:highlight w:val="none"/>
              </w:rPr>
              <w:t>省</w:t>
            </w:r>
          </w:p>
        </w:tc>
        <w:tc>
          <w:tcPr>
            <w:tcW w:w="1568" w:type="dxa"/>
            <w:tcBorders>
              <w:top w:val="single" w:color="000000" w:sz="2" w:space="0"/>
              <w:bottom w:val="single" w:color="000000" w:sz="2" w:space="0"/>
            </w:tcBorders>
            <w:vAlign w:val="top"/>
          </w:tcPr>
          <w:p>
            <w:pPr>
              <w:spacing w:line="339" w:lineRule="auto"/>
              <w:rPr>
                <w:rFonts w:ascii="Arial"/>
                <w:color w:val="auto"/>
                <w:sz w:val="21"/>
                <w:highlight w:val="none"/>
              </w:rPr>
            </w:pPr>
          </w:p>
          <w:p>
            <w:pPr>
              <w:spacing w:before="68" w:line="351" w:lineRule="auto"/>
              <w:ind w:left="670" w:right="146" w:hanging="52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市(</w:t>
            </w:r>
            <w:r>
              <w:rPr>
                <w:rFonts w:ascii="宋体" w:hAnsi="宋体" w:eastAsia="宋体" w:cs="宋体"/>
                <w:color w:val="auto"/>
                <w:spacing w:val="1"/>
                <w:sz w:val="21"/>
                <w:szCs w:val="21"/>
                <w:highlight w:val="none"/>
              </w:rPr>
              <w:t>地)级行政</w:t>
            </w:r>
            <w:r>
              <w:rPr>
                <w:rFonts w:ascii="宋体" w:hAnsi="宋体" w:eastAsia="宋体" w:cs="宋体"/>
                <w:color w:val="auto"/>
                <w:sz w:val="21"/>
                <w:szCs w:val="21"/>
                <w:highlight w:val="none"/>
              </w:rPr>
              <w:t>区</w:t>
            </w:r>
          </w:p>
        </w:tc>
        <w:tc>
          <w:tcPr>
            <w:tcW w:w="1599" w:type="dxa"/>
            <w:tcBorders>
              <w:top w:val="single" w:color="000000" w:sz="2" w:space="0"/>
              <w:bottom w:val="single" w:color="000000" w:sz="2" w:space="0"/>
            </w:tcBorders>
            <w:vAlign w:val="top"/>
          </w:tcPr>
          <w:p>
            <w:pPr>
              <w:spacing w:line="300" w:lineRule="auto"/>
              <w:rPr>
                <w:rFonts w:ascii="Arial"/>
                <w:color w:val="auto"/>
                <w:sz w:val="21"/>
                <w:highlight w:val="none"/>
              </w:rPr>
            </w:pPr>
          </w:p>
          <w:p>
            <w:pPr>
              <w:spacing w:before="69" w:line="458" w:lineRule="exact"/>
              <w:ind w:left="583"/>
              <w:rPr>
                <w:rFonts w:ascii="宋体" w:hAnsi="宋体" w:eastAsia="宋体" w:cs="宋体"/>
                <w:color w:val="auto"/>
                <w:sz w:val="21"/>
                <w:szCs w:val="21"/>
                <w:highlight w:val="none"/>
              </w:rPr>
            </w:pPr>
            <w:r>
              <w:rPr>
                <w:rFonts w:ascii="宋体" w:hAnsi="宋体" w:eastAsia="宋体" w:cs="宋体"/>
                <w:color w:val="auto"/>
                <w:spacing w:val="6"/>
                <w:position w:val="19"/>
                <w:sz w:val="21"/>
                <w:szCs w:val="21"/>
                <w:highlight w:val="none"/>
              </w:rPr>
              <w:t>县级</w:t>
            </w:r>
          </w:p>
          <w:p>
            <w:pPr>
              <w:spacing w:line="220" w:lineRule="auto"/>
              <w:ind w:left="473"/>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行政区</w:t>
            </w:r>
          </w:p>
        </w:tc>
        <w:tc>
          <w:tcPr>
            <w:tcW w:w="1568" w:type="dxa"/>
            <w:tcBorders>
              <w:top w:val="single" w:color="000000" w:sz="2" w:space="0"/>
              <w:bottom w:val="single" w:color="000000" w:sz="2" w:space="0"/>
            </w:tcBorders>
            <w:vAlign w:val="top"/>
          </w:tcPr>
          <w:p>
            <w:pPr>
              <w:spacing w:before="158" w:line="443" w:lineRule="exact"/>
              <w:ind w:left="564"/>
              <w:rPr>
                <w:rFonts w:ascii="宋体" w:hAnsi="宋体" w:eastAsia="宋体" w:cs="宋体"/>
                <w:color w:val="auto"/>
                <w:sz w:val="21"/>
                <w:szCs w:val="21"/>
                <w:highlight w:val="none"/>
              </w:rPr>
            </w:pPr>
            <w:r>
              <w:rPr>
                <w:rFonts w:ascii="宋体" w:hAnsi="宋体" w:eastAsia="宋体" w:cs="宋体"/>
                <w:color w:val="auto"/>
                <w:spacing w:val="6"/>
                <w:position w:val="17"/>
                <w:sz w:val="21"/>
                <w:szCs w:val="21"/>
                <w:highlight w:val="none"/>
              </w:rPr>
              <w:t>年</w:t>
            </w:r>
            <w:r>
              <w:rPr>
                <w:rFonts w:ascii="宋体" w:hAnsi="宋体" w:eastAsia="宋体" w:cs="宋体"/>
                <w:color w:val="auto"/>
                <w:spacing w:val="5"/>
                <w:position w:val="17"/>
                <w:sz w:val="21"/>
                <w:szCs w:val="21"/>
                <w:highlight w:val="none"/>
              </w:rPr>
              <w:t>末</w:t>
            </w:r>
          </w:p>
          <w:p>
            <w:pPr>
              <w:spacing w:line="222" w:lineRule="auto"/>
              <w:ind w:left="464"/>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总</w:t>
            </w:r>
            <w:r>
              <w:rPr>
                <w:rFonts w:ascii="宋体" w:hAnsi="宋体" w:eastAsia="宋体" w:cs="宋体"/>
                <w:color w:val="auto"/>
                <w:spacing w:val="10"/>
                <w:sz w:val="21"/>
                <w:szCs w:val="21"/>
                <w:highlight w:val="none"/>
              </w:rPr>
              <w:t>人口</w:t>
            </w:r>
          </w:p>
          <w:p>
            <w:pPr>
              <w:spacing w:before="174" w:line="220" w:lineRule="auto"/>
              <w:ind w:left="464"/>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w:t>
            </w:r>
            <w:r>
              <w:rPr>
                <w:rFonts w:ascii="宋体" w:hAnsi="宋体" w:eastAsia="宋体" w:cs="宋体"/>
                <w:color w:val="auto"/>
                <w:spacing w:val="11"/>
                <w:sz w:val="21"/>
                <w:szCs w:val="21"/>
                <w:highlight w:val="none"/>
              </w:rPr>
              <w:t>万人)</w:t>
            </w:r>
          </w:p>
        </w:tc>
        <w:tc>
          <w:tcPr>
            <w:tcW w:w="1579" w:type="dxa"/>
            <w:tcBorders>
              <w:top w:val="single" w:color="000000" w:sz="2" w:space="0"/>
              <w:bottom w:val="single" w:color="000000" w:sz="2" w:space="0"/>
            </w:tcBorders>
            <w:vAlign w:val="top"/>
          </w:tcPr>
          <w:p>
            <w:pPr>
              <w:spacing w:before="148" w:line="440" w:lineRule="exact"/>
              <w:ind w:left="366"/>
              <w:rPr>
                <w:rFonts w:ascii="宋体" w:hAnsi="宋体" w:eastAsia="宋体" w:cs="宋体"/>
                <w:color w:val="auto"/>
                <w:sz w:val="21"/>
                <w:szCs w:val="21"/>
                <w:highlight w:val="none"/>
              </w:rPr>
            </w:pPr>
            <w:r>
              <w:rPr>
                <w:rFonts w:ascii="宋体" w:hAnsi="宋体" w:eastAsia="宋体" w:cs="宋体"/>
                <w:color w:val="auto"/>
                <w:spacing w:val="5"/>
                <w:position w:val="17"/>
                <w:sz w:val="21"/>
                <w:szCs w:val="21"/>
                <w:highlight w:val="none"/>
              </w:rPr>
              <w:t>年末牲畜</w:t>
            </w:r>
          </w:p>
          <w:p>
            <w:pPr>
              <w:spacing w:line="219" w:lineRule="auto"/>
              <w:ind w:left="46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总头</w:t>
            </w:r>
            <w:r>
              <w:rPr>
                <w:rFonts w:ascii="宋体" w:hAnsi="宋体" w:eastAsia="宋体" w:cs="宋体"/>
                <w:color w:val="auto"/>
                <w:spacing w:val="2"/>
                <w:sz w:val="21"/>
                <w:szCs w:val="21"/>
                <w:highlight w:val="none"/>
              </w:rPr>
              <w:t>数</w:t>
            </w:r>
          </w:p>
          <w:p>
            <w:pPr>
              <w:spacing w:before="190" w:line="219" w:lineRule="auto"/>
              <w:ind w:left="467"/>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w:t>
            </w:r>
            <w:r>
              <w:rPr>
                <w:rFonts w:ascii="宋体" w:hAnsi="宋体" w:eastAsia="宋体" w:cs="宋体"/>
                <w:color w:val="auto"/>
                <w:spacing w:val="11"/>
                <w:sz w:val="21"/>
                <w:szCs w:val="21"/>
                <w:highlight w:val="none"/>
              </w:rPr>
              <w:t>万头)</w:t>
            </w:r>
          </w:p>
        </w:tc>
        <w:tc>
          <w:tcPr>
            <w:tcW w:w="1569" w:type="dxa"/>
            <w:tcBorders>
              <w:top w:val="single" w:color="000000" w:sz="2" w:space="0"/>
              <w:bottom w:val="single" w:color="000000" w:sz="2" w:space="0"/>
            </w:tcBorders>
            <w:vAlign w:val="top"/>
          </w:tcPr>
          <w:p>
            <w:pPr>
              <w:spacing w:before="148" w:line="441" w:lineRule="exact"/>
              <w:ind w:left="567"/>
              <w:rPr>
                <w:rFonts w:ascii="宋体" w:hAnsi="宋体" w:eastAsia="宋体" w:cs="宋体"/>
                <w:color w:val="auto"/>
                <w:sz w:val="21"/>
                <w:szCs w:val="21"/>
                <w:highlight w:val="none"/>
              </w:rPr>
            </w:pPr>
            <w:r>
              <w:rPr>
                <w:rFonts w:ascii="宋体" w:hAnsi="宋体" w:eastAsia="宋体" w:cs="宋体"/>
                <w:color w:val="auto"/>
                <w:spacing w:val="-4"/>
                <w:position w:val="17"/>
                <w:sz w:val="21"/>
                <w:szCs w:val="21"/>
                <w:highlight w:val="none"/>
              </w:rPr>
              <w:t>灌</w:t>
            </w:r>
            <w:r>
              <w:rPr>
                <w:rFonts w:ascii="宋体" w:hAnsi="宋体" w:eastAsia="宋体" w:cs="宋体"/>
                <w:color w:val="auto"/>
                <w:spacing w:val="-2"/>
                <w:position w:val="17"/>
                <w:sz w:val="21"/>
                <w:szCs w:val="21"/>
                <w:highlight w:val="none"/>
              </w:rPr>
              <w:t>溉</w:t>
            </w:r>
          </w:p>
          <w:p>
            <w:pPr>
              <w:spacing w:line="220" w:lineRule="auto"/>
              <w:ind w:left="567"/>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面</w:t>
            </w:r>
            <w:r>
              <w:rPr>
                <w:rFonts w:ascii="宋体" w:hAnsi="宋体" w:eastAsia="宋体" w:cs="宋体"/>
                <w:color w:val="auto"/>
                <w:spacing w:val="6"/>
                <w:sz w:val="21"/>
                <w:szCs w:val="21"/>
                <w:highlight w:val="none"/>
              </w:rPr>
              <w:t>积</w:t>
            </w:r>
          </w:p>
          <w:p>
            <w:pPr>
              <w:spacing w:before="189" w:line="220" w:lineRule="auto"/>
              <w:ind w:left="567"/>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(亩)</w:t>
            </w:r>
          </w:p>
        </w:tc>
        <w:tc>
          <w:tcPr>
            <w:tcW w:w="1569" w:type="dxa"/>
            <w:tcBorders>
              <w:top w:val="single" w:color="000000" w:sz="2" w:space="0"/>
              <w:bottom w:val="single" w:color="000000" w:sz="2" w:space="0"/>
            </w:tcBorders>
            <w:vAlign w:val="top"/>
          </w:tcPr>
          <w:p>
            <w:pPr>
              <w:spacing w:line="278" w:lineRule="auto"/>
              <w:rPr>
                <w:rFonts w:ascii="Arial"/>
                <w:color w:val="auto"/>
                <w:sz w:val="21"/>
                <w:highlight w:val="none"/>
              </w:rPr>
            </w:pPr>
          </w:p>
          <w:p>
            <w:pPr>
              <w:spacing w:before="68" w:line="412" w:lineRule="auto"/>
              <w:ind w:left="467" w:right="158" w:hanging="3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地区生</w:t>
            </w:r>
            <w:r>
              <w:rPr>
                <w:rFonts w:ascii="宋体" w:hAnsi="宋体" w:eastAsia="宋体" w:cs="宋体"/>
                <w:color w:val="auto"/>
                <w:spacing w:val="-1"/>
                <w:sz w:val="21"/>
                <w:szCs w:val="21"/>
                <w:highlight w:val="none"/>
              </w:rPr>
              <w:t>产总值</w:t>
            </w:r>
            <w:r>
              <w:rPr>
                <w:rFonts w:ascii="宋体" w:hAnsi="宋体" w:eastAsia="宋体" w:cs="宋体"/>
                <w:color w:val="auto"/>
                <w:spacing w:val="12"/>
                <w:sz w:val="21"/>
                <w:szCs w:val="21"/>
                <w:highlight w:val="none"/>
              </w:rPr>
              <w:t>(</w:t>
            </w:r>
            <w:r>
              <w:rPr>
                <w:rFonts w:ascii="宋体" w:hAnsi="宋体" w:eastAsia="宋体" w:cs="宋体"/>
                <w:color w:val="auto"/>
                <w:spacing w:val="11"/>
                <w:sz w:val="21"/>
                <w:szCs w:val="21"/>
                <w:highlight w:val="none"/>
              </w:rPr>
              <w:t>亿元)</w:t>
            </w:r>
          </w:p>
        </w:tc>
        <w:tc>
          <w:tcPr>
            <w:tcW w:w="1574" w:type="dxa"/>
            <w:tcBorders>
              <w:top w:val="single" w:color="000000" w:sz="2" w:space="0"/>
              <w:bottom w:val="single" w:color="000000" w:sz="2" w:space="0"/>
            </w:tcBorders>
            <w:vAlign w:val="top"/>
          </w:tcPr>
          <w:p>
            <w:pPr>
              <w:spacing w:line="348" w:lineRule="auto"/>
              <w:rPr>
                <w:rFonts w:ascii="Arial"/>
                <w:color w:val="auto"/>
                <w:sz w:val="21"/>
                <w:highlight w:val="none"/>
              </w:rPr>
            </w:pPr>
          </w:p>
          <w:p>
            <w:pPr>
              <w:spacing w:before="68" w:line="331" w:lineRule="auto"/>
              <w:ind w:left="569" w:right="262" w:hanging="31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岸线总长</w:t>
            </w:r>
            <w:r>
              <w:rPr>
                <w:rFonts w:ascii="宋体" w:hAnsi="宋体" w:eastAsia="宋体" w:cs="宋体"/>
                <w:color w:val="auto"/>
                <w:spacing w:val="-1"/>
                <w:sz w:val="21"/>
                <w:szCs w:val="21"/>
                <w:highlight w:val="none"/>
              </w:rPr>
              <w:t>度</w:t>
            </w:r>
            <w:r>
              <w:rPr>
                <w:rFonts w:ascii="宋体" w:hAnsi="宋体" w:eastAsia="宋体" w:cs="宋体"/>
                <w:color w:val="auto"/>
                <w:sz w:val="21"/>
                <w:szCs w:val="21"/>
                <w:highlight w:val="none"/>
              </w:rPr>
              <w:t xml:space="preserve"> </w:t>
            </w:r>
            <w:r>
              <w:rPr>
                <w:rFonts w:ascii="宋体" w:hAnsi="宋体" w:eastAsia="宋体" w:cs="宋体"/>
                <w:color w:val="auto"/>
                <w:spacing w:val="-10"/>
                <w:sz w:val="21"/>
                <w:szCs w:val="21"/>
                <w:highlight w:val="none"/>
              </w:rPr>
              <w:t>(</w:t>
            </w:r>
            <w:r>
              <w:rPr>
                <w:rFonts w:ascii="宋体" w:hAnsi="宋体" w:eastAsia="宋体" w:cs="宋体"/>
                <w:color w:val="auto"/>
                <w:spacing w:val="-8"/>
                <w:sz w:val="21"/>
                <w:szCs w:val="21"/>
                <w:highlight w:val="none"/>
              </w:rPr>
              <w:t>km)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594" w:type="dxa"/>
            <w:tcBorders>
              <w:top w:val="single" w:color="000000" w:sz="2" w:space="0"/>
              <w:bottom w:val="single" w:color="000000" w:sz="2" w:space="0"/>
            </w:tcBorders>
            <w:vAlign w:val="top"/>
          </w:tcPr>
          <w:p>
            <w:pPr>
              <w:spacing w:before="227" w:line="187" w:lineRule="auto"/>
              <w:ind w:left="734"/>
              <w:rPr>
                <w:rFonts w:ascii="宋体" w:hAnsi="宋体" w:eastAsia="宋体" w:cs="宋体"/>
                <w:color w:val="auto"/>
                <w:sz w:val="21"/>
                <w:szCs w:val="21"/>
                <w:highlight w:val="none"/>
              </w:rPr>
            </w:pPr>
            <w:r>
              <w:rPr>
                <w:rFonts w:ascii="宋体" w:hAnsi="宋体" w:eastAsia="宋体" w:cs="宋体"/>
                <w:color w:val="auto"/>
                <w:sz w:val="21"/>
                <w:szCs w:val="21"/>
                <w:highlight w:val="none"/>
              </w:rPr>
              <w:t>1</w:t>
            </w:r>
          </w:p>
        </w:tc>
        <w:tc>
          <w:tcPr>
            <w:tcW w:w="1579" w:type="dxa"/>
            <w:tcBorders>
              <w:top w:val="single" w:color="000000" w:sz="2" w:space="0"/>
              <w:bottom w:val="single" w:color="000000" w:sz="2" w:space="0"/>
            </w:tcBorders>
            <w:vAlign w:val="top"/>
          </w:tcPr>
          <w:p>
            <w:pPr>
              <w:spacing w:before="174" w:line="219" w:lineRule="auto"/>
              <w:ind w:left="15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内蒙古自治区</w:t>
            </w:r>
          </w:p>
        </w:tc>
        <w:tc>
          <w:tcPr>
            <w:tcW w:w="1568" w:type="dxa"/>
            <w:tcBorders>
              <w:top w:val="single" w:color="000000" w:sz="2" w:space="0"/>
              <w:bottom w:val="single" w:color="000000" w:sz="2" w:space="0"/>
            </w:tcBorders>
            <w:vAlign w:val="top"/>
          </w:tcPr>
          <w:p>
            <w:pPr>
              <w:spacing w:before="173" w:line="219" w:lineRule="auto"/>
              <w:ind w:left="25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巴</w:t>
            </w:r>
            <w:r>
              <w:rPr>
                <w:rFonts w:ascii="宋体" w:hAnsi="宋体" w:eastAsia="宋体" w:cs="宋体"/>
                <w:color w:val="auto"/>
                <w:spacing w:val="2"/>
                <w:sz w:val="21"/>
                <w:szCs w:val="21"/>
                <w:highlight w:val="none"/>
              </w:rPr>
              <w:t>彦淖尔市</w:t>
            </w:r>
          </w:p>
        </w:tc>
        <w:tc>
          <w:tcPr>
            <w:tcW w:w="1599" w:type="dxa"/>
            <w:tcBorders>
              <w:top w:val="single" w:color="000000" w:sz="2" w:space="0"/>
              <w:bottom w:val="single" w:color="000000" w:sz="2" w:space="0"/>
            </w:tcBorders>
            <w:vAlign w:val="top"/>
          </w:tcPr>
          <w:p>
            <w:pPr>
              <w:spacing w:before="179" w:line="224" w:lineRule="auto"/>
              <w:ind w:left="47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磴</w:t>
            </w:r>
            <w:r>
              <w:rPr>
                <w:rFonts w:ascii="宋体" w:hAnsi="宋体" w:eastAsia="宋体" w:cs="宋体"/>
                <w:color w:val="auto"/>
                <w:spacing w:val="-2"/>
                <w:sz w:val="21"/>
                <w:szCs w:val="21"/>
                <w:highlight w:val="none"/>
              </w:rPr>
              <w:t>口县</w:t>
            </w:r>
          </w:p>
        </w:tc>
        <w:tc>
          <w:tcPr>
            <w:tcW w:w="1568" w:type="dxa"/>
            <w:tcBorders>
              <w:top w:val="single" w:color="000000" w:sz="2" w:space="0"/>
              <w:bottom w:val="single" w:color="000000" w:sz="2" w:space="0"/>
            </w:tcBorders>
            <w:vAlign w:val="top"/>
          </w:tcPr>
          <w:p>
            <w:pPr>
              <w:spacing w:before="227" w:line="185" w:lineRule="auto"/>
              <w:ind w:left="514"/>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1</w:t>
            </w:r>
            <w:r>
              <w:rPr>
                <w:rFonts w:ascii="宋体" w:hAnsi="宋体" w:eastAsia="宋体" w:cs="宋体"/>
                <w:color w:val="auto"/>
                <w:spacing w:val="-4"/>
                <w:sz w:val="21"/>
                <w:szCs w:val="21"/>
                <w:highlight w:val="none"/>
              </w:rPr>
              <w:t>1</w:t>
            </w:r>
            <w:r>
              <w:rPr>
                <w:rFonts w:ascii="宋体" w:hAnsi="宋体" w:eastAsia="宋体" w:cs="宋体"/>
                <w:color w:val="auto"/>
                <w:spacing w:val="-3"/>
                <w:sz w:val="21"/>
                <w:szCs w:val="21"/>
                <w:highlight w:val="none"/>
              </w:rPr>
              <w:t>.75</w:t>
            </w:r>
          </w:p>
        </w:tc>
        <w:tc>
          <w:tcPr>
            <w:tcW w:w="1579" w:type="dxa"/>
            <w:tcBorders>
              <w:top w:val="single" w:color="000000" w:sz="2" w:space="0"/>
              <w:bottom w:val="single" w:color="000000" w:sz="2" w:space="0"/>
            </w:tcBorders>
            <w:vAlign w:val="top"/>
          </w:tcPr>
          <w:p>
            <w:pPr>
              <w:spacing w:before="228" w:line="184" w:lineRule="auto"/>
              <w:ind w:left="51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w:t>
            </w:r>
            <w:r>
              <w:rPr>
                <w:rFonts w:ascii="宋体" w:hAnsi="宋体" w:eastAsia="宋体" w:cs="宋体"/>
                <w:color w:val="auto"/>
                <w:spacing w:val="-1"/>
                <w:sz w:val="21"/>
                <w:szCs w:val="21"/>
                <w:highlight w:val="none"/>
              </w:rPr>
              <w:t>5.97</w:t>
            </w:r>
          </w:p>
        </w:tc>
        <w:tc>
          <w:tcPr>
            <w:tcW w:w="1569" w:type="dxa"/>
            <w:tcBorders>
              <w:top w:val="single" w:color="000000" w:sz="2" w:space="0"/>
              <w:bottom w:val="single" w:color="000000" w:sz="2" w:space="0"/>
            </w:tcBorders>
            <w:vAlign w:val="top"/>
          </w:tcPr>
          <w:p>
            <w:pPr>
              <w:spacing w:before="227" w:line="185" w:lineRule="auto"/>
              <w:ind w:left="46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1</w:t>
            </w:r>
            <w:r>
              <w:rPr>
                <w:rFonts w:ascii="宋体" w:hAnsi="宋体" w:eastAsia="宋体" w:cs="宋体"/>
                <w:color w:val="auto"/>
                <w:spacing w:val="-3"/>
                <w:sz w:val="21"/>
                <w:szCs w:val="21"/>
                <w:highlight w:val="none"/>
              </w:rPr>
              <w:t>20.83</w:t>
            </w:r>
          </w:p>
        </w:tc>
        <w:tc>
          <w:tcPr>
            <w:tcW w:w="1569" w:type="dxa"/>
            <w:tcBorders>
              <w:top w:val="single" w:color="000000" w:sz="2" w:space="0"/>
              <w:bottom w:val="single" w:color="000000" w:sz="2" w:space="0"/>
            </w:tcBorders>
            <w:vAlign w:val="top"/>
          </w:tcPr>
          <w:p>
            <w:pPr>
              <w:spacing w:before="228" w:line="184" w:lineRule="auto"/>
              <w:ind w:left="5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54.90</w:t>
            </w:r>
          </w:p>
        </w:tc>
        <w:tc>
          <w:tcPr>
            <w:tcW w:w="1574" w:type="dxa"/>
            <w:tcBorders>
              <w:top w:val="single" w:color="000000" w:sz="2" w:space="0"/>
              <w:bottom w:val="single" w:color="000000" w:sz="2" w:space="0"/>
            </w:tcBorders>
            <w:vAlign w:val="top"/>
          </w:tcPr>
          <w:p>
            <w:pPr>
              <w:spacing w:before="228" w:line="184" w:lineRule="auto"/>
              <w:ind w:left="519"/>
              <w:rPr>
                <w:rFonts w:hint="default" w:ascii="宋体" w:hAnsi="宋体" w:eastAsia="宋体" w:cs="宋体"/>
                <w:color w:val="auto"/>
                <w:sz w:val="21"/>
                <w:szCs w:val="21"/>
                <w:highlight w:val="none"/>
                <w:lang w:val="en-US" w:eastAsia="zh-CN"/>
              </w:rPr>
            </w:pPr>
            <w:r>
              <w:rPr>
                <w:rFonts w:hint="eastAsia" w:ascii="宋体" w:hAnsi="宋体" w:eastAsia="宋体" w:cs="宋体"/>
                <w:color w:val="auto"/>
                <w:spacing w:val="-2"/>
                <w:sz w:val="21"/>
                <w:szCs w:val="21"/>
                <w:highlight w:val="yellow"/>
                <w:lang w:val="en-US" w:eastAsia="zh-CN"/>
              </w:rPr>
              <w:t>27.32</w:t>
            </w:r>
          </w:p>
        </w:tc>
      </w:tr>
    </w:tbl>
    <w:p>
      <w:pPr>
        <w:rPr>
          <w:rFonts w:ascii="Arial"/>
          <w:color w:val="auto"/>
          <w:sz w:val="21"/>
          <w:highlight w:val="none"/>
        </w:rPr>
      </w:pPr>
    </w:p>
    <w:p>
      <w:pPr>
        <w:rPr>
          <w:color w:val="auto"/>
          <w:highlight w:val="none"/>
        </w:rPr>
        <w:sectPr>
          <w:footerReference r:id="rId20" w:type="default"/>
          <w:pgSz w:w="16850" w:h="11910"/>
          <w:pgMar w:top="1012" w:right="1274" w:bottom="1912" w:left="1365" w:header="680" w:footer="1474" w:gutter="0"/>
          <w:pgNumType w:fmt="decimal"/>
          <w:cols w:space="720" w:num="1"/>
        </w:sectPr>
      </w:pPr>
    </w:p>
    <w:p>
      <w:pPr>
        <w:widowControl w:val="0"/>
        <w:kinsoku/>
        <w:adjustRightInd w:val="0"/>
        <w:snapToGrid/>
        <w:spacing w:line="360" w:lineRule="auto"/>
        <w:ind w:right="80" w:rightChars="38" w:firstLine="420" w:firstLineChars="200"/>
        <w:contextualSpacing/>
        <w:jc w:val="left"/>
        <w:textAlignment w:val="auto"/>
        <w:rPr>
          <w:rFonts w:ascii="Arial"/>
          <w:color w:val="auto"/>
          <w:sz w:val="21"/>
          <w:highlight w:val="yellow"/>
        </w:rPr>
      </w:pPr>
    </w:p>
    <w:p>
      <w:pPr>
        <w:spacing w:before="91" w:line="221" w:lineRule="auto"/>
        <w:ind w:left="5388"/>
        <w:rPr>
          <w:rFonts w:ascii="黑体" w:hAnsi="黑体" w:eastAsia="黑体" w:cs="黑体"/>
          <w:color w:val="auto"/>
          <w:sz w:val="28"/>
          <w:szCs w:val="28"/>
          <w:highlight w:val="yellow"/>
        </w:rPr>
      </w:pPr>
      <w:r>
        <w:rPr>
          <w:rFonts w:ascii="黑体" w:hAnsi="黑体" w:eastAsia="黑体" w:cs="黑体"/>
          <w:color w:val="auto"/>
          <w:spacing w:val="-10"/>
          <w:sz w:val="28"/>
          <w:szCs w:val="28"/>
          <w:highlight w:val="yellow"/>
          <w14:textOutline w14:w="5080" w14:cap="flat" w14:cmpd="sng">
            <w14:solidFill>
              <w14:srgbClr w14:val="000000"/>
            </w14:solidFill>
            <w14:prstDash w14:val="solid"/>
            <w14:miter w14:val="0"/>
          </w14:textOutline>
        </w:rPr>
        <w:t>表</w:t>
      </w:r>
      <w:r>
        <w:rPr>
          <w:rFonts w:ascii="黑体" w:hAnsi="黑体" w:eastAsia="黑体" w:cs="黑体"/>
          <w:color w:val="auto"/>
          <w:spacing w:val="-8"/>
          <w:sz w:val="28"/>
          <w:szCs w:val="28"/>
          <w:highlight w:val="yellow"/>
          <w14:textOutline w14:w="5080" w14:cap="flat" w14:cmpd="sng">
            <w14:solidFill>
              <w14:srgbClr w14:val="000000"/>
            </w14:solidFill>
            <w14:prstDash w14:val="solid"/>
            <w14:miter w14:val="0"/>
          </w14:textOutline>
        </w:rPr>
        <w:t>2</w:t>
      </w:r>
      <w:r>
        <w:rPr>
          <w:rFonts w:ascii="黑体" w:hAnsi="黑体" w:eastAsia="黑体" w:cs="黑体"/>
          <w:color w:val="auto"/>
          <w:spacing w:val="-5"/>
          <w:sz w:val="28"/>
          <w:szCs w:val="28"/>
          <w:highlight w:val="yellow"/>
        </w:rPr>
        <w:t xml:space="preserve"> </w:t>
      </w:r>
      <w:r>
        <w:rPr>
          <w:rFonts w:hint="eastAsia" w:ascii="黑体" w:hAnsi="黑体" w:eastAsia="黑体" w:cs="黑体"/>
          <w:color w:val="auto"/>
          <w:spacing w:val="-5"/>
          <w:sz w:val="28"/>
          <w:szCs w:val="28"/>
          <w:highlight w:val="yellow"/>
          <w:lang w:val="en-US" w:eastAsia="zh-CN"/>
          <w14:textOutline w14:w="5080" w14:cap="flat" w14:cmpd="sng">
            <w14:solidFill>
              <w14:srgbClr w14:val="000000"/>
            </w14:solidFill>
            <w14:prstDash w14:val="solid"/>
            <w14:miter w14:val="0"/>
          </w14:textOutline>
        </w:rPr>
        <w:t>冬青湖</w:t>
      </w:r>
      <w:r>
        <w:rPr>
          <w:rFonts w:ascii="黑体" w:hAnsi="黑体" w:eastAsia="黑体" w:cs="黑体"/>
          <w:color w:val="auto"/>
          <w:spacing w:val="-5"/>
          <w:sz w:val="28"/>
          <w:szCs w:val="28"/>
          <w:highlight w:val="yellow"/>
          <w14:textOutline w14:w="5080" w14:cap="flat" w14:cmpd="sng">
            <w14:solidFill>
              <w14:srgbClr w14:val="000000"/>
            </w14:solidFill>
            <w14:prstDash w14:val="solid"/>
            <w14:miter w14:val="0"/>
          </w14:textOutline>
        </w:rPr>
        <w:t>主要入湖河流基本情况</w:t>
      </w:r>
    </w:p>
    <w:p>
      <w:pPr>
        <w:rPr>
          <w:color w:val="auto"/>
          <w:highlight w:val="yellow"/>
        </w:rPr>
      </w:pPr>
    </w:p>
    <w:p>
      <w:pPr>
        <w:spacing w:line="143" w:lineRule="exact"/>
        <w:rPr>
          <w:color w:val="auto"/>
          <w:highlight w:val="yellow"/>
        </w:rPr>
      </w:pPr>
    </w:p>
    <w:tbl>
      <w:tblPr>
        <w:tblStyle w:val="13"/>
        <w:tblW w:w="500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044"/>
        <w:gridCol w:w="2073"/>
        <w:gridCol w:w="2795"/>
        <w:gridCol w:w="2597"/>
        <w:gridCol w:w="2065"/>
        <w:gridCol w:w="23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734" w:type="pct"/>
            <w:tcBorders>
              <w:top w:val="single" w:color="000000" w:sz="2" w:space="0"/>
              <w:bottom w:val="single" w:color="000000" w:sz="2" w:space="0"/>
            </w:tcBorders>
            <w:vAlign w:val="top"/>
          </w:tcPr>
          <w:p>
            <w:pPr>
              <w:spacing w:line="349" w:lineRule="auto"/>
              <w:rPr>
                <w:rFonts w:ascii="Arial"/>
                <w:color w:val="auto"/>
                <w:sz w:val="21"/>
                <w:highlight w:val="yellow"/>
              </w:rPr>
            </w:pPr>
          </w:p>
          <w:p>
            <w:pPr>
              <w:spacing w:before="68" w:line="221" w:lineRule="auto"/>
              <w:ind w:left="664"/>
              <w:rPr>
                <w:rFonts w:ascii="宋体" w:hAnsi="宋体" w:eastAsia="宋体" w:cs="宋体"/>
                <w:color w:val="auto"/>
                <w:sz w:val="21"/>
                <w:szCs w:val="21"/>
                <w:highlight w:val="yellow"/>
              </w:rPr>
            </w:pPr>
            <w:r>
              <w:rPr>
                <w:rFonts w:ascii="宋体" w:hAnsi="宋体" w:eastAsia="宋体" w:cs="宋体"/>
                <w:color w:val="auto"/>
                <w:spacing w:val="7"/>
                <w:sz w:val="21"/>
                <w:szCs w:val="21"/>
                <w:highlight w:val="yellow"/>
              </w:rPr>
              <w:t>序</w:t>
            </w:r>
            <w:r>
              <w:rPr>
                <w:rFonts w:ascii="宋体" w:hAnsi="宋体" w:eastAsia="宋体" w:cs="宋体"/>
                <w:color w:val="auto"/>
                <w:spacing w:val="6"/>
                <w:sz w:val="21"/>
                <w:szCs w:val="21"/>
                <w:highlight w:val="yellow"/>
              </w:rPr>
              <w:t>号</w:t>
            </w:r>
          </w:p>
        </w:tc>
        <w:tc>
          <w:tcPr>
            <w:tcW w:w="744" w:type="pct"/>
            <w:tcBorders>
              <w:top w:val="single" w:color="000000" w:sz="2" w:space="0"/>
              <w:bottom w:val="single" w:color="000000" w:sz="2" w:space="0"/>
            </w:tcBorders>
            <w:vAlign w:val="top"/>
          </w:tcPr>
          <w:p>
            <w:pPr>
              <w:spacing w:line="348" w:lineRule="auto"/>
              <w:rPr>
                <w:rFonts w:ascii="Arial"/>
                <w:color w:val="auto"/>
                <w:sz w:val="21"/>
                <w:highlight w:val="yellow"/>
              </w:rPr>
            </w:pPr>
          </w:p>
          <w:p>
            <w:pPr>
              <w:spacing w:before="68" w:line="219" w:lineRule="auto"/>
              <w:ind w:left="672"/>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类</w:t>
            </w:r>
            <w:r>
              <w:rPr>
                <w:rFonts w:ascii="宋体" w:hAnsi="宋体" w:eastAsia="宋体" w:cs="宋体"/>
                <w:color w:val="auto"/>
                <w:spacing w:val="8"/>
                <w:sz w:val="21"/>
                <w:szCs w:val="21"/>
                <w:highlight w:val="yellow"/>
              </w:rPr>
              <w:t>别</w:t>
            </w:r>
          </w:p>
        </w:tc>
        <w:tc>
          <w:tcPr>
            <w:tcW w:w="1003" w:type="pct"/>
            <w:tcBorders>
              <w:top w:val="single" w:color="000000" w:sz="2" w:space="0"/>
              <w:bottom w:val="single" w:color="000000" w:sz="2" w:space="0"/>
            </w:tcBorders>
            <w:vAlign w:val="top"/>
          </w:tcPr>
          <w:p>
            <w:pPr>
              <w:spacing w:line="348" w:lineRule="auto"/>
              <w:rPr>
                <w:rFonts w:ascii="Arial"/>
                <w:color w:val="auto"/>
                <w:sz w:val="21"/>
                <w:highlight w:val="yellow"/>
              </w:rPr>
            </w:pPr>
          </w:p>
          <w:p>
            <w:pPr>
              <w:spacing w:before="69" w:line="220" w:lineRule="auto"/>
              <w:ind w:left="463"/>
              <w:rPr>
                <w:rFonts w:ascii="宋体" w:hAnsi="宋体" w:eastAsia="宋体" w:cs="宋体"/>
                <w:color w:val="auto"/>
                <w:sz w:val="21"/>
                <w:szCs w:val="21"/>
                <w:highlight w:val="yellow"/>
              </w:rPr>
            </w:pPr>
            <w:r>
              <w:rPr>
                <w:rFonts w:ascii="宋体" w:hAnsi="宋体" w:eastAsia="宋体" w:cs="宋体"/>
                <w:color w:val="auto"/>
                <w:spacing w:val="-1"/>
                <w:sz w:val="21"/>
                <w:szCs w:val="21"/>
                <w:highlight w:val="yellow"/>
              </w:rPr>
              <w:t>河流(沟道)名</w:t>
            </w:r>
            <w:r>
              <w:rPr>
                <w:rFonts w:ascii="宋体" w:hAnsi="宋体" w:eastAsia="宋体" w:cs="宋体"/>
                <w:color w:val="auto"/>
                <w:sz w:val="21"/>
                <w:szCs w:val="21"/>
                <w:highlight w:val="yellow"/>
              </w:rPr>
              <w:t>称</w:t>
            </w:r>
          </w:p>
        </w:tc>
        <w:tc>
          <w:tcPr>
            <w:tcW w:w="932" w:type="pct"/>
            <w:tcBorders>
              <w:top w:val="single" w:color="000000" w:sz="2" w:space="0"/>
              <w:bottom w:val="single" w:color="000000" w:sz="2" w:space="0"/>
            </w:tcBorders>
            <w:vAlign w:val="top"/>
          </w:tcPr>
          <w:p>
            <w:pPr>
              <w:spacing w:line="348" w:lineRule="auto"/>
              <w:rPr>
                <w:rFonts w:ascii="Arial"/>
                <w:color w:val="auto"/>
                <w:sz w:val="21"/>
                <w:highlight w:val="yellow"/>
              </w:rPr>
            </w:pPr>
          </w:p>
          <w:p>
            <w:pPr>
              <w:spacing w:before="68" w:line="219" w:lineRule="auto"/>
              <w:ind w:left="366"/>
              <w:rPr>
                <w:rFonts w:ascii="宋体" w:hAnsi="宋体" w:eastAsia="宋体" w:cs="宋体"/>
                <w:color w:val="auto"/>
                <w:sz w:val="21"/>
                <w:szCs w:val="21"/>
                <w:highlight w:val="yellow"/>
              </w:rPr>
            </w:pPr>
            <w:r>
              <w:rPr>
                <w:rFonts w:ascii="宋体" w:hAnsi="宋体" w:eastAsia="宋体" w:cs="宋体"/>
                <w:color w:val="auto"/>
                <w:spacing w:val="10"/>
                <w:sz w:val="21"/>
                <w:szCs w:val="21"/>
                <w:highlight w:val="yellow"/>
              </w:rPr>
              <w:t>区</w:t>
            </w:r>
            <w:r>
              <w:rPr>
                <w:rFonts w:ascii="宋体" w:hAnsi="宋体" w:eastAsia="宋体" w:cs="宋体"/>
                <w:color w:val="auto"/>
                <w:spacing w:val="7"/>
                <w:sz w:val="21"/>
                <w:szCs w:val="21"/>
                <w:highlight w:val="yellow"/>
              </w:rPr>
              <w:t>内长度(</w:t>
            </w:r>
            <w:r>
              <w:rPr>
                <w:rFonts w:ascii="宋体" w:hAnsi="宋体" w:eastAsia="宋体" w:cs="宋体"/>
                <w:color w:val="auto"/>
                <w:sz w:val="21"/>
                <w:szCs w:val="21"/>
                <w:highlight w:val="yellow"/>
              </w:rPr>
              <w:t>km</w:t>
            </w:r>
            <w:r>
              <w:rPr>
                <w:rFonts w:ascii="宋体" w:hAnsi="宋体" w:eastAsia="宋体" w:cs="宋体"/>
                <w:color w:val="auto"/>
                <w:spacing w:val="7"/>
                <w:sz w:val="21"/>
                <w:szCs w:val="21"/>
                <w:highlight w:val="yellow"/>
              </w:rPr>
              <w:t>)</w:t>
            </w:r>
          </w:p>
        </w:tc>
        <w:tc>
          <w:tcPr>
            <w:tcW w:w="741" w:type="pct"/>
            <w:tcBorders>
              <w:top w:val="single" w:color="000000" w:sz="2" w:space="0"/>
              <w:bottom w:val="single" w:color="000000" w:sz="2" w:space="0"/>
            </w:tcBorders>
            <w:vAlign w:val="top"/>
          </w:tcPr>
          <w:p>
            <w:pPr>
              <w:spacing w:line="348" w:lineRule="auto"/>
              <w:rPr>
                <w:rFonts w:ascii="Arial"/>
                <w:color w:val="auto"/>
                <w:sz w:val="21"/>
                <w:highlight w:val="yellow"/>
              </w:rPr>
            </w:pPr>
          </w:p>
          <w:p>
            <w:pPr>
              <w:spacing w:before="68" w:line="219" w:lineRule="auto"/>
              <w:ind w:left="97"/>
              <w:rPr>
                <w:rFonts w:ascii="宋体" w:hAnsi="宋体" w:eastAsia="宋体" w:cs="宋体"/>
                <w:color w:val="auto"/>
                <w:sz w:val="21"/>
                <w:szCs w:val="21"/>
                <w:highlight w:val="yellow"/>
              </w:rPr>
            </w:pPr>
            <w:r>
              <w:rPr>
                <w:rFonts w:ascii="宋体" w:hAnsi="宋体" w:eastAsia="宋体" w:cs="宋体"/>
                <w:color w:val="auto"/>
                <w:spacing w:val="19"/>
                <w:sz w:val="21"/>
                <w:szCs w:val="21"/>
                <w:highlight w:val="yellow"/>
              </w:rPr>
              <w:t>引</w:t>
            </w:r>
            <w:r>
              <w:rPr>
                <w:rFonts w:ascii="宋体" w:hAnsi="宋体" w:eastAsia="宋体" w:cs="宋体"/>
                <w:color w:val="auto"/>
                <w:spacing w:val="18"/>
                <w:sz w:val="21"/>
                <w:szCs w:val="21"/>
                <w:highlight w:val="yellow"/>
              </w:rPr>
              <w:t>水能力(</w:t>
            </w:r>
            <w:r>
              <w:rPr>
                <w:rFonts w:ascii="宋体" w:hAnsi="宋体" w:eastAsia="宋体" w:cs="宋体"/>
                <w:color w:val="auto"/>
                <w:sz w:val="21"/>
                <w:szCs w:val="21"/>
                <w:highlight w:val="yellow"/>
              </w:rPr>
              <w:t>m</w:t>
            </w:r>
            <w:r>
              <w:rPr>
                <w:rFonts w:ascii="宋体" w:hAnsi="宋体" w:eastAsia="宋体" w:cs="宋体"/>
                <w:color w:val="auto"/>
                <w:spacing w:val="18"/>
                <w:sz w:val="21"/>
                <w:szCs w:val="21"/>
                <w:highlight w:val="yellow"/>
              </w:rPr>
              <w:t>³/</w:t>
            </w:r>
            <w:r>
              <w:rPr>
                <w:rFonts w:ascii="宋体" w:hAnsi="宋体" w:eastAsia="宋体" w:cs="宋体"/>
                <w:color w:val="auto"/>
                <w:sz w:val="21"/>
                <w:szCs w:val="21"/>
                <w:highlight w:val="yellow"/>
              </w:rPr>
              <w:t>s</w:t>
            </w:r>
            <w:r>
              <w:rPr>
                <w:rFonts w:ascii="宋体" w:hAnsi="宋体" w:eastAsia="宋体" w:cs="宋体"/>
                <w:color w:val="auto"/>
                <w:spacing w:val="18"/>
                <w:sz w:val="21"/>
                <w:szCs w:val="21"/>
                <w:highlight w:val="yellow"/>
              </w:rPr>
              <w:t>)</w:t>
            </w:r>
          </w:p>
        </w:tc>
        <w:tc>
          <w:tcPr>
            <w:tcW w:w="843" w:type="pct"/>
            <w:tcBorders>
              <w:top w:val="single" w:color="000000" w:sz="2" w:space="0"/>
              <w:bottom w:val="single" w:color="000000" w:sz="2" w:space="0"/>
            </w:tcBorders>
            <w:vAlign w:val="top"/>
          </w:tcPr>
          <w:p>
            <w:pPr>
              <w:spacing w:before="218" w:line="219" w:lineRule="auto"/>
              <w:ind w:left="108"/>
              <w:rPr>
                <w:rFonts w:ascii="宋体" w:hAnsi="宋体" w:eastAsia="宋体" w:cs="宋体"/>
                <w:color w:val="auto"/>
                <w:sz w:val="21"/>
                <w:szCs w:val="21"/>
                <w:highlight w:val="yellow"/>
              </w:rPr>
            </w:pPr>
            <w:r>
              <w:rPr>
                <w:rFonts w:ascii="宋体" w:hAnsi="宋体" w:eastAsia="宋体" w:cs="宋体"/>
                <w:color w:val="auto"/>
                <w:spacing w:val="2"/>
                <w:sz w:val="21"/>
                <w:szCs w:val="21"/>
                <w:highlight w:val="yellow"/>
              </w:rPr>
              <w:t>湖面面积/灌排面积</w:t>
            </w:r>
          </w:p>
          <w:p>
            <w:pPr>
              <w:spacing w:before="131" w:line="220" w:lineRule="auto"/>
              <w:ind w:left="688"/>
              <w:rPr>
                <w:rFonts w:ascii="宋体" w:hAnsi="宋体" w:eastAsia="宋体" w:cs="宋体"/>
                <w:color w:val="auto"/>
                <w:sz w:val="21"/>
                <w:szCs w:val="21"/>
                <w:highlight w:val="yellow"/>
              </w:rPr>
            </w:pPr>
            <w:r>
              <w:rPr>
                <w:rFonts w:ascii="宋体" w:hAnsi="宋体" w:eastAsia="宋体" w:cs="宋体"/>
                <w:color w:val="auto"/>
                <w:spacing w:val="12"/>
                <w:sz w:val="21"/>
                <w:szCs w:val="21"/>
                <w:highlight w:val="yellow"/>
              </w:rPr>
              <w:t>(</w:t>
            </w:r>
            <w:r>
              <w:rPr>
                <w:rFonts w:ascii="宋体" w:hAnsi="宋体" w:eastAsia="宋体" w:cs="宋体"/>
                <w:color w:val="auto"/>
                <w:spacing w:val="11"/>
                <w:sz w:val="21"/>
                <w:szCs w:val="21"/>
                <w:highlight w:val="yellow"/>
              </w:rPr>
              <w:t>万亩)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734" w:type="pct"/>
            <w:tcBorders>
              <w:top w:val="single" w:color="000000" w:sz="2" w:space="0"/>
              <w:bottom w:val="single" w:color="000000" w:sz="2" w:space="0"/>
            </w:tcBorders>
            <w:vAlign w:val="top"/>
          </w:tcPr>
          <w:p>
            <w:pPr>
              <w:spacing w:before="229" w:line="187" w:lineRule="auto"/>
              <w:ind w:left="814"/>
              <w:rPr>
                <w:rFonts w:ascii="宋体" w:hAnsi="宋体" w:eastAsia="宋体" w:cs="宋体"/>
                <w:color w:val="auto"/>
                <w:sz w:val="21"/>
                <w:szCs w:val="21"/>
                <w:highlight w:val="yellow"/>
              </w:rPr>
            </w:pPr>
            <w:r>
              <w:rPr>
                <w:rFonts w:ascii="宋体" w:hAnsi="宋体" w:eastAsia="宋体" w:cs="宋体"/>
                <w:color w:val="auto"/>
                <w:sz w:val="21"/>
                <w:szCs w:val="21"/>
                <w:highlight w:val="yellow"/>
              </w:rPr>
              <w:t>1</w:t>
            </w:r>
          </w:p>
        </w:tc>
        <w:tc>
          <w:tcPr>
            <w:tcW w:w="744" w:type="pct"/>
            <w:tcBorders>
              <w:top w:val="single" w:color="000000" w:sz="2" w:space="0"/>
              <w:bottom w:val="single" w:color="000000" w:sz="2" w:space="0"/>
            </w:tcBorders>
            <w:vAlign w:val="top"/>
          </w:tcPr>
          <w:p>
            <w:pPr>
              <w:spacing w:before="176" w:line="219" w:lineRule="auto"/>
              <w:ind w:left="571"/>
              <w:rPr>
                <w:rFonts w:ascii="宋体" w:hAnsi="宋体" w:eastAsia="宋体" w:cs="宋体"/>
                <w:color w:val="auto"/>
                <w:sz w:val="21"/>
                <w:szCs w:val="21"/>
                <w:highlight w:val="yellow"/>
              </w:rPr>
            </w:pPr>
            <w:r>
              <w:rPr>
                <w:rFonts w:ascii="宋体" w:hAnsi="宋体" w:eastAsia="宋体" w:cs="宋体"/>
                <w:color w:val="auto"/>
                <w:spacing w:val="4"/>
                <w:sz w:val="21"/>
                <w:szCs w:val="21"/>
                <w:highlight w:val="yellow"/>
              </w:rPr>
              <w:t>引</w:t>
            </w:r>
            <w:r>
              <w:rPr>
                <w:rFonts w:ascii="宋体" w:hAnsi="宋体" w:eastAsia="宋体" w:cs="宋体"/>
                <w:color w:val="auto"/>
                <w:spacing w:val="3"/>
                <w:sz w:val="21"/>
                <w:szCs w:val="21"/>
                <w:highlight w:val="yellow"/>
              </w:rPr>
              <w:t>水渠</w:t>
            </w:r>
          </w:p>
        </w:tc>
        <w:tc>
          <w:tcPr>
            <w:tcW w:w="1003" w:type="pct"/>
            <w:tcBorders>
              <w:top w:val="single" w:color="000000" w:sz="2" w:space="0"/>
              <w:bottom w:val="single" w:color="000000" w:sz="2" w:space="0"/>
            </w:tcBorders>
            <w:vAlign w:val="top"/>
          </w:tcPr>
          <w:p>
            <w:pPr>
              <w:spacing w:before="175" w:line="219" w:lineRule="auto"/>
              <w:ind w:left="563"/>
              <w:rPr>
                <w:rFonts w:ascii="宋体" w:hAnsi="宋体" w:eastAsia="宋体" w:cs="宋体"/>
                <w:color w:val="auto"/>
                <w:sz w:val="21"/>
                <w:szCs w:val="21"/>
                <w:highlight w:val="yellow"/>
              </w:rPr>
            </w:pPr>
            <w:r>
              <w:rPr>
                <w:rFonts w:ascii="宋体" w:hAnsi="宋体" w:eastAsia="宋体" w:cs="宋体"/>
                <w:color w:val="auto"/>
                <w:spacing w:val="2"/>
                <w:sz w:val="21"/>
                <w:szCs w:val="21"/>
                <w:highlight w:val="yellow"/>
              </w:rPr>
              <w:t>建设</w:t>
            </w:r>
            <w:r>
              <w:rPr>
                <w:rFonts w:hint="eastAsia" w:ascii="宋体" w:hAnsi="宋体" w:eastAsia="宋体" w:cs="宋体"/>
                <w:color w:val="auto"/>
                <w:spacing w:val="2"/>
                <w:sz w:val="21"/>
                <w:szCs w:val="21"/>
                <w:highlight w:val="yellow"/>
                <w:lang w:eastAsia="zh-CN"/>
              </w:rPr>
              <w:t>四</w:t>
            </w:r>
            <w:r>
              <w:rPr>
                <w:rFonts w:ascii="宋体" w:hAnsi="宋体" w:eastAsia="宋体" w:cs="宋体"/>
                <w:color w:val="auto"/>
                <w:spacing w:val="2"/>
                <w:sz w:val="21"/>
                <w:szCs w:val="21"/>
                <w:highlight w:val="yellow"/>
              </w:rPr>
              <w:t>分</w:t>
            </w:r>
            <w:r>
              <w:rPr>
                <w:rFonts w:ascii="宋体" w:hAnsi="宋体" w:eastAsia="宋体" w:cs="宋体"/>
                <w:color w:val="auto"/>
                <w:spacing w:val="1"/>
                <w:sz w:val="21"/>
                <w:szCs w:val="21"/>
                <w:highlight w:val="yellow"/>
              </w:rPr>
              <w:t>干渠</w:t>
            </w:r>
          </w:p>
        </w:tc>
        <w:tc>
          <w:tcPr>
            <w:tcW w:w="932" w:type="pct"/>
            <w:tcBorders>
              <w:top w:val="single" w:color="000000" w:sz="2" w:space="0"/>
              <w:bottom w:val="single" w:color="000000" w:sz="2" w:space="0"/>
            </w:tcBorders>
            <w:vAlign w:val="top"/>
          </w:tcPr>
          <w:p>
            <w:pPr>
              <w:spacing w:before="230" w:line="184" w:lineRule="auto"/>
              <w:ind w:left="955"/>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3"/>
                <w:sz w:val="21"/>
                <w:szCs w:val="21"/>
                <w:highlight w:val="yellow"/>
                <w:lang w:val="en-US" w:eastAsia="zh-CN"/>
              </w:rPr>
              <w:t>14.6</w:t>
            </w:r>
          </w:p>
        </w:tc>
        <w:tc>
          <w:tcPr>
            <w:tcW w:w="741" w:type="pct"/>
            <w:tcBorders>
              <w:top w:val="single" w:color="000000" w:sz="2" w:space="0"/>
              <w:bottom w:val="single" w:color="000000" w:sz="2" w:space="0"/>
            </w:tcBorders>
            <w:vAlign w:val="top"/>
          </w:tcPr>
          <w:p>
            <w:pPr>
              <w:spacing w:before="230" w:line="185" w:lineRule="auto"/>
              <w:ind w:left="778"/>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6"/>
                <w:sz w:val="21"/>
                <w:szCs w:val="21"/>
                <w:highlight w:val="yellow"/>
                <w:lang w:val="en-US" w:eastAsia="zh-CN"/>
              </w:rPr>
              <w:t>9</w:t>
            </w:r>
          </w:p>
        </w:tc>
        <w:tc>
          <w:tcPr>
            <w:tcW w:w="843" w:type="pct"/>
            <w:tcBorders>
              <w:top w:val="single" w:color="000000" w:sz="2" w:space="0"/>
              <w:bottom w:val="single" w:color="000000" w:sz="2" w:space="0"/>
            </w:tcBorders>
            <w:vAlign w:val="top"/>
          </w:tcPr>
          <w:p>
            <w:pPr>
              <w:spacing w:before="229" w:line="185" w:lineRule="auto"/>
              <w:ind w:left="798"/>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6"/>
                <w:sz w:val="21"/>
                <w:szCs w:val="21"/>
                <w:highlight w:val="yellow"/>
                <w:lang w:val="en-US" w:eastAsia="zh-CN"/>
              </w:rPr>
              <w:t>4.5</w:t>
            </w:r>
          </w:p>
        </w:tc>
      </w:tr>
    </w:tbl>
    <w:p>
      <w:pPr>
        <w:spacing w:before="152" w:line="219" w:lineRule="auto"/>
        <w:ind w:left="220" w:leftChars="0" w:firstLine="0" w:firstLineChars="0"/>
        <w:rPr>
          <w:rFonts w:hint="eastAsia" w:ascii="宋体" w:hAnsi="宋体" w:eastAsia="宋体" w:cs="宋体"/>
          <w:color w:val="auto"/>
          <w:sz w:val="21"/>
          <w:szCs w:val="21"/>
          <w:highlight w:val="red"/>
          <w:lang w:eastAsia="zh-CN"/>
        </w:rPr>
      </w:pPr>
      <w:r>
        <w:rPr>
          <w:rFonts w:ascii="宋体" w:hAnsi="宋体" w:eastAsia="宋体" w:cs="宋体"/>
          <w:color w:val="auto"/>
          <w:spacing w:val="-1"/>
          <w:sz w:val="21"/>
          <w:szCs w:val="21"/>
          <w:highlight w:val="none"/>
        </w:rPr>
        <w:t>入</w:t>
      </w:r>
      <w:r>
        <w:rPr>
          <w:rFonts w:hint="eastAsia" w:ascii="宋体" w:hAnsi="宋体" w:eastAsia="宋体" w:cs="宋体"/>
          <w:color w:val="auto"/>
          <w:spacing w:val="-1"/>
          <w:sz w:val="21"/>
          <w:szCs w:val="21"/>
          <w:highlight w:val="none"/>
          <w:lang w:eastAsia="zh-CN"/>
        </w:rPr>
        <w:t>冬青湖</w:t>
      </w:r>
      <w:r>
        <w:rPr>
          <w:rFonts w:ascii="宋体" w:hAnsi="宋体" w:eastAsia="宋体" w:cs="宋体"/>
          <w:color w:val="auto"/>
          <w:spacing w:val="-1"/>
          <w:sz w:val="21"/>
          <w:szCs w:val="21"/>
          <w:highlight w:val="none"/>
        </w:rPr>
        <w:t>的渠沟主</w:t>
      </w:r>
      <w:r>
        <w:rPr>
          <w:rFonts w:ascii="宋体" w:hAnsi="宋体" w:eastAsia="宋体" w:cs="宋体"/>
          <w:color w:val="auto"/>
          <w:sz w:val="21"/>
          <w:szCs w:val="21"/>
          <w:highlight w:val="none"/>
        </w:rPr>
        <w:t>要是</w:t>
      </w:r>
      <w:r>
        <w:rPr>
          <w:rFonts w:ascii="宋体" w:hAnsi="宋体" w:eastAsia="宋体" w:cs="宋体"/>
          <w:color w:val="auto"/>
          <w:sz w:val="21"/>
          <w:szCs w:val="21"/>
          <w:highlight w:val="red"/>
        </w:rPr>
        <w:t>建设</w:t>
      </w:r>
      <w:r>
        <w:rPr>
          <w:rFonts w:hint="eastAsia" w:ascii="宋体" w:hAnsi="宋体" w:eastAsia="宋体" w:cs="宋体"/>
          <w:color w:val="auto"/>
          <w:sz w:val="21"/>
          <w:szCs w:val="21"/>
          <w:highlight w:val="red"/>
          <w:lang w:eastAsia="zh-CN"/>
        </w:rPr>
        <w:t>四</w:t>
      </w:r>
      <w:r>
        <w:rPr>
          <w:rFonts w:ascii="宋体" w:hAnsi="宋体" w:eastAsia="宋体" w:cs="宋体"/>
          <w:color w:val="auto"/>
          <w:sz w:val="21"/>
          <w:szCs w:val="21"/>
          <w:highlight w:val="red"/>
        </w:rPr>
        <w:t>分干</w:t>
      </w:r>
      <w:r>
        <w:rPr>
          <w:rFonts w:hint="eastAsia" w:ascii="宋体" w:hAnsi="宋体" w:eastAsia="宋体" w:cs="宋体"/>
          <w:color w:val="auto"/>
          <w:sz w:val="21"/>
          <w:szCs w:val="21"/>
          <w:highlight w:val="red"/>
          <w:lang w:eastAsia="zh-CN"/>
        </w:rPr>
        <w:t>渠。</w:t>
      </w:r>
    </w:p>
    <w:p>
      <w:pPr>
        <w:spacing w:line="305" w:lineRule="auto"/>
        <w:rPr>
          <w:rFonts w:ascii="Arial"/>
          <w:color w:val="auto"/>
          <w:sz w:val="21"/>
          <w:highlight w:val="red"/>
        </w:rPr>
      </w:pPr>
    </w:p>
    <w:p>
      <w:pPr>
        <w:spacing w:before="91" w:line="219" w:lineRule="auto"/>
        <w:ind w:left="5279"/>
        <w:rPr>
          <w:rFonts w:ascii="黑体" w:hAnsi="黑体" w:eastAsia="黑体" w:cs="黑体"/>
          <w:color w:val="auto"/>
          <w:sz w:val="28"/>
          <w:szCs w:val="28"/>
          <w:highlight w:val="yellow"/>
        </w:rPr>
      </w:pPr>
      <w:r>
        <w:rPr>
          <w:rFonts w:ascii="黑体" w:hAnsi="黑体" w:eastAsia="黑体" w:cs="黑体"/>
          <w:color w:val="auto"/>
          <w:spacing w:val="-10"/>
          <w:sz w:val="28"/>
          <w:szCs w:val="28"/>
          <w:highlight w:val="yellow"/>
          <w14:textOutline w14:w="5080" w14:cap="flat" w14:cmpd="sng">
            <w14:solidFill>
              <w14:srgbClr w14:val="000000"/>
            </w14:solidFill>
            <w14:prstDash w14:val="solid"/>
            <w14:miter w14:val="0"/>
          </w14:textOutline>
        </w:rPr>
        <w:t>表3</w:t>
      </w:r>
      <w:r>
        <w:rPr>
          <w:rFonts w:ascii="黑体" w:hAnsi="黑体" w:eastAsia="黑体" w:cs="黑体"/>
          <w:color w:val="auto"/>
          <w:spacing w:val="-7"/>
          <w:sz w:val="28"/>
          <w:szCs w:val="28"/>
          <w:highlight w:val="yellow"/>
        </w:rPr>
        <w:t xml:space="preserve"> </w:t>
      </w:r>
      <w:r>
        <w:rPr>
          <w:rFonts w:hint="eastAsia" w:ascii="黑体" w:hAnsi="黑体" w:eastAsia="黑体" w:cs="黑体"/>
          <w:color w:val="auto"/>
          <w:spacing w:val="-5"/>
          <w:sz w:val="28"/>
          <w:szCs w:val="28"/>
          <w:highlight w:val="yellow"/>
          <w:lang w:val="en-US" w:eastAsia="zh-CN"/>
          <w14:textOutline w14:w="5080" w14:cap="flat" w14:cmpd="sng">
            <w14:solidFill>
              <w14:srgbClr w14:val="000000"/>
            </w14:solidFill>
            <w14:prstDash w14:val="solid"/>
            <w14:miter w14:val="0"/>
          </w14:textOutline>
        </w:rPr>
        <w:t>冬青湖</w:t>
      </w:r>
      <w:r>
        <w:rPr>
          <w:rFonts w:ascii="黑体" w:hAnsi="黑体" w:eastAsia="黑体" w:cs="黑体"/>
          <w:color w:val="auto"/>
          <w:spacing w:val="-5"/>
          <w:sz w:val="28"/>
          <w:szCs w:val="28"/>
          <w:highlight w:val="yellow"/>
          <w14:textOutline w14:w="5080" w14:cap="flat" w14:cmpd="sng">
            <w14:solidFill>
              <w14:srgbClr w14:val="000000"/>
            </w14:solidFill>
            <w14:prstDash w14:val="solid"/>
            <w14:miter w14:val="0"/>
          </w14:textOutline>
        </w:rPr>
        <w:t>岸线功能分区成果汇总表</w:t>
      </w:r>
    </w:p>
    <w:p>
      <w:pPr>
        <w:spacing w:line="95" w:lineRule="auto"/>
        <w:rPr>
          <w:rFonts w:ascii="Arial"/>
          <w:color w:val="auto"/>
          <w:sz w:val="2"/>
          <w:highlight w:val="yellow"/>
        </w:rPr>
      </w:pPr>
    </w:p>
    <w:tbl>
      <w:tblPr>
        <w:tblStyle w:val="13"/>
        <w:tblW w:w="138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
        <w:gridCol w:w="1309"/>
        <w:gridCol w:w="640"/>
        <w:gridCol w:w="859"/>
        <w:gridCol w:w="650"/>
        <w:gridCol w:w="849"/>
        <w:gridCol w:w="630"/>
        <w:gridCol w:w="939"/>
        <w:gridCol w:w="819"/>
        <w:gridCol w:w="830"/>
        <w:gridCol w:w="959"/>
        <w:gridCol w:w="1009"/>
        <w:gridCol w:w="1019"/>
        <w:gridCol w:w="939"/>
        <w:gridCol w:w="960"/>
        <w:gridCol w:w="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634" w:type="dxa"/>
            <w:vMerge w:val="restart"/>
            <w:tcBorders>
              <w:top w:val="single" w:color="000000" w:sz="2" w:space="0"/>
              <w:bottom w:val="nil"/>
            </w:tcBorders>
            <w:vAlign w:val="top"/>
          </w:tcPr>
          <w:p>
            <w:pPr>
              <w:spacing w:line="317" w:lineRule="auto"/>
              <w:rPr>
                <w:rFonts w:ascii="Arial"/>
                <w:color w:val="auto"/>
                <w:sz w:val="21"/>
                <w:szCs w:val="21"/>
                <w:highlight w:val="yellow"/>
              </w:rPr>
            </w:pPr>
          </w:p>
          <w:p>
            <w:pPr>
              <w:spacing w:line="317" w:lineRule="auto"/>
              <w:rPr>
                <w:rFonts w:ascii="Arial"/>
                <w:color w:val="auto"/>
                <w:sz w:val="21"/>
                <w:szCs w:val="21"/>
                <w:highlight w:val="yellow"/>
              </w:rPr>
            </w:pPr>
          </w:p>
          <w:p>
            <w:pPr>
              <w:spacing w:before="72" w:line="221" w:lineRule="auto"/>
              <w:ind w:left="74"/>
              <w:rPr>
                <w:rFonts w:ascii="宋体" w:hAnsi="宋体" w:eastAsia="宋体" w:cs="宋体"/>
                <w:color w:val="auto"/>
                <w:sz w:val="21"/>
                <w:szCs w:val="21"/>
                <w:highlight w:val="yellow"/>
              </w:rPr>
            </w:pPr>
            <w:r>
              <w:rPr>
                <w:rFonts w:ascii="宋体" w:hAnsi="宋体" w:eastAsia="宋体" w:cs="宋体"/>
                <w:color w:val="auto"/>
                <w:spacing w:val="7"/>
                <w:sz w:val="21"/>
                <w:szCs w:val="21"/>
                <w:highlight w:val="yellow"/>
              </w:rPr>
              <w:t>序</w:t>
            </w:r>
            <w:r>
              <w:rPr>
                <w:rFonts w:ascii="宋体" w:hAnsi="宋体" w:eastAsia="宋体" w:cs="宋体"/>
                <w:color w:val="auto"/>
                <w:spacing w:val="6"/>
                <w:sz w:val="21"/>
                <w:szCs w:val="21"/>
                <w:highlight w:val="yellow"/>
              </w:rPr>
              <w:t>号</w:t>
            </w:r>
          </w:p>
        </w:tc>
        <w:tc>
          <w:tcPr>
            <w:tcW w:w="1309" w:type="dxa"/>
            <w:vMerge w:val="restart"/>
            <w:tcBorders>
              <w:top w:val="single" w:color="000000" w:sz="2" w:space="0"/>
              <w:bottom w:val="nil"/>
            </w:tcBorders>
            <w:vAlign w:val="top"/>
          </w:tcPr>
          <w:p>
            <w:pPr>
              <w:spacing w:line="316" w:lineRule="auto"/>
              <w:rPr>
                <w:rFonts w:ascii="Arial"/>
                <w:color w:val="auto"/>
                <w:sz w:val="21"/>
                <w:szCs w:val="21"/>
                <w:highlight w:val="yellow"/>
              </w:rPr>
            </w:pPr>
          </w:p>
          <w:p>
            <w:pPr>
              <w:spacing w:line="317" w:lineRule="auto"/>
              <w:rPr>
                <w:rFonts w:ascii="Arial"/>
                <w:color w:val="auto"/>
                <w:sz w:val="21"/>
                <w:szCs w:val="21"/>
                <w:highlight w:val="yellow"/>
              </w:rPr>
            </w:pPr>
          </w:p>
          <w:p>
            <w:pPr>
              <w:spacing w:before="72" w:line="219" w:lineRule="auto"/>
              <w:ind w:left="90"/>
              <w:rPr>
                <w:rFonts w:ascii="宋体" w:hAnsi="宋体" w:eastAsia="宋体" w:cs="宋体"/>
                <w:color w:val="auto"/>
                <w:sz w:val="21"/>
                <w:szCs w:val="21"/>
                <w:highlight w:val="yellow"/>
              </w:rPr>
            </w:pPr>
            <w:r>
              <w:rPr>
                <w:rFonts w:ascii="宋体" w:hAnsi="宋体" w:eastAsia="宋体" w:cs="宋体"/>
                <w:color w:val="auto"/>
                <w:spacing w:val="8"/>
                <w:sz w:val="21"/>
                <w:szCs w:val="21"/>
                <w:highlight w:val="yellow"/>
              </w:rPr>
              <w:t>省(市、县)</w:t>
            </w:r>
          </w:p>
        </w:tc>
        <w:tc>
          <w:tcPr>
            <w:tcW w:w="1499" w:type="dxa"/>
            <w:gridSpan w:val="2"/>
            <w:tcBorders>
              <w:top w:val="single" w:color="000000" w:sz="2" w:space="0"/>
              <w:bottom w:val="single" w:color="000000" w:sz="2" w:space="0"/>
            </w:tcBorders>
            <w:vAlign w:val="top"/>
          </w:tcPr>
          <w:p>
            <w:pPr>
              <w:spacing w:before="230" w:line="221" w:lineRule="auto"/>
              <w:ind w:left="412"/>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功能区</w:t>
            </w:r>
          </w:p>
        </w:tc>
        <w:tc>
          <w:tcPr>
            <w:tcW w:w="2129" w:type="dxa"/>
            <w:gridSpan w:val="3"/>
            <w:tcBorders>
              <w:top w:val="single" w:color="000000" w:sz="2" w:space="0"/>
              <w:bottom w:val="single" w:color="000000" w:sz="2" w:space="0"/>
            </w:tcBorders>
            <w:vAlign w:val="top"/>
          </w:tcPr>
          <w:p>
            <w:pPr>
              <w:spacing w:before="229" w:line="220" w:lineRule="auto"/>
              <w:ind w:left="722"/>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保护区</w:t>
            </w:r>
          </w:p>
        </w:tc>
        <w:tc>
          <w:tcPr>
            <w:tcW w:w="2588" w:type="dxa"/>
            <w:gridSpan w:val="3"/>
            <w:tcBorders>
              <w:top w:val="single" w:color="000000" w:sz="2" w:space="0"/>
              <w:bottom w:val="single" w:color="000000" w:sz="2" w:space="0"/>
            </w:tcBorders>
            <w:vAlign w:val="top"/>
          </w:tcPr>
          <w:p>
            <w:pPr>
              <w:spacing w:before="229" w:line="220" w:lineRule="auto"/>
              <w:ind w:left="953"/>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保留区</w:t>
            </w:r>
          </w:p>
        </w:tc>
        <w:tc>
          <w:tcPr>
            <w:tcW w:w="2987" w:type="dxa"/>
            <w:gridSpan w:val="3"/>
            <w:tcBorders>
              <w:top w:val="single" w:color="000000" w:sz="2" w:space="0"/>
              <w:bottom w:val="single" w:color="000000" w:sz="2" w:space="0"/>
            </w:tcBorders>
            <w:vAlign w:val="top"/>
          </w:tcPr>
          <w:p>
            <w:pPr>
              <w:spacing w:before="229" w:line="220" w:lineRule="auto"/>
              <w:ind w:left="936"/>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控</w:t>
            </w:r>
            <w:r>
              <w:rPr>
                <w:rFonts w:ascii="宋体" w:hAnsi="宋体" w:eastAsia="宋体" w:cs="宋体"/>
                <w:color w:val="auto"/>
                <w:spacing w:val="3"/>
                <w:sz w:val="21"/>
                <w:szCs w:val="21"/>
                <w:highlight w:val="yellow"/>
              </w:rPr>
              <w:t>制利用区</w:t>
            </w:r>
          </w:p>
        </w:tc>
        <w:tc>
          <w:tcPr>
            <w:tcW w:w="2753" w:type="dxa"/>
            <w:gridSpan w:val="3"/>
            <w:tcBorders>
              <w:top w:val="single" w:color="000000" w:sz="2" w:space="0"/>
              <w:bottom w:val="single" w:color="000000" w:sz="2" w:space="0"/>
            </w:tcBorders>
            <w:vAlign w:val="top"/>
          </w:tcPr>
          <w:p>
            <w:pPr>
              <w:spacing w:before="229" w:line="220" w:lineRule="auto"/>
              <w:ind w:left="818"/>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开</w:t>
            </w:r>
            <w:r>
              <w:rPr>
                <w:rFonts w:ascii="宋体" w:hAnsi="宋体" w:eastAsia="宋体" w:cs="宋体"/>
                <w:color w:val="auto"/>
                <w:spacing w:val="3"/>
                <w:sz w:val="21"/>
                <w:szCs w:val="21"/>
                <w:highlight w:val="yellow"/>
              </w:rPr>
              <w:t>发利用区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4" w:hRule="atLeast"/>
        </w:trPr>
        <w:tc>
          <w:tcPr>
            <w:tcW w:w="634" w:type="dxa"/>
            <w:vMerge w:val="continue"/>
            <w:tcBorders>
              <w:top w:val="nil"/>
              <w:bottom w:val="single" w:color="000000" w:sz="2" w:space="0"/>
            </w:tcBorders>
            <w:vAlign w:val="top"/>
          </w:tcPr>
          <w:p>
            <w:pPr>
              <w:rPr>
                <w:rFonts w:ascii="Arial"/>
                <w:color w:val="auto"/>
                <w:sz w:val="21"/>
                <w:szCs w:val="21"/>
                <w:highlight w:val="yellow"/>
              </w:rPr>
            </w:pPr>
          </w:p>
        </w:tc>
        <w:tc>
          <w:tcPr>
            <w:tcW w:w="1309" w:type="dxa"/>
            <w:vMerge w:val="continue"/>
            <w:tcBorders>
              <w:top w:val="nil"/>
              <w:bottom w:val="single" w:color="000000" w:sz="2" w:space="0"/>
            </w:tcBorders>
            <w:vAlign w:val="top"/>
          </w:tcPr>
          <w:p>
            <w:pPr>
              <w:rPr>
                <w:rFonts w:ascii="Arial"/>
                <w:color w:val="auto"/>
                <w:sz w:val="21"/>
                <w:szCs w:val="21"/>
                <w:highlight w:val="yellow"/>
              </w:rPr>
            </w:pPr>
          </w:p>
        </w:tc>
        <w:tc>
          <w:tcPr>
            <w:tcW w:w="640"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71"/>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859" w:type="dxa"/>
            <w:tcBorders>
              <w:top w:val="single" w:color="000000" w:sz="2" w:space="0"/>
              <w:bottom w:val="single" w:color="000000" w:sz="2" w:space="0"/>
            </w:tcBorders>
            <w:vAlign w:val="top"/>
          </w:tcPr>
          <w:p>
            <w:pPr>
              <w:spacing w:before="145" w:line="453" w:lineRule="exact"/>
              <w:ind w:left="201"/>
              <w:rPr>
                <w:rFonts w:ascii="宋体" w:hAnsi="宋体" w:eastAsia="宋体" w:cs="宋体"/>
                <w:color w:val="auto"/>
                <w:sz w:val="21"/>
                <w:szCs w:val="21"/>
                <w:highlight w:val="yellow"/>
              </w:rPr>
            </w:pPr>
            <w:r>
              <w:rPr>
                <w:rFonts w:ascii="宋体" w:hAnsi="宋体" w:eastAsia="宋体" w:cs="宋体"/>
                <w:color w:val="auto"/>
                <w:spacing w:val="7"/>
                <w:position w:val="17"/>
                <w:sz w:val="21"/>
                <w:szCs w:val="21"/>
                <w:highlight w:val="yellow"/>
              </w:rPr>
              <w:t>长</w:t>
            </w:r>
            <w:r>
              <w:rPr>
                <w:rFonts w:ascii="宋体" w:hAnsi="宋体" w:eastAsia="宋体" w:cs="宋体"/>
                <w:color w:val="auto"/>
                <w:spacing w:val="6"/>
                <w:position w:val="17"/>
                <w:sz w:val="21"/>
                <w:szCs w:val="21"/>
                <w:highlight w:val="yellow"/>
              </w:rPr>
              <w:t>度</w:t>
            </w:r>
          </w:p>
          <w:p>
            <w:pPr>
              <w:spacing w:line="222" w:lineRule="auto"/>
              <w:ind w:left="201"/>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650"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93"/>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849" w:type="dxa"/>
            <w:tcBorders>
              <w:top w:val="single" w:color="000000" w:sz="2" w:space="0"/>
              <w:bottom w:val="single" w:color="000000" w:sz="2" w:space="0"/>
            </w:tcBorders>
            <w:vAlign w:val="top"/>
          </w:tcPr>
          <w:p>
            <w:pPr>
              <w:spacing w:before="145" w:line="453" w:lineRule="exact"/>
              <w:ind w:left="193"/>
              <w:rPr>
                <w:rFonts w:ascii="宋体" w:hAnsi="宋体" w:eastAsia="宋体" w:cs="宋体"/>
                <w:color w:val="auto"/>
                <w:sz w:val="21"/>
                <w:szCs w:val="21"/>
                <w:highlight w:val="yellow"/>
              </w:rPr>
            </w:pPr>
            <w:r>
              <w:rPr>
                <w:rFonts w:ascii="宋体" w:hAnsi="宋体" w:eastAsia="宋体" w:cs="宋体"/>
                <w:color w:val="auto"/>
                <w:spacing w:val="6"/>
                <w:position w:val="17"/>
                <w:sz w:val="21"/>
                <w:szCs w:val="21"/>
                <w:highlight w:val="yellow"/>
              </w:rPr>
              <w:t>长度</w:t>
            </w:r>
          </w:p>
          <w:p>
            <w:pPr>
              <w:spacing w:line="222" w:lineRule="auto"/>
              <w:ind w:left="193"/>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630" w:type="dxa"/>
            <w:tcBorders>
              <w:top w:val="single" w:color="000000" w:sz="2" w:space="0"/>
              <w:bottom w:val="single" w:color="000000" w:sz="2" w:space="0"/>
            </w:tcBorders>
            <w:vAlign w:val="top"/>
          </w:tcPr>
          <w:p>
            <w:pPr>
              <w:spacing w:line="303" w:lineRule="auto"/>
              <w:rPr>
                <w:rFonts w:ascii="Arial"/>
                <w:color w:val="auto"/>
                <w:sz w:val="21"/>
                <w:szCs w:val="21"/>
                <w:highlight w:val="yellow"/>
              </w:rPr>
            </w:pPr>
          </w:p>
          <w:p>
            <w:pPr>
              <w:spacing w:before="71" w:line="221" w:lineRule="auto"/>
              <w:ind w:left="83"/>
              <w:rPr>
                <w:rFonts w:ascii="宋体" w:hAnsi="宋体" w:eastAsia="宋体" w:cs="宋体"/>
                <w:color w:val="auto"/>
                <w:sz w:val="21"/>
                <w:szCs w:val="21"/>
                <w:highlight w:val="yellow"/>
              </w:rPr>
            </w:pPr>
            <w:r>
              <w:rPr>
                <w:rFonts w:ascii="宋体" w:hAnsi="宋体" w:eastAsia="宋体" w:cs="宋体"/>
                <w:color w:val="auto"/>
                <w:spacing w:val="-22"/>
                <w:sz w:val="21"/>
                <w:szCs w:val="21"/>
                <w:highlight w:val="yellow"/>
              </w:rPr>
              <w:t>占</w:t>
            </w:r>
            <w:r>
              <w:rPr>
                <w:rFonts w:ascii="宋体" w:hAnsi="宋体" w:eastAsia="宋体" w:cs="宋体"/>
                <w:color w:val="auto"/>
                <w:spacing w:val="-21"/>
                <w:sz w:val="21"/>
                <w:szCs w:val="21"/>
                <w:highlight w:val="yellow"/>
              </w:rPr>
              <w:t xml:space="preserve"> 比</w:t>
            </w:r>
          </w:p>
        </w:tc>
        <w:tc>
          <w:tcPr>
            <w:tcW w:w="939"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243"/>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819" w:type="dxa"/>
            <w:tcBorders>
              <w:top w:val="single" w:color="000000" w:sz="2" w:space="0"/>
              <w:bottom w:val="single" w:color="000000" w:sz="2" w:space="0"/>
            </w:tcBorders>
            <w:vAlign w:val="top"/>
          </w:tcPr>
          <w:p>
            <w:pPr>
              <w:spacing w:before="155" w:line="443" w:lineRule="exact"/>
              <w:ind w:left="184"/>
              <w:rPr>
                <w:rFonts w:ascii="宋体" w:hAnsi="宋体" w:eastAsia="宋体" w:cs="宋体"/>
                <w:color w:val="auto"/>
                <w:sz w:val="21"/>
                <w:szCs w:val="21"/>
                <w:highlight w:val="yellow"/>
              </w:rPr>
            </w:pPr>
            <w:r>
              <w:rPr>
                <w:rFonts w:ascii="宋体" w:hAnsi="宋体" w:eastAsia="宋体" w:cs="宋体"/>
                <w:color w:val="auto"/>
                <w:spacing w:val="6"/>
                <w:position w:val="16"/>
                <w:sz w:val="21"/>
                <w:szCs w:val="21"/>
                <w:highlight w:val="yellow"/>
              </w:rPr>
              <w:t>长度</w:t>
            </w:r>
          </w:p>
          <w:p>
            <w:pPr>
              <w:spacing w:line="222" w:lineRule="auto"/>
              <w:ind w:left="184"/>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830" w:type="dxa"/>
            <w:tcBorders>
              <w:top w:val="single" w:color="000000" w:sz="2" w:space="0"/>
              <w:bottom w:val="single" w:color="000000" w:sz="2" w:space="0"/>
            </w:tcBorders>
            <w:vAlign w:val="top"/>
          </w:tcPr>
          <w:p>
            <w:pPr>
              <w:spacing w:line="303" w:lineRule="auto"/>
              <w:rPr>
                <w:rFonts w:ascii="Arial"/>
                <w:color w:val="auto"/>
                <w:sz w:val="21"/>
                <w:szCs w:val="21"/>
                <w:highlight w:val="yellow"/>
              </w:rPr>
            </w:pPr>
          </w:p>
          <w:p>
            <w:pPr>
              <w:spacing w:before="71" w:line="221" w:lineRule="auto"/>
              <w:ind w:left="185"/>
              <w:rPr>
                <w:rFonts w:ascii="宋体" w:hAnsi="宋体" w:eastAsia="宋体" w:cs="宋体"/>
                <w:color w:val="auto"/>
                <w:sz w:val="21"/>
                <w:szCs w:val="21"/>
                <w:highlight w:val="yellow"/>
              </w:rPr>
            </w:pPr>
            <w:r>
              <w:rPr>
                <w:rFonts w:ascii="宋体" w:hAnsi="宋体" w:eastAsia="宋体" w:cs="宋体"/>
                <w:color w:val="auto"/>
                <w:spacing w:val="-22"/>
                <w:sz w:val="21"/>
                <w:szCs w:val="21"/>
                <w:highlight w:val="yellow"/>
              </w:rPr>
              <w:t>占</w:t>
            </w:r>
            <w:r>
              <w:rPr>
                <w:rFonts w:ascii="宋体" w:hAnsi="宋体" w:eastAsia="宋体" w:cs="宋体"/>
                <w:color w:val="auto"/>
                <w:spacing w:val="-21"/>
                <w:sz w:val="21"/>
                <w:szCs w:val="21"/>
                <w:highlight w:val="yellow"/>
              </w:rPr>
              <w:t xml:space="preserve"> 比</w:t>
            </w:r>
          </w:p>
        </w:tc>
        <w:tc>
          <w:tcPr>
            <w:tcW w:w="959"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255"/>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1009" w:type="dxa"/>
            <w:tcBorders>
              <w:top w:val="single" w:color="000000" w:sz="2" w:space="0"/>
              <w:bottom w:val="single" w:color="000000" w:sz="2" w:space="0"/>
            </w:tcBorders>
            <w:vAlign w:val="top"/>
          </w:tcPr>
          <w:p>
            <w:pPr>
              <w:spacing w:before="135" w:line="443" w:lineRule="exact"/>
              <w:ind w:left="276"/>
              <w:rPr>
                <w:rFonts w:ascii="宋体" w:hAnsi="宋体" w:eastAsia="宋体" w:cs="宋体"/>
                <w:color w:val="auto"/>
                <w:sz w:val="21"/>
                <w:szCs w:val="21"/>
                <w:highlight w:val="yellow"/>
              </w:rPr>
            </w:pPr>
            <w:r>
              <w:rPr>
                <w:rFonts w:ascii="宋体" w:hAnsi="宋体" w:eastAsia="宋体" w:cs="宋体"/>
                <w:color w:val="auto"/>
                <w:spacing w:val="6"/>
                <w:position w:val="16"/>
                <w:sz w:val="21"/>
                <w:szCs w:val="21"/>
                <w:highlight w:val="yellow"/>
              </w:rPr>
              <w:t>长度</w:t>
            </w:r>
          </w:p>
          <w:p>
            <w:pPr>
              <w:spacing w:line="222" w:lineRule="auto"/>
              <w:ind w:left="276"/>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1019" w:type="dxa"/>
            <w:tcBorders>
              <w:top w:val="single" w:color="000000" w:sz="2" w:space="0"/>
              <w:bottom w:val="single" w:color="000000" w:sz="2" w:space="0"/>
            </w:tcBorders>
            <w:vAlign w:val="top"/>
          </w:tcPr>
          <w:p>
            <w:pPr>
              <w:spacing w:line="303" w:lineRule="auto"/>
              <w:rPr>
                <w:rFonts w:ascii="Arial"/>
                <w:color w:val="auto"/>
                <w:sz w:val="21"/>
                <w:szCs w:val="21"/>
                <w:highlight w:val="yellow"/>
              </w:rPr>
            </w:pPr>
          </w:p>
          <w:p>
            <w:pPr>
              <w:spacing w:before="71" w:line="221" w:lineRule="auto"/>
              <w:ind w:left="287"/>
              <w:rPr>
                <w:rFonts w:ascii="宋体" w:hAnsi="宋体" w:eastAsia="宋体" w:cs="宋体"/>
                <w:color w:val="auto"/>
                <w:sz w:val="21"/>
                <w:szCs w:val="21"/>
                <w:highlight w:val="yellow"/>
              </w:rPr>
            </w:pPr>
            <w:r>
              <w:rPr>
                <w:rFonts w:ascii="宋体" w:hAnsi="宋体" w:eastAsia="宋体" w:cs="宋体"/>
                <w:color w:val="auto"/>
                <w:spacing w:val="-22"/>
                <w:sz w:val="21"/>
                <w:szCs w:val="21"/>
                <w:highlight w:val="yellow"/>
              </w:rPr>
              <w:t>占</w:t>
            </w:r>
            <w:r>
              <w:rPr>
                <w:rFonts w:ascii="宋体" w:hAnsi="宋体" w:eastAsia="宋体" w:cs="宋体"/>
                <w:color w:val="auto"/>
                <w:spacing w:val="-21"/>
                <w:sz w:val="21"/>
                <w:szCs w:val="21"/>
                <w:highlight w:val="yellow"/>
              </w:rPr>
              <w:t xml:space="preserve"> 比</w:t>
            </w:r>
          </w:p>
        </w:tc>
        <w:tc>
          <w:tcPr>
            <w:tcW w:w="939"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248"/>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960" w:type="dxa"/>
            <w:tcBorders>
              <w:top w:val="single" w:color="000000" w:sz="2" w:space="0"/>
              <w:bottom w:val="single" w:color="000000" w:sz="2" w:space="0"/>
            </w:tcBorders>
            <w:vAlign w:val="top"/>
          </w:tcPr>
          <w:p>
            <w:pPr>
              <w:spacing w:before="155" w:line="463" w:lineRule="exact"/>
              <w:ind w:left="259"/>
              <w:rPr>
                <w:rFonts w:ascii="宋体" w:hAnsi="宋体" w:eastAsia="宋体" w:cs="宋体"/>
                <w:color w:val="auto"/>
                <w:sz w:val="21"/>
                <w:szCs w:val="21"/>
                <w:highlight w:val="yellow"/>
              </w:rPr>
            </w:pPr>
            <w:r>
              <w:rPr>
                <w:rFonts w:ascii="宋体" w:hAnsi="宋体" w:eastAsia="宋体" w:cs="宋体"/>
                <w:color w:val="auto"/>
                <w:spacing w:val="7"/>
                <w:position w:val="18"/>
                <w:sz w:val="21"/>
                <w:szCs w:val="21"/>
                <w:highlight w:val="yellow"/>
              </w:rPr>
              <w:t>长</w:t>
            </w:r>
            <w:r>
              <w:rPr>
                <w:rFonts w:ascii="宋体" w:hAnsi="宋体" w:eastAsia="宋体" w:cs="宋体"/>
                <w:color w:val="auto"/>
                <w:spacing w:val="6"/>
                <w:position w:val="18"/>
                <w:sz w:val="21"/>
                <w:szCs w:val="21"/>
                <w:highlight w:val="yellow"/>
              </w:rPr>
              <w:t>度</w:t>
            </w:r>
          </w:p>
          <w:p>
            <w:pPr>
              <w:spacing w:line="222" w:lineRule="auto"/>
              <w:ind w:left="259"/>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854" w:type="dxa"/>
            <w:tcBorders>
              <w:top w:val="single" w:color="000000" w:sz="2" w:space="0"/>
              <w:bottom w:val="single" w:color="000000" w:sz="2" w:space="0"/>
            </w:tcBorders>
            <w:vAlign w:val="top"/>
          </w:tcPr>
          <w:p>
            <w:pPr>
              <w:spacing w:line="303" w:lineRule="auto"/>
              <w:rPr>
                <w:rFonts w:ascii="Arial"/>
                <w:color w:val="auto"/>
                <w:sz w:val="21"/>
                <w:szCs w:val="21"/>
                <w:highlight w:val="yellow"/>
              </w:rPr>
            </w:pPr>
          </w:p>
          <w:p>
            <w:pPr>
              <w:spacing w:before="71" w:line="221" w:lineRule="auto"/>
              <w:ind w:left="199"/>
              <w:rPr>
                <w:rFonts w:ascii="宋体" w:hAnsi="宋体" w:eastAsia="宋体" w:cs="宋体"/>
                <w:color w:val="auto"/>
                <w:sz w:val="21"/>
                <w:szCs w:val="21"/>
                <w:highlight w:val="yellow"/>
              </w:rPr>
            </w:pPr>
            <w:r>
              <w:rPr>
                <w:rFonts w:ascii="宋体" w:hAnsi="宋体" w:eastAsia="宋体" w:cs="宋体"/>
                <w:color w:val="auto"/>
                <w:spacing w:val="-22"/>
                <w:sz w:val="21"/>
                <w:szCs w:val="21"/>
                <w:highlight w:val="yellow"/>
              </w:rPr>
              <w:t>占</w:t>
            </w:r>
            <w:r>
              <w:rPr>
                <w:rFonts w:ascii="宋体" w:hAnsi="宋体" w:eastAsia="宋体" w:cs="宋体"/>
                <w:color w:val="auto"/>
                <w:spacing w:val="-21"/>
                <w:sz w:val="21"/>
                <w:szCs w:val="21"/>
                <w:highlight w:val="yellow"/>
              </w:rPr>
              <w:t xml:space="preserve"> 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634" w:type="dxa"/>
            <w:tcBorders>
              <w:top w:val="single" w:color="000000" w:sz="2" w:space="0"/>
              <w:bottom w:val="single" w:color="000000" w:sz="2" w:space="0"/>
            </w:tcBorders>
            <w:vAlign w:val="top"/>
          </w:tcPr>
          <w:p>
            <w:pPr>
              <w:spacing w:before="211" w:line="187" w:lineRule="auto"/>
              <w:ind w:left="74"/>
              <w:rPr>
                <w:rFonts w:ascii="宋体" w:hAnsi="宋体" w:eastAsia="宋体" w:cs="宋体"/>
                <w:color w:val="auto"/>
                <w:sz w:val="21"/>
                <w:szCs w:val="21"/>
                <w:highlight w:val="yellow"/>
              </w:rPr>
            </w:pPr>
            <w:r>
              <w:rPr>
                <w:rFonts w:ascii="宋体" w:hAnsi="宋体" w:eastAsia="宋体" w:cs="宋体"/>
                <w:color w:val="auto"/>
                <w:sz w:val="21"/>
                <w:szCs w:val="21"/>
                <w:highlight w:val="yellow"/>
              </w:rPr>
              <w:t>1</w:t>
            </w:r>
          </w:p>
        </w:tc>
        <w:tc>
          <w:tcPr>
            <w:tcW w:w="1309" w:type="dxa"/>
            <w:tcBorders>
              <w:top w:val="single" w:color="000000" w:sz="2" w:space="0"/>
              <w:bottom w:val="single" w:color="000000" w:sz="2" w:space="0"/>
            </w:tcBorders>
            <w:vAlign w:val="top"/>
          </w:tcPr>
          <w:p>
            <w:pPr>
              <w:spacing w:before="160" w:line="224" w:lineRule="auto"/>
              <w:ind w:left="311"/>
              <w:rPr>
                <w:rFonts w:ascii="宋体" w:hAnsi="宋体" w:eastAsia="宋体" w:cs="宋体"/>
                <w:color w:val="auto"/>
                <w:sz w:val="21"/>
                <w:szCs w:val="21"/>
                <w:highlight w:val="yellow"/>
              </w:rPr>
            </w:pPr>
            <w:r>
              <w:rPr>
                <w:rFonts w:ascii="宋体" w:hAnsi="宋体" w:eastAsia="宋体" w:cs="宋体"/>
                <w:color w:val="auto"/>
                <w:spacing w:val="4"/>
                <w:sz w:val="21"/>
                <w:szCs w:val="21"/>
                <w:highlight w:val="yellow"/>
              </w:rPr>
              <w:t>磴</w:t>
            </w:r>
            <w:r>
              <w:rPr>
                <w:rFonts w:ascii="宋体" w:hAnsi="宋体" w:eastAsia="宋体" w:cs="宋体"/>
                <w:color w:val="auto"/>
                <w:spacing w:val="3"/>
                <w:sz w:val="21"/>
                <w:szCs w:val="21"/>
                <w:highlight w:val="yellow"/>
              </w:rPr>
              <w:t>口县</w:t>
            </w:r>
          </w:p>
        </w:tc>
        <w:tc>
          <w:tcPr>
            <w:tcW w:w="640" w:type="dxa"/>
            <w:tcBorders>
              <w:top w:val="single" w:color="000000" w:sz="2" w:space="0"/>
              <w:bottom w:val="single" w:color="000000" w:sz="2" w:space="0"/>
            </w:tcBorders>
            <w:vAlign w:val="top"/>
          </w:tcPr>
          <w:p>
            <w:pPr>
              <w:spacing w:before="199" w:line="187" w:lineRule="auto"/>
              <w:ind w:left="71"/>
              <w:rPr>
                <w:rFonts w:ascii="宋体" w:hAnsi="宋体" w:eastAsia="宋体" w:cs="宋体"/>
                <w:color w:val="auto"/>
                <w:sz w:val="21"/>
                <w:szCs w:val="21"/>
                <w:highlight w:val="yellow"/>
              </w:rPr>
            </w:pPr>
            <w:r>
              <w:rPr>
                <w:rFonts w:ascii="宋体" w:hAnsi="宋体" w:eastAsia="宋体" w:cs="宋体"/>
                <w:color w:val="auto"/>
                <w:sz w:val="21"/>
                <w:szCs w:val="21"/>
                <w:highlight w:val="yellow"/>
              </w:rPr>
              <w:t>1</w:t>
            </w:r>
          </w:p>
        </w:tc>
        <w:tc>
          <w:tcPr>
            <w:tcW w:w="859" w:type="dxa"/>
            <w:tcBorders>
              <w:top w:val="single" w:color="000000" w:sz="2" w:space="0"/>
              <w:bottom w:val="single" w:color="000000" w:sz="2" w:space="0"/>
            </w:tcBorders>
            <w:vAlign w:val="top"/>
          </w:tcPr>
          <w:p>
            <w:pPr>
              <w:spacing w:before="212" w:line="184" w:lineRule="auto"/>
              <w:ind w:left="141"/>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3"/>
                <w:sz w:val="21"/>
                <w:szCs w:val="21"/>
                <w:highlight w:val="yellow"/>
                <w:lang w:val="en-US" w:eastAsia="zh-CN"/>
              </w:rPr>
              <w:t>27.32</w:t>
            </w:r>
          </w:p>
        </w:tc>
        <w:tc>
          <w:tcPr>
            <w:tcW w:w="650" w:type="dxa"/>
            <w:tcBorders>
              <w:top w:val="single" w:color="000000" w:sz="2" w:space="0"/>
              <w:bottom w:val="single" w:color="000000" w:sz="2" w:space="0"/>
            </w:tcBorders>
            <w:vAlign w:val="top"/>
          </w:tcPr>
          <w:p>
            <w:pPr>
              <w:spacing w:before="200" w:line="185" w:lineRule="auto"/>
              <w:ind w:left="242"/>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849" w:type="dxa"/>
            <w:tcBorders>
              <w:top w:val="single" w:color="000000" w:sz="2" w:space="0"/>
              <w:bottom w:val="single" w:color="000000" w:sz="2" w:space="0"/>
            </w:tcBorders>
            <w:vAlign w:val="top"/>
          </w:tcPr>
          <w:p>
            <w:pPr>
              <w:spacing w:before="200" w:line="185" w:lineRule="auto"/>
              <w:ind w:left="342"/>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630" w:type="dxa"/>
            <w:tcBorders>
              <w:top w:val="single" w:color="000000" w:sz="2" w:space="0"/>
              <w:bottom w:val="single" w:color="000000" w:sz="2" w:space="0"/>
            </w:tcBorders>
            <w:vAlign w:val="top"/>
          </w:tcPr>
          <w:p>
            <w:pPr>
              <w:spacing w:before="212" w:line="185" w:lineRule="auto"/>
              <w:ind w:left="193"/>
              <w:rPr>
                <w:rFonts w:ascii="宋体" w:hAnsi="宋体" w:eastAsia="宋体" w:cs="宋体"/>
                <w:color w:val="auto"/>
                <w:sz w:val="21"/>
                <w:szCs w:val="21"/>
                <w:highlight w:val="yellow"/>
              </w:rPr>
            </w:pPr>
            <w:r>
              <w:rPr>
                <w:rFonts w:ascii="宋体" w:hAnsi="宋体" w:eastAsia="宋体" w:cs="宋体"/>
                <w:color w:val="auto"/>
                <w:spacing w:val="-4"/>
                <w:sz w:val="21"/>
                <w:szCs w:val="21"/>
                <w:highlight w:val="yellow"/>
              </w:rPr>
              <w:t>0</w:t>
            </w:r>
            <w:r>
              <w:rPr>
                <w:rFonts w:ascii="宋体" w:hAnsi="宋体" w:eastAsia="宋体" w:cs="宋体"/>
                <w:color w:val="auto"/>
                <w:spacing w:val="-2"/>
                <w:sz w:val="21"/>
                <w:szCs w:val="21"/>
                <w:highlight w:val="yellow"/>
              </w:rPr>
              <w:t>%</w:t>
            </w:r>
          </w:p>
        </w:tc>
        <w:tc>
          <w:tcPr>
            <w:tcW w:w="939" w:type="dxa"/>
            <w:tcBorders>
              <w:top w:val="single" w:color="000000" w:sz="2" w:space="0"/>
              <w:bottom w:val="single" w:color="000000" w:sz="2" w:space="0"/>
            </w:tcBorders>
            <w:vAlign w:val="top"/>
          </w:tcPr>
          <w:p>
            <w:pPr>
              <w:spacing w:before="211" w:line="187" w:lineRule="auto"/>
              <w:ind w:left="403"/>
              <w:rPr>
                <w:rFonts w:ascii="宋体" w:hAnsi="宋体" w:eastAsia="宋体" w:cs="宋体"/>
                <w:color w:val="auto"/>
                <w:sz w:val="21"/>
                <w:szCs w:val="21"/>
                <w:highlight w:val="yellow"/>
              </w:rPr>
            </w:pPr>
            <w:r>
              <w:rPr>
                <w:rFonts w:ascii="宋体" w:hAnsi="宋体" w:eastAsia="宋体" w:cs="宋体"/>
                <w:color w:val="auto"/>
                <w:sz w:val="21"/>
                <w:szCs w:val="21"/>
                <w:highlight w:val="yellow"/>
              </w:rPr>
              <w:t>1</w:t>
            </w:r>
          </w:p>
        </w:tc>
        <w:tc>
          <w:tcPr>
            <w:tcW w:w="819" w:type="dxa"/>
            <w:tcBorders>
              <w:top w:val="single" w:color="000000" w:sz="2" w:space="0"/>
              <w:bottom w:val="single" w:color="000000" w:sz="2" w:space="0"/>
            </w:tcBorders>
            <w:vAlign w:val="top"/>
          </w:tcPr>
          <w:p>
            <w:pPr>
              <w:spacing w:before="212" w:line="184" w:lineRule="auto"/>
              <w:ind w:left="124"/>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3"/>
                <w:sz w:val="21"/>
                <w:szCs w:val="21"/>
                <w:highlight w:val="yellow"/>
                <w:lang w:val="en-US" w:eastAsia="zh-CN"/>
              </w:rPr>
              <w:t>26.876</w:t>
            </w:r>
          </w:p>
        </w:tc>
        <w:tc>
          <w:tcPr>
            <w:tcW w:w="830" w:type="dxa"/>
            <w:tcBorders>
              <w:top w:val="single" w:color="000000" w:sz="2" w:space="0"/>
              <w:bottom w:val="single" w:color="000000" w:sz="2" w:space="0"/>
            </w:tcBorders>
            <w:vAlign w:val="top"/>
          </w:tcPr>
          <w:p>
            <w:pPr>
              <w:spacing w:before="212" w:line="185" w:lineRule="auto"/>
              <w:ind w:left="185"/>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7"/>
                <w:sz w:val="21"/>
                <w:szCs w:val="21"/>
                <w:highlight w:val="yellow"/>
                <w:lang w:val="en-US" w:eastAsia="zh-CN"/>
              </w:rPr>
              <w:t>98.37%</w:t>
            </w:r>
          </w:p>
        </w:tc>
        <w:tc>
          <w:tcPr>
            <w:tcW w:w="959" w:type="dxa"/>
            <w:tcBorders>
              <w:top w:val="single" w:color="000000" w:sz="2" w:space="0"/>
              <w:bottom w:val="single" w:color="000000" w:sz="2" w:space="0"/>
            </w:tcBorders>
            <w:vAlign w:val="top"/>
          </w:tcPr>
          <w:p>
            <w:pPr>
              <w:spacing w:before="200" w:line="185" w:lineRule="auto"/>
              <w:ind w:left="405"/>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1009" w:type="dxa"/>
            <w:tcBorders>
              <w:top w:val="single" w:color="000000" w:sz="2" w:space="0"/>
              <w:bottom w:val="single" w:color="000000" w:sz="2" w:space="0"/>
            </w:tcBorders>
            <w:vAlign w:val="top"/>
          </w:tcPr>
          <w:p>
            <w:pPr>
              <w:spacing w:before="212" w:line="185" w:lineRule="auto"/>
              <w:ind w:left="446"/>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1019" w:type="dxa"/>
            <w:tcBorders>
              <w:top w:val="single" w:color="000000" w:sz="2" w:space="0"/>
              <w:bottom w:val="single" w:color="000000" w:sz="2" w:space="0"/>
            </w:tcBorders>
            <w:vAlign w:val="top"/>
          </w:tcPr>
          <w:p>
            <w:pPr>
              <w:spacing w:before="200" w:line="185" w:lineRule="auto"/>
              <w:ind w:left="438"/>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939" w:type="dxa"/>
            <w:tcBorders>
              <w:top w:val="single" w:color="000000" w:sz="2" w:space="0"/>
              <w:bottom w:val="single" w:color="000000" w:sz="2" w:space="0"/>
            </w:tcBorders>
            <w:vAlign w:val="top"/>
          </w:tcPr>
          <w:p>
            <w:pPr>
              <w:spacing w:before="200" w:line="185" w:lineRule="auto"/>
              <w:ind w:left="398"/>
              <w:rPr>
                <w:rFonts w:hint="eastAsia" w:ascii="宋体" w:hAnsi="宋体" w:eastAsia="宋体" w:cs="宋体"/>
                <w:color w:val="auto"/>
                <w:sz w:val="21"/>
                <w:szCs w:val="21"/>
                <w:highlight w:val="yellow"/>
                <w:lang w:eastAsia="zh-CN"/>
              </w:rPr>
            </w:pPr>
            <w:r>
              <w:rPr>
                <w:rFonts w:hint="eastAsia" w:ascii="宋体" w:hAnsi="宋体" w:eastAsia="宋体" w:cs="宋体"/>
                <w:color w:val="auto"/>
                <w:sz w:val="21"/>
                <w:szCs w:val="21"/>
                <w:highlight w:val="yellow"/>
                <w:lang w:val="en-US" w:eastAsia="zh-CN"/>
              </w:rPr>
              <w:t>1</w:t>
            </w:r>
          </w:p>
        </w:tc>
        <w:tc>
          <w:tcPr>
            <w:tcW w:w="960" w:type="dxa"/>
            <w:tcBorders>
              <w:top w:val="single" w:color="000000" w:sz="2" w:space="0"/>
              <w:bottom w:val="single" w:color="000000" w:sz="2" w:space="0"/>
            </w:tcBorders>
            <w:vAlign w:val="top"/>
          </w:tcPr>
          <w:p>
            <w:pPr>
              <w:spacing w:before="200" w:line="185" w:lineRule="auto"/>
              <w:ind w:left="410"/>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z w:val="21"/>
                <w:szCs w:val="21"/>
                <w:highlight w:val="yellow"/>
                <w:lang w:val="en-US" w:eastAsia="zh-CN"/>
              </w:rPr>
              <w:t>454</w:t>
            </w:r>
          </w:p>
        </w:tc>
        <w:tc>
          <w:tcPr>
            <w:tcW w:w="854" w:type="dxa"/>
            <w:tcBorders>
              <w:top w:val="single" w:color="000000" w:sz="2" w:space="0"/>
              <w:bottom w:val="single" w:color="000000" w:sz="2" w:space="0"/>
            </w:tcBorders>
            <w:vAlign w:val="top"/>
          </w:tcPr>
          <w:p>
            <w:pPr>
              <w:spacing w:before="200" w:line="185" w:lineRule="auto"/>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z w:val="21"/>
                <w:szCs w:val="21"/>
                <w:highlight w:val="yellow"/>
                <w:lang w:val="en-US" w:eastAsia="zh-CN"/>
              </w:rPr>
              <w:t>1.63%</w:t>
            </w:r>
          </w:p>
        </w:tc>
      </w:tr>
    </w:tbl>
    <w:p>
      <w:pPr>
        <w:spacing w:line="203" w:lineRule="exact"/>
        <w:rPr>
          <w:rFonts w:ascii="Arial"/>
          <w:color w:val="auto"/>
          <w:sz w:val="17"/>
          <w:highlight w:val="none"/>
        </w:rPr>
      </w:pPr>
    </w:p>
    <w:p>
      <w:pPr>
        <w:rPr>
          <w:color w:val="auto"/>
          <w:highlight w:val="none"/>
        </w:rPr>
        <w:sectPr>
          <w:footerReference r:id="rId21" w:type="default"/>
          <w:pgSz w:w="16850" w:h="11910"/>
          <w:pgMar w:top="1012" w:right="1545" w:bottom="1851" w:left="1395" w:header="624" w:footer="1361" w:gutter="0"/>
          <w:pgNumType w:fmt="decimal"/>
          <w:cols w:space="720" w:num="1"/>
        </w:sectPr>
      </w:pPr>
    </w:p>
    <w:p>
      <w:pPr>
        <w:widowControl/>
        <w:jc w:val="left"/>
        <w:rPr>
          <w:rFonts w:hint="eastAsia" w:ascii="宋体" w:hAnsi="宋体" w:cs="宋体"/>
          <w:b/>
          <w:bCs/>
          <w:color w:val="auto"/>
          <w:kern w:val="0"/>
          <w:sz w:val="28"/>
          <w:szCs w:val="28"/>
          <w:highlight w:val="none"/>
          <w:lang w:bidi="bo-CN"/>
        </w:rPr>
      </w:pPr>
      <w:bookmarkStart w:id="140" w:name="_Toc14364"/>
      <w:bookmarkStart w:id="141" w:name="_Toc18030"/>
      <w:bookmarkStart w:id="142" w:name="_Toc26252"/>
      <w:r>
        <w:rPr>
          <w:rFonts w:hint="eastAsia" w:ascii="宋体" w:hAnsi="宋体" w:cs="宋体"/>
          <w:b/>
          <w:bCs/>
          <w:color w:val="auto"/>
          <w:kern w:val="0"/>
          <w:sz w:val="28"/>
          <w:szCs w:val="28"/>
          <w:highlight w:val="none"/>
          <w:lang w:bidi="bo-CN"/>
        </w:rPr>
        <w:t xml:space="preserve">附表4 </w:t>
      </w:r>
      <w:bookmarkEnd w:id="140"/>
      <w:bookmarkEnd w:id="141"/>
      <w:bookmarkEnd w:id="142"/>
      <w:r>
        <w:rPr>
          <w:rFonts w:hint="eastAsia" w:ascii="宋体" w:hAnsi="宋体" w:cs="宋体"/>
          <w:b/>
          <w:bCs/>
          <w:color w:val="auto"/>
          <w:kern w:val="0"/>
          <w:sz w:val="28"/>
          <w:szCs w:val="28"/>
          <w:highlight w:val="none"/>
          <w:lang w:val="en-US" w:eastAsia="zh-CN" w:bidi="bo-CN"/>
        </w:rPr>
        <w:t>冬青湖外缘边界</w:t>
      </w:r>
      <w:r>
        <w:rPr>
          <w:rFonts w:hint="eastAsia" w:ascii="宋体" w:hAnsi="宋体" w:cs="宋体"/>
          <w:b/>
          <w:bCs/>
          <w:color w:val="auto"/>
          <w:kern w:val="0"/>
          <w:sz w:val="28"/>
          <w:szCs w:val="28"/>
          <w:highlight w:val="none"/>
          <w:lang w:bidi="bo-CN"/>
        </w:rPr>
        <w:t>线转角点坐标</w:t>
      </w:r>
    </w:p>
    <w:p>
      <w:pPr>
        <w:pStyle w:val="2"/>
        <w:rPr>
          <w:rFonts w:hint="eastAsia"/>
          <w:color w:val="auto"/>
          <w:highlight w:val="none"/>
        </w:rPr>
      </w:pPr>
    </w:p>
    <w:tbl>
      <w:tblPr>
        <w:tblStyle w:val="11"/>
        <w:tblW w:w="4998"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18"/>
        <w:gridCol w:w="2018"/>
        <w:gridCol w:w="2830"/>
        <w:gridCol w:w="266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blHeader/>
        </w:trPr>
        <w:tc>
          <w:tcPr>
            <w:tcW w:w="1058" w:type="pct"/>
            <w:tcBorders>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序号</w:t>
            </w:r>
          </w:p>
        </w:tc>
        <w:tc>
          <w:tcPr>
            <w:tcW w:w="1058" w:type="pct"/>
            <w:tcBorders>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转角点号</w:t>
            </w:r>
          </w:p>
        </w:tc>
        <w:tc>
          <w:tcPr>
            <w:tcW w:w="1484" w:type="pct"/>
            <w:tcBorders>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坐标X</w:t>
            </w:r>
          </w:p>
        </w:tc>
        <w:tc>
          <w:tcPr>
            <w:tcW w:w="1397" w:type="pct"/>
            <w:tcBorders>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坐标Y</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36372790.83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4483807.57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36372765.43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4483812.33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36372722.57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4483823.45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36372701.14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4483832.97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36372660.66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4483871.07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36372622.56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4483915.52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36372574.14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4483977.44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36372563.82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4483992.52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36372541.59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4484047.29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36372520.96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4484047.29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36372488.41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4484046.49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36372481.27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4484027.44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36372496.35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4484012.36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36372483.65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4483990.14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36372479.68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4483976.64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36372472.54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4483965.53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36372436.82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4483986.17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36372420.15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4483986.96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36372377.29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4484006.8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36372355.86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4484023.47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36372336.01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4484040.94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36372336.01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4484056.81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36372328.34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4484065.81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36372330.99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4484072.69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36372338.39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4484071.63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36372350.04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4484073.74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36372350.57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4484082.74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36372344.22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4484090.15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36372347.39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4484094.38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36372350.57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4484098.09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36372348.98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4484104.96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36372350.04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4484113.43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36372355.86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4484119.78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36372354.8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4484128.78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36372354.27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4484139.36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36372360.09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4484147.3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36372368.03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4484148.89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36372377.55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4484147.83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36372387.61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4484147.83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36372396.6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4484149.41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36372410.89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4484156.82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36372419.89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4484165.29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36372413.01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4484172.7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36372408.24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4484177.99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36372399.78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4484191.22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36372398.19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4484203.39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36372406.13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4484216.62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36372413.01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4484220.85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36372428.35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4484218.21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36372442.64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4484209.74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36372453.75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4484198.63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36372457.46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4484190.16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36372464.87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4484179.58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36372469.63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4484175.87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36372474.92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4484171.64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36372479.68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4484172.7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36372484.97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4484175.87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36372488.15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4484180.64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36372482.86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4484190.69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36372471.22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4484203.92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36372453.75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4484219.79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36372439.81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4484235.05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36372436.17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4484240.67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36372436.17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4484245.3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36372439.48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4484249.27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36372440.8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4484257.87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36372438.49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4484264.48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36372433.53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4484273.08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36372426.58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4484278.7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36372421.29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4484284.99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36372416.99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4484292.59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36372414.01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4484299.54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36372399.13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4484333.27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36372386.56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4484343.53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36372378.29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4484356.42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36372368.37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4484382.55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36372357.79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4484400.41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36372349.19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4484413.31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36372344.56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4484427.2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36372334.97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4484451.34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36372331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4484467.22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36372328.02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4484482.43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36372322.07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4484508.56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36372323.39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4484531.05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36372320.75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4484568.09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36372316.12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4484617.04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36372313.47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4484738.09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36372308.58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4484794.84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36372309.77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4484825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36372306.99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4484876.6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36372296.67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4485030.19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36372290.72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4485045.27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36372280.4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4485065.11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36372261.35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4485093.29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36372247.46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4485110.75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36372212.13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4485161.55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36372206.98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4485171.87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36372205.78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4485182.19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36372177.87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4485324.54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36372126.94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4485578.54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36372091.88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4485728.69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36372073.36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4485726.04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36372061.01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4485726.74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36372040.98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4485862.82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36371992.01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4486203.98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36371583.05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4488912.42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36371577.31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4488950.1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36371545.87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4489156.6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36371514.44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4489363.11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36371505.07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4489424.64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36371549.35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4489413.55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36371593.8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4489396.62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36371655.19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4489366.98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36371798.06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4489283.37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36371940.67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4489204.26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36371884.32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4489066.15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36372009.68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4488988.39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36371998.34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4488969.91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36371991.5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4488958.75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36371982.83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4488943.75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36371980.17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4488931.37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36371979.84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4488918.8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36371978.85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4488906.24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36371983.48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4488894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36372012.59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4488860.93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36372095.93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4488764.35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36372181.92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4488660.5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36372191.51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4488646.94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36372231.2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4488605.8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36372237.15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4488591.51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36372241.52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4488581.19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36372246.68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4488558.18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36372258.58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4488520.08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36372266.92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4488483.96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36372271.28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4488453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36372279.62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4488429.19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36372315.73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4488385.93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36372411.78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4488279.97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36372543.54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4488105.74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36372554.25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4488093.04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36372562.59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4488006.92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36372573.7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4487839.04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36372590.37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4487690.6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36372597.91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4487663.22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36372609.82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4487623.53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36372621.33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4487586.62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36372631.65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4487569.16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36372698.72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4487459.62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36372820.16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4487255.63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36372932.87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4487071.08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36372967.01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4487017.5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36372974.55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4487000.44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36372983.67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4486955.59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36373008.68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4486823.83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36373011.46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4486812.09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36373103.56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4486793.1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36373298.69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4486728.94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36373519.62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4486662.13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36373776.93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4486573.5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36373830.51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4486559.61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36373867.55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4486547.04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36373930.39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4486527.2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36373961.48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4486508.68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36373995.87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4486502.06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36374030.27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4486493.46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36374198.28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4486463.7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36374261.12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4486447.82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36374316.68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4486425.99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36374437.07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4486367.12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36374503.21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4486324.79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36374579.94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4486255.34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36374593.83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4486226.23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36374616.98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4486177.28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36374626.24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4486158.76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36374728.77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4486039.7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36374789.62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4485972.89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36374871.65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4485883.6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36374888.18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4485851.85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36374926.55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4485749.98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36374948.37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4485708.31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36374944.41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4485690.45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36374949.04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4485632.24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36374960.94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4485581.31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36374975.49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4485529.05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36375002.61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4485504.58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36375026.43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4485486.06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36375051.56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4485472.17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36375072.07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4485459.6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36375085.3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4485441.74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36375094.56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4485406.02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36375153.43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4485163.93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36375183.85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4485142.76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36375201.71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4485129.53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36375203.7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4485105.06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36375199.73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4485080.58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36375182.53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4485064.05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36375172.61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4485059.42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36375171.29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4485049.5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36375186.5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4485025.68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36375215.6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4484993.93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36375233.46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4484962.18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36375263.89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4484913.9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36375288.36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4484876.19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36375291.01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4484853.7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36375300.93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4484843.78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36375326.73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4484841.14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36375345.25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4484841.14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36375359.8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4484847.09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36375367.74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4484855.69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36375395.52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4484857.67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36375419.33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4484860.32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36375449.1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4484864.95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36375493.42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4484871.56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36375515.25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4484879.5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36375524.24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4484896.04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36375536.15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4484910.32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36375536.94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4484957.16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36375545.67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4485011.13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36375535.35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4485031.77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36375507.57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4485060.34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36375495.67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4485081.78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36375485.35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4485115.91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36375452.8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4485270.69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36375474.91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4485269.01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36375484.43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4485226.68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36375505.6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4485143.07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36375505.6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4485132.49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36375551.11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4485058.4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36375564.3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4485040.99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36375570.65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4485005.8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36375565.89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4484969.82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36375565.36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4484949.45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36375565.89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4484922.2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36375570.65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4484887.54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36375572.24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4484857.64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36375578.85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4484848.91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36375588.38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4484851.29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36375611.92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4484839.65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36375615.89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4484827.47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36375626.74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4484786.2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36375638.38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4484746.51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36375649.5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4484729.05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36375698.71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4484719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36375808.77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4484685.66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36375835.76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4484683.54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36375841.58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4484697.83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36375854.28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4484702.59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36375877.04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4484704.71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36375892.38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4484702.59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36375903.5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4484694.12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36375906.14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4484675.6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36375899.79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4484645.97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36375892.38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4484603.11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36375885.5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4484579.82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36375870.69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4484575.59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36375836.82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4484581.41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36375828.88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4484592.52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36375832.06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4484608.4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36375834.17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4484622.16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36375683.89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4484654.44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36375647.91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4484659.73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36375615.1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4484663.43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36375590.76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4484664.49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36375568.53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4484659.73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36375540.49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4484656.55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36375519.32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4484656.02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36375497.62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4484656.55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36375478.57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4484663.43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36375454.23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4484674.02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36375433.59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4484687.77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36375411.9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4484712.12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36375406.61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4484731.17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36375401.84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4484770.85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36375408.19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4484787.26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36375417.72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4484806.84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36375412.43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4484813.19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36375398.67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4484811.6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36375351.04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4484810.54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36375339.93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4484804.72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36375328.29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4484800.49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36375307.65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4484800.49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36375292.84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4484806.31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36375274.84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4484814.77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36375268.49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4484821.12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36375263.73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4484833.3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36375261.09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4484850.76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36375257.38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4484869.81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36375219.28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4484910.55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36375146.79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4485016.92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36375133.03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4485026.44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36375119.8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4485028.56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36375098.63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4485028.56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36375077.99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4485027.5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36375053.65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4485019.56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36375020.31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4485009.51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36374982.21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4484993.63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36374943.06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4484980.4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36374911.84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4484975.11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36374882.73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4484968.76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36374860.51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4484967.7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36374839.87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4484968.23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36374822.41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4484968.76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36374801.24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4484968.76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36374779.54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4484970.35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36374760.49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4484976.17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36374750.44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4484980.93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36374733.51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4484998.4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36374696.18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4485033.81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36374675.02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4485048.63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36374661.26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4485061.33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36374644.32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4485062.39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36374627.39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4485056.04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36374621.04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4485044.4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36374608.34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4485025.35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36374607.28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4485001.01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36374608.34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4484971.37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36374609.4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4484956.56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36374618.92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4484943.86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36374634.8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4484919.51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36374667.61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4484885.65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36374693.01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4484866.6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36374704.65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4484833.79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36374737.46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4484820.03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36374744.87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4484791.46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36374734.28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4484779.81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36374737.46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4484769.23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36374759.68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4484760.76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36374791.43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4484760.76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36374806.25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4484748.06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36374803.07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4484718.43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36374797.78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4484690.91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36374790.37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4484669.75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36374762.86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4484664.46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36374754.39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4484655.99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36374752.27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4484635.88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36374767.09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4484625.3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36374791.43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4484614.71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36374797.78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4484587.2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36374791.43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4484541.69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36374788.26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4484507.82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36374767.09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4484481.36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36374744.87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4484473.96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36374725.82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4484444.32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36374701.47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4484430.56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36374666.55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4484422.1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36374629.51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4484410.46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36374578.71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4484391.41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36374550.13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4484388.23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36374449.59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4484345.9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36374362.81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4484319.44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36374273.91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4484297.21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36374187.12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4484279.22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36374106.69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4484276.05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36374022.02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4484299.33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36374011.44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4484333.2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36373986.04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4484371.83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36373982.33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4484386.11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36373982.33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4484404.11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36373990.8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4484407.28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36374005.09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4484408.34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36374015.14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4484414.16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36374017.26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4484428.45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36374011.97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4484452.26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36374006.15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4484468.66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36373987.63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4484485.07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36373987.63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4484505.71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36373992.39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4484519.46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36373995.56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4484524.23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36374002.97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4484542.75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370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J370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36374002.97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4484567.62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371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J371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36374000.33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4484589.31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372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J372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36373988.16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4484603.6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373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J373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36373970.16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4484605.19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374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J374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36373961.7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4484613.13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375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J375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36373952.17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4484628.47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376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J376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36373936.3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4484649.64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377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J377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36373920.95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4484666.04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378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J378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36373908.78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4484668.16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379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J379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36373898.73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4484668.16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380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J380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36373894.49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4484643.82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381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J381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36373897.14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4484627.41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382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J382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36373897.14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4484606.78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383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J383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36373887.08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4484599.37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384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J384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36373866.45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4484598.84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385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J385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36373847.4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4484613.13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386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J386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36373834.7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4484626.88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387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J387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36373828.35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4484641.7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388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J388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36373804.01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4484654.53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389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J389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36373755.06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4484669.09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390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J390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36373718.02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4484696.87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391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J391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36373695.53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4484752.43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392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J392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36373679.65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4484786.83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393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J393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36373659.81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4484796.09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394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J394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36373626.73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4484800.05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395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J395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36373596.31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4484810.64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396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J396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36373580.43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4484845.03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397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J397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36373577.79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4484876.78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398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J398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36373577.79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4484901.92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399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J399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36373555.3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4484925.73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400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J400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36373547.36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4484956.16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401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J401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36373547.36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4484981.29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402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J402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36373567.2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4485015.69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403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J403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36373580.43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4485036.86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404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J404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36373600.28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4485038.18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405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J405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36373626.73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4485020.98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406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J406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36373650.55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4485013.04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407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J407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36373675.68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4485013.04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408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J408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36373699.49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4485024.95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409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J409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36373721.32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4485041.49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410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J410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36373729.26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4485053.39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411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J411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36373743.81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4485058.02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412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J412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36373758.36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4485058.02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413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J413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36373763.66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4485069.27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414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J414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36373763.66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4485085.14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415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J415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36373770.27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4485102.34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416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J416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36373780.85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4485113.59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417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J417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36373794.08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4485124.17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418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J418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36373806.65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4485132.11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419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J419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36373811.94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4485143.35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420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J420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36373808.64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4485163.86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421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J421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36373798.71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4485177.09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422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J422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36373778.87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4485191.64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423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J423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36373762.99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4485201.56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424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J424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36373771.59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4485212.14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425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J425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36373771.59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4485223.39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426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J426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36373764.32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4485230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427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J427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36373739.18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4485231.99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428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J428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36373713.39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4485232.65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429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J429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36373683.62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4485232.65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430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J430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36373674.36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4485243.23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431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J431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36373657.82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4485255.8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432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J432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36373647.24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4485267.05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433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J433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36373637.98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4485269.03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434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J434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36373624.09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4485266.38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435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J435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36373612.18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4485263.08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436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J436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36373594.98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4485264.4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437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J437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36373579.11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4485280.27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438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J438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36373572.49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4485290.86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439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J439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36373571.83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4485305.41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J440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36373557.94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4485323.93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J441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36373550.67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4485335.84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J442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36373547.36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4485343.11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J443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36373550.67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4485352.37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J444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36373557.94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4485366.93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J445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36373561.91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4485382.8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J446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36373569.19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4485394.05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J447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36373575.8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4485400.66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J448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36373581.09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4485408.6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J449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36373586.38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4485422.49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J450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36373587.71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4485434.39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J451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36373583.74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4485449.61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J452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36373570.51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4485463.5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J453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36373557.94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4485476.73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J454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36373551.33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4485493.26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J455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36373540.74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4485511.79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J456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36373538.1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4485528.98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J457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36373541.41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4485538.24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J458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36373559.27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4485550.15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J459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36373567.86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4485566.69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460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J460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36373571.17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4485583.22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461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J461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36373573.82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4485587.19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462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J462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36373591.02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4485584.55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463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J463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36373615.49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4485577.93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464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J464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36373626.07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4485589.84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465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J465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36373632.03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4485607.7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466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J466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36373649.89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4485641.43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467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J467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36373647.9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4485656.65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468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J468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36373646.58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4485679.13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469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J469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36373646.58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4485696.99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470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J470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36373645.25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4485713.53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471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J471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36373638.64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4485748.59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472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J472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36373631.36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4485806.14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473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J473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36373628.06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4485834.58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474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J474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36373624.09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4485855.74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475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J475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36373616.81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4485880.88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476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J476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36373609.54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4485900.06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477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J477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36373592.34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4485914.61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478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J478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36373569.19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4485927.84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479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J479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36373513.62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4485954.96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480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J480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36373482.54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4485972.82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481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J481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36373436.9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4485994.65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482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J482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36373410.44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4486015.16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483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J483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36373399.19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4486019.79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484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J484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36373393.24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4486004.57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485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J485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36373387.95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4485995.97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486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J486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36373381.33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4485990.68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487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J487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36373362.15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4485994.65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488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J488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36373325.77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4485997.96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489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J489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36373269.55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4486003.25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490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J490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36373218.61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4486003.91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491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J491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36373127.99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4486005.23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492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J492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36373062.51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4486004.57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493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J493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36373020.84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4486004.57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494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J494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36373001.77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4486005.2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495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J495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36373003.52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4485974.91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496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J496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36373010.27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4485888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497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J497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36373016.62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4485803.06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498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J498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36373020.19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4485782.82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499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J499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36373023.36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4485770.12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500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J500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36373030.51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4485756.23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501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J501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36373037.65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4485746.31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502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J502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36373053.13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4485736.79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503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J503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36373181.72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4485668.92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504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J504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36373226.17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4485643.52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505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J505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36373251.96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4485626.06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506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J506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36373262.28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4485613.75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507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J507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36373271.41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4485594.7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508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J508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36373279.74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4485574.07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509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J509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36373282.52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4485553.43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510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J510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36373290.06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4485451.43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511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J511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36373299.59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4485327.21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512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J512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36373297.21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4485303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513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J513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36373296.81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4485271.25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514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J514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36373286.46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4485155.03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515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J515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36373275.87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4485135.19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516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J516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36373278.52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4485116.01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517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J517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36373271.24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4485090.21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518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J518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36373255.37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4485071.69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519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J519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36373231.56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4485063.09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520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J520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36373214.36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4485049.86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521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J521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36373195.84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4485047.88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522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J522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36373171.36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4485046.55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523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J523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36373148.87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4485043.91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524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J524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36373125.06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4485037.95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525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J525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36373128.37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4485027.37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526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J526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36373150.2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4485022.08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527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J527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36373169.38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4485021.42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528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J528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36373207.08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4485015.46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529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J529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36373240.82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4484988.34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530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J530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36373269.92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4484976.44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531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J531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36373268.6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4484961.22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532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J532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36373250.08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4484944.69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533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J533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36373229.57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4484907.65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534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J534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36373215.02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4484893.09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535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J535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36373201.79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4484882.51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536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J536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36373172.69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4484889.12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537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J537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36373123.74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4484913.6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538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J538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36373090.67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4484926.17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539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J539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36373078.1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4484920.87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540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J540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36373068.84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4484912.28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541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J541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36373050.32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4484891.11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542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J542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36373029.15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4484877.88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543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J543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36373009.97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4484891.11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544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J544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36372986.82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4484929.47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545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J545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36372970.94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4484961.89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546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J546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36372963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4484981.73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547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J547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36372942.5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4485002.23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548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J548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36372924.89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4485018.62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549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J549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36372886.53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4485054.34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550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J550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36372881.9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4485082.12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551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J551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36372858.75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4485117.17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552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J552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36372843.53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4485137.02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553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J553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36372842.87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4485158.18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554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J554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36372832.95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4485173.4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555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J555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36372817.74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4485189.27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556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J556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36372795.25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4485207.79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557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J557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36372781.93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4485194.06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558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J558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36372764.47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4485171.83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559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J559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36372775.58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4485147.23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560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J560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36372769.23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4485111.51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561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J561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36372754.94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4485089.28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562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J562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36372728.75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4485086.9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563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J563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36372682.71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4485084.52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564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J564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36372653.34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4485094.05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565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J565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36372628.74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4485112.3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566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J566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36372602.54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4485110.71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567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J567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36372601.75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4485091.66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568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J568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36372617.62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4485071.82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569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J569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36372652.55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4485031.34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570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J570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36372694.62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4484999.59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571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J571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36372723.19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4484974.98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572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J572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36372714.46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4484961.49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573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J573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36372697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4484950.38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574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J574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36372693.03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4484930.53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575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J575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36372709.7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4484891.64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576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J576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36372728.75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4484858.3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577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J577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36372787.49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4484787.66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578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J578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36372830.35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4484727.33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579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J579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36372836.7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4484688.44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580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J580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36372854.16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4484660.66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581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J581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36372887.5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4484633.67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582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J582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36372924.8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4484605.09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583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J583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36372987.51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4484559.06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584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J584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36373049.42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4484511.43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585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J585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36373056.57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4484496.35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586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J586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36373057.36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4484478.09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587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J587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36373034.34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4484471.74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588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J588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36373023.23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4484470.16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589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J589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36373001.8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4484466.98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590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J590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36372989.89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4484463.81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591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J591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36372976.4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4484453.49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592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J592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36372989.89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4484434.44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593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J593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36373005.77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4484420.15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594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J594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36373019.26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4484397.13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595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J595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36373020.05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4484384.43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596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J596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36373004.18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4484371.73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597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J597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36373008.69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4484360.72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598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J598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36373054.19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4484347.92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599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J599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36373068.47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4484327.28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600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J600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36373069.27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4484300.29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601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J601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36373055.77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4484277.27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602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J602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36373053.39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4484266.16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603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J603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36373054.58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4484238.27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604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J604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36373058.02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4484222.24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605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J605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36373076.01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4484192.43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606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J606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36373087.13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4484177.61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607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J607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36373088.71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4484162.8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608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J608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36373100.36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4484148.51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609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J609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36373114.11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4484136.87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610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J610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36373119.41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4484125.23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611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J611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36373113.47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4484118.25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612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J612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36373090.61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4484135.19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613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J613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36373080.66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4484134.13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614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J614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36373074.94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4484126.93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615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J615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36373098.23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4484104.28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616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J616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36373095.69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4484095.82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617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J617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36373078.66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4484102.47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618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J618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36373066.49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4484112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619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J619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36373050.09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4484116.76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620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J620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36373039.5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4484116.23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621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J621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36373023.1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4484114.64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622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J622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36373009.87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4484122.58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623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J623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36372996.64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4484123.64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624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J624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36373001.4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4484109.35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625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J625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36373017.81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4484097.71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626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J626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36373040.03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4484089.24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627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J627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36373060.67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4484074.96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628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J628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36373079.72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4484061.73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629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J629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36373109.88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4484029.98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630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J630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36373151.69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4484006.16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631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J631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36373177.09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4483988.7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632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J632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36373188.2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4483971.77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633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J633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36373213.82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4483950.78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634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J634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36373248.74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4483951.57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635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J635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36373278.91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4483960.3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636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J636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36373314.62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4483962.68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637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J637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36373332.09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4483954.75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638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J638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36373338.44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4483940.46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639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J639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36373338.44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4483930.14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640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J640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36373359.87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4483908.71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641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J641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36373378.13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4483884.1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642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J642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36373395.59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4483863.47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643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J643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36373415.43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4483837.27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644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J644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36373416.23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4483810.28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645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J645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36373411.46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4483796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646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J646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36373418.61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4483784.09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647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J647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36373440.04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4483769.8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648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J648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36373458.29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4483755.52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649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J649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36373475.76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4483737.26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650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J650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36373491.63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4483719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651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J651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36373506.71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4483697.57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652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J652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36373507.51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4483676.14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653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J653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36373495.6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4483646.771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654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J654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36373470.99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4483622.959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655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J655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36373459.09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4483614.228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656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J656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36373432.7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4483631.578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657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J657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36373417.35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4483642.955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658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J658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36373393.8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4483663.592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659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J659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36373368.93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4483679.997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660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J660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36373351.47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4483689.522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661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J661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36373335.2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4483696.096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662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J662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36373322.89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4483685.288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663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J663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36373334.27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4483668.09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664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J664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36373350.67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4483650.628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665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J665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36373372.37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4483630.255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666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J666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36373386.39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4483617.026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667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J667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36373400.35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4483607.084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668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J668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36373413.05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4483595.178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669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J669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36373415.43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4483572.952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670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J670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36373432.89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4483559.459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671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J671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36373444.8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4483545.171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672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J672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36373447.25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4483530.507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673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J673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36373436.07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4483507.865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674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J674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36373414.64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4483492.784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675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J675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36373381.3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4483476.909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676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J676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36373366.22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4483475.321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677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J677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36373343.27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4483492.936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678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J678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36373325.74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4483505.484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679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J679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36373309.86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4483516.596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680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J680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36373293.19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4483519.771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681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J681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36373273.35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4483519.771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682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J682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36373250.75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4483526.836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683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J683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36373236.04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4483534.852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684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J684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36373239.32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4483546.732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685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J685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36373243.98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4483552.315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686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J686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36373271.76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4483549.14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687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J687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36373275.73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4483559.432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688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J688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36373266.42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4483576.789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689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J689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36373247.95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4483600.734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690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J690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36373218.79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4483622.668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691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J691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36373210.33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4483625.261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692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J692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36373209.06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4483593.59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693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J693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36373208.01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4483571.488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694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J694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36373197.94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4483572.159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695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J695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36373189.21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4483580.89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696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J696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36373182.86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4483594.384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697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J697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36373177.31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4483606.29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698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J698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36373166.99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4483625.34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699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J699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36373154.29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4483642.009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700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J700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36373140</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4483653.915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701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J701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36373126.51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4483666.615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702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J702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36373113.01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4483682.49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703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J703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36373112.93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4483693.285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704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J704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36373116.9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4483699.238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705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J705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36373120.47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4483707.573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706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J706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36373121.27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4483721.86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707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J707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36373111.35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4483737.735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708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J708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36373097.06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4483751.229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709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J709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36373081.18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4483765.517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710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J710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36373060.55</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4483777.026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711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J711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36373040.3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4483786.551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712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J712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36373015.3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4483810.364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713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J713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36373008.16</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4483819.889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714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J714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36372999.82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4483831.398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715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J715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36372991.89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4483835.367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716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J716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36372984.34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4483827.032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717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J717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36372978.39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4483821.079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718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J718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36372966.49</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4483819.095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719</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J719</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36372960.53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4483813.935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720</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J720</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36372954.18</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4483807.982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721</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J721</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36372946.24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4483807.189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722</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J722</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36372937.51</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4483804.807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723</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J723</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36372930.77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4483795.282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724</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J724</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36372917.27</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4483790.123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725</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J725</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36372896.64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4483796.076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726</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J726</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36372871.63</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4483795.679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727</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J727</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36372835.12</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4483800.839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728</w:t>
            </w:r>
          </w:p>
        </w:tc>
        <w:tc>
          <w:tcPr>
            <w:tcW w:w="105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J728</w:t>
            </w:r>
          </w:p>
        </w:tc>
        <w:tc>
          <w:tcPr>
            <w:tcW w:w="148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36372824.4</w:t>
            </w:r>
          </w:p>
        </w:tc>
        <w:tc>
          <w:tcPr>
            <w:tcW w:w="1397" w:type="pct"/>
            <w:tcBorders>
              <w:top w:val="nil"/>
              <w:left w:val="nil"/>
              <w:bottom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4483802.823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8" w:type="pct"/>
            <w:tcBorders>
              <w:top w:val="nil"/>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729</w:t>
            </w:r>
          </w:p>
        </w:tc>
        <w:tc>
          <w:tcPr>
            <w:tcW w:w="1058" w:type="pct"/>
            <w:tcBorders>
              <w:top w:val="nil"/>
              <w:left w:val="nil"/>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J729</w:t>
            </w:r>
          </w:p>
        </w:tc>
        <w:tc>
          <w:tcPr>
            <w:tcW w:w="1484" w:type="pct"/>
            <w:tcBorders>
              <w:top w:val="nil"/>
              <w:left w:val="nil"/>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36372800.99</w:t>
            </w:r>
          </w:p>
        </w:tc>
        <w:tc>
          <w:tcPr>
            <w:tcW w:w="1397" w:type="pct"/>
            <w:tcBorders>
              <w:top w:val="nil"/>
              <w:lef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4483804.807</w:t>
            </w:r>
          </w:p>
        </w:tc>
      </w:tr>
    </w:tbl>
    <w:p>
      <w:pPr>
        <w:rPr>
          <w:rFonts w:ascii="Arial"/>
          <w:color w:val="auto"/>
          <w:sz w:val="21"/>
          <w:highlight w:val="none"/>
        </w:rPr>
      </w:pPr>
    </w:p>
    <w:sectPr>
      <w:footerReference r:id="rId22" w:type="default"/>
      <w:pgSz w:w="11910" w:h="16850"/>
      <w:pgMar w:top="1715" w:right="1580" w:bottom="1545" w:left="1012" w:header="1247" w:footer="102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仿宋">
    <w:panose1 w:val="02010600040101010101"/>
    <w:charset w:val="86"/>
    <w:family w:val="auto"/>
    <w:pitch w:val="default"/>
    <w:sig w:usb0="00000287" w:usb1="080F0000" w:usb2="00000000" w:usb3="00000000" w:csb0="0004009F" w:csb1="DFD70000"/>
  </w:font>
  <w:font w:name="文星仿宋..嬀.">
    <w:altName w:val="仿宋"/>
    <w:panose1 w:val="00000000000000000000"/>
    <w:charset w:val="86"/>
    <w:family w:val="auto"/>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华文行楷">
    <w:altName w:val="微软雅黑"/>
    <w:panose1 w:val="0201080004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Batang">
    <w:panose1 w:val="02030600000101010101"/>
    <w:charset w:val="81"/>
    <w:family w:val="roman"/>
    <w:pitch w:val="default"/>
    <w:sig w:usb0="B00002AF" w:usb1="69D77CFB" w:usb2="00000030" w:usb3="00000000" w:csb0="4008009F" w:csb1="DFD7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47</w:t>
                    </w:r>
                    <w:r>
                      <w:rPr>
                        <w:rFonts w:hint="eastAsia" w:eastAsia="宋体"/>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8"/>
        <w:szCs w:val="18"/>
      </w:rPr>
    </w:pPr>
    <w:r>
      <w:rPr>
        <w:rFonts w:hint="eastAsia" w:ascii="宋体" w:hAnsi="宋体" w:eastAsia="宋体" w:cs="宋体"/>
        <w:sz w:val="18"/>
        <w:szCs w:val="18"/>
        <w:lang w:eastAsia="zh-CN"/>
      </w:rPr>
      <w:t>巴彦淖尔市鑫宇水利水电勘察设计有限公司</w:t>
    </w: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48</w:t>
                    </w:r>
                    <w:r>
                      <w:rPr>
                        <w:rFonts w:hint="eastAsia" w:eastAsia="宋体"/>
                        <w:lang w:eastAsia="zh-C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56</w:t>
                    </w:r>
                    <w:r>
                      <w:rPr>
                        <w:rFonts w:hint="eastAsia" w:eastAsia="宋体"/>
                        <w:lang w:eastAsia="zh-CN"/>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9"/>
        <w:szCs w:val="19"/>
      </w:rPr>
    </w:pPr>
    <w:r>
      <w:rPr>
        <w:rFonts w:hint="eastAsia" w:ascii="宋体" w:hAnsi="宋体" w:eastAsia="宋体" w:cs="宋体"/>
        <w:sz w:val="18"/>
        <w:szCs w:val="18"/>
        <w:lang w:eastAsia="zh-CN"/>
      </w:rPr>
      <w:t>巴彦淖尔市鑫宇水利水电勘察设计有限公司</w:t>
    </w:r>
    <w:r>
      <w:rPr>
        <w:sz w:val="19"/>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61</w:t>
                    </w:r>
                    <w:r>
                      <w:rPr>
                        <w:rFonts w:hint="eastAsia" w:eastAsia="宋体"/>
                        <w:lang w:eastAsia="zh-CN"/>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71552" behindDoc="0" locked="0" layoutInCell="1" allowOverlap="1">
              <wp:simplePos x="0" y="0"/>
              <wp:positionH relativeFrom="margin">
                <wp:posOffset>2635885</wp:posOffset>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7.55pt;margin-top:0pt;height:144pt;width:144pt;mso-position-horizontal-relative:margin;mso-wrap-style:none;z-index:251671552;mso-width-relative:page;mso-height-relative:page;" filled="f" stroked="f" coordsize="21600,21600" o:gfxdata="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qpOOl1QAAAAgBAAAPAAAAAAAAAAEAIAAAACIAAABkcnMvZG93bnJldi54bWxQ&#10;SwECFAAUAAAACACHTuJAbI0kZjMCAABjBAAADgAAAAAAAAABACAAAAAkAQAAZHJzL2Uyb0RvYy54&#10;bWxQSwUGAAAAAAYABgBZAQAAyQU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66</w:t>
                    </w:r>
                    <w:r>
                      <w:rPr>
                        <w:rFonts w:hint="eastAsia" w:eastAsia="宋体"/>
                        <w:lang w:eastAsia="zh-C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黑体" w:hAnsi="黑体" w:eastAsia="黑体" w:cs="黑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67</w:t>
                    </w:r>
                    <w:r>
                      <w:rPr>
                        <w:rFonts w:hint="eastAsia" w:eastAsia="宋体"/>
                        <w:lang w:eastAsia="zh-CN"/>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黑体" w:hAnsi="黑体" w:eastAsia="黑体" w:cs="黑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68</w:t>
                    </w:r>
                    <w:r>
                      <w:rPr>
                        <w:rFonts w:hint="eastAsia" w:eastAsia="宋体"/>
                        <w:lang w:eastAsia="zh-CN"/>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jc w:val="both"/>
      <w:rPr>
        <w:rFonts w:ascii="宋体" w:hAnsi="宋体" w:eastAsia="宋体" w:cs="宋体"/>
        <w:sz w:val="20"/>
        <w:szCs w:val="20"/>
      </w:rPr>
    </w:pPr>
    <w:r>
      <w:rPr>
        <w:sz w:val="20"/>
      </w:rPr>
      <mc:AlternateContent>
        <mc:Choice Requires="wps">
          <w:drawing>
            <wp:anchor distT="0" distB="0" distL="114300" distR="114300" simplePos="0" relativeHeight="251674624" behindDoc="0" locked="0" layoutInCell="1" allowOverlap="1">
              <wp:simplePos x="0" y="0"/>
              <wp:positionH relativeFrom="margin">
                <wp:posOffset>2700655</wp:posOffset>
              </wp:positionH>
              <wp:positionV relativeFrom="paragraph">
                <wp:posOffset>16510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2.65pt;margin-top:1.3pt;height:144pt;width:144pt;mso-position-horizontal-relative:margin;mso-wrap-style:none;z-index:251674624;mso-width-relative:page;mso-height-relative:page;" filled="f" stroked="f" coordsize="21600,21600" o:gfxdata="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fJTLp1gAAAAkBAAAPAAAAAAAAAAEAIAAAACIAAABkcnMvZG93bnJldi54bWxQ&#10;SwECFAAUAAAACACHTuJAgvej7zICAABjBAAADgAAAAAAAAABACAAAAAlAQAAZHJzL2Uyb0RvYy54&#10;bWxQSwUGAAAAAAYABgBZAQAAyQU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69</w:t>
                    </w:r>
                    <w:r>
                      <w:rPr>
                        <w:rFonts w:hint="eastAsia" w:eastAsia="宋体"/>
                        <w:lang w:eastAsia="zh-CN"/>
                      </w:rPr>
                      <w:fldChar w:fldCharType="end"/>
                    </w:r>
                  </w:p>
                </w:txbxContent>
              </v:textbox>
            </v:shape>
          </w:pict>
        </mc:Fallback>
      </mc:AlternateContent>
    </w:r>
    <w:r>
      <w:rPr>
        <w:rFonts w:hint="eastAsia" w:ascii="宋体" w:hAnsi="宋体" w:eastAsia="宋体" w:cs="宋体"/>
        <w:sz w:val="18"/>
        <w:szCs w:val="18"/>
        <w:lang w:eastAsia="zh-CN"/>
      </w:rPr>
      <w:t>巴彦淖尔市鑫宇水利水电勘察设计有限公司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4"/>
        <w:szCs w:val="14"/>
      </w:rPr>
    </w:pPr>
    <w:r>
      <w:rPr>
        <w:sz w:val="18"/>
        <w:szCs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w:t>
                    </w:r>
                    <w:r>
                      <w:rPr>
                        <w:rFonts w:hint="eastAsia" w:eastAsia="宋体"/>
                        <w:lang w:eastAsia="zh-CN"/>
                      </w:rPr>
                      <w:fldChar w:fldCharType="end"/>
                    </w:r>
                  </w:p>
                </w:txbxContent>
              </v:textbox>
            </v:shape>
          </w:pict>
        </mc:Fallback>
      </mc:AlternateContent>
    </w:r>
    <w:r>
      <w:rPr>
        <w:rFonts w:hint="eastAsia" w:ascii="宋体" w:hAnsi="宋体" w:eastAsia="宋体" w:cs="宋体"/>
        <w:sz w:val="18"/>
        <w:szCs w:val="18"/>
        <w:lang w:eastAsia="zh-CN"/>
      </w:rPr>
      <w:t>巴彦淖尔市鑫宇水利水电勘察设计有限公司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8"/>
        <w:szCs w:val="18"/>
      </w:rPr>
    </w:pPr>
    <w:r>
      <w:rPr>
        <w:rFonts w:hint="eastAsia" w:ascii="宋体" w:hAnsi="宋体" w:eastAsia="宋体" w:cs="宋体"/>
        <w:sz w:val="18"/>
        <w:szCs w:val="18"/>
        <w:lang w:eastAsia="zh-CN"/>
      </w:rPr>
      <w:t>巴彦淖尔市鑫宇水利水电勘察设计有限公司</w: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w:t>
                    </w:r>
                    <w:r>
                      <w:rPr>
                        <w:rFonts w:hint="eastAsia" w:eastAsia="宋体"/>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仿宋" w:hAnsi="仿宋" w:eastAsia="仿宋" w:cs="仿宋"/>
        <w:sz w:val="23"/>
        <w:szCs w:val="23"/>
      </w:rPr>
    </w:pPr>
    <w:r>
      <w:rPr>
        <w:rFonts w:hint="eastAsia" w:ascii="宋体" w:hAnsi="宋体" w:eastAsia="宋体" w:cs="宋体"/>
        <w:sz w:val="18"/>
        <w:szCs w:val="18"/>
        <w:lang w:eastAsia="zh-CN"/>
      </w:rPr>
      <w:t>巴彦淖尔市鑫宇水利水电勘察设计有限公司</w:t>
    </w:r>
    <w:r>
      <w:rPr>
        <w:sz w:val="23"/>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w:t>
                    </w:r>
                    <w:r>
                      <w:rPr>
                        <w:rFonts w:hint="eastAsia" w:eastAsia="宋体"/>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9"/>
        <w:szCs w:val="9"/>
      </w:rPr>
    </w:pPr>
    <w:r>
      <w:rPr>
        <w:rFonts w:hint="eastAsia" w:ascii="宋体" w:hAnsi="宋体" w:eastAsia="宋体" w:cs="宋体"/>
        <w:sz w:val="18"/>
        <w:szCs w:val="18"/>
        <w:lang w:eastAsia="zh-CN"/>
      </w:rPr>
      <w:t>巴彦淖尔市鑫宇水利水电勘察设计有限公司</w:t>
    </w:r>
    <w:r>
      <w:rPr>
        <w:sz w:val="9"/>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32</w:t>
                    </w:r>
                    <w:r>
                      <w:rPr>
                        <w:rFonts w:hint="eastAsia" w:eastAsia="宋体"/>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9"/>
        <w:szCs w:val="19"/>
      </w:rPr>
    </w:pPr>
    <w:r>
      <w:rPr>
        <w:rFonts w:hint="eastAsia" w:ascii="宋体" w:hAnsi="宋体" w:eastAsia="宋体" w:cs="宋体"/>
        <w:sz w:val="18"/>
        <w:szCs w:val="18"/>
        <w:lang w:eastAsia="zh-CN"/>
      </w:rPr>
      <w:t>巴彦淖尔市鑫宇水利水电勘察设计有限公司</w:t>
    </w:r>
    <w:r>
      <w:rPr>
        <w:sz w:val="19"/>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37</w:t>
                    </w:r>
                    <w:r>
                      <w:rPr>
                        <w:rFonts w:hint="eastAsia" w:eastAsia="宋体"/>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8"/>
        <w:szCs w:val="18"/>
      </w:rPr>
    </w:pPr>
    <w:r>
      <w:rPr>
        <w:rFonts w:hint="eastAsia" w:ascii="宋体" w:hAnsi="宋体" w:eastAsia="宋体" w:cs="宋体"/>
        <w:sz w:val="18"/>
        <w:szCs w:val="18"/>
        <w:lang w:eastAsia="zh-CN"/>
      </w:rPr>
      <w:t>巴彦淖尔市鑫宇水利水电勘察设计有限公司</w: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43</w:t>
                    </w:r>
                    <w:r>
                      <w:rPr>
                        <w:rFonts w:hint="eastAsia" w:eastAsia="宋体"/>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1"/>
      </w:pBdr>
      <w:jc w:val="center"/>
      <w:rPr>
        <w:rFonts w:hint="eastAsia" w:eastAsia="宋体"/>
        <w:lang w:val="en-US" w:eastAsia="zh-CN"/>
      </w:rPr>
    </w:pPr>
    <w:r>
      <w:rPr>
        <w:rFonts w:hint="eastAsia" w:eastAsia="宋体"/>
        <w:lang w:val="en-US" w:eastAsia="zh-CN"/>
      </w:rPr>
      <w:t>磴口县冬青湖岸线保护与利用规划</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YzAwZThiMDg4OWMxOTE4NGQzNjBlMDJlZGQyNmU4YjEifQ=="/>
  </w:docVars>
  <w:rsids>
    <w:rsidRoot w:val="00000000"/>
    <w:rsid w:val="00266690"/>
    <w:rsid w:val="00456ED3"/>
    <w:rsid w:val="00C90AC8"/>
    <w:rsid w:val="00E559CB"/>
    <w:rsid w:val="018A3AB7"/>
    <w:rsid w:val="023D7C56"/>
    <w:rsid w:val="02EC316B"/>
    <w:rsid w:val="02EE5C92"/>
    <w:rsid w:val="0373171E"/>
    <w:rsid w:val="03D10F30"/>
    <w:rsid w:val="03D1534C"/>
    <w:rsid w:val="03E41468"/>
    <w:rsid w:val="041175C6"/>
    <w:rsid w:val="04D1736D"/>
    <w:rsid w:val="04D6687F"/>
    <w:rsid w:val="05EA59F4"/>
    <w:rsid w:val="05F64197"/>
    <w:rsid w:val="06EC048E"/>
    <w:rsid w:val="07331E0B"/>
    <w:rsid w:val="0A081A83"/>
    <w:rsid w:val="0A146CB2"/>
    <w:rsid w:val="0A27015B"/>
    <w:rsid w:val="0B867103"/>
    <w:rsid w:val="0C015B39"/>
    <w:rsid w:val="0C0E70CD"/>
    <w:rsid w:val="0C370F4A"/>
    <w:rsid w:val="0C3A227F"/>
    <w:rsid w:val="0CB40621"/>
    <w:rsid w:val="0CF77756"/>
    <w:rsid w:val="0D7771F3"/>
    <w:rsid w:val="0DA722D1"/>
    <w:rsid w:val="0EAD2BF9"/>
    <w:rsid w:val="0EEE1954"/>
    <w:rsid w:val="0F443B8E"/>
    <w:rsid w:val="0F6A6292"/>
    <w:rsid w:val="0FC376EC"/>
    <w:rsid w:val="0FFE6757"/>
    <w:rsid w:val="1038450C"/>
    <w:rsid w:val="109C7993"/>
    <w:rsid w:val="11361DC0"/>
    <w:rsid w:val="115A7068"/>
    <w:rsid w:val="11AA5F65"/>
    <w:rsid w:val="120930BA"/>
    <w:rsid w:val="131B750B"/>
    <w:rsid w:val="13565433"/>
    <w:rsid w:val="136C4E31"/>
    <w:rsid w:val="143924FE"/>
    <w:rsid w:val="153E1E76"/>
    <w:rsid w:val="15EE5FD1"/>
    <w:rsid w:val="17CD1C16"/>
    <w:rsid w:val="18100E6C"/>
    <w:rsid w:val="198F7ACB"/>
    <w:rsid w:val="19E75211"/>
    <w:rsid w:val="1A915156"/>
    <w:rsid w:val="1AB20E88"/>
    <w:rsid w:val="1C250273"/>
    <w:rsid w:val="1CF34931"/>
    <w:rsid w:val="1E16258F"/>
    <w:rsid w:val="20C95808"/>
    <w:rsid w:val="20EE50D7"/>
    <w:rsid w:val="21254E4D"/>
    <w:rsid w:val="21563AC5"/>
    <w:rsid w:val="22195AB6"/>
    <w:rsid w:val="255414A6"/>
    <w:rsid w:val="25C40AFC"/>
    <w:rsid w:val="25FD487F"/>
    <w:rsid w:val="26025181"/>
    <w:rsid w:val="2638728C"/>
    <w:rsid w:val="27306D81"/>
    <w:rsid w:val="279B6C4A"/>
    <w:rsid w:val="283E110F"/>
    <w:rsid w:val="28C976A4"/>
    <w:rsid w:val="2916166F"/>
    <w:rsid w:val="29233D8C"/>
    <w:rsid w:val="2A65449A"/>
    <w:rsid w:val="2AF5113A"/>
    <w:rsid w:val="2BA727BF"/>
    <w:rsid w:val="2C215CF7"/>
    <w:rsid w:val="2C723060"/>
    <w:rsid w:val="2D095047"/>
    <w:rsid w:val="2D1F12BC"/>
    <w:rsid w:val="2D271B5E"/>
    <w:rsid w:val="2D5F33CE"/>
    <w:rsid w:val="2E02330F"/>
    <w:rsid w:val="2E953036"/>
    <w:rsid w:val="2EBC05C2"/>
    <w:rsid w:val="2EE0630D"/>
    <w:rsid w:val="2EE82927"/>
    <w:rsid w:val="2F8F7953"/>
    <w:rsid w:val="2FCE35C6"/>
    <w:rsid w:val="2FDA06A4"/>
    <w:rsid w:val="3195090E"/>
    <w:rsid w:val="325A1783"/>
    <w:rsid w:val="32C4038E"/>
    <w:rsid w:val="32F9288C"/>
    <w:rsid w:val="330662B0"/>
    <w:rsid w:val="33B30E42"/>
    <w:rsid w:val="33D97E69"/>
    <w:rsid w:val="343B4219"/>
    <w:rsid w:val="34AF3DA0"/>
    <w:rsid w:val="365E6403"/>
    <w:rsid w:val="36767BF1"/>
    <w:rsid w:val="36EC1C61"/>
    <w:rsid w:val="37E159F7"/>
    <w:rsid w:val="38264283"/>
    <w:rsid w:val="385B6B7F"/>
    <w:rsid w:val="395E321B"/>
    <w:rsid w:val="39FA4695"/>
    <w:rsid w:val="3A2E7B1F"/>
    <w:rsid w:val="3A3C74E1"/>
    <w:rsid w:val="3B214DAC"/>
    <w:rsid w:val="3B533939"/>
    <w:rsid w:val="3B691AD2"/>
    <w:rsid w:val="3CD21CE7"/>
    <w:rsid w:val="3CD64F45"/>
    <w:rsid w:val="3CFA03A0"/>
    <w:rsid w:val="3D01695E"/>
    <w:rsid w:val="3D02645D"/>
    <w:rsid w:val="3D5A7043"/>
    <w:rsid w:val="3DB50FFF"/>
    <w:rsid w:val="3DBB4AF6"/>
    <w:rsid w:val="3E110C94"/>
    <w:rsid w:val="3EBE693D"/>
    <w:rsid w:val="3F28267B"/>
    <w:rsid w:val="3FCD5865"/>
    <w:rsid w:val="3FDA2F9E"/>
    <w:rsid w:val="402F27D9"/>
    <w:rsid w:val="40955117"/>
    <w:rsid w:val="40E67F12"/>
    <w:rsid w:val="40EF2A79"/>
    <w:rsid w:val="41042973"/>
    <w:rsid w:val="41617A27"/>
    <w:rsid w:val="41B31CF9"/>
    <w:rsid w:val="4218422B"/>
    <w:rsid w:val="42242044"/>
    <w:rsid w:val="427B20EB"/>
    <w:rsid w:val="430A3B9B"/>
    <w:rsid w:val="43821950"/>
    <w:rsid w:val="43D407CA"/>
    <w:rsid w:val="4436276D"/>
    <w:rsid w:val="451D1058"/>
    <w:rsid w:val="45A034C7"/>
    <w:rsid w:val="45BE24B0"/>
    <w:rsid w:val="45ED00D2"/>
    <w:rsid w:val="46B8390E"/>
    <w:rsid w:val="473E69DD"/>
    <w:rsid w:val="47D52A63"/>
    <w:rsid w:val="480B44F2"/>
    <w:rsid w:val="481B1EC8"/>
    <w:rsid w:val="48BB1493"/>
    <w:rsid w:val="49610438"/>
    <w:rsid w:val="498E47B9"/>
    <w:rsid w:val="4A8E485A"/>
    <w:rsid w:val="4B802765"/>
    <w:rsid w:val="4BD859E7"/>
    <w:rsid w:val="4C5C4B7A"/>
    <w:rsid w:val="4D6A1FD1"/>
    <w:rsid w:val="4DD14002"/>
    <w:rsid w:val="4F517E50"/>
    <w:rsid w:val="4FC733C8"/>
    <w:rsid w:val="50FB61C1"/>
    <w:rsid w:val="51082E43"/>
    <w:rsid w:val="5113499D"/>
    <w:rsid w:val="519A426F"/>
    <w:rsid w:val="51FC39E3"/>
    <w:rsid w:val="526876A7"/>
    <w:rsid w:val="52A75BA8"/>
    <w:rsid w:val="555E1B24"/>
    <w:rsid w:val="55A21A11"/>
    <w:rsid w:val="560B0AE4"/>
    <w:rsid w:val="563B5670"/>
    <w:rsid w:val="56C41E5B"/>
    <w:rsid w:val="575E5E0B"/>
    <w:rsid w:val="58D84AE8"/>
    <w:rsid w:val="59A71CEC"/>
    <w:rsid w:val="59E53235"/>
    <w:rsid w:val="5A0E13B8"/>
    <w:rsid w:val="5AAF4DF5"/>
    <w:rsid w:val="5AEF2551"/>
    <w:rsid w:val="5B1C04B7"/>
    <w:rsid w:val="5CCC3817"/>
    <w:rsid w:val="5E6865F5"/>
    <w:rsid w:val="5EB127F1"/>
    <w:rsid w:val="5ED2032C"/>
    <w:rsid w:val="5FED1C0E"/>
    <w:rsid w:val="611F660B"/>
    <w:rsid w:val="618532D1"/>
    <w:rsid w:val="61C10036"/>
    <w:rsid w:val="62BD1A79"/>
    <w:rsid w:val="63980E16"/>
    <w:rsid w:val="63BA0A55"/>
    <w:rsid w:val="64024B66"/>
    <w:rsid w:val="64B35027"/>
    <w:rsid w:val="654E3963"/>
    <w:rsid w:val="65E81D63"/>
    <w:rsid w:val="66127FAC"/>
    <w:rsid w:val="66372649"/>
    <w:rsid w:val="665E7BD6"/>
    <w:rsid w:val="6678677C"/>
    <w:rsid w:val="66C01DA1"/>
    <w:rsid w:val="66DF0602"/>
    <w:rsid w:val="67226E55"/>
    <w:rsid w:val="687C2595"/>
    <w:rsid w:val="697B284D"/>
    <w:rsid w:val="699935AF"/>
    <w:rsid w:val="69A96778"/>
    <w:rsid w:val="69BC305A"/>
    <w:rsid w:val="69CC12FA"/>
    <w:rsid w:val="6A15504C"/>
    <w:rsid w:val="6A1A44A6"/>
    <w:rsid w:val="6AC124E1"/>
    <w:rsid w:val="6B5D0FDE"/>
    <w:rsid w:val="6B5F7556"/>
    <w:rsid w:val="6B79100E"/>
    <w:rsid w:val="6C2B055A"/>
    <w:rsid w:val="6C382C77"/>
    <w:rsid w:val="6C6A0C99"/>
    <w:rsid w:val="6CAA47AC"/>
    <w:rsid w:val="6DC26C9C"/>
    <w:rsid w:val="6F1572A0"/>
    <w:rsid w:val="70054610"/>
    <w:rsid w:val="71504E07"/>
    <w:rsid w:val="71746FBE"/>
    <w:rsid w:val="717604C9"/>
    <w:rsid w:val="71EF202A"/>
    <w:rsid w:val="72CB6A27"/>
    <w:rsid w:val="733A3320"/>
    <w:rsid w:val="73A55074"/>
    <w:rsid w:val="73BC418E"/>
    <w:rsid w:val="73FE5E13"/>
    <w:rsid w:val="74CB28DA"/>
    <w:rsid w:val="74FC0C2B"/>
    <w:rsid w:val="75CF1D8A"/>
    <w:rsid w:val="75F33DF9"/>
    <w:rsid w:val="77F95315"/>
    <w:rsid w:val="781A4E5C"/>
    <w:rsid w:val="79402441"/>
    <w:rsid w:val="798706BD"/>
    <w:rsid w:val="7A0B3779"/>
    <w:rsid w:val="7A7E3F4B"/>
    <w:rsid w:val="7AD73D87"/>
    <w:rsid w:val="7B486307"/>
    <w:rsid w:val="7BB44B13"/>
    <w:rsid w:val="7C141DAB"/>
    <w:rsid w:val="7D586EF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3">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2">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customStyle="1" w:styleId="2">
    <w:name w:val="A样式 小四 行距: 1.5 倍行距 首行缩进:  2 字符"/>
    <w:basedOn w:val="1"/>
    <w:autoRedefine/>
    <w:qFormat/>
    <w:uiPriority w:val="0"/>
    <w:pPr>
      <w:ind w:firstLine="480"/>
      <w:jc w:val="both"/>
    </w:pPr>
    <w:rPr>
      <w:rFonts w:ascii="Calibri" w:hAnsi="Calibri" w:eastAsia="华文仿宋" w:cs="宋体"/>
      <w:sz w:val="30"/>
      <w:szCs w:val="22"/>
    </w:rPr>
  </w:style>
  <w:style w:type="paragraph" w:styleId="4">
    <w:name w:val="Body Text"/>
    <w:basedOn w:val="1"/>
    <w:next w:val="5"/>
    <w:autoRedefine/>
    <w:qFormat/>
    <w:uiPriority w:val="0"/>
    <w:pPr>
      <w:jc w:val="center"/>
    </w:pPr>
    <w:rPr>
      <w:sz w:val="24"/>
    </w:rPr>
  </w:style>
  <w:style w:type="paragraph" w:customStyle="1" w:styleId="5">
    <w:name w:val="Default"/>
    <w:autoRedefine/>
    <w:qFormat/>
    <w:uiPriority w:val="0"/>
    <w:pPr>
      <w:widowControl w:val="0"/>
      <w:autoSpaceDE w:val="0"/>
      <w:autoSpaceDN w:val="0"/>
      <w:adjustRightInd w:val="0"/>
    </w:pPr>
    <w:rPr>
      <w:rFonts w:hint="eastAsia" w:ascii="文星仿宋..嬀." w:hAnsi="文星仿宋..嬀." w:eastAsia="文星仿宋..嬀." w:cs="Times New Roman"/>
      <w:color w:val="000000"/>
      <w:sz w:val="24"/>
      <w:szCs w:val="22"/>
      <w:lang w:val="en-US" w:eastAsia="zh-CN" w:bidi="ar-SA"/>
    </w:r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autoRedefine/>
    <w:qFormat/>
    <w:uiPriority w:val="0"/>
  </w:style>
  <w:style w:type="paragraph" w:styleId="9">
    <w:name w:val="toc 2"/>
    <w:basedOn w:val="1"/>
    <w:next w:val="1"/>
    <w:autoRedefine/>
    <w:qFormat/>
    <w:uiPriority w:val="0"/>
    <w:pPr>
      <w:ind w:left="420" w:leftChars="200"/>
    </w:pPr>
  </w:style>
  <w:style w:type="paragraph" w:styleId="10">
    <w:name w:val="Body Text First Indent"/>
    <w:basedOn w:val="4"/>
    <w:autoRedefine/>
    <w:qFormat/>
    <w:uiPriority w:val="0"/>
    <w:pPr>
      <w:ind w:firstLine="482"/>
    </w:pPr>
    <w:rPr>
      <w:rFonts w:ascii="Times New Roman" w:hAnsi="Times New Roman" w:eastAsia="Arial Unicode MS" w:cs="Times New Roman"/>
      <w:sz w:val="24"/>
      <w:szCs w:val="20"/>
    </w:rPr>
  </w:style>
  <w:style w:type="table" w:customStyle="1" w:styleId="13">
    <w:name w:val="Table Normal"/>
    <w:autoRedefine/>
    <w:semiHidden/>
    <w:unhideWhenUsed/>
    <w:qFormat/>
    <w:uiPriority w:val="0"/>
    <w:tblPr>
      <w:tblCellMar>
        <w:top w:w="0" w:type="dxa"/>
        <w:left w:w="0" w:type="dxa"/>
        <w:bottom w:w="0" w:type="dxa"/>
        <w:right w:w="0" w:type="dxa"/>
      </w:tblCellMar>
    </w:tblPr>
  </w:style>
  <w:style w:type="paragraph" w:customStyle="1" w:styleId="14">
    <w:name w:val="WPSOffice手动目录 1"/>
    <w:autoRedefine/>
    <w:qFormat/>
    <w:uiPriority w:val="0"/>
    <w:pPr>
      <w:ind w:leftChars="0"/>
    </w:pPr>
    <w:rPr>
      <w:rFonts w:ascii="Times New Roman" w:hAnsi="Times New Roman" w:eastAsia="宋体" w:cs="Times New Roman"/>
      <w:sz w:val="20"/>
      <w:szCs w:val="20"/>
    </w:rPr>
  </w:style>
  <w:style w:type="paragraph" w:customStyle="1" w:styleId="15">
    <w:name w:val="WPSOffice手动目录 2"/>
    <w:autoRedefine/>
    <w:qFormat/>
    <w:uiPriority w:val="0"/>
    <w:pPr>
      <w:ind w:leftChars="200"/>
    </w:pPr>
    <w:rPr>
      <w:rFonts w:ascii="Times New Roman" w:hAnsi="Times New Roman" w:eastAsia="宋体" w:cs="Times New Roman"/>
      <w:sz w:val="20"/>
      <w:szCs w:val="20"/>
    </w:rPr>
  </w:style>
  <w:style w:type="paragraph" w:customStyle="1" w:styleId="16">
    <w:name w:val="WPSOffice手动目录 3"/>
    <w:qFormat/>
    <w:uiPriority w:val="0"/>
    <w:pPr>
      <w:ind w:leftChars="400"/>
    </w:pPr>
    <w:rPr>
      <w:rFonts w:ascii="Times New Roman" w:hAnsi="Times New Roman" w:eastAsia="宋体" w:cs="Times New Roman"/>
      <w:sz w:val="20"/>
      <w:szCs w:val="20"/>
    </w:rPr>
  </w:style>
  <w:style w:type="paragraph" w:customStyle="1" w:styleId="17">
    <w:name w:val="样式1"/>
    <w:basedOn w:val="1"/>
    <w:qFormat/>
    <w:uiPriority w:val="0"/>
    <w:pPr>
      <w:spacing w:line="500" w:lineRule="atLeast"/>
      <w:ind w:firstLine="200" w:firstLineChars="200"/>
    </w:pPr>
    <w:rPr>
      <w:sz w:val="28"/>
      <w:szCs w:val="24"/>
    </w:rPr>
  </w:style>
  <w:style w:type="character" w:customStyle="1" w:styleId="18">
    <w:name w:val="font11"/>
    <w:basedOn w:val="1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jpeg"/><Relationship Id="rId31" Type="http://schemas.openxmlformats.org/officeDocument/2006/relationships/image" Target="media/image8.jpe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GIF"/><Relationship Id="rId23" Type="http://schemas.openxmlformats.org/officeDocument/2006/relationships/theme" Target="theme/theme1.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78</Pages>
  <Words>28477</Words>
  <Characters>46931</Characters>
  <TotalTime>0</TotalTime>
  <ScaleCrop>false</ScaleCrop>
  <LinksUpToDate>false</LinksUpToDate>
  <CharactersWithSpaces>47281</CharactersWithSpaces>
  <Application>WPS Office_12.1.0.16388_F1E327BC-269C-435d-A152-05C5408002CA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2022-08-24T09:21:00Z</dcterms:created>
  <dc:creator>Kingsoft-PDF</dc:creator>
  <cp:keywords>63057cf7435cc200155ced07</cp:keywords>
  <cp:lastModifiedBy>覆水难收</cp:lastModifiedBy>
  <dcterms:modified xsi:type="dcterms:W3CDTF">2024-03-11T08:21:19Z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2022-08-24T09:22:18Z</vt:filetime>
  </property>
  <property fmtid="{D5CDD505-2E9C-101B-9397-08002B2CF9AE}" pid="4" name="KSOProductBuildVer">
    <vt:lpwstr>2052-12.1.0.16388</vt:lpwstr>
  </property>
  <property fmtid="{D5CDD505-2E9C-101B-9397-08002B2CF9AE}" pid="5" name="ICV">
    <vt:lpwstr>580CF0C69F3D4E4F8E3537A937A2C66B_13</vt:lpwstr>
  </property>
</Properties>
</file>