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146" w:line="360" w:lineRule="auto"/>
        <w:jc w:val="cente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9"/>
          <w:sz w:val="52"/>
          <w:szCs w:val="52"/>
          <w:highlight w:val="none"/>
          <w:lang w:val="en-US" w:eastAsia="zh-CN"/>
          <w14:textOutline w14:w="8166" w14:cap="flat" w14:cmpd="sng">
            <w14:solidFill>
              <w14:srgbClr w14:val="000000"/>
            </w14:solidFill>
            <w14:prstDash w14:val="solid"/>
            <w14:miter w14:val="0"/>
          </w14:textOutline>
        </w:rPr>
        <w:t>磴口县</w:t>
      </w:r>
    </w:p>
    <w:p>
      <w:pPr>
        <w:spacing w:before="146" w:line="360" w:lineRule="auto"/>
        <w:jc w:val="cente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pPr>
      <w:r>
        <w:rPr>
          <w:rFonts w:hint="eastAsia" w:ascii="华文行楷" w:hAnsi="华文行楷" w:eastAsia="华文行楷" w:cs="华文行楷"/>
          <w:color w:val="auto"/>
          <w:spacing w:val="10"/>
          <w:sz w:val="52"/>
          <w:szCs w:val="52"/>
          <w:highlight w:val="none"/>
          <w:lang w:eastAsia="zh-CN"/>
          <w14:textOutline w14:w="8166" w14:cap="flat" w14:cmpd="sng">
            <w14:solidFill>
              <w14:srgbClr w14:val="000000"/>
            </w14:solidFill>
            <w14:prstDash w14:val="solid"/>
            <w14:miter w14:val="0"/>
          </w14:textOutline>
        </w:rPr>
        <w:t>七分场海子</w:t>
      </w: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岸线保护</w:t>
      </w:r>
    </w:p>
    <w:p>
      <w:pPr>
        <w:spacing w:before="146" w:line="360" w:lineRule="auto"/>
        <w:jc w:val="center"/>
        <w:rPr>
          <w:rFonts w:hint="eastAsia" w:ascii="华文行楷" w:hAnsi="华文行楷" w:eastAsia="华文行楷" w:cs="华文行楷"/>
          <w:color w:val="auto"/>
          <w:sz w:val="52"/>
          <w:szCs w:val="52"/>
          <w:highlight w:val="none"/>
        </w:rPr>
      </w:pPr>
      <w:r>
        <w:rPr>
          <w:rFonts w:hint="eastAsia" w:ascii="华文行楷" w:hAnsi="华文行楷" w:eastAsia="华文行楷" w:cs="华文行楷"/>
          <w:color w:val="auto"/>
          <w:spacing w:val="10"/>
          <w:sz w:val="52"/>
          <w:szCs w:val="52"/>
          <w:highlight w:val="none"/>
          <w14:textOutline w14:w="8166" w14:cap="flat" w14:cmpd="sng">
            <w14:solidFill>
              <w14:srgbClr w14:val="000000"/>
            </w14:solidFill>
            <w14:prstDash w14:val="solid"/>
            <w14:miter w14:val="0"/>
          </w14:textOutline>
        </w:rPr>
        <w:t>与利用规划</w:t>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r>
        <w:rPr>
          <w:rFonts w:hint="eastAsia"/>
          <w:color w:val="auto"/>
          <w:sz w:val="28"/>
          <w:szCs w:val="28"/>
          <w:lang w:val="en-US" w:eastAsia="zh-CN"/>
        </w:rPr>
        <w:drawing>
          <wp:anchor distT="0" distB="0" distL="114300" distR="114300" simplePos="0" relativeHeight="251675648" behindDoc="0" locked="0" layoutInCell="1" allowOverlap="1">
            <wp:simplePos x="0" y="0"/>
            <wp:positionH relativeFrom="column">
              <wp:posOffset>2039620</wp:posOffset>
            </wp:positionH>
            <wp:positionV relativeFrom="paragraph">
              <wp:posOffset>86360</wp:posOffset>
            </wp:positionV>
            <wp:extent cx="1608455" cy="1567180"/>
            <wp:effectExtent l="0" t="0" r="0" b="52070"/>
            <wp:wrapNone/>
            <wp:docPr id="14" name="图片 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1"/>
                    <pic:cNvPicPr>
                      <a:picLocks noChangeAspect="1"/>
                    </pic:cNvPicPr>
                  </pic:nvPicPr>
                  <pic:blipFill>
                    <a:blip r:embed="rId24"/>
                    <a:srcRect l="10503" t="13434" r="12621" b="15811"/>
                    <a:stretch>
                      <a:fillRect/>
                    </a:stretch>
                  </pic:blipFill>
                  <pic:spPr>
                    <a:xfrm rot="20520000">
                      <a:off x="0" y="0"/>
                      <a:ext cx="1608455" cy="1567180"/>
                    </a:xfrm>
                    <a:prstGeom prst="rect">
                      <a:avLst/>
                    </a:prstGeom>
                    <a:noFill/>
                    <a:ln>
                      <a:noFill/>
                    </a:ln>
                  </pic:spPr>
                </pic:pic>
              </a:graphicData>
            </a:graphic>
          </wp:anchor>
        </w:drawing>
      </w: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2"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line="243" w:lineRule="auto"/>
        <w:rPr>
          <w:rFonts w:ascii="Arial"/>
          <w:color w:val="auto"/>
          <w:sz w:val="21"/>
          <w:highlight w:val="none"/>
        </w:rPr>
      </w:pPr>
    </w:p>
    <w:p>
      <w:pPr>
        <w:spacing w:before="97" w:line="221" w:lineRule="auto"/>
        <w:ind w:left="92" w:leftChars="44" w:firstLine="6" w:firstLineChars="0"/>
        <w:jc w:val="center"/>
        <w:rPr>
          <w:rFonts w:hint="eastAsia" w:ascii="仿宋" w:hAnsi="仿宋" w:eastAsia="仿宋" w:cs="仿宋"/>
          <w:b/>
          <w:bCs/>
          <w:color w:val="auto"/>
          <w:sz w:val="32"/>
          <w:szCs w:val="32"/>
          <w:highlight w:val="none"/>
          <w:lang w:eastAsia="zh-CN"/>
        </w:rPr>
      </w:pPr>
      <w:r>
        <w:rPr>
          <w:rFonts w:hint="eastAsia" w:ascii="仿宋" w:hAnsi="仿宋" w:eastAsia="仿宋" w:cs="仿宋"/>
          <w:b/>
          <w:bCs/>
          <w:color w:val="auto"/>
          <w:spacing w:val="8"/>
          <w:sz w:val="32"/>
          <w:szCs w:val="32"/>
          <w:highlight w:val="none"/>
        </w:rPr>
        <w:t>巴彦淖尔市</w:t>
      </w:r>
      <w:r>
        <w:rPr>
          <w:rFonts w:hint="eastAsia" w:ascii="仿宋" w:hAnsi="仿宋" w:eastAsia="仿宋" w:cs="仿宋"/>
          <w:b/>
          <w:bCs/>
          <w:color w:val="auto"/>
          <w:spacing w:val="8"/>
          <w:sz w:val="32"/>
          <w:szCs w:val="32"/>
          <w:highlight w:val="none"/>
          <w:lang w:eastAsia="zh-CN"/>
        </w:rPr>
        <w:t>鑫宇水利水电勘察设计有限公司</w:t>
      </w:r>
    </w:p>
    <w:p>
      <w:pPr>
        <w:spacing w:line="331" w:lineRule="auto"/>
        <w:rPr>
          <w:rFonts w:hint="eastAsia" w:ascii="仿宋" w:hAnsi="仿宋" w:eastAsia="仿宋" w:cs="仿宋"/>
          <w:b/>
          <w:bCs/>
          <w:color w:val="auto"/>
          <w:sz w:val="32"/>
          <w:szCs w:val="32"/>
          <w:highlight w:val="none"/>
        </w:rPr>
      </w:pPr>
    </w:p>
    <w:p>
      <w:pPr>
        <w:spacing w:before="97" w:line="221" w:lineRule="auto"/>
        <w:ind w:left="80" w:leftChars="0" w:hanging="80" w:hangingChars="27"/>
        <w:jc w:val="center"/>
        <w:rPr>
          <w:rFonts w:hint="eastAsia" w:ascii="仿宋" w:hAnsi="仿宋" w:eastAsia="仿宋" w:cs="仿宋"/>
          <w:b/>
          <w:bCs/>
          <w:color w:val="auto"/>
          <w:sz w:val="30"/>
          <w:szCs w:val="30"/>
          <w:highlight w:val="none"/>
        </w:rPr>
      </w:pPr>
      <w:r>
        <w:rPr>
          <w:rFonts w:hint="eastAsia" w:ascii="仿宋" w:hAnsi="仿宋" w:eastAsia="仿宋" w:cs="仿宋"/>
          <w:b/>
          <w:bCs/>
          <w:color w:val="auto"/>
          <w:spacing w:val="-13"/>
          <w:sz w:val="32"/>
          <w:szCs w:val="32"/>
          <w:highlight w:val="none"/>
        </w:rPr>
        <w:t>二0二</w:t>
      </w:r>
      <w:r>
        <w:rPr>
          <w:rFonts w:hint="eastAsia" w:ascii="仿宋" w:hAnsi="仿宋" w:eastAsia="仿宋" w:cs="仿宋"/>
          <w:b/>
          <w:bCs/>
          <w:color w:val="auto"/>
          <w:spacing w:val="-13"/>
          <w:sz w:val="32"/>
          <w:szCs w:val="32"/>
          <w:highlight w:val="none"/>
          <w:lang w:eastAsia="zh-CN"/>
        </w:rPr>
        <w:t>三</w:t>
      </w:r>
      <w:r>
        <w:rPr>
          <w:rFonts w:hint="eastAsia" w:ascii="仿宋" w:hAnsi="仿宋" w:eastAsia="仿宋" w:cs="仿宋"/>
          <w:b/>
          <w:bCs/>
          <w:color w:val="auto"/>
          <w:spacing w:val="-13"/>
          <w:sz w:val="32"/>
          <w:szCs w:val="32"/>
          <w:highlight w:val="none"/>
        </w:rPr>
        <w:t>年</w:t>
      </w:r>
      <w:r>
        <w:rPr>
          <w:rFonts w:hint="eastAsia" w:ascii="仿宋" w:hAnsi="仿宋" w:eastAsia="仿宋" w:cs="仿宋"/>
          <w:b/>
          <w:bCs/>
          <w:color w:val="auto"/>
          <w:spacing w:val="-13"/>
          <w:sz w:val="32"/>
          <w:szCs w:val="32"/>
          <w:highlight w:val="none"/>
          <w:lang w:val="en-US" w:eastAsia="zh-CN"/>
        </w:rPr>
        <w:t>九</w:t>
      </w:r>
      <w:r>
        <w:rPr>
          <w:rFonts w:hint="eastAsia" w:ascii="仿宋" w:hAnsi="仿宋" w:eastAsia="仿宋" w:cs="仿宋"/>
          <w:b/>
          <w:bCs/>
          <w:color w:val="auto"/>
          <w:spacing w:val="-13"/>
          <w:sz w:val="32"/>
          <w:szCs w:val="32"/>
          <w:highlight w:val="none"/>
        </w:rPr>
        <w:t>月</w:t>
      </w:r>
    </w:p>
    <w:p>
      <w:pPr>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rPr>
          <w:color w:val="auto"/>
          <w:highlight w:val="none"/>
        </w:rPr>
      </w:pPr>
    </w:p>
    <w:p>
      <w:pPr>
        <w:pStyle w:val="2"/>
        <w:ind w:left="0" w:leftChars="0" w:firstLine="0" w:firstLineChars="0"/>
      </w:pPr>
      <w:r>
        <w:drawing>
          <wp:inline distT="0" distB="0" distL="114300" distR="114300">
            <wp:extent cx="5371465" cy="7814945"/>
            <wp:effectExtent l="0" t="0" r="635" b="14605"/>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25"/>
                    <a:stretch>
                      <a:fillRect/>
                    </a:stretch>
                  </pic:blipFill>
                  <pic:spPr>
                    <a:xfrm>
                      <a:off x="0" y="0"/>
                      <a:ext cx="5371465" cy="7814945"/>
                    </a:xfrm>
                    <a:prstGeom prst="rect">
                      <a:avLst/>
                    </a:prstGeom>
                    <a:noFill/>
                    <a:ln>
                      <a:noFill/>
                    </a:ln>
                  </pic:spPr>
                </pic:pic>
              </a:graphicData>
            </a:graphic>
          </wp:inline>
        </w:drawing>
      </w:r>
    </w:p>
    <w:p>
      <w:pPr>
        <w:pStyle w:val="2"/>
        <w:ind w:left="0" w:leftChars="0" w:firstLine="0" w:firstLineChars="0"/>
      </w:pPr>
    </w:p>
    <w:p>
      <w:pPr>
        <w:pStyle w:val="2"/>
        <w:ind w:left="0" w:leftChars="0" w:firstLine="0" w:firstLineChars="0"/>
      </w:pPr>
    </w:p>
    <w:p>
      <w:pPr>
        <w:pStyle w:val="10"/>
        <w:ind w:left="0" w:leftChars="0" w:firstLine="0" w:firstLineChars="0"/>
      </w:pPr>
      <w:r>
        <w:drawing>
          <wp:inline distT="0" distB="0" distL="114300" distR="114300">
            <wp:extent cx="5675630" cy="7448550"/>
            <wp:effectExtent l="0" t="0" r="1270" b="0"/>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26"/>
                    <a:stretch>
                      <a:fillRect/>
                    </a:stretch>
                  </pic:blipFill>
                  <pic:spPr>
                    <a:xfrm>
                      <a:off x="0" y="0"/>
                      <a:ext cx="5675630" cy="7448550"/>
                    </a:xfrm>
                    <a:prstGeom prst="rect">
                      <a:avLst/>
                    </a:prstGeom>
                    <a:noFill/>
                    <a:ln>
                      <a:noFill/>
                    </a:ln>
                  </pic:spPr>
                </pic:pic>
              </a:graphicData>
            </a:graphic>
          </wp:inline>
        </w:drawing>
      </w:r>
    </w:p>
    <w:p>
      <w:pPr>
        <w:pStyle w:val="10"/>
        <w:ind w:left="0" w:leftChars="0" w:firstLine="0" w:firstLineChars="0"/>
      </w:pPr>
      <w:r>
        <w:drawing>
          <wp:inline distT="0" distB="0" distL="114300" distR="114300">
            <wp:extent cx="5371465" cy="7415530"/>
            <wp:effectExtent l="0" t="0" r="635" b="1397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tretch>
                      <a:fillRect/>
                    </a:stretch>
                  </pic:blipFill>
                  <pic:spPr>
                    <a:xfrm>
                      <a:off x="0" y="0"/>
                      <a:ext cx="5371465" cy="7415530"/>
                    </a:xfrm>
                    <a:prstGeom prst="rect">
                      <a:avLst/>
                    </a:prstGeom>
                    <a:noFill/>
                    <a:ln>
                      <a:noFill/>
                    </a:ln>
                  </pic:spPr>
                </pic:pic>
              </a:graphicData>
            </a:graphic>
          </wp:inline>
        </w:drawing>
      </w:r>
    </w:p>
    <w:p>
      <w:pPr>
        <w:pStyle w:val="10"/>
        <w:ind w:left="0" w:leftChars="0" w:firstLine="0" w:firstLineChars="0"/>
        <w:sectPr>
          <w:pgSz w:w="12090" w:h="16970"/>
          <w:pgMar w:top="1700" w:right="1813" w:bottom="0" w:left="1813" w:header="227" w:footer="850" w:gutter="0"/>
          <w:pgNumType w:fmt="decimal"/>
          <w:cols w:space="720" w:num="1"/>
        </w:sectPr>
      </w:pPr>
    </w:p>
    <w:p>
      <w:pPr>
        <w:spacing w:line="480" w:lineRule="auto"/>
        <w:ind w:left="214" w:leftChars="95" w:hanging="15" w:hangingChars="5"/>
        <w:rPr>
          <w:rFonts w:hint="eastAsia"/>
          <w:b/>
          <w:bCs/>
          <w:color w:val="auto"/>
          <w:sz w:val="30"/>
          <w:szCs w:val="30"/>
          <w:highlight w:val="none"/>
          <w:lang w:val="en-US" w:eastAsia="zh-CN"/>
        </w:rPr>
      </w:pPr>
      <w:r>
        <w:rPr>
          <w:b/>
          <w:bCs/>
          <w:color w:val="auto"/>
          <w:sz w:val="30"/>
          <w:szCs w:val="30"/>
          <w:highlight w:val="none"/>
        </w:rPr>
        <w:t>工程名称</w:t>
      </w:r>
      <w:r>
        <w:rPr>
          <w:rFonts w:hint="eastAsia"/>
          <w:b/>
          <w:bCs/>
          <w:color w:val="auto"/>
          <w:sz w:val="30"/>
          <w:szCs w:val="30"/>
          <w:highlight w:val="none"/>
        </w:rPr>
        <w:t>：</w:t>
      </w:r>
      <w:r>
        <w:rPr>
          <w:rFonts w:hint="eastAsia"/>
          <w:b/>
          <w:bCs/>
          <w:color w:val="auto"/>
          <w:sz w:val="30"/>
          <w:szCs w:val="30"/>
          <w:highlight w:val="none"/>
          <w:lang w:val="en-US" w:eastAsia="zh-CN"/>
        </w:rPr>
        <w:t>磴口县七分场海子岸线保护与利用规划</w:t>
      </w:r>
    </w:p>
    <w:p>
      <w:pPr>
        <w:spacing w:line="480" w:lineRule="auto"/>
        <w:ind w:left="1416" w:leftChars="101" w:hanging="1204" w:hangingChars="401"/>
        <w:rPr>
          <w:b/>
          <w:bCs/>
          <w:color w:val="auto"/>
          <w:sz w:val="30"/>
          <w:szCs w:val="30"/>
          <w:highlight w:val="none"/>
        </w:rPr>
      </w:pPr>
      <w:r>
        <w:rPr>
          <w:b/>
          <w:bCs/>
          <w:color w:val="auto"/>
          <w:sz w:val="30"/>
          <w:szCs w:val="30"/>
          <w:highlight w:val="none"/>
        </w:rPr>
        <w:t>资质证书：水利行业</w:t>
      </w:r>
      <w:r>
        <w:rPr>
          <w:rFonts w:hint="eastAsia"/>
          <w:b/>
          <w:bCs/>
          <w:color w:val="auto"/>
          <w:sz w:val="30"/>
          <w:szCs w:val="30"/>
          <w:highlight w:val="none"/>
        </w:rPr>
        <w:t>丙</w:t>
      </w:r>
      <w:r>
        <w:rPr>
          <w:b/>
          <w:bCs/>
          <w:color w:val="auto"/>
          <w:sz w:val="30"/>
          <w:szCs w:val="30"/>
          <w:highlight w:val="none"/>
        </w:rPr>
        <w:t>级</w:t>
      </w:r>
    </w:p>
    <w:p>
      <w:pPr>
        <w:spacing w:line="480" w:lineRule="auto"/>
        <w:ind w:left="1416" w:leftChars="101" w:hanging="1204" w:hangingChars="401"/>
        <w:rPr>
          <w:b/>
          <w:bCs/>
          <w:color w:val="auto"/>
          <w:sz w:val="30"/>
          <w:szCs w:val="30"/>
          <w:highlight w:val="none"/>
        </w:rPr>
      </w:pPr>
      <w:r>
        <w:rPr>
          <w:b/>
          <w:bCs/>
          <w:color w:val="auto"/>
          <w:sz w:val="30"/>
          <w:szCs w:val="30"/>
          <w:highlight w:val="none"/>
        </w:rPr>
        <w:t>证书编号：</w:t>
      </w:r>
      <w:r>
        <w:rPr>
          <w:rFonts w:hint="eastAsia"/>
          <w:b/>
          <w:bCs/>
          <w:color w:val="auto"/>
          <w:sz w:val="30"/>
          <w:szCs w:val="30"/>
          <w:highlight w:val="none"/>
        </w:rPr>
        <w:t>A215005646</w:t>
      </w:r>
    </w:p>
    <w:p>
      <w:pPr>
        <w:spacing w:line="480" w:lineRule="auto"/>
        <w:ind w:left="1416" w:leftChars="101" w:hanging="1204" w:hangingChars="401"/>
        <w:rPr>
          <w:b/>
          <w:bCs/>
          <w:color w:val="auto"/>
          <w:sz w:val="30"/>
          <w:szCs w:val="30"/>
          <w:highlight w:val="none"/>
        </w:rPr>
      </w:pPr>
      <w:r>
        <w:rPr>
          <w:b/>
          <w:bCs/>
          <w:color w:val="auto"/>
          <w:sz w:val="30"/>
          <w:szCs w:val="30"/>
          <w:highlight w:val="none"/>
        </w:rPr>
        <w:t>完成时间：20</w:t>
      </w:r>
      <w:r>
        <w:rPr>
          <w:rFonts w:hint="eastAsia"/>
          <w:b/>
          <w:bCs/>
          <w:color w:val="auto"/>
          <w:sz w:val="30"/>
          <w:szCs w:val="30"/>
          <w:highlight w:val="none"/>
        </w:rPr>
        <w:t>2</w:t>
      </w:r>
      <w:r>
        <w:rPr>
          <w:rFonts w:hint="eastAsia" w:eastAsia="宋体"/>
          <w:b/>
          <w:bCs/>
          <w:color w:val="auto"/>
          <w:sz w:val="30"/>
          <w:szCs w:val="30"/>
          <w:highlight w:val="none"/>
          <w:lang w:val="en-US" w:eastAsia="zh-CN"/>
        </w:rPr>
        <w:t>3</w:t>
      </w:r>
      <w:r>
        <w:rPr>
          <w:b/>
          <w:bCs/>
          <w:color w:val="auto"/>
          <w:sz w:val="30"/>
          <w:szCs w:val="30"/>
          <w:highlight w:val="none"/>
        </w:rPr>
        <w:t>年</w:t>
      </w:r>
      <w:r>
        <w:rPr>
          <w:rFonts w:hint="eastAsia" w:eastAsia="宋体"/>
          <w:b/>
          <w:bCs/>
          <w:color w:val="auto"/>
          <w:sz w:val="30"/>
          <w:szCs w:val="30"/>
          <w:highlight w:val="none"/>
          <w:lang w:val="en-US" w:eastAsia="zh-CN"/>
        </w:rPr>
        <w:t>9</w:t>
      </w:r>
      <w:r>
        <w:rPr>
          <w:b/>
          <w:bCs/>
          <w:color w:val="auto"/>
          <w:sz w:val="30"/>
          <w:szCs w:val="30"/>
          <w:highlight w:val="none"/>
        </w:rPr>
        <w:t>月</w:t>
      </w:r>
    </w:p>
    <w:p>
      <w:pPr>
        <w:ind w:firstLine="562"/>
        <w:rPr>
          <w:b/>
          <w:bCs/>
          <w:color w:val="auto"/>
          <w:szCs w:val="28"/>
          <w:highlight w:val="none"/>
        </w:rPr>
      </w:pPr>
    </w:p>
    <w:tbl>
      <w:tblPr>
        <w:tblStyle w:val="11"/>
        <w:tblW w:w="0" w:type="auto"/>
        <w:jc w:val="center"/>
        <w:tblLayout w:type="fixed"/>
        <w:tblCellMar>
          <w:top w:w="0" w:type="dxa"/>
          <w:left w:w="108" w:type="dxa"/>
          <w:bottom w:w="0" w:type="dxa"/>
          <w:right w:w="108" w:type="dxa"/>
        </w:tblCellMar>
      </w:tblPr>
      <w:tblGrid>
        <w:gridCol w:w="2268"/>
        <w:gridCol w:w="1276"/>
        <w:gridCol w:w="1276"/>
        <w:gridCol w:w="922"/>
        <w:gridCol w:w="937"/>
        <w:gridCol w:w="1803"/>
      </w:tblGrid>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b/>
                <w:color w:val="auto"/>
                <w:sz w:val="30"/>
                <w:szCs w:val="30"/>
                <w:highlight w:val="none"/>
              </w:rPr>
            </w:pPr>
            <w:r>
              <w:rPr>
                <w:rFonts w:hint="eastAsia"/>
                <w:b/>
                <w:color w:val="auto"/>
                <w:sz w:val="30"/>
                <w:szCs w:val="30"/>
                <w:highlight w:val="none"/>
              </w:rPr>
              <w:t>批准：</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审定：</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rFonts w:hint="eastAsia" w:ascii="宋体" w:hAnsi="宋体" w:cs="宋体"/>
                <w:color w:val="auto"/>
                <w:sz w:val="30"/>
                <w:szCs w:val="30"/>
                <w:highlight w:val="none"/>
              </w:rPr>
              <w:drawing>
                <wp:inline distT="0" distB="0" distL="114300" distR="114300">
                  <wp:extent cx="734060" cy="314325"/>
                  <wp:effectExtent l="0" t="0" r="8890" b="952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8"/>
                          <a:stretch>
                            <a:fillRect/>
                          </a:stretch>
                        </pic:blipFill>
                        <pic:spPr>
                          <a:xfrm>
                            <a:off x="0" y="0"/>
                            <a:ext cx="734060" cy="3143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审查：</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729615" cy="436245"/>
                  <wp:effectExtent l="0" t="0" r="13335" b="190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9"/>
                          <a:stretch>
                            <a:fillRect/>
                          </a:stretch>
                        </pic:blipFill>
                        <pic:spPr>
                          <a:xfrm>
                            <a:off x="0" y="0"/>
                            <a:ext cx="729615" cy="43624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rFonts w:hint="eastAsia" w:eastAsia="宋体"/>
                <w:color w:val="auto"/>
                <w:highlight w:val="none"/>
                <w:lang w:eastAsia="zh-CN"/>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color w:val="auto"/>
                <w:sz w:val="30"/>
                <w:szCs w:val="30"/>
                <w:highlight w:val="none"/>
              </w:rPr>
            </w:pPr>
            <w:r>
              <w:rPr>
                <w:rFonts w:hint="eastAsia"/>
                <w:b/>
                <w:color w:val="auto"/>
                <w:sz w:val="30"/>
                <w:szCs w:val="30"/>
                <w:highlight w:val="none"/>
              </w:rPr>
              <w:t>项目负责人：</w:t>
            </w:r>
          </w:p>
        </w:tc>
        <w:tc>
          <w:tcPr>
            <w:tcW w:w="1276" w:type="dxa"/>
            <w:vAlign w:val="center"/>
          </w:tcPr>
          <w:p>
            <w:pPr>
              <w:spacing w:line="240" w:lineRule="auto"/>
              <w:ind w:firstLine="0" w:firstLineChars="0"/>
              <w:jc w:val="both"/>
              <w:rPr>
                <w:rFonts w:hint="eastAsia" w:eastAsia="宋体"/>
                <w:color w:val="auto"/>
                <w:sz w:val="30"/>
                <w:szCs w:val="30"/>
                <w:highlight w:val="none"/>
                <w:lang w:eastAsia="zh-CN"/>
              </w:rPr>
            </w:pPr>
            <w:r>
              <w:rPr>
                <w:color w:val="auto"/>
                <w:highlight w:val="none"/>
              </w:rPr>
              <w:drawing>
                <wp:inline distT="0" distB="0" distL="114300" distR="114300">
                  <wp:extent cx="637540" cy="466725"/>
                  <wp:effectExtent l="0" t="0" r="10160"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0"/>
                          <a:stretch>
                            <a:fillRect/>
                          </a:stretch>
                        </pic:blipFill>
                        <pic:spPr>
                          <a:xfrm>
                            <a:off x="0" y="0"/>
                            <a:ext cx="637540" cy="466725"/>
                          </a:xfrm>
                          <a:prstGeom prst="rect">
                            <a:avLst/>
                          </a:prstGeom>
                          <a:noFill/>
                          <a:ln>
                            <a:noFill/>
                          </a:ln>
                        </pic:spPr>
                      </pic:pic>
                    </a:graphicData>
                  </a:graphic>
                </wp:inline>
              </w:drawing>
            </w:r>
          </w:p>
        </w:tc>
        <w:tc>
          <w:tcPr>
            <w:tcW w:w="1276" w:type="dxa"/>
            <w:vAlign w:val="center"/>
          </w:tcPr>
          <w:p>
            <w:pPr>
              <w:spacing w:line="240" w:lineRule="auto"/>
              <w:ind w:firstLine="0" w:firstLineChars="0"/>
              <w:jc w:val="center"/>
              <w:rPr>
                <w:color w:val="auto"/>
                <w:highlight w:val="none"/>
              </w:rPr>
            </w:pPr>
          </w:p>
        </w:tc>
        <w:tc>
          <w:tcPr>
            <w:tcW w:w="922" w:type="dxa"/>
            <w:vAlign w:val="center"/>
          </w:tcPr>
          <w:p>
            <w:pPr>
              <w:spacing w:line="240" w:lineRule="auto"/>
              <w:ind w:firstLine="0" w:firstLineChars="0"/>
              <w:jc w:val="center"/>
              <w:rPr>
                <w:color w:val="auto"/>
                <w:highlight w:val="none"/>
              </w:rPr>
            </w:pPr>
          </w:p>
        </w:tc>
        <w:tc>
          <w:tcPr>
            <w:tcW w:w="937" w:type="dxa"/>
            <w:vAlign w:val="center"/>
          </w:tcPr>
          <w:p>
            <w:pPr>
              <w:spacing w:line="240" w:lineRule="auto"/>
              <w:ind w:firstLine="0" w:firstLineChars="0"/>
              <w:jc w:val="center"/>
              <w:rPr>
                <w:color w:val="auto"/>
                <w:highlight w:val="none"/>
              </w:rPr>
            </w:pPr>
          </w:p>
        </w:tc>
        <w:tc>
          <w:tcPr>
            <w:tcW w:w="1803" w:type="dxa"/>
            <w:vAlign w:val="center"/>
          </w:tcPr>
          <w:p>
            <w:pPr>
              <w:spacing w:line="240" w:lineRule="auto"/>
              <w:ind w:firstLine="0" w:firstLineChars="0"/>
              <w:jc w:val="center"/>
              <w:rPr>
                <w:color w:val="auto"/>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rPr>
                <w:rFonts w:ascii="Arial" w:hAnsi="Arial" w:eastAsia="Arial" w:cs="Arial"/>
                <w:snapToGrid w:val="0"/>
                <w:color w:val="auto"/>
                <w:kern w:val="0"/>
                <w:sz w:val="30"/>
                <w:szCs w:val="30"/>
                <w:highlight w:val="none"/>
              </w:rPr>
            </w:pPr>
            <w:r>
              <w:rPr>
                <w:rFonts w:hint="eastAsia"/>
                <w:b/>
                <w:color w:val="auto"/>
                <w:sz w:val="30"/>
                <w:szCs w:val="30"/>
                <w:highlight w:val="none"/>
              </w:rPr>
              <w:t>编写：</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eastAsia="zh-CN"/>
              </w:rPr>
            </w:pPr>
            <w:r>
              <w:rPr>
                <w:rFonts w:hint="eastAsia"/>
                <w:color w:val="auto"/>
                <w:sz w:val="30"/>
                <w:szCs w:val="30"/>
                <w:highlight w:val="none"/>
                <w:lang w:eastAsia="zh-CN"/>
              </w:rPr>
              <w:t>康鑫</w:t>
            </w:r>
          </w:p>
        </w:tc>
        <w:tc>
          <w:tcPr>
            <w:tcW w:w="1276" w:type="dxa"/>
            <w:vAlign w:val="center"/>
          </w:tcPr>
          <w:p>
            <w:pPr>
              <w:spacing w:line="240" w:lineRule="auto"/>
              <w:ind w:firstLine="0" w:firstLineChars="0"/>
              <w:jc w:val="both"/>
              <w:rPr>
                <w:rFonts w:hint="eastAsia" w:ascii="Arial" w:hAnsi="Arial" w:eastAsia="宋体" w:cs="Arial"/>
                <w:snapToGrid w:val="0"/>
                <w:color w:val="auto"/>
                <w:kern w:val="0"/>
                <w:sz w:val="30"/>
                <w:szCs w:val="30"/>
                <w:highlight w:val="none"/>
                <w:lang w:val="en-US" w:eastAsia="zh-CN"/>
              </w:rPr>
            </w:pPr>
            <w:r>
              <w:rPr>
                <w:rFonts w:hint="eastAsia" w:eastAsia="宋体"/>
                <w:color w:val="auto"/>
                <w:sz w:val="30"/>
                <w:szCs w:val="30"/>
                <w:highlight w:val="none"/>
                <w:lang w:val="en-US" w:eastAsia="zh-CN"/>
              </w:rPr>
              <w:t>孙爱民</w:t>
            </w:r>
          </w:p>
        </w:tc>
        <w:tc>
          <w:tcPr>
            <w:tcW w:w="922" w:type="dxa"/>
            <w:vAlign w:val="center"/>
          </w:tcPr>
          <w:p>
            <w:pPr>
              <w:spacing w:line="240" w:lineRule="auto"/>
              <w:ind w:firstLine="0" w:firstLineChars="0"/>
              <w:jc w:val="both"/>
              <w:rPr>
                <w:rFonts w:ascii="Arial" w:hAnsi="Arial" w:eastAsia="Arial" w:cs="Arial"/>
                <w:snapToGrid w:val="0"/>
                <w:color w:val="auto"/>
                <w:kern w:val="0"/>
                <w:sz w:val="30"/>
                <w:szCs w:val="30"/>
                <w:highlight w:val="none"/>
              </w:rPr>
            </w:pPr>
            <w:r>
              <w:rPr>
                <w:rFonts w:hint="eastAsia"/>
                <w:color w:val="auto"/>
                <w:sz w:val="30"/>
                <w:szCs w:val="30"/>
                <w:highlight w:val="none"/>
              </w:rPr>
              <w:t>彭阳</w:t>
            </w:r>
          </w:p>
        </w:tc>
        <w:tc>
          <w:tcPr>
            <w:tcW w:w="937" w:type="dxa"/>
            <w:vAlign w:val="center"/>
          </w:tcPr>
          <w:p>
            <w:pPr>
              <w:spacing w:line="240" w:lineRule="auto"/>
              <w:ind w:firstLine="0" w:firstLineChars="0"/>
              <w:jc w:val="left"/>
              <w:rPr>
                <w:b w:val="0"/>
                <w:bCs/>
                <w:color w:val="auto"/>
                <w:sz w:val="30"/>
                <w:szCs w:val="30"/>
                <w:highlight w:val="none"/>
              </w:rPr>
            </w:pPr>
            <w:r>
              <w:rPr>
                <w:rFonts w:hint="eastAsia"/>
                <w:b w:val="0"/>
                <w:bCs/>
                <w:color w:val="auto"/>
                <w:sz w:val="30"/>
                <w:szCs w:val="30"/>
                <w:highlight w:val="none"/>
              </w:rPr>
              <w:t>郭芳</w:t>
            </w:r>
          </w:p>
        </w:tc>
        <w:tc>
          <w:tcPr>
            <w:tcW w:w="1803" w:type="dxa"/>
            <w:vAlign w:val="center"/>
          </w:tcPr>
          <w:p>
            <w:pPr>
              <w:spacing w:line="240" w:lineRule="auto"/>
              <w:ind w:firstLine="0" w:firstLineChars="0"/>
              <w:rPr>
                <w:b w:val="0"/>
                <w:bCs/>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rPr>
                <w:b/>
                <w:color w:val="auto"/>
                <w:sz w:val="30"/>
                <w:szCs w:val="30"/>
                <w:highlight w:val="none"/>
              </w:rPr>
            </w:pPr>
          </w:p>
        </w:tc>
        <w:tc>
          <w:tcPr>
            <w:tcW w:w="937" w:type="dxa"/>
            <w:vAlign w:val="center"/>
          </w:tcPr>
          <w:p>
            <w:pPr>
              <w:spacing w:line="240" w:lineRule="auto"/>
              <w:ind w:firstLine="0" w:firstLineChars="0"/>
              <w:jc w:val="center"/>
              <w:rPr>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r>
        <w:tblPrEx>
          <w:tblCellMar>
            <w:top w:w="0" w:type="dxa"/>
            <w:left w:w="108" w:type="dxa"/>
            <w:bottom w:w="0" w:type="dxa"/>
            <w:right w:w="108" w:type="dxa"/>
          </w:tblCellMar>
        </w:tblPrEx>
        <w:trPr>
          <w:trHeight w:val="851" w:hRule="exact"/>
          <w:jc w:val="center"/>
        </w:trPr>
        <w:tc>
          <w:tcPr>
            <w:tcW w:w="2268" w:type="dxa"/>
            <w:vAlign w:val="center"/>
          </w:tcPr>
          <w:p>
            <w:pPr>
              <w:spacing w:line="240" w:lineRule="auto"/>
              <w:ind w:firstLine="0" w:firstLineChars="0"/>
              <w:jc w:val="center"/>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p>
            <w:pPr>
              <w:ind w:firstLine="560"/>
              <w:rPr>
                <w:color w:val="auto"/>
                <w:highlight w:val="none"/>
              </w:rPr>
            </w:pPr>
          </w:p>
        </w:tc>
        <w:tc>
          <w:tcPr>
            <w:tcW w:w="1276" w:type="dxa"/>
            <w:vAlign w:val="center"/>
          </w:tcPr>
          <w:p>
            <w:pPr>
              <w:spacing w:line="240" w:lineRule="auto"/>
              <w:ind w:firstLine="0" w:firstLineChars="0"/>
              <w:rPr>
                <w:b/>
                <w:color w:val="auto"/>
                <w:sz w:val="30"/>
                <w:szCs w:val="30"/>
                <w:highlight w:val="none"/>
              </w:rPr>
            </w:pPr>
          </w:p>
        </w:tc>
        <w:tc>
          <w:tcPr>
            <w:tcW w:w="1276" w:type="dxa"/>
            <w:vAlign w:val="center"/>
          </w:tcPr>
          <w:p>
            <w:pPr>
              <w:spacing w:line="240" w:lineRule="auto"/>
              <w:ind w:firstLine="0" w:firstLineChars="0"/>
              <w:rPr>
                <w:b/>
                <w:color w:val="auto"/>
                <w:sz w:val="30"/>
                <w:szCs w:val="30"/>
                <w:highlight w:val="none"/>
              </w:rPr>
            </w:pPr>
          </w:p>
        </w:tc>
        <w:tc>
          <w:tcPr>
            <w:tcW w:w="922" w:type="dxa"/>
            <w:vAlign w:val="center"/>
          </w:tcPr>
          <w:p>
            <w:pPr>
              <w:spacing w:line="240" w:lineRule="auto"/>
              <w:ind w:firstLine="0" w:firstLineChars="0"/>
              <w:jc w:val="center"/>
              <w:rPr>
                <w:b/>
                <w:color w:val="auto"/>
                <w:sz w:val="30"/>
                <w:szCs w:val="30"/>
                <w:highlight w:val="none"/>
              </w:rPr>
            </w:pPr>
          </w:p>
        </w:tc>
        <w:tc>
          <w:tcPr>
            <w:tcW w:w="937" w:type="dxa"/>
            <w:vAlign w:val="center"/>
          </w:tcPr>
          <w:p>
            <w:pPr>
              <w:spacing w:line="240" w:lineRule="auto"/>
              <w:ind w:firstLine="0" w:firstLineChars="0"/>
              <w:jc w:val="center"/>
              <w:rPr>
                <w:b/>
                <w:color w:val="auto"/>
                <w:sz w:val="30"/>
                <w:szCs w:val="30"/>
                <w:highlight w:val="none"/>
              </w:rPr>
            </w:pPr>
          </w:p>
        </w:tc>
        <w:tc>
          <w:tcPr>
            <w:tcW w:w="1803" w:type="dxa"/>
            <w:vAlign w:val="center"/>
          </w:tcPr>
          <w:p>
            <w:pPr>
              <w:spacing w:line="240" w:lineRule="auto"/>
              <w:ind w:firstLine="0" w:firstLineChars="0"/>
              <w:rPr>
                <w:b/>
                <w:color w:val="auto"/>
                <w:sz w:val="30"/>
                <w:szCs w:val="30"/>
                <w:highlight w:val="none"/>
              </w:rPr>
            </w:pPr>
          </w:p>
        </w:tc>
      </w:tr>
    </w:tbl>
    <w:p>
      <w:pPr>
        <w:spacing w:before="101"/>
        <w:ind w:left="963"/>
        <w:rPr>
          <w:rFonts w:ascii="仿宋" w:hAnsi="仿宋" w:eastAsia="仿宋" w:cs="仿宋"/>
          <w:color w:val="auto"/>
          <w:spacing w:val="-12"/>
          <w:sz w:val="32"/>
          <w:szCs w:val="32"/>
          <w:highlight w:val="none"/>
        </w:rPr>
      </w:pPr>
    </w:p>
    <w:p>
      <w:pPr>
        <w:spacing w:before="101"/>
        <w:ind w:left="963"/>
        <w:rPr>
          <w:rFonts w:ascii="仿宋" w:hAnsi="仿宋" w:eastAsia="仿宋" w:cs="仿宋"/>
          <w:color w:val="auto"/>
          <w:spacing w:val="-12"/>
          <w:sz w:val="32"/>
          <w:szCs w:val="32"/>
          <w:highlight w:val="none"/>
        </w:rPr>
        <w:sectPr>
          <w:footerReference r:id="rId5" w:type="default"/>
          <w:pgSz w:w="11910" w:h="16850"/>
          <w:pgMar w:top="1432" w:right="1786" w:bottom="0" w:left="1786" w:header="1134" w:footer="567" w:gutter="0"/>
          <w:pgNumType w:fmt="decimal" w:start="1"/>
          <w:cols w:space="720" w:num="1"/>
        </w:sectPr>
      </w:pPr>
    </w:p>
    <w:p>
      <w:pPr>
        <w:spacing w:before="101" w:line="360" w:lineRule="auto"/>
        <w:ind w:left="3998"/>
        <w:rPr>
          <w:rFonts w:hint="eastAsia" w:ascii="宋体" w:hAnsi="宋体" w:eastAsia="宋体" w:cs="宋体"/>
          <w:color w:val="auto"/>
          <w:sz w:val="28"/>
          <w:szCs w:val="28"/>
          <w:highlight w:val="none"/>
        </w:rPr>
      </w:pPr>
      <w:r>
        <w:rPr>
          <w:rFonts w:hint="eastAsia" w:ascii="宋体" w:hAnsi="宋体" w:eastAsia="宋体" w:cs="宋体"/>
          <w:color w:val="auto"/>
          <w:spacing w:val="12"/>
          <w:sz w:val="28"/>
          <w:szCs w:val="28"/>
          <w:highlight w:val="none"/>
        </w:rPr>
        <w:t>前</w:t>
      </w:r>
      <w:r>
        <w:rPr>
          <w:rFonts w:hint="eastAsia" w:ascii="宋体" w:hAnsi="宋体" w:eastAsia="宋体" w:cs="宋体"/>
          <w:color w:val="auto"/>
          <w:spacing w:val="11"/>
          <w:sz w:val="28"/>
          <w:szCs w:val="28"/>
          <w:highlight w:val="none"/>
        </w:rPr>
        <w:t xml:space="preserve"> 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2016年10月11日，中央全面深化改革领导小组第二十八次会议审议通过了《关于全面推行河长制的意见》(以下简称《意见》)《意见》指出，要加强河湖水域岸线管理保护。严格水域岸线等水生态空间管控，依法划定河湖管理范围，落实规划岸线分区管理要求，强化岸线保护和集约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2017年5月30日，为深入贯彻落实中共中央办公厅、国务院办公厅《意见》精神，进一步加强全区河湖管理保护工作，落实地方属地主体责任，建立健全河湖管理保护长效体制机制，内蒙古自治区党委办公厅、政府办公厅印发了《内蒙古自治区全面推行河长制工作方案》,并提出“严格水域岸线等水生态空间管控，依法划定河湖 管理范围。贯彻落实《内蒙古自治区水工程管理保护办法》和《内蒙古自治区水工程管理和保护范围划定标准》,到2020年基本完成河湖管理范围和国有水利工程管理保护范围划定工作，明确管理范围，设立界桩、管理和保护标志，并依法依规逐步确定河湖管理范围内的土地使用权属，逐步建立范围明确、权属清晰、责任落实的河湖管理、水利工程管理保护责任体系。落实规划岸线分区管理要求，强化岸线 保护和节约集约利用。分级负责科学编制主要河湖岸线利用规划，严格划定岸线保 护区、保留区、限制开发区、开发利用区。整治岸线乱占滥用、多占少用、占而不用等问题，恢复河湖水域岸线良好的生态功能。”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yellow"/>
          <w:lang w:val="en-US" w:eastAsia="zh-CN" w:bidi="ar-SA"/>
        </w:rPr>
        <w:t>2020年巴彦淖尔市人民政府办公室关于印发《巴彦淖尔市重点湖泊生态环境保护工作的实施意见》的通知中指出，“将湖泊作为国土空间规划编制的重点，严格落实‘三线一单’硬约束。重点湖泊管理范围划界工作在2020年完成，重点湖泊岸线保护与利用规划在2023年10月底前编制完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受磴口县水利局委托，巴彦淖尔市鑫宇水利水电勘察设计有限公司承担《磴口县七分场海子岸线保护与利用规划》的编制工作。接受委托后，我公司高度重视，立即抽调各专业力量成立项目组，收集基础资料、进行现场查勘、听取磴口县水利局专家建议和意见，规划编制过程中多次与当地水利局、河长制办公室有关领导和负责项目同志进行积极沟通，了解情况。</w:t>
      </w:r>
    </w:p>
    <w:p>
      <w:pPr>
        <w:rPr>
          <w:color w:val="auto"/>
          <w:highlight w:val="none"/>
        </w:rPr>
        <w:sectPr>
          <w:footerReference r:id="rId6" w:type="default"/>
          <w:pgSz w:w="12210" w:h="17060"/>
          <w:pgMar w:top="1440" w:right="1800" w:bottom="1440" w:left="1800" w:header="1077" w:footer="1020" w:gutter="0"/>
          <w:pgNumType w:fmt="decimal"/>
          <w:cols w:space="720" w:num="1"/>
        </w:sectPr>
      </w:pPr>
    </w:p>
    <w:sdt>
      <w:sdtPr>
        <w:rPr>
          <w:rFonts w:ascii="宋体" w:hAnsi="宋体" w:eastAsia="宋体" w:cs="Arial"/>
          <w:snapToGrid w:val="0"/>
          <w:color w:val="auto"/>
          <w:kern w:val="0"/>
          <w:sz w:val="21"/>
          <w:szCs w:val="21"/>
          <w:highlight w:val="none"/>
        </w:rPr>
        <w:id w:val="147455527"/>
        <w15:color w:val="DBDBDB"/>
        <w:docPartObj>
          <w:docPartGallery w:val="Table of Contents"/>
          <w:docPartUnique/>
        </w:docPartObj>
      </w:sdtPr>
      <w:sdtEndPr>
        <w:rPr>
          <w:rFonts w:ascii="Arial" w:hAnsi="Arial" w:eastAsia="Arial" w:cs="Arial"/>
          <w:b/>
          <w:snapToGrid w:val="0"/>
          <w:color w:val="auto"/>
          <w:kern w:val="0"/>
          <w:sz w:val="21"/>
          <w:szCs w:val="21"/>
          <w:highlight w:val="none"/>
        </w:rPr>
      </w:sdtEndPr>
      <w:sdtContent>
        <w:p>
          <w:pPr>
            <w:spacing w:before="0" w:beforeLines="0" w:after="0" w:afterLines="0" w:line="240" w:lineRule="auto"/>
            <w:ind w:left="0" w:leftChars="0" w:right="0" w:rightChars="0" w:firstLine="0" w:firstLineChars="0"/>
            <w:jc w:val="center"/>
            <w:rPr>
              <w:color w:val="auto"/>
              <w:sz w:val="32"/>
              <w:szCs w:val="32"/>
              <w:highlight w:val="none"/>
            </w:rPr>
          </w:pPr>
          <w:r>
            <w:rPr>
              <w:rFonts w:ascii="宋体" w:hAnsi="宋体" w:eastAsia="宋体"/>
              <w:color w:val="auto"/>
              <w:sz w:val="32"/>
              <w:szCs w:val="32"/>
              <w:highlight w:val="none"/>
            </w:rPr>
            <w:t>目录</w:t>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TOC \o "1-2" \h \u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_Toc25986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 xml:space="preserve">1 </w:t>
          </w:r>
          <w:r>
            <w:rPr>
              <w:rFonts w:hint="eastAsia" w:ascii="宋体" w:hAnsi="宋体" w:eastAsia="宋体" w:cs="宋体"/>
              <w:color w:val="000000" w:themeColor="text1"/>
              <w:sz w:val="28"/>
              <w:szCs w:val="28"/>
              <w:highlight w:val="none"/>
              <w14:textFill>
                <w14:solidFill>
                  <w14:schemeClr w14:val="tx1"/>
                </w14:solidFill>
              </w14:textFill>
            </w:rPr>
            <w:t>基本情况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_Toc25986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_Toc32076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规划背景</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_Toc32076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_Toc26618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湖泊概况</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_Toc26618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_Toc4797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水文气象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_Toc4797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1.4 社会经济</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_Toc11223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湖泊及涉湖工程现状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_Toc11223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_Toc18027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1.6</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相关规划资料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_Toc18027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_Toc29047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1.7</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岸线利用与保护现状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_Toc29047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_Toc23593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1.8</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河长组织体系</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_Toc23593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_Toc1030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2 岸线保护和利用形势分析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_Toc1030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_Toc4676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2.1 岸线利用现状评价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_Toc4676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_Toc23804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2.2 现状岸线管理存在的主要问题</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_Toc23804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_Toc18353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经济社会发展对岸线保护和利用的需求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_Toc18353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_Toc25963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2.4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岸线保护与利用控制条件分析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_Toc25963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17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_Toc30559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3 编制依据</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_Toc30559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_Toc12808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3.1 法律法规</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_Toc12808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_Toc23214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规程规范</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_Toc23214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_Toc6215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政策文件</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_Toc6215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_Toc13452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3.4 有关规划</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_Toc13452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_Toc11650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3.5</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相关技术成果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_Toc11650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_Toc12929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3.6 技术路线</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_Toc12929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_Toc2125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4 指导思想与原则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_Toc2125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_Toc31550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4.1 指导思想</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_Toc31550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_Toc7517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_Toc7517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_Toc32352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规划范围及水平年</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_Toc32352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_Toc7337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4.4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规划目标及任务</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_Toc7337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_Toc30596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5 岸线控制线确定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_Toc30596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_Toc6332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5.1 岸线控制线定义</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_Toc6332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_Toc26349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5.2 岸线控制线划定的原则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_Toc26349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29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_Toc20801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5.3 岸线划定方法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_Toc20801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_Toc5179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5.4 岸线边界线确定</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_Toc5179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_Toc857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6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_Toc857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_Toc5133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6.1 岸线功能区的划分原则</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_Toc5133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_Toc30011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6.2 岸线功能区划分的基本要求及方法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_Toc30011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_Toc20355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6.3 岸线功能区划分方法</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_Toc20355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34</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_Toc24615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6.4 岸线功能区划分</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_Toc24615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_Toc17655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7 岸线保护与管控</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_Toc17655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_Toc12991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7.1</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功能区管控要求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_Toc12991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39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_Toc13167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岸线边界线管控要求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_Toc13167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_Toc14134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岸线管控能力建设措施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_Toc14134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42</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_Toc11915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7.4</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岸线保护利用调整要求</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_Toc11915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43</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_Toc17406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8 环境影响评价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_Toc17406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_Toc18177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8.1 环境保护目标</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_Toc18177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45</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_Toc4823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规划符合性分析</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_Toc4823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46</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_Toc5094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8.3 环境影响预测与评价</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_Toc5094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47</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_Toc31091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z w:val="28"/>
              <w:szCs w:val="28"/>
              <w:highlight w:val="none"/>
              <w:lang w:val="en-US" w:eastAsia="zh-CN"/>
              <w14:textFill>
                <w14:solidFill>
                  <w14:schemeClr w14:val="tx1"/>
                </w14:solidFill>
              </w14:textFill>
            </w:rPr>
            <w:t>9 保障措施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_Toc31091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_Toc2901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9.1 政策、制度保障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_Toc2901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_Toc22530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9.2</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行政管理保障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_Toc22530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48</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_Toc19763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9.3</w:t>
          </w:r>
          <w:r>
            <w:rPr>
              <w:rFonts w:hint="eastAsia" w:ascii="宋体" w:hAnsi="宋体" w:eastAsia="宋体" w:cs="宋体"/>
              <w:color w:val="000000" w:themeColor="text1"/>
              <w:spacing w:val="1"/>
              <w:sz w:val="28"/>
              <w:szCs w:val="28"/>
              <w:highlight w:val="none"/>
              <w:lang w:val="en-US" w:eastAsia="zh-CN"/>
              <w14:textFill>
                <w14:solidFill>
                  <w14:schemeClr w14:val="tx1"/>
                </w14:solidFill>
              </w14:textFill>
            </w:rPr>
            <w:t xml:space="preserve"> </w:t>
          </w:r>
          <w:r>
            <w:rPr>
              <w:rFonts w:hint="eastAsia" w:ascii="宋体" w:hAnsi="宋体" w:eastAsia="宋体" w:cs="宋体"/>
              <w:color w:val="000000" w:themeColor="text1"/>
              <w:spacing w:val="1"/>
              <w:sz w:val="28"/>
              <w:szCs w:val="28"/>
              <w:highlight w:val="none"/>
              <w14:textFill>
                <w14:solidFill>
                  <w14:schemeClr w14:val="tx1"/>
                </w14:solidFill>
              </w14:textFill>
            </w:rPr>
            <w:t>经济措施</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_Toc19763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49</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_Toc30056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1"/>
              <w:sz w:val="28"/>
              <w:szCs w:val="28"/>
              <w:highlight w:val="none"/>
              <w14:textFill>
                <w14:solidFill>
                  <w14:schemeClr w14:val="tx1"/>
                </w14:solidFill>
              </w14:textFill>
            </w:rPr>
            <w:t>9.4 公众参与保障</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_Toc30056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50</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pStyle w:val="8"/>
            <w:tabs>
              <w:tab w:val="right" w:leader="dot" w:pos="8548"/>
            </w:tabs>
            <w:spacing w:line="360" w:lineRule="auto"/>
          </w:pPr>
          <w:r>
            <w:rPr>
              <w:rFonts w:hint="eastAsia" w:ascii="宋体" w:hAnsi="宋体" w:eastAsia="宋体" w:cs="宋体"/>
              <w:color w:val="000000" w:themeColor="text1"/>
              <w:sz w:val="28"/>
              <w:szCs w:val="28"/>
              <w:highlight w:val="none"/>
              <w14:textFill>
                <w14:solidFill>
                  <w14:schemeClr w14:val="tx1"/>
                </w14:solidFill>
              </w14:textFill>
            </w:rPr>
            <w:fldChar w:fldCharType="begin"/>
          </w:r>
          <w:r>
            <w:rPr>
              <w:rFonts w:hint="eastAsia" w:ascii="宋体" w:hAnsi="宋体" w:eastAsia="宋体" w:cs="宋体"/>
              <w:color w:val="000000" w:themeColor="text1"/>
              <w:sz w:val="28"/>
              <w:szCs w:val="28"/>
              <w:highlight w:val="none"/>
              <w14:textFill>
                <w14:solidFill>
                  <w14:schemeClr w14:val="tx1"/>
                </w14:solidFill>
              </w14:textFill>
            </w:rPr>
            <w:instrText xml:space="preserve"> HYPERLINK \l _Toc22812 </w:instrText>
          </w:r>
          <w:r>
            <w:rPr>
              <w:rFonts w:hint="eastAsia" w:ascii="宋体" w:hAnsi="宋体" w:eastAsia="宋体" w:cs="宋体"/>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spacing w:val="7"/>
              <w:sz w:val="28"/>
              <w:szCs w:val="28"/>
              <w:highlight w:val="none"/>
              <w14:textFill>
                <w14:solidFill>
                  <w14:schemeClr w14:val="tx1"/>
                </w14:solidFill>
              </w14:textFill>
            </w:rPr>
            <w:t>附</w:t>
          </w:r>
          <w:r>
            <w:rPr>
              <w:rFonts w:hint="eastAsia" w:ascii="宋体" w:hAnsi="宋体" w:eastAsia="宋体" w:cs="宋体"/>
              <w:color w:val="000000" w:themeColor="text1"/>
              <w:spacing w:val="6"/>
              <w:sz w:val="28"/>
              <w:szCs w:val="28"/>
              <w:highlight w:val="none"/>
              <w14:textFill>
                <w14:solidFill>
                  <w14:schemeClr w14:val="tx1"/>
                </w14:solidFill>
              </w14:textFill>
            </w:rPr>
            <w:t>表</w:t>
          </w:r>
          <w:r>
            <w:rPr>
              <w:rFonts w:hint="eastAsia" w:ascii="宋体" w:hAnsi="宋体" w:eastAsia="宋体" w:cs="宋体"/>
              <w:color w:val="000000" w:themeColor="text1"/>
              <w:sz w:val="28"/>
              <w:szCs w:val="28"/>
              <w14:textFill>
                <w14:solidFill>
                  <w14:schemeClr w14:val="tx1"/>
                </w14:solidFill>
              </w14:textFill>
            </w:rPr>
            <w:tab/>
          </w:r>
          <w:r>
            <w:rPr>
              <w:rFonts w:hint="eastAsia" w:ascii="宋体" w:hAnsi="宋体" w:eastAsia="宋体" w:cs="宋体"/>
              <w:color w:val="000000" w:themeColor="text1"/>
              <w:sz w:val="28"/>
              <w:szCs w:val="28"/>
              <w14:textFill>
                <w14:solidFill>
                  <w14:schemeClr w14:val="tx1"/>
                </w14:solidFill>
              </w14:textFill>
            </w:rPr>
            <w:fldChar w:fldCharType="begin"/>
          </w:r>
          <w:r>
            <w:rPr>
              <w:rFonts w:hint="eastAsia" w:ascii="宋体" w:hAnsi="宋体" w:eastAsia="宋体" w:cs="宋体"/>
              <w:color w:val="000000" w:themeColor="text1"/>
              <w:sz w:val="28"/>
              <w:szCs w:val="28"/>
              <w14:textFill>
                <w14:solidFill>
                  <w14:schemeClr w14:val="tx1"/>
                </w14:solidFill>
              </w14:textFill>
            </w:rPr>
            <w:instrText xml:space="preserve"> PAGEREF _Toc22812 \h </w:instrText>
          </w:r>
          <w:r>
            <w:rPr>
              <w:rFonts w:hint="eastAsia" w:ascii="宋体" w:hAnsi="宋体" w:eastAsia="宋体" w:cs="宋体"/>
              <w:color w:val="000000" w:themeColor="text1"/>
              <w:sz w:val="28"/>
              <w:szCs w:val="28"/>
              <w14:textFill>
                <w14:solidFill>
                  <w14:schemeClr w14:val="tx1"/>
                </w14:solidFill>
              </w14:textFill>
            </w:rPr>
            <w:fldChar w:fldCharType="separate"/>
          </w:r>
          <w:r>
            <w:rPr>
              <w:rFonts w:hint="eastAsia" w:ascii="宋体" w:hAnsi="宋体" w:eastAsia="宋体" w:cs="宋体"/>
              <w:color w:val="000000" w:themeColor="text1"/>
              <w:sz w:val="28"/>
              <w:szCs w:val="28"/>
              <w14:textFill>
                <w14:solidFill>
                  <w14:schemeClr w14:val="tx1"/>
                </w14:solidFill>
              </w14:textFill>
            </w:rPr>
            <w:t>51</w:t>
          </w:r>
          <w:r>
            <w:rPr>
              <w:rFonts w:hint="eastAsia" w:ascii="宋体" w:hAnsi="宋体" w:eastAsia="宋体" w:cs="宋体"/>
              <w:color w:val="000000" w:themeColor="text1"/>
              <w:sz w:val="28"/>
              <w:szCs w:val="28"/>
              <w14:textFill>
                <w14:solidFill>
                  <w14:schemeClr w14:val="tx1"/>
                </w14:solidFill>
              </w14:textFill>
            </w:rPr>
            <w:fldChar w:fldCharType="end"/>
          </w:r>
          <w:r>
            <w:rPr>
              <w:rFonts w:hint="eastAsia" w:ascii="宋体" w:hAnsi="宋体" w:eastAsia="宋体" w:cs="宋体"/>
              <w:color w:val="000000" w:themeColor="text1"/>
              <w:sz w:val="28"/>
              <w:szCs w:val="28"/>
              <w:highlight w:val="none"/>
              <w14:textFill>
                <w14:solidFill>
                  <w14:schemeClr w14:val="tx1"/>
                </w14:solidFill>
              </w14:textFill>
            </w:rPr>
            <w:fldChar w:fldCharType="end"/>
          </w:r>
        </w:p>
        <w:p>
          <w:pPr>
            <w:spacing w:before="0" w:beforeLines="0" w:after="0" w:afterLines="0" w:line="240" w:lineRule="auto"/>
            <w:ind w:left="0" w:leftChars="0" w:right="0" w:rightChars="0" w:firstLine="0" w:firstLineChars="0"/>
            <w:jc w:val="center"/>
            <w:rPr>
              <w:color w:val="auto"/>
              <w:highlight w:val="none"/>
            </w:rPr>
            <w:sectPr>
              <w:footerReference r:id="rId7" w:type="default"/>
              <w:pgSz w:w="12210" w:h="17060"/>
              <w:pgMar w:top="1250" w:right="1831" w:bottom="0" w:left="1831" w:header="1191" w:footer="1191" w:gutter="0"/>
              <w:pgNumType w:fmt="decimal"/>
              <w:cols w:space="720" w:num="1"/>
            </w:sectPr>
          </w:pPr>
          <w:r>
            <w:rPr>
              <w:rFonts w:hint="eastAsia" w:ascii="宋体" w:hAnsi="宋体" w:eastAsia="宋体" w:cs="宋体"/>
              <w:color w:val="000000" w:themeColor="text1"/>
              <w:szCs w:val="28"/>
              <w:highlight w:val="none"/>
              <w14:textFill>
                <w14:solidFill>
                  <w14:schemeClr w14:val="tx1"/>
                </w14:solidFill>
              </w14:textFill>
            </w:rPr>
            <w:fldChar w:fldCharType="end"/>
          </w:r>
        </w:p>
      </w:sdtContent>
    </w:sdt>
    <w:p>
      <w:pPr>
        <w:pStyle w:val="3"/>
        <w:bidi w:val="0"/>
        <w:spacing w:line="240" w:lineRule="auto"/>
        <w:jc w:val="center"/>
        <w:rPr>
          <w:rFonts w:hint="eastAsia" w:ascii="宋体" w:hAnsi="宋体" w:eastAsia="宋体" w:cs="宋体"/>
          <w:color w:val="auto"/>
          <w:sz w:val="32"/>
          <w:szCs w:val="32"/>
          <w:highlight w:val="none"/>
        </w:rPr>
      </w:pPr>
      <w:bookmarkStart w:id="0" w:name="_Toc25986"/>
      <w:bookmarkStart w:id="1" w:name="_Toc5665"/>
      <w:r>
        <w:rPr>
          <w:rFonts w:hint="eastAsia" w:ascii="宋体" w:hAnsi="宋体" w:eastAsia="宋体" w:cs="宋体"/>
          <w:color w:val="auto"/>
          <w:sz w:val="32"/>
          <w:szCs w:val="32"/>
          <w:highlight w:val="none"/>
          <w:lang w:val="en-US" w:eastAsia="zh-CN"/>
        </w:rPr>
        <w:t xml:space="preserve">1 </w:t>
      </w:r>
      <w:r>
        <w:rPr>
          <w:rFonts w:hint="eastAsia" w:ascii="宋体" w:hAnsi="宋体" w:eastAsia="宋体" w:cs="宋体"/>
          <w:color w:val="auto"/>
          <w:sz w:val="32"/>
          <w:szCs w:val="32"/>
          <w:highlight w:val="none"/>
        </w:rPr>
        <w:t>基本情况</w:t>
      </w:r>
      <w:bookmarkEnd w:id="0"/>
      <w:bookmarkEnd w:id="1"/>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 w:name="_Toc32076"/>
      <w:bookmarkStart w:id="3" w:name="_Toc967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规划背景</w:t>
      </w:r>
      <w:bookmarkEnd w:id="2"/>
      <w:bookmarkEnd w:id="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岸线既是河湖空间的重要组成，又是服务经济社会发展不可再生的宝贵土地资源，更是维护河势稳定和防洪、供水、生态安全的重要保障。长期以来，由于河湖岸线范围不明，功能界定不清，管理缺乏依据，部分河段岸线开发无序和过渡开发严重，对河湖行(蓄)洪带来不利影响、甚至严重地破坏了河流生态环境。由于缺乏岸线功能区划和管理规定，在岸线利用与保护方面缺乏技术依据也给行政许可和审批带来一定的难度。</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2007年2月，水利部下发了《关于开展河道(湖泊)岸线利用管理规划工作的通知》(水建管〔2007〕67号),要求“在全面开展的流域综合规划修编中，以流域为单位，在全国范围内启动河道(湖泊)岸线利用管理专项规划工作”。2014年2月28日，水利部下发了《关于加强河湖管理工作的指导意见》(水建管〔2014〕76号),要求“各地要认真组织实施国家批准的流域综合规划、流域防洪规划、水资源保护规划、采砂管理规划、岸线利用管理规划等重要规划，要根据国家规划，结合本地河湖管理实际，科学编制相关规划，加强规划对河湖管理的指导和约束作用”。2019年3月，水利部印发了《河湖岸线保护与利用规划编制指南(试行)》(办河湖函〔2019〕394号)确定了岸线保护与利用规划工作的技术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为全面贯彻落实《内蒙古自治区人民政府办公厅关于加强重点湖泊生态环境保护工作的指导意见》,切实加强全市重点湖泊保护管理，有效改善重点湖泊生态环境，促进巴彦淖尔市生态经济协调发展，结合巴彦淖尔市实际，制定了《巴彦淖尔市重点湖泊生态环境保护工作的实施意见》(巴政办发〔2020〕25号)。意见中要求“湖泊作为国土空间规划编制的重点，</w:t>
      </w:r>
      <w:r>
        <w:rPr>
          <w:rFonts w:hint="eastAsia" w:ascii="宋体" w:hAnsi="宋体" w:eastAsia="宋体" w:cs="宋体"/>
          <w:snapToGrid/>
          <w:color w:val="auto"/>
          <w:kern w:val="0"/>
          <w:sz w:val="28"/>
          <w:szCs w:val="28"/>
          <w:highlight w:val="yellow"/>
          <w:lang w:val="en-US" w:eastAsia="zh-CN" w:bidi="ar-SA"/>
        </w:rPr>
        <w:t>严格落实‘三线一单’硬约束。重点湖泊管理范围划界工作在2020年完成，重点湖泊岸线保护与利用规划在2023年10月底前编制完成。”</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 w:name="_Toc26171"/>
      <w:bookmarkStart w:id="5" w:name="_Toc2661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湖泊概况</w:t>
      </w:r>
      <w:bookmarkEnd w:id="4"/>
      <w:bookmarkEnd w:id="5"/>
    </w:p>
    <w:p>
      <w:pPr>
        <w:pStyle w:val="17"/>
        <w:adjustRightInd w:val="0"/>
        <w:snapToGrid w:val="0"/>
        <w:ind w:firstLine="560"/>
        <w:rPr>
          <w:color w:val="FF0000"/>
        </w:rPr>
      </w:pPr>
      <w:r>
        <w:rPr>
          <w:rFonts w:hint="eastAsia" w:ascii="宋体" w:hAnsi="宋体" w:eastAsia="宋体" w:cs="宋体"/>
          <w:snapToGrid/>
          <w:color w:val="auto"/>
          <w:kern w:val="0"/>
          <w:sz w:val="28"/>
          <w:szCs w:val="28"/>
          <w:highlight w:val="none"/>
          <w:lang w:val="en-US" w:eastAsia="zh-CN" w:bidi="ar-SA"/>
        </w:rPr>
        <w:t>七分场海子位于哈腾套海农场境内，乌兰布和沙漠的东北边缘地带，湖套地区最西端，地理坐标为东经106°58′22.66″~106°59′49.66″，北纬40°32′31.88 ″~40 °33′12.11 ″。七分场海子周边交通便利，村镇小油路互通往来，向东距离哈腾套海农场10 公里，七分场海子总水域面积3016亩。</w:t>
      </w:r>
    </w:p>
    <w:p>
      <w:pPr>
        <w:pStyle w:val="17"/>
        <w:adjustRightInd w:val="0"/>
        <w:snapToGrid w:val="0"/>
        <w:ind w:firstLine="560"/>
        <w:rPr>
          <w:color w:val="000000" w:themeColor="text1"/>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77696" behindDoc="0" locked="0" layoutInCell="1" allowOverlap="1">
                <wp:simplePos x="0" y="0"/>
                <wp:positionH relativeFrom="column">
                  <wp:posOffset>2866390</wp:posOffset>
                </wp:positionH>
                <wp:positionV relativeFrom="paragraph">
                  <wp:posOffset>1431290</wp:posOffset>
                </wp:positionV>
                <wp:extent cx="548640" cy="206375"/>
                <wp:effectExtent l="4445" t="4445" r="18415" b="17780"/>
                <wp:wrapNone/>
                <wp:docPr id="6" name="文本框 6"/>
                <wp:cNvGraphicFramePr/>
                <a:graphic xmlns:a="http://schemas.openxmlformats.org/drawingml/2006/main">
                  <a:graphicData uri="http://schemas.microsoft.com/office/word/2010/wordprocessingShape">
                    <wps:wsp>
                      <wps:cNvSpPr txBox="1"/>
                      <wps:spPr>
                        <a:xfrm>
                          <a:off x="0" y="0"/>
                          <a:ext cx="548640" cy="206375"/>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sz w:val="10"/>
                                <w:szCs w:val="10"/>
                              </w:rPr>
                              <w:t>七分场海子</w:t>
                            </w:r>
                          </w:p>
                        </w:txbxContent>
                      </wps:txbx>
                      <wps:bodyPr upright="1"/>
                    </wps:wsp>
                  </a:graphicData>
                </a:graphic>
              </wp:anchor>
            </w:drawing>
          </mc:Choice>
          <mc:Fallback>
            <w:pict>
              <v:shape id="_x0000_s1026" o:spid="_x0000_s1026" o:spt="202" type="#_x0000_t202" style="position:absolute;left:0pt;margin-left:225.7pt;margin-top:112.7pt;height:16.25pt;width:43.2pt;z-index:251677696;mso-width-relative:page;mso-height-relative:page;" fillcolor="#FFFFFF" filled="t" stroked="t" coordsize="21600,21600" o:gfxdata="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34BFNkAAAALAQAADwAAAAAAAAABACAAAAAiAAAA&#10;ZHJzL2Rvd25yZXYueG1sUEsBAhQAFAAAAAgAh07iQO7VBxIGAgAANQQAAA4AAAAAAAAAAQAgAAAA&#10;KAEAAGRycy9lMm9Eb2MueG1sUEsFBgAAAAAGAAYAWQEAAKAFAAAAAA==&#10;">
                <v:fill on="t" focussize="0,0"/>
                <v:stroke color="#FFFFFF" joinstyle="miter"/>
                <v:imagedata o:title=""/>
                <o:lock v:ext="edit" aspectratio="f"/>
                <v:textbox>
                  <w:txbxContent>
                    <w:p>
                      <w:r>
                        <w:rPr>
                          <w:sz w:val="10"/>
                          <w:szCs w:val="10"/>
                        </w:rPr>
                        <w:t>七分场海子</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76672" behindDoc="0" locked="0" layoutInCell="1" allowOverlap="1">
                <wp:simplePos x="0" y="0"/>
                <wp:positionH relativeFrom="column">
                  <wp:posOffset>3463925</wp:posOffset>
                </wp:positionH>
                <wp:positionV relativeFrom="paragraph">
                  <wp:posOffset>1674495</wp:posOffset>
                </wp:positionV>
                <wp:extent cx="137160" cy="147320"/>
                <wp:effectExtent l="13970" t="12700" r="1270" b="11430"/>
                <wp:wrapNone/>
                <wp:docPr id="5" name="直接箭头连接符 5"/>
                <wp:cNvGraphicFramePr/>
                <a:graphic xmlns:a="http://schemas.openxmlformats.org/drawingml/2006/main">
                  <a:graphicData uri="http://schemas.microsoft.com/office/word/2010/wordprocessingShape">
                    <wps:wsp>
                      <wps:cNvCnPr/>
                      <wps:spPr>
                        <a:xfrm>
                          <a:off x="0" y="0"/>
                          <a:ext cx="137160" cy="147320"/>
                        </a:xfrm>
                        <a:prstGeom prst="straightConnector1">
                          <a:avLst/>
                        </a:prstGeom>
                        <a:ln w="38100"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72.75pt;margin-top:131.85pt;height:11.6pt;width:10.8pt;z-index:251676672;mso-width-relative:page;mso-height-relative:page;" filled="f" stroked="t" coordsize="21600,21600" o:gfxdata="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0Yish2wAAAAsBAAAPAAAAAAAAAAEAIAAA&#10;ACIAAABkcnMvZG93bnJldi54bWxQSwECFAAUAAAACACHTuJAY/SgnwkCAAD1AwAADgAAAAAAAAAB&#10;ACAAAAAqAQAAZHJzL2Uyb0RvYy54bWxQSwUGAAAAAAYABgBZAQAApQUAAAAA&#10;">
                <v:fill on="f" focussize="0,0"/>
                <v:stroke weight="3pt" color="#000000" joinstyle="round" endarrow="block"/>
                <v:imagedata o:title=""/>
                <o:lock v:ext="edit" aspectratio="f"/>
              </v:shape>
            </w:pict>
          </mc:Fallback>
        </mc:AlternateContent>
      </w:r>
      <w:r>
        <w:rPr>
          <w:rFonts w:hint="eastAsia"/>
          <w:color w:val="000000" w:themeColor="text1"/>
          <w14:textFill>
            <w14:solidFill>
              <w14:schemeClr w14:val="tx1"/>
            </w14:solidFill>
          </w14:textFill>
        </w:rPr>
        <w:drawing>
          <wp:inline distT="0" distB="0" distL="0" distR="0">
            <wp:extent cx="5120005" cy="3744595"/>
            <wp:effectExtent l="0" t="0" r="444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120005" cy="3744595"/>
                    </a:xfrm>
                    <a:prstGeom prst="rect">
                      <a:avLst/>
                    </a:prstGeom>
                  </pic:spPr>
                </pic:pic>
              </a:graphicData>
            </a:graphic>
          </wp:inline>
        </w:drawing>
      </w:r>
    </w:p>
    <w:p>
      <w:pPr>
        <w:pStyle w:val="2"/>
        <w:ind w:left="0" w:leftChars="0" w:firstLine="0" w:firstLineChars="0"/>
        <w:jc w:val="center"/>
        <w:rPr>
          <w:rFonts w:hint="eastAsia" w:ascii="宋体" w:hAnsi="宋体" w:eastAsia="宋体" w:cs="宋体"/>
          <w:snapToGrid/>
          <w:color w:val="auto"/>
          <w:kern w:val="0"/>
          <w:sz w:val="28"/>
          <w:szCs w:val="28"/>
          <w:highlight w:val="none"/>
          <w:lang w:val="en-US" w:eastAsia="zh-CN" w:bidi="ar-SA"/>
        </w:rPr>
      </w:pPr>
    </w:p>
    <w:p>
      <w:pPr>
        <w:spacing w:before="199" w:line="219" w:lineRule="auto"/>
        <w:ind w:left="0" w:leftChars="0" w:firstLine="0" w:firstLineChars="0"/>
        <w:jc w:val="center"/>
        <w:rPr>
          <w:rFonts w:ascii="宋体" w:hAnsi="宋体" w:eastAsia="宋体" w:cs="宋体"/>
          <w:color w:val="auto"/>
          <w:sz w:val="23"/>
          <w:szCs w:val="23"/>
          <w:highlight w:val="none"/>
        </w:rPr>
      </w:pPr>
      <w:r>
        <w:rPr>
          <w:rFonts w:ascii="宋体" w:hAnsi="宋体" w:eastAsia="宋体" w:cs="宋体"/>
          <w:color w:val="auto"/>
          <w:spacing w:val="-16"/>
          <w:sz w:val="24"/>
          <w:szCs w:val="24"/>
          <w:highlight w:val="none"/>
        </w:rPr>
        <w:t>图</w:t>
      </w:r>
      <w:r>
        <w:rPr>
          <w:rFonts w:ascii="宋体" w:hAnsi="宋体" w:eastAsia="宋体" w:cs="宋体"/>
          <w:color w:val="auto"/>
          <w:spacing w:val="-10"/>
          <w:sz w:val="24"/>
          <w:szCs w:val="24"/>
          <w:highlight w:val="none"/>
        </w:rPr>
        <w:t xml:space="preserve"> </w:t>
      </w:r>
      <w:r>
        <w:rPr>
          <w:rFonts w:ascii="宋体" w:hAnsi="宋体" w:eastAsia="宋体" w:cs="宋体"/>
          <w:color w:val="auto"/>
          <w:spacing w:val="-8"/>
          <w:sz w:val="24"/>
          <w:szCs w:val="24"/>
          <w:highlight w:val="none"/>
        </w:rPr>
        <w:t xml:space="preserve">1-1 </w:t>
      </w:r>
      <w:r>
        <w:rPr>
          <w:rFonts w:hint="eastAsia" w:eastAsia="宋体"/>
          <w:color w:val="000000" w:themeColor="text1"/>
          <w:lang w:eastAsia="zh-CN"/>
          <w14:textFill>
            <w14:solidFill>
              <w14:schemeClr w14:val="tx1"/>
            </w14:solidFill>
          </w14:textFill>
        </w:rPr>
        <w:t>七分场海子</w:t>
      </w:r>
      <w:r>
        <w:rPr>
          <w:rFonts w:ascii="宋体" w:hAnsi="宋体" w:eastAsia="宋体" w:cs="宋体"/>
          <w:color w:val="auto"/>
          <w:spacing w:val="-8"/>
          <w:sz w:val="24"/>
          <w:szCs w:val="24"/>
          <w:highlight w:val="none"/>
        </w:rPr>
        <w:t>位置图</w:t>
      </w:r>
    </w:p>
    <w:p>
      <w:pPr>
        <w:spacing w:line="306" w:lineRule="auto"/>
        <w:rPr>
          <w:rFonts w:ascii="Arial"/>
          <w:color w:val="auto"/>
          <w:sz w:val="21"/>
          <w:highlight w:val="none"/>
        </w:rPr>
      </w:pPr>
    </w:p>
    <w:p>
      <w:pPr>
        <w:spacing w:line="306" w:lineRule="auto"/>
        <w:rPr>
          <w:rFonts w:ascii="Arial"/>
          <w:color w:val="auto"/>
          <w:sz w:val="21"/>
          <w:highlight w:val="none"/>
        </w:rPr>
      </w:pP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 w:name="_Toc31825"/>
      <w:bookmarkStart w:id="7" w:name="_Toc479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水文气象</w:t>
      </w:r>
      <w:bookmarkEnd w:id="6"/>
      <w:bookmarkEnd w:id="7"/>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bookmarkStart w:id="8" w:name="_Toc714"/>
      <w:bookmarkStart w:id="9" w:name="_Toc3901"/>
      <w:r>
        <w:rPr>
          <w:rFonts w:hint="eastAsia" w:ascii="宋体" w:hAnsi="宋体" w:eastAsia="宋体" w:cs="宋体"/>
          <w:snapToGrid/>
          <w:color w:val="auto"/>
          <w:kern w:val="0"/>
          <w:sz w:val="28"/>
          <w:szCs w:val="28"/>
          <w:highlight w:val="none"/>
          <w:lang w:val="en-US" w:eastAsia="zh-CN" w:bidi="ar-SA"/>
        </w:rPr>
        <w:t>磴口县属于温带大陆型气候，光照充足，热量丰富，昼夜温差大，无霜期短。</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光能资源</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全年日照时数3209.5小时，光能资源丰富。其中作物生育期4～9月份日照总时数1758.2小时，六月份最多，达319.3小时。全年太阳总辐射15369千卡/厘米2，全年有效光合辐射为75.29千卡/厘米2。其中4～9月份有效光辐射达47.71千卡/厘米。</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6～8月，农作物和林草生长正值旺盛期，所需日照、热量、水份相应增加。这个时期，本县光照时数属全年最丰富时期，温度大于15度，积温2200C以上，降雨也集中。该时期降雨量占全年的80%，有效性高。</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热量资源</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热量充分、日照时间长，昼夜温差大、无霜期天数较多本县日照总时数3209.5小时，年平均气温7.6℃，≥10℃的积温3222℃，无霜期年平均136天.作物生育期4～9月份平均14.5℃，这使本县在发展某些作物上有着明显的优势。光热资源丰富无霜期长，有利于林木生长。日照时间长、昼夜温差大，有利于农作物干物质和糖份的积累，适宜发展果树甜菜、华菜士、蜜瓜、向日葵、酒花等。</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降水和蒸发</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历年平均降水143.9毫米，平均蒸发量2327毫米为降水的16.5倍。降雨集中，年际变化大，本县年降雨量一般集中在6～8月份，且年际变化大。最多年降雨量261.6毫米(1967年)，最少年降雨量59.4毫米(1957年)。丰年是欠年的4.4倍，这对衣业生产影响很大。</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风能资源</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县位于亚州大陆中部。由于距海遥远，夏季受海洋季风影响时间短、势力弱。巴彦高勒地区年平均降雨量为143.9毫米，年蒸发量2327毫米，是降雨量的16.5倍。年平均湿润系数0.094小于0.15，套区基本属干부区，沙区则属于极干旱区。冬春季节受蒙古高压控制，季风影响时间长，势力强。强劲的西南风从贺兰山和阴山之间的缺口而入，磴口县首当其冲。年平均风速为3米/秒，全年扬沙日数79.6天，沙暴日20天。愈往西部愈加尉烈。地质构造下部巨厚的松散物，提供了丰富的沙源。古老的黄河冲积平原的粘土表层日遭风力剥蚀，就形成沙漠。风沙给农业生产造成了一系列的灾害。</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地下水根据调查和有关水文资料介绍，地下水总量较套内其它旗县少，其水质大部分地区较好，地下水无论数量还是质量分地区都有定的规律。套区和沙区除洪积扇外，从东向西，水位越来越深，矿化度越来越高，单井涌水量越来越小。</w:t>
      </w:r>
    </w:p>
    <w:p>
      <w:pPr>
        <w:pStyle w:val="17"/>
        <w:adjustRightInd w:val="0"/>
        <w:snapToGrid w:val="0"/>
        <w:ind w:firstLine="560"/>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山前洪积扇地下水较为丰富。一般埋深在3～30米以下，矿化度0.5～2.5克/升，单井涌水量100～140吨/时。套区和沿黄河的沙区边缘因补给量大，地下水埋深一般在0.5～3米之间，矿化度0.7～2克/升，单井涌水量50～100吨/时。乌兰布和沙区中部地下水埋深一般在1～10米以下，矿化度3克/升左右，单井涌水量40～80吨/时。到洪积扇前沿洼地矿化度増高，达4～7克/升。</w:t>
      </w:r>
    </w:p>
    <w:p>
      <w:pPr>
        <w:spacing w:before="190" w:line="360" w:lineRule="auto"/>
        <w:outlineLvl w:val="0"/>
        <w:rPr>
          <w:rFonts w:ascii="宋体" w:hAnsi="宋体" w:eastAsia="宋体" w:cs="宋体"/>
          <w:snapToGrid w:val="0"/>
          <w:color w:val="auto"/>
          <w:spacing w:val="1"/>
          <w:kern w:val="0"/>
          <w:sz w:val="28"/>
          <w:szCs w:val="28"/>
          <w:highlight w:val="none"/>
          <w14:textOutline w14:w="4902" w14:cap="flat" w14:cmpd="sng">
            <w14:solidFill>
              <w14:srgbClr w14:val="000000"/>
            </w14:solidFill>
            <w14:prstDash w14:val="solid"/>
            <w14:miter w14:val="0"/>
          </w14:textOutline>
        </w:rPr>
      </w:pPr>
      <w:r>
        <w:rPr>
          <w:rFonts w:ascii="宋体" w:hAnsi="宋体" w:eastAsia="宋体" w:cs="宋体"/>
          <w:snapToGrid w:val="0"/>
          <w:color w:val="auto"/>
          <w:spacing w:val="1"/>
          <w:kern w:val="0"/>
          <w:sz w:val="28"/>
          <w:szCs w:val="28"/>
          <w:highlight w:val="none"/>
          <w14:textOutline w14:w="4902" w14:cap="flat" w14:cmpd="sng">
            <w14:solidFill>
              <w14:srgbClr w14:val="000000"/>
            </w14:solidFill>
            <w14:prstDash w14:val="solid"/>
            <w14:miter w14:val="0"/>
          </w14:textOutline>
        </w:rPr>
        <w:t>1.4 社会经济</w:t>
      </w:r>
      <w:bookmarkEnd w:id="8"/>
      <w:bookmarkEnd w:id="9"/>
    </w:p>
    <w:p>
      <w:pPr>
        <w:spacing w:line="360" w:lineRule="auto"/>
        <w:ind w:firstLine="560" w:firstLineChars="200"/>
        <w:rPr>
          <w:color w:val="000000" w:themeColor="text1"/>
          <w:sz w:val="28"/>
          <w:szCs w:val="24"/>
          <w14:textFill>
            <w14:solidFill>
              <w14:schemeClr w14:val="tx1"/>
            </w14:solidFill>
          </w14:textFill>
        </w:rPr>
      </w:pPr>
      <w:bookmarkStart w:id="10" w:name="_Toc26718"/>
      <w:bookmarkStart w:id="11" w:name="_Toc11223"/>
      <w:r>
        <w:rPr>
          <w:rFonts w:hint="eastAsia" w:ascii="宋体" w:hAnsi="宋体" w:eastAsia="宋体" w:cs="宋体"/>
          <w:snapToGrid/>
          <w:color w:val="auto"/>
          <w:kern w:val="0"/>
          <w:sz w:val="28"/>
          <w:szCs w:val="28"/>
          <w:highlight w:val="none"/>
          <w:lang w:val="en-US" w:eastAsia="zh-CN" w:bidi="ar-SA"/>
        </w:rPr>
        <w:t>七分场海子位于巴彦淖尔市磴口县哈腾套海农场西南部，哈腾套海农场地处乌兰布和沙漠的东北边缘地带，湖套地区最西端。距磴口县42公里，农场下设11个农业分场，有学校一所(包括初中)，总人口3995人。农场总面积147平方公里(22万亩)，其中耕地3万亩、林地2万亩、水面0.6万亩，可开发宜农荒地2.5万亩。哈腾套海农场日照时间长，昼夜温差大，无霜期长，适应各种农作物的生长，且产品品质优良。主要农产品有:小麦、玉米、油葵、花葵、甜菜、籽瓜、葫芦、苹果梨、甘草。由于我场与四邻相隔较远，具有天然隔离带，便于集中管理，是繁育各种作物良种的理想区域。</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湖泊及涉湖工程现状</w:t>
      </w:r>
      <w:bookmarkEnd w:id="10"/>
      <w:bookmarkEnd w:id="11"/>
    </w:p>
    <w:p>
      <w:pPr>
        <w:widowControl w:val="0"/>
        <w:kinsoku/>
        <w:adjustRightInd w:val="0"/>
        <w:snapToGrid/>
        <w:spacing w:line="360" w:lineRule="auto"/>
        <w:ind w:right="80" w:rightChars="38" w:firstLine="560" w:firstLineChars="200"/>
        <w:contextualSpacing/>
        <w:jc w:val="left"/>
        <w:textAlignment w:val="auto"/>
        <w:rPr>
          <w:highlight w:val="green"/>
        </w:rPr>
      </w:pPr>
      <w:r>
        <w:rPr>
          <w:rFonts w:hint="eastAsia" w:ascii="宋体" w:hAnsi="宋体" w:eastAsia="宋体" w:cs="宋体"/>
          <w:snapToGrid/>
          <w:color w:val="auto"/>
          <w:kern w:val="0"/>
          <w:sz w:val="28"/>
          <w:szCs w:val="28"/>
          <w:highlight w:val="green"/>
          <w:lang w:val="en-US" w:eastAsia="zh-CN" w:bidi="ar-SA"/>
        </w:rPr>
        <w:t>湖泊内目前情况良好，无黑臭现象，水质清澈见底。湖区中水沉水植物甚少,藻类及其它浮游生物繁盛。</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从调查情况，湖泊周边存在部分村民直排生活污水的现象，隆盛合镇在监督、处理方面力度有限。湖泊管理范围内，没有规模养殖场及工业企业，不存在工业废水直排现象。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bookmarkStart w:id="12" w:name="_Toc18027"/>
      <w:bookmarkStart w:id="13" w:name="_Toc4887"/>
      <w:r>
        <w:rPr>
          <w:rFonts w:hint="eastAsia" w:ascii="宋体" w:hAnsi="宋体" w:eastAsia="宋体" w:cs="宋体"/>
          <w:snapToGrid/>
          <w:color w:val="auto"/>
          <w:kern w:val="0"/>
          <w:sz w:val="28"/>
          <w:szCs w:val="28"/>
          <w:highlight w:val="green"/>
          <w:lang w:val="en-US" w:eastAsia="zh-CN" w:bidi="ar-SA"/>
        </w:rPr>
        <w:t xml:space="preserve">湖面保洁、河岸保洁均已由各村落实人员、职责明确，制度健全，但还存在 薄弱环节，一是保洁人员履职不到位的现象时有出现；二是监管执行力度不够。 </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七分场海子的总湖长由沙金套海苏木苏木达、党委副书记担任、沿湖各村段的湖长由各村支部书 记担任；各站、办、所负责人为湖长制办公室成员。</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1.6</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相关规划资料</w:t>
      </w:r>
      <w:bookmarkEnd w:id="12"/>
      <w:bookmarkEnd w:id="1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1.《内蒙古自治区国家生态保护红线划定建议方案》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内蒙古自治区禁止开发区红线主要为国家级自然保护区核心区和缓冲区。为保障省域、市县域生态安全，建议内蒙古自治区及其所辖市县可参照《国家生态保护红线一生态功能红线划定技术指南(试行)》要求，在国家级生态功能红线基础上，补充划定地方级生态功能红线，构建区域生态安全格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2.《内蒙古自治区主体功能区规划》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推进实现主体功能区主要目标的时间是2020年，规划任务是更长远的。</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3.《内蒙古自治区人民政府关于印发水污染防治工作方案的通知》,发布日期：2015-12-31,工作目标为：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到2020年，全区水环境质量得到阶段性改善，优良水体有所增加，污染严重水体较大幅度减少，饮用水安全保障水平持续提升，地下水超采得到严格控制，地下水污染趋势得到初步遏制。到2030年，力争全区水环境质量总体改善，水生态系统功能初步恢复。到本世纪中叶，生态环境质量全面改善，生态系统实现良性循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到2020年，全区重点流域水质优良比例总体达到59.6%。完成国家规定的城市建成区黑臭水体治理目标，地级城市集中式饮用水水源水质达到或优于Ⅲ类比例总体高于81.0%。全区地下水质量考核点位水质级别保持稳定且极差比例控制在21.3%左右。到2030年，全区四大重点流域水质优良比例总体为75%左右，地级城市建成区黑臭水体总体得到消除，城市集中式饮用水水源水质达到或优于Ⅲ类比例总体为95%左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(3)强化经济技术开发区、高新技术产业开发区、出口加工区等工业集聚区污染治理。旗县(市、区)污水处理率达到85%。地级城市建成区于2020年底前污水基本实现全收集、全处理，城镇力争实现截污纳管全覆盖。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(4)四大重点流域干流沿岸，要严格控制煤化工、石油加工、化学原料和化学制品制造、医药制造、化学纤维制造、有色金属冶炼、纺织印染等项目环境风险，合理布局生产装置及危险化学品仓储等设施。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(5)城市规划区范围内应保留一定比例的水域面积，新建项目一律不得违规占用水域。严格水域岸线用途管制，土地开发利用应留足河道、湖泊的管理和保护范围，非法挤占的应限期退出。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4" w:name="_Toc27970"/>
      <w:bookmarkStart w:id="15" w:name="_Toc2904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1.7</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岸线利用与保护现状</w:t>
      </w:r>
      <w:bookmarkEnd w:id="14"/>
      <w:bookmarkEnd w:id="1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域岸线定义为河湖水域水陆边界线一定范围的带状区域。其中，河湖水域是指江、河、湖泊、水库、塘坝、人工水道等在设计洪水位或历史最高洪水位下的水面范围;带状区域是指岸线向陆向水延伸占用空间所形成的带状区域。现状七分场海子沿湖既有岸线为自然形成的岸线界限，岸线保护较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yellow"/>
          <w:lang w:val="en-US" w:eastAsia="zh-CN" w:bidi="ar-SA"/>
        </w:rPr>
        <w:t>2019年3月，水利部办公厅印发了《河湖岸线保护与利用规划编制指南(试行)》,为新时期岸线规划编制工作提供了明确指引。</w:t>
      </w:r>
      <w:r>
        <w:rPr>
          <w:rFonts w:hint="eastAsia" w:ascii="宋体" w:hAnsi="宋体" w:eastAsia="宋体" w:cs="宋体"/>
          <w:snapToGrid/>
          <w:color w:val="auto"/>
          <w:kern w:val="0"/>
          <w:sz w:val="28"/>
          <w:szCs w:val="28"/>
          <w:highlight w:val="none"/>
          <w:lang w:val="en-US" w:eastAsia="zh-CN" w:bidi="ar-SA"/>
        </w:rPr>
        <w:t>2019年5月，自治区水利厅印发文件指出，岸线规划编制是加强河湖岸线空间管控的基础工作，是推动岸线有效保护和合理利用的重要措施。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七分场海子已设立湖长责任制，明确了其相应职责。七分场海子目前尚未编制岸线保护与利用规划。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目前七分场海子湖长组织体系已经初步建立，根据各级河(湖)长制文件要求，各部门负责分工基本明确。但仍需要进一步完善河湖建设项目监管、占用水域补偿、河流日常巡查制度等制度体系。</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6" w:name="_Toc23593"/>
      <w:bookmarkStart w:id="17" w:name="_Toc188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1.8</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河长组织体系</w:t>
      </w:r>
      <w:bookmarkEnd w:id="16"/>
      <w:bookmarkEnd w:id="17"/>
    </w:p>
    <w:p>
      <w:pPr>
        <w:bidi w:val="0"/>
        <w:spacing w:line="360" w:lineRule="auto"/>
        <w:rPr>
          <w:rFonts w:hint="eastAsia" w:ascii="宋体" w:hAnsi="宋体" w:eastAsia="宋体" w:cs="宋体"/>
          <w:b/>
          <w:bCs/>
          <w:color w:val="auto"/>
          <w:sz w:val="28"/>
          <w:szCs w:val="28"/>
          <w:highlight w:val="none"/>
        </w:rPr>
      </w:pPr>
      <w:bookmarkStart w:id="18" w:name="_Toc17869"/>
      <w:r>
        <w:rPr>
          <w:rFonts w:hint="eastAsia" w:ascii="宋体" w:hAnsi="宋体" w:eastAsia="宋体" w:cs="宋体"/>
          <w:b/>
          <w:bCs/>
          <w:color w:val="auto"/>
          <w:sz w:val="28"/>
          <w:szCs w:val="28"/>
          <w:highlight w:val="none"/>
        </w:rPr>
        <w:t>1.8.1 组织形式</w:t>
      </w:r>
      <w:bookmarkEnd w:id="18"/>
    </w:p>
    <w:p>
      <w:pPr>
        <w:widowControl w:val="0"/>
        <w:kinsoku/>
        <w:adjustRightInd w:val="0"/>
        <w:snapToGrid/>
        <w:spacing w:line="360" w:lineRule="auto"/>
        <w:ind w:right="80" w:rightChars="38" w:firstLine="560" w:firstLineChars="200"/>
        <w:contextualSpacing/>
        <w:jc w:val="left"/>
        <w:textAlignment w:val="auto"/>
        <w:rPr>
          <w:rFonts w:ascii="Arial"/>
          <w:color w:val="auto"/>
          <w:sz w:val="21"/>
          <w:highlight w:val="none"/>
        </w:rPr>
      </w:pPr>
      <w:r>
        <w:rPr>
          <w:rFonts w:hint="eastAsia" w:ascii="宋体" w:hAnsi="宋体" w:eastAsia="宋体" w:cs="宋体"/>
          <w:snapToGrid/>
          <w:color w:val="auto"/>
          <w:kern w:val="0"/>
          <w:sz w:val="28"/>
          <w:szCs w:val="28"/>
          <w:highlight w:val="none"/>
          <w:lang w:val="en-US" w:eastAsia="zh-CN" w:bidi="ar-SA"/>
        </w:rPr>
        <w:t>磴口县设立由哈腾套海农场公司党委书记担任总河长。七分场海子湖长由哈腾套海农场公司镇（场）级湖长担任，分场级湖长由所在的分场支部主任担任。</w:t>
      </w:r>
    </w:p>
    <w:p>
      <w:pPr>
        <w:bidi w:val="0"/>
        <w:spacing w:line="360" w:lineRule="auto"/>
        <w:rPr>
          <w:rFonts w:hint="eastAsia" w:ascii="宋体" w:hAnsi="宋体" w:eastAsia="宋体" w:cs="宋体"/>
          <w:b/>
          <w:bCs/>
          <w:color w:val="auto"/>
          <w:sz w:val="28"/>
          <w:szCs w:val="28"/>
          <w:highlight w:val="none"/>
        </w:rPr>
      </w:pPr>
      <w:bookmarkStart w:id="19" w:name="_Toc26295"/>
      <w:r>
        <w:rPr>
          <w:rFonts w:hint="eastAsia" w:ascii="宋体" w:hAnsi="宋体" w:eastAsia="宋体" w:cs="宋体"/>
          <w:b/>
          <w:bCs/>
          <w:color w:val="auto"/>
          <w:sz w:val="28"/>
          <w:szCs w:val="28"/>
          <w:highlight w:val="none"/>
        </w:rPr>
        <w:t>1.8.2 河长职责</w:t>
      </w:r>
      <w:bookmarkEnd w:id="1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河长、副总河长负责领导、组织本行政区域内湖长制工作，担任推行河长制的总督导、总调度职责。各级河长是所辖河湖管理和保护的直接责任人。总河(湖)长负责牵头推进河湖突出问题整治、水污染综合防治、河湖巡查保洁、生态修复、保护管理，协调上下游、左右岸实行联防联控，协调解决实际问题，检查督导下级河长和相关部门履职情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none"/>
          <w:lang w:val="en-US" w:eastAsia="zh-CN" w:bidi="ar-SA"/>
        </w:rPr>
        <w:t>1、</w:t>
      </w:r>
      <w:r>
        <w:rPr>
          <w:rFonts w:hint="eastAsia" w:ascii="宋体" w:hAnsi="宋体" w:eastAsia="宋体" w:cs="宋体"/>
          <w:snapToGrid/>
          <w:color w:val="auto"/>
          <w:kern w:val="0"/>
          <w:sz w:val="28"/>
          <w:szCs w:val="28"/>
          <w:highlight w:val="green"/>
          <w:lang w:val="en-US" w:eastAsia="zh-CN" w:bidi="ar-SA"/>
        </w:rPr>
        <w:t>总湖长(1)对七分场海子的管理保护负总责，统筹协调湖泊与入湖河流的管理保护工作，协调解决七分场海子管理保护中的重大问题。(2)确定湖泊管理保护目标任务，组织制定县级“一湖一策”方案。(3)明确各级湖长职责，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2、副湖长(1)协助总湖长工作。(2)七分场海子管理保护负主体责任，参与确定湖泊管理保护目标任务，负责组织、督促、落实县级“一湖一策”及综合治理规划确定的各项目标任务。(3)组织领导巴彦套海农场相关部门和下级湖长开展湖泊管理保护和治理工作。</w:t>
      </w:r>
    </w:p>
    <w:p>
      <w:pPr>
        <w:widowControl w:val="0"/>
        <w:kinsoku/>
        <w:adjustRightInd w:val="0"/>
        <w:snapToGrid/>
        <w:spacing w:line="360" w:lineRule="auto"/>
        <w:ind w:right="80" w:rightChars="38" w:firstLine="560" w:firstLineChars="200"/>
        <w:contextualSpacing/>
        <w:jc w:val="left"/>
        <w:textAlignment w:val="auto"/>
        <w:rPr>
          <w:rFonts w:hint="default"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green"/>
          <w:lang w:val="en-US" w:eastAsia="zh-CN" w:bidi="ar-SA"/>
        </w:rPr>
        <w:t>苏木木乡镇级湖长(1)对七分场海子的</w:t>
      </w:r>
      <w:r>
        <w:rPr>
          <w:rFonts w:hint="eastAsia" w:ascii="宋体" w:hAnsi="宋体" w:eastAsia="宋体" w:cs="宋体"/>
          <w:snapToGrid/>
          <w:color w:val="auto"/>
          <w:kern w:val="0"/>
          <w:sz w:val="28"/>
          <w:szCs w:val="28"/>
          <w:highlight w:val="none"/>
          <w:lang w:val="en-US" w:eastAsia="zh-CN" w:bidi="ar-SA"/>
        </w:rPr>
        <w:t>管理保护负直接责任，并组织实施管理保护工作。(2)确定本级管理保护目标任务，依据县级“一湖一策”方案组织制定乡镇苏木级“一湖一策”方案。(3)依法组织整治围垦湖泊、侵占水域、超标排污、违法养殖、非法采砂等突出问题。(4)对本级相关部门和下一级湖长履职情况进行督导。</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green"/>
          <w:lang w:val="en-US" w:eastAsia="zh-CN" w:bidi="ar-SA"/>
        </w:rPr>
        <w:t>嘎查村级湖长具体落实本辖区内的七分场海子</w:t>
      </w:r>
      <w:r>
        <w:rPr>
          <w:rFonts w:hint="eastAsia" w:ascii="宋体" w:hAnsi="宋体" w:eastAsia="宋体" w:cs="宋体"/>
          <w:snapToGrid/>
          <w:color w:val="auto"/>
          <w:kern w:val="0"/>
          <w:sz w:val="28"/>
          <w:szCs w:val="28"/>
          <w:highlight w:val="none"/>
          <w:lang w:val="en-US" w:eastAsia="zh-CN" w:bidi="ar-SA"/>
        </w:rPr>
        <w:t>管理保护任务，开展管理保护宣传教育，进行日常巡湖、落实日常保洁等管理保护工作，劝阻相关违法行为，并及时向上级反映巡湖中发现的重大问题。</w:t>
      </w:r>
    </w:p>
    <w:p>
      <w:pPr>
        <w:bidi w:val="0"/>
        <w:spacing w:line="360" w:lineRule="auto"/>
        <w:rPr>
          <w:rFonts w:hint="eastAsia" w:ascii="宋体" w:hAnsi="宋体" w:eastAsia="宋体" w:cs="宋体"/>
          <w:b/>
          <w:bCs/>
          <w:color w:val="auto"/>
          <w:sz w:val="28"/>
          <w:szCs w:val="28"/>
          <w:highlight w:val="none"/>
        </w:rPr>
      </w:pPr>
      <w:bookmarkStart w:id="20" w:name="_Toc10201"/>
      <w:r>
        <w:rPr>
          <w:rFonts w:hint="eastAsia" w:ascii="宋体" w:hAnsi="宋体" w:eastAsia="宋体" w:cs="宋体"/>
          <w:b/>
          <w:bCs/>
          <w:color w:val="auto"/>
          <w:sz w:val="28"/>
          <w:szCs w:val="28"/>
          <w:highlight w:val="none"/>
        </w:rPr>
        <w:t>1.8.3 河长办公室</w:t>
      </w:r>
      <w:bookmarkEnd w:id="2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县级河长设置相应的河长制办公室，承担河长制组织实施具体工作，落实河长确定的事项，主要职责为组织协调、调度督导、检查考核。</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河(湖)长制办公室设在水利局，办公室主任由水利局局长担任。县各有关部门为推行河长制的责任单位，确定一名副科级干部作为河长制办公室组成人员。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headerReference r:id="rId8" w:type="default"/>
          <w:footerReference r:id="rId9" w:type="default"/>
          <w:pgSz w:w="12080" w:h="16970"/>
          <w:pgMar w:top="1442" w:right="1705" w:bottom="2068" w:left="1812" w:header="1020" w:footer="1587" w:gutter="0"/>
          <w:pgNumType w:fmt="decimal" w:start="1"/>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21" w:name="_Toc3522"/>
      <w:bookmarkStart w:id="22" w:name="_Toc1030"/>
      <w:r>
        <w:rPr>
          <w:rFonts w:hint="eastAsia" w:ascii="宋体" w:hAnsi="宋体" w:eastAsia="宋体" w:cs="宋体"/>
          <w:color w:val="auto"/>
          <w:sz w:val="32"/>
          <w:szCs w:val="32"/>
          <w:highlight w:val="none"/>
          <w:lang w:val="en-US" w:eastAsia="zh-CN"/>
        </w:rPr>
        <w:t>2 岸线保护和利用形势分析</w:t>
      </w:r>
      <w:bookmarkEnd w:id="21"/>
      <w:bookmarkEnd w:id="2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3" w:name="_Toc24909"/>
      <w:bookmarkStart w:id="24" w:name="_Toc467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2.1 岸线利用现状评价</w:t>
      </w:r>
      <w:bookmarkEnd w:id="23"/>
      <w:bookmarkEnd w:id="24"/>
    </w:p>
    <w:p>
      <w:pPr>
        <w:bidi w:val="0"/>
        <w:spacing w:line="360" w:lineRule="auto"/>
        <w:rPr>
          <w:rFonts w:hint="eastAsia" w:ascii="宋体" w:hAnsi="宋体" w:eastAsia="宋体" w:cs="宋体"/>
          <w:b/>
          <w:bCs/>
          <w:color w:val="auto"/>
          <w:sz w:val="28"/>
          <w:szCs w:val="28"/>
          <w:highlight w:val="none"/>
        </w:rPr>
      </w:pPr>
      <w:bookmarkStart w:id="25" w:name="_Toc4942"/>
      <w:r>
        <w:rPr>
          <w:rFonts w:hint="eastAsia" w:ascii="宋体" w:hAnsi="宋体" w:eastAsia="宋体" w:cs="宋体"/>
          <w:b/>
          <w:bCs/>
          <w:color w:val="auto"/>
          <w:sz w:val="28"/>
          <w:szCs w:val="28"/>
          <w:highlight w:val="none"/>
        </w:rPr>
        <w:t>2.1.1 岸线评价的一般原则</w:t>
      </w:r>
      <w:bookmarkEnd w:id="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(1)综合分析与主导因素相结合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因为岸线的各种自然、人文因子对岸线利用潜力所起的作用是不平衡的，不同利用方式对岸线的质量要求也不同，所以，在岸线评价时，必须找出几个起主导作用的支配因子，这些因子对各种利用方式来说具备一定的共通性特征。在综合分析的基础上，利用主导因子进行岸线的质量的分等、分级，指出对各种利用方式的适宜、不适宜，确定开发顺序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(2)自然属性和社会属性相结合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自然属性是决定其质量的基础。在进行岸线评价时应以岸线的自然属性为主，首先考虑的是相对重要的自然因子，如水深、岸线稳定性等。自然因子是岸线质量评价的主要因子。另一方面，岸线的适宜性、限制性及其质量高低同时也受人类对岸线所作的工程技术设施的影响，人们对岸线适宜性、限制性及其质量高低的认识受评价时技术水平的影响，所以岸线评价还要考虑岸线所处的社会经济背景，如岸线利用现状，岸线利用的社会经济背景和人为因素对岸线自然属性的影响，岸线陆域腹地的经济发展水平等。社会经济因子影响了岸线开发条件的好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岸线资源评价过程中，经济效益的高低是衡量岸线质量的主要依据，但根据岸线资源的特点，开发利用与治理保护同等重要，如果不重视这对矛盾，处理不好二者之间的关系，就不能达到岸线资源的持续利用。岸线资源的特征决定了岸线的评价要考虑经济和生态以及社会三方面的效益。所以生态效益和社会效益是岸线评价工作中都要考虑的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(4)定性与定量相结合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定量化有助于增加评价结果的科学性和可信度，促进评价指标与标准的统一化，但由于岸线资源是一个复杂的资源系统，其开发利用受多种因素的综合影响。因此，岸线评价要以定量评价为基础，兼之以定性的修正，这样才能使评价结果更符合实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(5)以应用为主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案一定要面向生产实际、从生产实际出发，着眼于挖掘潜力，达到合理而充分利用岸线资源的目的。参评因子的选择和指标的确定都必须符合当地生产实际，即根据规定用途对自然条件的要求而定。最终的结果要经过生产实践的检验，评价结果要符合科学性，有利于有关部门掌握和应用。</w:t>
      </w:r>
    </w:p>
    <w:p>
      <w:pPr>
        <w:bidi w:val="0"/>
        <w:spacing w:line="360" w:lineRule="auto"/>
        <w:rPr>
          <w:rFonts w:hint="eastAsia" w:ascii="宋体" w:hAnsi="宋体" w:eastAsia="宋体" w:cs="宋体"/>
          <w:b/>
          <w:bCs/>
          <w:color w:val="auto"/>
          <w:sz w:val="28"/>
          <w:szCs w:val="28"/>
          <w:highlight w:val="none"/>
        </w:rPr>
      </w:pPr>
      <w:bookmarkStart w:id="26" w:name="_Toc528"/>
      <w:r>
        <w:rPr>
          <w:rFonts w:hint="eastAsia" w:ascii="宋体" w:hAnsi="宋体" w:eastAsia="宋体" w:cs="宋体"/>
          <w:b/>
          <w:bCs/>
          <w:color w:val="auto"/>
          <w:sz w:val="28"/>
          <w:szCs w:val="28"/>
          <w:highlight w:val="none"/>
        </w:rPr>
        <w:t>2.1.2 岸线评价的一般程序</w:t>
      </w:r>
      <w:bookmarkEnd w:id="2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(1)指标选取与方法确定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的首要工作是选取评价指标，即参评因子。指标要尽可能全面而符合客观实际，最主要的是要有代表性，能比较真实地反映岸线的自然和社会经济属性。指标体系要根据评价目的不同而建立。质量评价应以重要的自然因子为主，适宜性评价还要综合分析岸线的社会特征。由于各种因素对岸线属性的影响程度有差异，不同利用方式对岸线的质量要求有差异，所以岸线的评价不能拘泥于固定的指标模式，一方面要综合分析各种因素的影响，另一方面也针对专门的利用方式选择主导因素设立相对比较灵活的指标体系。</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评价方法主要包括：评价单元的划分方法、指标的评价方法和评价结果的获取方法。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单元是岸线评价的最小地域单元，其划分要反映岸线的主要自然属性。划分方法可采用目测法或定量分析法。目测法是通过观察评价底图上岸线自然属性的变化，参照一定的自然、人文标志物，将待评价岸线划分为若干单元。定量分析法是选取反映岸线自然属性的重要因子并将其做定量化处理，通过分析这些因子在待评岸线上的变化，划分评价单元。这种方法一般要先将岸线划分为等长的初始评价岸段，然后计算各岸段评价因子的值，最后运用计量方法将初始岸段合并成需要的评价单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指标的评价是将指标划分成若干等级，等级的多少可视指标的特征而定，也可根据评价的要求或需要而定。等级划分尽量采用定量指标，对有些无法或目前还难以定量化的指标，也可采用定向描述来划分等级。等级的表示可采用文字如A、B、C……等形式，也可采用顺序或逆序的等差数列如1、2、3……,9、7、5……等形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结果的获取方法较多，通常采用的方法有限制因素法、经营权重法和统计分析法等。限制因素法是选取参评因子中限制因子的等级分值作为评价岸段的分值。经验权重法是根据参评因子的重要性，赋予其一定的权重系数，通过建立评价结果与因子之间的回归方程，求得评价岸段的分值。统计分析法是通过对评价单元各因子的得分矩阵进行主成分分析或聚类分析，来划分评价结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(2)评价的一般程序</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岸线评价涉及多学科、多领域，是一项综合性较强的工作，其评价过程一般分为准备、野外调查、具体评价和提交成果阶段，详见图2.1-1。</w:t>
      </w:r>
    </w:p>
    <w:p>
      <w:pPr>
        <w:spacing w:line="419" w:lineRule="auto"/>
        <w:rPr>
          <w:rFonts w:ascii="Arial"/>
          <w:color w:val="auto"/>
          <w:sz w:val="21"/>
          <w:highlight w:val="none"/>
        </w:rPr>
      </w:pPr>
      <w:r>
        <w:rPr>
          <w:color w:val="auto"/>
          <w:sz w:val="21"/>
          <w:highlight w:val="none"/>
        </w:rPr>
        <mc:AlternateContent>
          <mc:Choice Requires="wps">
            <w:drawing>
              <wp:anchor distT="0" distB="0" distL="114300" distR="114300" simplePos="0" relativeHeight="251668480" behindDoc="0" locked="0" layoutInCell="1" allowOverlap="1">
                <wp:simplePos x="0" y="0"/>
                <wp:positionH relativeFrom="column">
                  <wp:posOffset>4257040</wp:posOffset>
                </wp:positionH>
                <wp:positionV relativeFrom="paragraph">
                  <wp:posOffset>116840</wp:posOffset>
                </wp:positionV>
                <wp:extent cx="311785" cy="1029335"/>
                <wp:effectExtent l="0" t="0" r="12065" b="18415"/>
                <wp:wrapNone/>
                <wp:docPr id="30" name="文本框 30"/>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pt;margin-top:9.2pt;height:81.05pt;width:24.55pt;z-index:251668480;mso-width-relative:page;mso-height-relative:page;" fillcolor="#FFFFFF [3201]" filled="t" stroked="f" coordsize="21600,21600" o:gfxdata="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kvfsNUAAAAKAQAADwAA&#10;AAAAAAABACAAAAAiAAAAZHJzL2Rvd25yZXYueG1sUEsBAhQAFAAAAAgAh07iQG1lRmNSAgAAkQQA&#10;AA4AAAAAAAAAAQAgAAAAJAEAAGRycy9lMm9Eb2MueG1sUEsFBgAAAAAGAAYAWQEAAOgFA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交</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成</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果</w:t>
                      </w:r>
                    </w:p>
                  </w:txbxContent>
                </v:textbox>
              </v:shape>
            </w:pict>
          </mc:Fallback>
        </mc:AlternateContent>
      </w:r>
      <w:r>
        <w:rPr>
          <w:color w:val="auto"/>
          <w:highlight w:val="none"/>
        </w:rPr>
        <mc:AlternateContent>
          <mc:Choice Requires="wps">
            <w:drawing>
              <wp:anchor distT="0" distB="0" distL="114300" distR="114300" simplePos="0" relativeHeight="251667456" behindDoc="0" locked="0" layoutInCell="1" allowOverlap="1">
                <wp:simplePos x="0" y="0"/>
                <wp:positionH relativeFrom="column">
                  <wp:posOffset>4224020</wp:posOffset>
                </wp:positionH>
                <wp:positionV relativeFrom="paragraph">
                  <wp:posOffset>59055</wp:posOffset>
                </wp:positionV>
                <wp:extent cx="1035050" cy="1161415"/>
                <wp:effectExtent l="12700" t="12700" r="19050" b="26035"/>
                <wp:wrapNone/>
                <wp:docPr id="29"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wps:txbx>
                      <wps:bodyPr lIns="0" tIns="0" rIns="0" bIns="0" upright="1"/>
                    </wps:wsp>
                  </a:graphicData>
                </a:graphic>
              </wp:anchor>
            </w:drawing>
          </mc:Choice>
          <mc:Fallback>
            <w:pict>
              <v:shape id="文本框 26" o:spid="_x0000_s1026" o:spt="202" type="#_x0000_t202" style="position:absolute;left:0pt;margin-left:332.6pt;margin-top:4.65pt;height:91.45pt;width:81.5pt;z-index:251667456;mso-width-relative:page;mso-height-relative:page;" fillcolor="#FFFFFF [3201]" filled="t" stroked="t" coordsize="21600,21600" o:gfxdata="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Va0rtYAAAAJAQAADwAAAAAAAAABACAAAAAiAAAAZHJzL2Rvd25y&#10;ZXYueG1sUEsBAhQAFAAAAAgAh07iQMwKO5AAAgAACwQAAA4AAAAAAAAAAQAgAAAAJQEAAGRycy9l&#10;Mm9Eb2MueG1sUEsFBgAAAAAGAAYAWQEAAJcFAAAAAA==&#10;">
                <v:fill on="t" focussize="0,0"/>
                <v:stroke weight="2pt" color="#F79646 [3209]" joinstyle="round"/>
                <v:imagedata o:title=""/>
                <o:lock v:ext="edit" aspectratio="f"/>
                <v:textbox inset="0mm,0mm,0mm,0mm">
                  <w:txbxContent>
                    <w:p>
                      <w:pPr>
                        <w:spacing w:before="19" w:line="218" w:lineRule="auto"/>
                        <w:rPr>
                          <w:rFonts w:hint="default" w:ascii="Times New Roman" w:hAnsi="Times New Roman" w:eastAsia="宋体" w:cs="Times New Roman"/>
                          <w:spacing w:val="8"/>
                          <w:sz w:val="18"/>
                          <w:szCs w:val="18"/>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岸线长度</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质量分级</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适宜特征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图件成果</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问题分析</w:t>
                      </w:r>
                    </w:p>
                    <w:p>
                      <w:pPr>
                        <w:pStyle w:val="2"/>
                        <w:ind w:left="0" w:leftChars="0"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对策建议</w:t>
                      </w:r>
                    </w:p>
                  </w:txbxContent>
                </v:textbox>
              </v:shape>
            </w:pict>
          </mc:Fallback>
        </mc:AlternateContent>
      </w:r>
      <w:r>
        <w:rPr>
          <w:color w:val="auto"/>
          <w:sz w:val="21"/>
          <w:highlight w:val="none"/>
        </w:rPr>
        <mc:AlternateContent>
          <mc:Choice Requires="wps">
            <w:drawing>
              <wp:anchor distT="0" distB="0" distL="114300" distR="114300" simplePos="0" relativeHeight="251666432" behindDoc="0" locked="0" layoutInCell="1" allowOverlap="1">
                <wp:simplePos x="0" y="0"/>
                <wp:positionH relativeFrom="column">
                  <wp:posOffset>2857500</wp:posOffset>
                </wp:positionH>
                <wp:positionV relativeFrom="paragraph">
                  <wp:posOffset>102870</wp:posOffset>
                </wp:positionV>
                <wp:extent cx="311785" cy="1029335"/>
                <wp:effectExtent l="0" t="0" r="12065" b="18415"/>
                <wp:wrapNone/>
                <wp:docPr id="28" name="文本框 28"/>
                <wp:cNvGraphicFramePr/>
                <a:graphic xmlns:a="http://schemas.openxmlformats.org/drawingml/2006/main">
                  <a:graphicData uri="http://schemas.microsoft.com/office/word/2010/wordprocessingShape">
                    <wps:wsp>
                      <wps:cNvSpPr txBox="1"/>
                      <wps:spPr>
                        <a:xfrm>
                          <a:off x="0" y="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5pt;margin-top:8.1pt;height:81.05pt;width:24.55pt;z-index:251666432;mso-width-relative:page;mso-height-relative:page;" fillcolor="#FFFFFF [3201]" filled="t" stroked="f" coordsize="21600,21600" o:gfxdata="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oqbQPWAAAACgEAAA8A&#10;AAAAAAAAAQAgAAAAIgAAAGRycy9kb3ducmV2LnhtbFBLAQIUABQAAAAIAIdO4kC9H1d9UgIAAJEE&#10;AAAOAAAAAAAAAAEAIAAAACUBAABkcnMvZTJvRG9jLnhtbFBLBQYAAAAABgAGAFkBAADpBQ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具</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体</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评</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价</w:t>
                      </w:r>
                    </w:p>
                  </w:txbxContent>
                </v:textbox>
              </v:shape>
            </w:pict>
          </mc:Fallback>
        </mc:AlternateContent>
      </w:r>
      <w:r>
        <w:rPr>
          <w:color w:val="auto"/>
          <w:sz w:val="21"/>
          <w:highlight w:val="none"/>
        </w:rPr>
        <mc:AlternateContent>
          <mc:Choice Requires="wps">
            <w:drawing>
              <wp:anchor distT="0" distB="0" distL="114300" distR="114300" simplePos="0" relativeHeight="251661312" behindDoc="0" locked="0" layoutInCell="1" allowOverlap="1">
                <wp:simplePos x="0" y="0"/>
                <wp:positionH relativeFrom="column">
                  <wp:posOffset>1085215</wp:posOffset>
                </wp:positionH>
                <wp:positionV relativeFrom="paragraph">
                  <wp:posOffset>427990</wp:posOffset>
                </wp:positionV>
                <wp:extent cx="286385" cy="424815"/>
                <wp:effectExtent l="12700" t="12700" r="24765" b="19685"/>
                <wp:wrapNone/>
                <wp:docPr id="21" name="右箭头 21"/>
                <wp:cNvGraphicFramePr/>
                <a:graphic xmlns:a="http://schemas.openxmlformats.org/drawingml/2006/main">
                  <a:graphicData uri="http://schemas.microsoft.com/office/word/2010/wordprocessingShape">
                    <wps:wsp>
                      <wps:cNvSpPr/>
                      <wps:spPr>
                        <a:xfrm>
                          <a:off x="2727325" y="4147820"/>
                          <a:ext cx="286385" cy="42481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85.45pt;margin-top:33.7pt;height:33.45pt;width:22.55pt;z-index:251661312;v-text-anchor:middle;mso-width-relative:page;mso-height-relative:page;" fillcolor="#FFFFFF [3201]" filled="t" stroked="t" coordsize="21600,21600" o:gfxdata="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ByO7b+1gAAAAoBAAAPAAAAAAAAAAEAIAAAACIA&#10;AABkcnMvZG93bnJldi54bWxQSwECFAAUAAAACACHTuJA9LqLrX0CAAD+BAAADgAAAAAAAAABACAA&#10;AAAlAQAAZHJzL2Uyb0RvYy54bWxQSwUGAAAAAAYABgBZAQAAFAY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3360" behindDoc="0" locked="0" layoutInCell="1" allowOverlap="1">
                <wp:simplePos x="0" y="0"/>
                <wp:positionH relativeFrom="column">
                  <wp:posOffset>2433320</wp:posOffset>
                </wp:positionH>
                <wp:positionV relativeFrom="paragraph">
                  <wp:posOffset>450215</wp:posOffset>
                </wp:positionV>
                <wp:extent cx="330200" cy="434975"/>
                <wp:effectExtent l="12700" t="12700" r="19050" b="28575"/>
                <wp:wrapNone/>
                <wp:docPr id="23" name="右箭头 23"/>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91.6pt;margin-top:35.45pt;height:34.25pt;width:26pt;z-index:251663360;v-text-anchor:middle;mso-width-relative:page;mso-height-relative:page;" fillcolor="#FFFFFF [3201]" filled="t" stroked="t" coordsize="21600,21600" o:gfxdata="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Cy33DYAAAACgEAAA8AAAAAAAAAAQAgAAAAIgAAAGRycy9kb3du&#10;cmV2LnhtbFBLAQIUABQAAAAIAIdO4kBu+5RmcQIAAPIEAAAOAAAAAAAAAAEAIAAAACc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sz w:val="21"/>
          <w:highlight w:val="none"/>
        </w:rPr>
        <mc:AlternateContent>
          <mc:Choice Requires="wps">
            <w:drawing>
              <wp:anchor distT="0" distB="0" distL="114300" distR="114300" simplePos="0" relativeHeight="251665408" behindDoc="0" locked="0" layoutInCell="1" allowOverlap="1">
                <wp:simplePos x="0" y="0"/>
                <wp:positionH relativeFrom="column">
                  <wp:posOffset>3850005</wp:posOffset>
                </wp:positionH>
                <wp:positionV relativeFrom="paragraph">
                  <wp:posOffset>464185</wp:posOffset>
                </wp:positionV>
                <wp:extent cx="330200" cy="434975"/>
                <wp:effectExtent l="12700" t="12700" r="19050" b="28575"/>
                <wp:wrapNone/>
                <wp:docPr id="27" name="右箭头 27"/>
                <wp:cNvGraphicFramePr/>
                <a:graphic xmlns:a="http://schemas.openxmlformats.org/drawingml/2006/main">
                  <a:graphicData uri="http://schemas.microsoft.com/office/word/2010/wordprocessingShape">
                    <wps:wsp>
                      <wps:cNvSpPr/>
                      <wps:spPr>
                        <a:xfrm>
                          <a:off x="0" y="0"/>
                          <a:ext cx="330200" cy="434975"/>
                        </a:xfrm>
                        <a:prstGeom prst="rightArrow">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3.15pt;margin-top:36.55pt;height:34.25pt;width:26pt;z-index:251665408;v-text-anchor:middle;mso-width-relative:page;mso-height-relative:page;" fillcolor="#FFFFFF [3201]" filled="t" stroked="t" coordsize="21600,21600" o:gfxdata="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I6CwKDXAAAACgEAAA8AAAAAAAAAAQAgAAAAIgAAAGRycy9kb3du&#10;cmV2LnhtbFBLAQIUABQAAAAIAIdO4kDoViErcgIAAPIEAAAOAAAAAAAAAAEAIAAAACYBAABkcnMv&#10;ZTJvRG9jLnhtbFBLBQYAAAAABgAGAFkBAAAKBgAAAAA=&#10;" adj="10800,5400">
                <v:fill on="t" focussize="0,0"/>
                <v:stroke weight="2pt" color="#000000 [3213]" joinstyle="round"/>
                <v:imagedata o:title=""/>
                <o:lock v:ext="edit" aspectratio="f"/>
                <v:textbox>
                  <w:txbxContent>
                    <w:p>
                      <w:pPr>
                        <w:jc w:val="center"/>
                      </w:pPr>
                    </w:p>
                  </w:txbxContent>
                </v:textbox>
              </v:shape>
            </w:pict>
          </mc:Fallback>
        </mc:AlternateContent>
      </w:r>
      <w:r>
        <w:rPr>
          <w:color w:val="auto"/>
          <w:highlight w:val="none"/>
        </w:rPr>
        <mc:AlternateContent>
          <mc:Choice Requires="wps">
            <w:drawing>
              <wp:anchor distT="0" distB="0" distL="114300" distR="114300" simplePos="0" relativeHeight="251664384" behindDoc="0" locked="0" layoutInCell="1" allowOverlap="1">
                <wp:simplePos x="0" y="0"/>
                <wp:positionH relativeFrom="column">
                  <wp:posOffset>2790190</wp:posOffset>
                </wp:positionH>
                <wp:positionV relativeFrom="paragraph">
                  <wp:posOffset>53975</wp:posOffset>
                </wp:positionV>
                <wp:extent cx="1035050" cy="1161415"/>
                <wp:effectExtent l="12700" t="12700" r="19050" b="26035"/>
                <wp:wrapNone/>
                <wp:docPr id="25" name="文本框 26"/>
                <wp:cNvGraphicFramePr/>
                <a:graphic xmlns:a="http://schemas.openxmlformats.org/drawingml/2006/main">
                  <a:graphicData uri="http://schemas.microsoft.com/office/word/2010/wordprocessingShape">
                    <wps:wsp>
                      <wps:cNvSpPr txBox="1"/>
                      <wps:spPr>
                        <a:xfrm>
                          <a:off x="0" y="0"/>
                          <a:ext cx="1035050" cy="1161415"/>
                        </a:xfrm>
                        <a:prstGeom prst="rect">
                          <a:avLst/>
                        </a:prstGeom>
                      </wps:spPr>
                      <wps:style>
                        <a:lnRef idx="2">
                          <a:schemeClr val="accent6"/>
                        </a:lnRef>
                        <a:fillRef idx="1">
                          <a:schemeClr val="lt1"/>
                        </a:fillRef>
                        <a:effectRef idx="0">
                          <a:schemeClr val="accent6"/>
                        </a:effectRef>
                        <a:fontRef idx="minor">
                          <a:schemeClr val="dk1"/>
                        </a:fontRef>
                      </wps:style>
                      <wps:txbx>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wps:txbx>
                      <wps:bodyPr lIns="0" tIns="0" rIns="0" bIns="0" upright="1"/>
                    </wps:wsp>
                  </a:graphicData>
                </a:graphic>
              </wp:anchor>
            </w:drawing>
          </mc:Choice>
          <mc:Fallback>
            <w:pict>
              <v:shape id="文本框 26" o:spid="_x0000_s1026" o:spt="202" type="#_x0000_t202" style="position:absolute;left:0pt;margin-left:219.7pt;margin-top:4.25pt;height:91.45pt;width:81.5pt;z-index:251664384;mso-width-relative:page;mso-height-relative:page;" fillcolor="#FFFFFF [3201]" filled="t" stroked="t" coordsize="21600,21600" o:gfxdata="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Ulvtr1gAAAAkBAAAPAAAAAAAAAAEAIAAAACIAAABkcnMvZG93bnJl&#10;di54bWxQSwECFAAUAAAACACHTuJAypqh9P8BAAALBAAADgAAAAAAAAABACAAAAAlAQAAZHJzL2Uy&#10;b0RvYy54bWxQSwUGAAAAAAYABgBZAQAAlgUAAAAA&#10;">
                <v:fill on="t" focussize="0,0"/>
                <v:stroke weight="2pt" color="#F79646 [3209]" joinstyle="round"/>
                <v:imagedata o:title=""/>
                <o:lock v:ext="edit" aspectratio="f"/>
                <v:textbox inset="0mm,0mm,0mm,0mm">
                  <w:txbxContent>
                    <w:p>
                      <w:pPr>
                        <w:pStyle w:val="2"/>
                        <w:ind w:left="0" w:leftChars="0" w:firstLine="0" w:firstLineChars="0"/>
                        <w:rPr>
                          <w:rFonts w:hint="default"/>
                        </w:rPr>
                      </w:pP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指标体系</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单元划分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方法研究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指标评价</w:t>
                      </w:r>
                    </w:p>
                    <w:p>
                      <w:pPr>
                        <w:spacing w:before="19" w:line="218" w:lineRule="auto"/>
                        <w:ind w:firstLine="588" w:firstLineChars="300"/>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结果汇总</w:t>
                      </w:r>
                    </w:p>
                  </w:txbxContent>
                </v:textbox>
              </v:shape>
            </w:pict>
          </mc:Fallback>
        </mc:AlternateContent>
      </w:r>
      <w:r>
        <w:rPr>
          <w:color w:val="auto"/>
          <w:sz w:val="21"/>
          <w:highlight w:val="none"/>
        </w:rPr>
        <mc:AlternateContent>
          <mc:Choice Requires="wps">
            <w:drawing>
              <wp:anchor distT="0" distB="0" distL="114300" distR="114300" simplePos="0" relativeHeight="251662336" behindDoc="0" locked="0" layoutInCell="1" allowOverlap="1">
                <wp:simplePos x="0" y="0"/>
                <wp:positionH relativeFrom="column">
                  <wp:posOffset>1440815</wp:posOffset>
                </wp:positionH>
                <wp:positionV relativeFrom="paragraph">
                  <wp:posOffset>114935</wp:posOffset>
                </wp:positionV>
                <wp:extent cx="311785" cy="1029335"/>
                <wp:effectExtent l="0" t="0" r="12065" b="18415"/>
                <wp:wrapNone/>
                <wp:docPr id="22" name="文本框 22"/>
                <wp:cNvGraphicFramePr/>
                <a:graphic xmlns:a="http://schemas.openxmlformats.org/drawingml/2006/main">
                  <a:graphicData uri="http://schemas.microsoft.com/office/word/2010/wordprocessingShape">
                    <wps:wsp>
                      <wps:cNvSpPr txBox="1"/>
                      <wps:spPr>
                        <a:xfrm>
                          <a:off x="3125470" y="3489960"/>
                          <a:ext cx="311785" cy="10293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3.45pt;margin-top:9.05pt;height:81.05pt;width:24.55pt;z-index:251662336;mso-width-relative:page;mso-height-relative:page;" fillcolor="#FFFFFF [3201]" filled="t" stroked="f" coordsize="21600,21600" o:gfxdata="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W/SV1AAA&#10;AAoBAAAPAAAAAAAAAAEAIAAAACIAAABkcnMvZG93bnJldi54bWxQSwECFAAUAAAACACHTuJAKNX0&#10;plsCAACdBAAADgAAAAAAAAABACAAAAAjAQAAZHJzL2Uyb0RvYy54bWxQSwUGAAAAAAYABgBZAQAA&#10;8AUAAAAA&#10;">
                <v:fill on="t" focussize="0,0"/>
                <v:stroke on="f" weight="0.5pt"/>
                <v:imagedata o:title=""/>
                <o:lock v:ext="edit" aspectratio="f"/>
                <v:textbox>
                  <w:txbxContent>
                    <w:p>
                      <w:pPr>
                        <w:rPr>
                          <w:rFonts w:hint="eastAsia" w:eastAsia="宋体"/>
                          <w:sz w:val="18"/>
                          <w:szCs w:val="18"/>
                          <w:lang w:eastAsia="zh-CN"/>
                        </w:rPr>
                      </w:pPr>
                      <w:r>
                        <w:rPr>
                          <w:rFonts w:hint="eastAsia" w:eastAsia="宋体"/>
                          <w:sz w:val="18"/>
                          <w:szCs w:val="18"/>
                          <w:lang w:eastAsia="zh-CN"/>
                        </w:rPr>
                        <w:t>野</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外</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调</w:t>
                      </w:r>
                    </w:p>
                    <w:p>
                      <w:pPr>
                        <w:rPr>
                          <w:rFonts w:hint="eastAsia" w:eastAsia="宋体"/>
                          <w:sz w:val="15"/>
                          <w:szCs w:val="15"/>
                          <w:lang w:eastAsia="zh-CN"/>
                        </w:rPr>
                      </w:pPr>
                    </w:p>
                    <w:p>
                      <w:pPr>
                        <w:rPr>
                          <w:rFonts w:hint="eastAsia" w:eastAsia="宋体"/>
                          <w:sz w:val="18"/>
                          <w:szCs w:val="18"/>
                          <w:lang w:eastAsia="zh-CN"/>
                        </w:rPr>
                      </w:pPr>
                      <w:r>
                        <w:rPr>
                          <w:rFonts w:hint="eastAsia" w:eastAsia="宋体"/>
                          <w:sz w:val="18"/>
                          <w:szCs w:val="18"/>
                          <w:lang w:eastAsia="zh-CN"/>
                        </w:rPr>
                        <w:t>查</w:t>
                      </w:r>
                    </w:p>
                  </w:txbxContent>
                </v:textbox>
              </v:shape>
            </w:pict>
          </mc:Fallback>
        </mc:AlternateContent>
      </w:r>
      <w:r>
        <w:rPr>
          <w:color w:val="auto"/>
          <w:highlight w:val="none"/>
        </w:rPr>
        <mc:AlternateContent>
          <mc:Choice Requires="wpg">
            <w:drawing>
              <wp:inline distT="0" distB="0" distL="114300" distR="114300">
                <wp:extent cx="5196205" cy="1296670"/>
                <wp:effectExtent l="0" t="0" r="4445" b="17780"/>
                <wp:docPr id="24" name="组合 23"/>
                <wp:cNvGraphicFramePr/>
                <a:graphic xmlns:a="http://schemas.openxmlformats.org/drawingml/2006/main">
                  <a:graphicData uri="http://schemas.microsoft.com/office/word/2010/wordprocessingGroup">
                    <wpg:wgp>
                      <wpg:cNvGrpSpPr/>
                      <wpg:grpSpPr>
                        <a:xfrm>
                          <a:off x="0" y="0"/>
                          <a:ext cx="5196205" cy="1296520"/>
                          <a:chOff x="66" y="189"/>
                          <a:chExt cx="7760" cy="1202"/>
                        </a:xfrm>
                      </wpg:grpSpPr>
                      <pic:pic xmlns:pic="http://schemas.openxmlformats.org/drawingml/2006/picture">
                        <pic:nvPicPr>
                          <pic:cNvPr id="2" name="图片 24"/>
                          <pic:cNvPicPr>
                            <a:picLocks noChangeAspect="1"/>
                          </pic:cNvPicPr>
                        </pic:nvPicPr>
                        <pic:blipFill>
                          <a:blip r:embed="rId32"/>
                          <a:stretch>
                            <a:fillRect/>
                          </a:stretch>
                        </pic:blipFill>
                        <pic:spPr>
                          <a:xfrm>
                            <a:off x="66" y="189"/>
                            <a:ext cx="7760" cy="1202"/>
                          </a:xfrm>
                          <a:prstGeom prst="rect">
                            <a:avLst/>
                          </a:prstGeom>
                          <a:noFill/>
                          <a:ln>
                            <a:noFill/>
                          </a:ln>
                        </pic:spPr>
                      </pic:pic>
                      <wps:wsp>
                        <wps:cNvPr id="4" name="文本框 26"/>
                        <wps:cNvSpPr txBox="1"/>
                        <wps:spPr>
                          <a:xfrm>
                            <a:off x="2139" y="223"/>
                            <a:ext cx="1495" cy="1115"/>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wps:txbx>
                        <wps:bodyPr lIns="0" tIns="0" rIns="0" bIns="0" upright="1"/>
                      </wps:wsp>
                      <wps:wsp>
                        <wps:cNvPr id="13" name="文本框 28"/>
                        <wps:cNvSpPr txBox="1"/>
                        <wps:spPr>
                          <a:xfrm>
                            <a:off x="181" y="208"/>
                            <a:ext cx="1459" cy="1100"/>
                          </a:xfrm>
                          <a:prstGeom prst="rect">
                            <a:avLst/>
                          </a:prstGeom>
                        </wps:spPr>
                        <wps:style>
                          <a:lnRef idx="2">
                            <a:schemeClr val="accent6"/>
                          </a:lnRef>
                          <a:fillRef idx="1">
                            <a:schemeClr val="lt1"/>
                          </a:fillRef>
                          <a:effectRef idx="0">
                            <a:schemeClr val="accent6"/>
                          </a:effectRef>
                          <a:fontRef idx="minor">
                            <a:schemeClr val="dk1"/>
                          </a:fontRef>
                        </wps:style>
                        <wps:txbx>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wps:txbx>
                        <wps:bodyPr lIns="0" tIns="0" rIns="0" bIns="0" upright="1"/>
                      </wps:wsp>
                    </wpg:wgp>
                  </a:graphicData>
                </a:graphic>
              </wp:inline>
            </w:drawing>
          </mc:Choice>
          <mc:Fallback>
            <w:pict>
              <v:group id="组合 23" o:spid="_x0000_s1026" o:spt="203" style="height:102.1pt;width:409.15pt;" coordorigin="66,189" coordsize="7760,1202" o:gfxdata="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">
                <o:lock v:ext="edit" aspectratio="f"/>
                <v:shape id="图片 24" o:spid="_x0000_s1026" o:spt="75" type="#_x0000_t75" style="position:absolute;left:66;top:189;height:1202;width:7760;" filled="f" o:preferrelative="t" stroked="f" coordsize="21600,21600" o:gfxdata="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uL/rbsAAADa&#10;AAAADwAAAAAAAAABACAAAAAiAAAAZHJzL2Rvd25yZXYueG1sUEsBAhQAFAAAAAgAh07iQDMvBZ47&#10;AAAAOQAAABAAAAAAAAAAAQAgAAAACgEAAGRycy9zaGFwZXhtbC54bWxQSwUGAAAAAAYABgBbAQAA&#10;tAMAAAAA&#10;">
                  <v:fill on="f" focussize="0,0"/>
                  <v:stroke on="f"/>
                  <v:imagedata r:id="rId32" o:title=""/>
                  <o:lock v:ext="edit" aspectratio="t"/>
                </v:shape>
                <v:shape id="文本框 26" o:spid="_x0000_s1026" o:spt="202" type="#_x0000_t202" style="position:absolute;left:2139;top:223;height:1115;width:1495;" fillcolor="#FFFFFF [3201]" filled="t" stroked="t" coordsize="21600,21600" o:gfxdata="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4rQ7sAAADa&#10;AAAADwAAAAAAAAABACAAAAAiAAAAZHJzL2Rvd25yZXYueG1sUEsBAhQAFAAAAAgAh07iQDMvBZ47&#10;AAAAOQAAABAAAAAAAAAAAQAgAAAACgEAAGRycy9zaGFwZXhtbC54bWxQSwUGAAAAAAYABgBbAQAA&#10;tAMAAAAA&#10;">
                  <v:fill on="t" focussize="0,0"/>
                  <v:stroke weight="2pt" color="#F79646 [3209]" joinstyle="round"/>
                  <v:imagedata o:title=""/>
                  <o:lock v:ext="edit" aspectratio="f"/>
                  <v:textbox inset="0mm,0mm,0mm,0mm">
                    <w:txbxContent>
                      <w:p>
                        <w:pPr>
                          <w:spacing w:before="19" w:line="218" w:lineRule="auto"/>
                          <w:ind w:firstLine="452" w:firstLineChars="200"/>
                          <w:rPr>
                            <w:rFonts w:hint="default" w:ascii="Times New Roman" w:hAnsi="Times New Roman" w:eastAsia="宋体" w:cs="Times New Roman"/>
                            <w:spacing w:val="8"/>
                            <w:sz w:val="21"/>
                            <w:szCs w:val="21"/>
                          </w:rPr>
                        </w:pPr>
                      </w:p>
                      <w:p>
                        <w:pPr>
                          <w:spacing w:before="19" w:line="218" w:lineRule="auto"/>
                          <w:ind w:left="0" w:leftChars="0" w:firstLine="578" w:firstLineChars="256"/>
                          <w:rPr>
                            <w:rFonts w:hint="eastAsia" w:ascii="宋体" w:hAnsi="宋体" w:eastAsia="宋体" w:cs="宋体"/>
                            <w:sz w:val="18"/>
                            <w:szCs w:val="18"/>
                            <w:lang w:eastAsia="zh-CN"/>
                          </w:rPr>
                        </w:pPr>
                        <w:r>
                          <w:rPr>
                            <w:rFonts w:hint="default" w:ascii="Times New Roman" w:hAnsi="Times New Roman" w:eastAsia="宋体" w:cs="Times New Roman"/>
                            <w:spacing w:val="8"/>
                            <w:sz w:val="21"/>
                            <w:szCs w:val="21"/>
                          </w:rPr>
                          <w:t>·</w:t>
                        </w:r>
                        <w:r>
                          <w:rPr>
                            <w:rFonts w:hint="eastAsia" w:ascii="宋体" w:hAnsi="宋体" w:eastAsia="宋体" w:cs="宋体"/>
                            <w:spacing w:val="8"/>
                            <w:sz w:val="18"/>
                            <w:szCs w:val="18"/>
                            <w:lang w:eastAsia="zh-CN"/>
                          </w:rPr>
                          <w:t>河势分析</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保护特征</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利用现状</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地区规划</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经济发展</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相关图件</w:t>
                        </w:r>
                      </w:p>
                      <w:p>
                        <w:pPr>
                          <w:spacing w:before="21" w:line="110" w:lineRule="exact"/>
                          <w:ind w:firstLine="29"/>
                          <w:textAlignment w:val="center"/>
                        </w:pPr>
                      </w:p>
                    </w:txbxContent>
                  </v:textbox>
                </v:shape>
                <v:shape id="文本框 28" o:spid="_x0000_s1026" o:spt="202" type="#_x0000_t202" style="position:absolute;left:181;top:208;height:1100;width:1459;" fillcolor="#FFFFFF [3201]" filled="t" stroked="t" coordsize="21600,21600" o:gfxdata="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f/E/25AAAA2wAA&#10;AA8AAAAAAAAAAQAgAAAAIgAAAGRycy9kb3ducmV2LnhtbFBLAQIUABQAAAAIAIdO4kAzLwWeOwAA&#10;ADkAAAAQAAAAAAAAAAEAIAAAAAgBAABkcnMvc2hhcGV4bWwueG1sUEsFBgAAAAAGAAYAWwEAALID&#10;AAAAAA==&#10;">
                  <v:fill on="t" focussize="0,0"/>
                  <v:stroke weight="2pt" color="#F79646 [3209]" joinstyle="round"/>
                  <v:imagedata o:title=""/>
                  <o:lock v:ext="edit" aspectratio="f"/>
                  <v:textbox inset="0mm,0mm,0mm,0mm">
                    <w:txbxContent>
                      <w:p>
                        <w:pPr>
                          <w:spacing w:before="19" w:line="218" w:lineRule="auto"/>
                          <w:ind w:left="20"/>
                          <w:rPr>
                            <w:rFonts w:hint="eastAsia" w:ascii="Times New Roman" w:hAnsi="Times New Roman" w:eastAsia="宋体" w:cs="Times New Roman"/>
                            <w:spacing w:val="8"/>
                            <w:sz w:val="21"/>
                            <w:szCs w:val="21"/>
                            <w:lang w:eastAsia="zh-CN"/>
                          </w:rPr>
                        </w:pPr>
                      </w:p>
                      <w:p>
                        <w:pPr>
                          <w:spacing w:before="19" w:line="218" w:lineRule="auto"/>
                          <w:ind w:left="20" w:firstLine="226" w:firstLineChars="100"/>
                          <w:rPr>
                            <w:rFonts w:hint="default" w:ascii="Times New Roman" w:hAnsi="Times New Roman" w:eastAsia="宋体" w:cs="Times New Roman"/>
                            <w:spacing w:val="8"/>
                            <w:sz w:val="21"/>
                            <w:szCs w:val="21"/>
                          </w:rPr>
                        </w:pPr>
                        <w:r>
                          <w:rPr>
                            <w:rFonts w:hint="eastAsia" w:ascii="Times New Roman" w:hAnsi="Times New Roman" w:eastAsia="宋体" w:cs="Times New Roman"/>
                            <w:spacing w:val="8"/>
                            <w:sz w:val="21"/>
                            <w:szCs w:val="21"/>
                            <w:lang w:eastAsia="zh-CN"/>
                          </w:rPr>
                          <w:t>准</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评价范围</w:t>
                        </w:r>
                      </w:p>
                      <w:p>
                        <w:pPr>
                          <w:spacing w:before="19" w:line="218" w:lineRule="auto"/>
                          <w:ind w:firstLine="588" w:firstLineChars="300"/>
                          <w:rPr>
                            <w:rFonts w:hint="eastAsia" w:ascii="宋体" w:hAnsi="宋体" w:eastAsia="宋体" w:cs="宋体"/>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评价目的</w:t>
                        </w:r>
                      </w:p>
                      <w:p>
                        <w:pPr>
                          <w:spacing w:before="19" w:line="218" w:lineRule="auto"/>
                          <w:ind w:firstLine="588" w:firstLineChars="300"/>
                          <w:rPr>
                            <w:rFonts w:hint="eastAsia" w:ascii="宋体" w:hAnsi="宋体" w:eastAsia="宋体" w:cs="宋体"/>
                            <w:spacing w:val="8"/>
                            <w:sz w:val="18"/>
                            <w:szCs w:val="18"/>
                            <w:lang w:eastAsia="zh-CN"/>
                          </w:rPr>
                        </w:pPr>
                        <w:r>
                          <w:rPr>
                            <w:rFonts w:hint="default" w:ascii="Times New Roman" w:hAnsi="Times New Roman" w:eastAsia="宋体" w:cs="Times New Roman"/>
                            <w:spacing w:val="8"/>
                            <w:sz w:val="18"/>
                            <w:szCs w:val="18"/>
                          </w:rPr>
                          <w:t>·</w:t>
                        </w:r>
                        <w:r>
                          <w:rPr>
                            <w:rFonts w:hint="eastAsia" w:ascii="宋体" w:hAnsi="宋体" w:eastAsia="宋体" w:cs="宋体"/>
                            <w:spacing w:val="8"/>
                            <w:sz w:val="18"/>
                            <w:szCs w:val="18"/>
                            <w:lang w:eastAsia="zh-CN"/>
                          </w:rPr>
                          <w:t>工作计划</w:t>
                        </w:r>
                      </w:p>
                      <w:p>
                        <w:pPr>
                          <w:pStyle w:val="2"/>
                          <w:ind w:left="0" w:leftChars="0" w:firstLine="226" w:firstLineChars="100"/>
                          <w:rPr>
                            <w:rFonts w:hint="eastAsia"/>
                            <w:sz w:val="21"/>
                            <w:szCs w:val="21"/>
                            <w:lang w:eastAsia="zh-CN"/>
                          </w:rPr>
                        </w:pPr>
                        <w:r>
                          <w:rPr>
                            <w:rFonts w:hint="eastAsia" w:ascii="Times New Roman" w:hAnsi="Times New Roman" w:eastAsia="宋体" w:cs="Times New Roman"/>
                            <w:spacing w:val="8"/>
                            <w:sz w:val="21"/>
                            <w:szCs w:val="21"/>
                            <w:lang w:eastAsia="zh-CN"/>
                          </w:rPr>
                          <w:t>备</w:t>
                        </w:r>
                      </w:p>
                    </w:txbxContent>
                  </v:textbox>
                </v:shape>
                <w10:wrap type="none"/>
                <w10:anchorlock/>
              </v:group>
            </w:pict>
          </mc:Fallback>
        </mc:AlternateContent>
      </w:r>
    </w:p>
    <w:p>
      <w:pPr>
        <w:spacing w:before="61" w:line="218" w:lineRule="auto"/>
        <w:ind w:left="3030"/>
        <w:rPr>
          <w:rFonts w:ascii="宋体" w:hAnsi="宋体" w:eastAsia="宋体" w:cs="宋体"/>
          <w:color w:val="auto"/>
          <w:sz w:val="19"/>
          <w:szCs w:val="19"/>
          <w:highlight w:val="none"/>
        </w:rPr>
      </w:pPr>
      <w:r>
        <w:rPr>
          <w:rFonts w:ascii="宋体" w:hAnsi="宋体" w:eastAsia="宋体" w:cs="宋体"/>
          <w:color w:val="auto"/>
          <w:spacing w:val="16"/>
          <w:sz w:val="19"/>
          <w:szCs w:val="19"/>
          <w:highlight w:val="none"/>
          <w14:textOutline w14:w="3454" w14:cap="flat" w14:cmpd="sng">
            <w14:solidFill>
              <w14:srgbClr w14:val="000000"/>
            </w14:solidFill>
            <w14:prstDash w14:val="solid"/>
            <w14:miter w14:val="0"/>
          </w14:textOutline>
        </w:rPr>
        <w:t>图</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2-1</w:t>
      </w:r>
      <w:r>
        <w:rPr>
          <w:rFonts w:ascii="宋体" w:hAnsi="宋体" w:eastAsia="宋体" w:cs="宋体"/>
          <w:color w:val="auto"/>
          <w:spacing w:val="11"/>
          <w:sz w:val="19"/>
          <w:szCs w:val="19"/>
          <w:highlight w:val="none"/>
        </w:rPr>
        <w:t xml:space="preserve">  </w:t>
      </w:r>
      <w:r>
        <w:rPr>
          <w:rFonts w:ascii="宋体" w:hAnsi="宋体" w:eastAsia="宋体" w:cs="宋体"/>
          <w:color w:val="auto"/>
          <w:spacing w:val="11"/>
          <w:sz w:val="19"/>
          <w:szCs w:val="19"/>
          <w:highlight w:val="none"/>
          <w14:textOutline w14:w="3454" w14:cap="flat" w14:cmpd="sng">
            <w14:solidFill>
              <w14:srgbClr w14:val="000000"/>
            </w14:solidFill>
            <w14:prstDash w14:val="solid"/>
            <w14:miter w14:val="0"/>
          </w14:textOutline>
        </w:rPr>
        <w:t>岸线资源评价的一般步骤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1)准备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评价准备阶段一般首先要确定评价区域的范围，根据发范围大小初步确定评价的深度。其次要明确评价目的，根据目的初步掌握评价区内基本的自然、社会经济背景，重要资源的分布状况，并对结果进行可能性假设。最后根据了解的情况拟定初步的工作计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2)野外调查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野外调查时评价工作的重要环节，野外工作的细致与否，将直接影响到将来评价结果的科学合理性和实用性。野外调查主要是获得感性认识和资料收集，收集的资料主要包括与岸线变迁、岸线利用现状、岸线人工构筑物的分布和等级、沿岸港口分布、发展现状和规划方向等相关的文字、地图、航片、卫片资料等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3)具体评价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这个阶段的工作首先是对各种来源的资料进行分类、分区统计、并进行分析、综合。然后是实施评价。评价过程是：建立指标体系、划分评价单元、各岸段各指标评价、汇总结果。评价结果要与初始假设和地方规划进行比较、验证，并根据评价目的和原则分析各自的合理性，如有必要还要对评价方案进行适当地修改、补充。</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4)提交成果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主要成果一般包括评价区岸线资源的总体特征阐述，岸线的长度量算与分类、分区统计，岸线资源的质量分等与地区差异，各段岸线的适宜性评价特征，岸线资源评价图、利用现状图及相关文字说明，并提出利用建议。</w:t>
      </w:r>
    </w:p>
    <w:p>
      <w:pPr>
        <w:bidi w:val="0"/>
        <w:spacing w:line="360" w:lineRule="auto"/>
        <w:rPr>
          <w:rFonts w:hint="eastAsia" w:ascii="宋体" w:hAnsi="宋体" w:eastAsia="宋体" w:cs="宋体"/>
          <w:b/>
          <w:bCs/>
          <w:color w:val="auto"/>
          <w:sz w:val="28"/>
          <w:szCs w:val="28"/>
          <w:highlight w:val="none"/>
        </w:rPr>
      </w:pPr>
      <w:bookmarkStart w:id="27" w:name="_Toc18276"/>
      <w:r>
        <w:rPr>
          <w:rFonts w:hint="eastAsia" w:ascii="宋体" w:hAnsi="宋体" w:eastAsia="宋体" w:cs="宋体"/>
          <w:b/>
          <w:bCs/>
          <w:color w:val="auto"/>
          <w:sz w:val="28"/>
          <w:szCs w:val="28"/>
          <w:highlight w:val="none"/>
        </w:rPr>
        <w:t>2.1.3 岸线评价的结论</w:t>
      </w:r>
      <w:bookmarkEnd w:id="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功能区功能属性和控制利用要求，结合岸线利用项目的具体情况，对沿河地区岸线利用项目进行了分析，七分场海子岸线沿线绝大部分以农田为主，以各岸线功能区的岸线利用率来评价现状岸线利用程度，并对岸线功能区利用现状提出评价意见。各岸线功能区的岸线利用率是指每种功能区已利用岸线长度占总岸线长度的比率。</w:t>
      </w:r>
      <w:r>
        <w:rPr>
          <w:rFonts w:hint="eastAsia" w:ascii="宋体" w:hAnsi="宋体" w:eastAsia="宋体" w:cs="宋体"/>
          <w:snapToGrid/>
          <w:color w:val="auto"/>
          <w:kern w:val="0"/>
          <w:sz w:val="28"/>
          <w:szCs w:val="28"/>
          <w:highlight w:val="green"/>
          <w:lang w:val="en-US" w:eastAsia="zh-CN" w:bidi="ar-SA"/>
        </w:rPr>
        <w:t>七分场海子岸线基本利用率为零</w:t>
      </w:r>
      <w:r>
        <w:rPr>
          <w:rFonts w:hint="eastAsia" w:ascii="宋体" w:hAnsi="宋体" w:eastAsia="宋体" w:cs="宋体"/>
          <w:snapToGrid/>
          <w:color w:val="auto"/>
          <w:kern w:val="0"/>
          <w:sz w:val="28"/>
          <w:szCs w:val="28"/>
          <w:highlight w:val="none"/>
          <w:lang w:val="en-US" w:eastAsia="zh-CN" w:bidi="ar-SA"/>
        </w:rPr>
        <w:t>。</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28" w:name="_Toc23804"/>
      <w:bookmarkStart w:id="29" w:name="_Toc8906"/>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2.2 现状岸线管理存在的主要问题</w:t>
      </w:r>
      <w:bookmarkEnd w:id="28"/>
      <w:bookmarkEnd w:id="2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由于历史原因加上缺乏岸线统一规划，目前岸线利用管理存在以下主要问题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(1)沿湖有畜禽养殖污染，湖泊内漂浮物较多。湖泊内存在乱到生活垃圾、建筑垃圾现象。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(2)岸线管理与保护仍需加强，</w:t>
      </w:r>
      <w:r>
        <w:rPr>
          <w:rFonts w:hint="eastAsia" w:ascii="宋体" w:hAnsi="宋体" w:eastAsia="宋体" w:cs="宋体"/>
          <w:snapToGrid/>
          <w:color w:val="auto"/>
          <w:kern w:val="0"/>
          <w:sz w:val="28"/>
          <w:szCs w:val="28"/>
          <w:highlight w:val="green"/>
          <w:lang w:val="en-US" w:eastAsia="zh-CN" w:bidi="ar-SA"/>
        </w:rPr>
        <w:t>由于七分场海子四周现状岸线大部分以自然湖堤坝为界，岸线范围界定不明确，只有沿湖有不完整的海坝，与当地农牧民农田、牧地交叉交错，造成管理单位管理困难，岸线的定界与保护缺乏有效的控制措施，占用海滩、随意围垦等现象时有发生，对七分场海子生态保护有较大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缺乏规范的管理制度和政策。由于缺乏具有法律效力的岸线资源利用规划，岸线界定没有统一标准，岸线界限范围不明确，难以确定岸线利用项目涉及的区域是否侵占河道，没有形成完善的岸线利用管理制度，管理依据不足，可能影响水生态环境等。岸线利用也还缺少有效的经济调控手段，现行的无偿或低偿获取岸线资源开发权的办法，与稳定岸线的投入极不相应，不利于岸线资源的节约使用和合理开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总体上，目前岸线利用管理机制不完善，也缺乏规范的管理制度和政策，难以有效规范和调节岸线利用行为。</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0" w:name="_Toc18353"/>
      <w:bookmarkStart w:id="31" w:name="_Toc1175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经济社会发展对岸线保护和利用的需求</w:t>
      </w:r>
      <w:bookmarkEnd w:id="30"/>
      <w:bookmarkEnd w:id="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绿水青山就是金山银山，我们既要绿水青山又要金山银山”。河湖岸线是有限的宝贵资源，具有行洪、调节水流、维持河流生态平衡的自然属性，还具有开发利用价值，为社会经济发展提供服务的资源属性。优良的岸线可以满足国民经济各部门对岸线利用的需求，其综合功能有力支撑了流域经济社会的发展和流域水生态环境的保护。</w:t>
      </w:r>
    </w:p>
    <w:p>
      <w:pPr>
        <w:bidi w:val="0"/>
        <w:spacing w:line="360" w:lineRule="auto"/>
        <w:rPr>
          <w:rFonts w:hint="eastAsia" w:ascii="宋体" w:hAnsi="宋体" w:eastAsia="宋体" w:cs="宋体"/>
          <w:b/>
          <w:bCs/>
          <w:color w:val="auto"/>
          <w:sz w:val="28"/>
          <w:szCs w:val="28"/>
          <w:highlight w:val="none"/>
        </w:rPr>
      </w:pPr>
      <w:bookmarkStart w:id="32" w:name="_Toc5725"/>
      <w:r>
        <w:rPr>
          <w:rFonts w:hint="eastAsia" w:ascii="宋体" w:hAnsi="宋体" w:eastAsia="宋体" w:cs="宋体"/>
          <w:b/>
          <w:bCs/>
          <w:color w:val="auto"/>
          <w:sz w:val="28"/>
          <w:szCs w:val="28"/>
          <w:highlight w:val="none"/>
        </w:rPr>
        <w:t>2.3.1 岸线保护需求</w:t>
      </w:r>
      <w:bookmarkEnd w:id="3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1、水生态环境保护对岸线保护的需求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现状年</w:t>
      </w:r>
      <w:r>
        <w:rPr>
          <w:rFonts w:hint="eastAsia" w:ascii="宋体" w:hAnsi="宋体" w:eastAsia="宋体" w:cs="宋体"/>
          <w:snapToGrid/>
          <w:color w:val="auto"/>
          <w:kern w:val="0"/>
          <w:sz w:val="28"/>
          <w:szCs w:val="28"/>
          <w:highlight w:val="green"/>
          <w:lang w:val="en-US" w:eastAsia="zh-CN" w:bidi="ar-SA"/>
        </w:rPr>
        <w:t>七分场海子所在的磴口县水资源短缺，生产或生活用水挤占生态用水的现象日益严重，以及农业生产和生活排污量不断增加，致使河道水质出现恶化，给水资源保护和城乡饮水安全带来了威胁。对河岸线进行功能区划分，合理规划岸线资源利用、保护和控制分区，是保障经济社会可持续发展，是不断改善和保护水生态环境的重要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磴口县的生态状况不仅关系巴彦淖尔市群众生存和发展，而且关系华北、东北、西北乃至全国生态安全，水生态环境对构筑我国北方重要生态安全屏障具有重要作用。随着国民经济的发展，水生态环境保护的形势更加严峻，水资源短缺、水体污染已经成为制约国民经济可持续发展的重要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2、防洪安全对岸线保护的需求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人口的增加和畜牧业的发展，由于自然和人为因素的影响，河势发生了较大的变化。放牧导致河滨带湿地土壤紧实，下渗降低，地表径流增加，增加的地表径流又引起更大的水土流失。牲畜对河岸的踩踏，加剧河岸的坍塌。随着淤积作用，河道变得宽浅，抬高了河道洪水位，加大了洪水危害。</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3、岸线利用需求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湖泊岸线的开发主要为利用其土地资源以及河道水域，规划阶段内岸线的利用以保护生态环境为前提，兼顾地方经济发展，适当开发防洪、供水等类型的工程。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4、岸线保护需求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地区经济的快速发展，临、跨河建筑物日益增多，存在缩小湖区面积、影响湖区生态环境的现象。部分村庄距离湖区较近，再加之湖区散乱、无明显主区，演变较为剧烈，对岸线会造成不利影响。岸线资源的有效保护与防洪安全、洪涝灾害程度存在着密切的联系，对河湖岸线资源实施有效保护是保障防洪安全的重要条件。</w:t>
      </w:r>
    </w:p>
    <w:p>
      <w:pPr>
        <w:bidi w:val="0"/>
        <w:spacing w:line="360" w:lineRule="auto"/>
        <w:rPr>
          <w:rFonts w:hint="eastAsia" w:ascii="宋体" w:hAnsi="宋体" w:eastAsia="宋体" w:cs="宋体"/>
          <w:b/>
          <w:bCs/>
          <w:color w:val="auto"/>
          <w:sz w:val="28"/>
          <w:szCs w:val="28"/>
          <w:highlight w:val="none"/>
        </w:rPr>
      </w:pPr>
      <w:bookmarkStart w:id="33" w:name="_Toc23177"/>
      <w:r>
        <w:rPr>
          <w:rFonts w:hint="eastAsia" w:ascii="宋体" w:hAnsi="宋体" w:eastAsia="宋体" w:cs="宋体"/>
          <w:b/>
          <w:bCs/>
          <w:color w:val="auto"/>
          <w:sz w:val="28"/>
          <w:szCs w:val="28"/>
          <w:highlight w:val="none"/>
        </w:rPr>
        <w:t>2.3.2</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岸线利用需求</w:t>
      </w:r>
      <w:bookmarkEnd w:id="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随着沿河地区经济的发展，河道岸线土地资源日益为开发建设关注，对于部分常年少水或无水河段，开发岸线主要是利用其土地资源和生态风景属性，以河岸为依托，利用河道水域的开发项目少，今后的需求也主要集中在土地资源和生态风景属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34" w:name="_Toc1150"/>
      <w:bookmarkStart w:id="35" w:name="_Toc259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2.4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岸线保护与利用控制条件分析</w:t>
      </w:r>
      <w:bookmarkEnd w:id="34"/>
      <w:bookmarkEnd w:id="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从防洪、供水、生态、经济社会和重要涉水工程等方面对岸线保护与利用提出管控要求，各类控制要求如下：</w:t>
      </w:r>
    </w:p>
    <w:p>
      <w:pPr>
        <w:bidi w:val="0"/>
        <w:spacing w:line="360" w:lineRule="auto"/>
        <w:rPr>
          <w:rFonts w:hint="eastAsia" w:ascii="宋体" w:hAnsi="宋体" w:eastAsia="宋体" w:cs="宋体"/>
          <w:b w:val="0"/>
          <w:bCs w:val="0"/>
          <w:color w:val="auto"/>
          <w:sz w:val="28"/>
          <w:szCs w:val="28"/>
          <w:highlight w:val="none"/>
          <w:lang w:val="en-US" w:eastAsia="zh-CN"/>
        </w:rPr>
      </w:pPr>
      <w:bookmarkStart w:id="36" w:name="_Toc5537"/>
      <w:r>
        <w:rPr>
          <w:rFonts w:hint="eastAsia" w:ascii="宋体" w:hAnsi="宋体" w:eastAsia="宋体" w:cs="宋体"/>
          <w:b w:val="0"/>
          <w:bCs w:val="0"/>
          <w:color w:val="auto"/>
          <w:sz w:val="28"/>
          <w:szCs w:val="28"/>
          <w:highlight w:val="none"/>
          <w:lang w:val="en-US" w:eastAsia="zh-CN"/>
        </w:rPr>
        <w:t>1、保障防洪安全</w:t>
      </w:r>
      <w:bookmarkEnd w:id="3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资源保护与利用的重要条件，本次岸线保护与利用规划把保障防洪安全放在了尤为突出的重要位置。按照保障防洪安全的要求，岸线保护与利用的控制条件包括：严格按照岸线利用管理的要求，对超越和侵占临水控制线的岸线利用项目实施清退和调整。</w:t>
      </w:r>
    </w:p>
    <w:p>
      <w:pPr>
        <w:bidi w:val="0"/>
        <w:spacing w:line="360" w:lineRule="auto"/>
        <w:rPr>
          <w:rFonts w:hint="eastAsia" w:ascii="宋体" w:hAnsi="宋体" w:eastAsia="宋体" w:cs="宋体"/>
          <w:b w:val="0"/>
          <w:bCs w:val="0"/>
          <w:color w:val="auto"/>
          <w:sz w:val="28"/>
          <w:szCs w:val="28"/>
          <w:highlight w:val="none"/>
          <w:lang w:val="en-US" w:eastAsia="zh-CN"/>
        </w:rPr>
      </w:pPr>
      <w:bookmarkStart w:id="37" w:name="_Toc7649"/>
      <w:r>
        <w:rPr>
          <w:rFonts w:hint="eastAsia" w:ascii="宋体" w:hAnsi="宋体" w:eastAsia="宋体" w:cs="宋体"/>
          <w:b w:val="0"/>
          <w:bCs w:val="0"/>
          <w:color w:val="auto"/>
          <w:sz w:val="28"/>
          <w:szCs w:val="28"/>
          <w:highlight w:val="none"/>
          <w:lang w:val="en-US" w:eastAsia="zh-CN"/>
        </w:rPr>
        <w:t>2、保护水资源与水环境</w:t>
      </w:r>
      <w:bookmarkEnd w:id="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水资源短缺是我国的基本国情之一，岸线利用应重视水资源和水环境保护，合理确定各功能区内的岸线利用项目。按照水资源与水环境保护的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(1)严格控制排污口水质达标排放和污染物负荷总量控制，对无法达标排放或污染物负荷总量超标的排污口应限期治理，必要时应对其占用岸线的位置予以调整。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(2)清退保护区内影响水资源保护的排污口、污染企业等项目，对影响水质控制指标的建设项目加以清退和调整。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(3)对水质有重大影响的岸线利用项目，应予以调整或迁建。</w:t>
      </w:r>
    </w:p>
    <w:p>
      <w:pPr>
        <w:bidi w:val="0"/>
        <w:spacing w:line="360" w:lineRule="auto"/>
        <w:rPr>
          <w:rFonts w:hint="eastAsia" w:ascii="宋体" w:hAnsi="宋体" w:eastAsia="宋体" w:cs="宋体"/>
          <w:b w:val="0"/>
          <w:bCs w:val="0"/>
          <w:color w:val="auto"/>
          <w:sz w:val="28"/>
          <w:szCs w:val="28"/>
          <w:highlight w:val="none"/>
          <w:lang w:val="en-US" w:eastAsia="zh-CN"/>
        </w:rPr>
      </w:pPr>
      <w:bookmarkStart w:id="38" w:name="_Toc22551"/>
      <w:r>
        <w:rPr>
          <w:rFonts w:hint="eastAsia" w:ascii="宋体" w:hAnsi="宋体" w:eastAsia="宋体" w:cs="宋体"/>
          <w:b w:val="0"/>
          <w:bCs w:val="0"/>
          <w:color w:val="auto"/>
          <w:sz w:val="28"/>
          <w:szCs w:val="28"/>
          <w:highlight w:val="none"/>
          <w:lang w:val="en-US" w:eastAsia="zh-CN"/>
        </w:rPr>
        <w:t>3、合理配置岸线资源，实现有序高效利用</w:t>
      </w:r>
      <w:bookmarkEnd w:id="3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按照优化配置岸线资源，实现岸线资源的有序、高效利用和有效保护要求，岸线保护与利用的控制条件包括以下方面：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(1)对岸线资源利用效率不高的项目予以调整，将优良岸线资源合理配置，有利于当地经济社会可持续发展。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(2)将可以集中布置的岸线开发利用项目集中布置，节约有限的岸线资源促进多个利益主体共享岸线，提高岸线利用效率。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(3)重视对岸线利用项目的占用岸线长度的合理性评价，避免过多占岸线，严禁闲置已占用的岸线。</w:t>
      </w:r>
    </w:p>
    <w:p>
      <w:pPr>
        <w:keepNext w:val="0"/>
        <w:keepLines w:val="0"/>
        <w:pageBreakBefore w:val="0"/>
        <w:widowControl/>
        <w:kinsoku w:val="0"/>
        <w:wordWrap/>
        <w:overflowPunct/>
        <w:topLinePunct w:val="0"/>
        <w:autoSpaceDE w:val="0"/>
        <w:autoSpaceDN w:val="0"/>
        <w:bidi w:val="0"/>
        <w:adjustRightInd w:val="0"/>
        <w:snapToGrid w:val="0"/>
        <w:spacing w:before="120" w:line="344" w:lineRule="auto"/>
        <w:ind w:left="295" w:right="164" w:firstLine="448"/>
        <w:textAlignment w:val="baseline"/>
        <w:rPr>
          <w:rFonts w:hint="eastAsia" w:ascii="宋体" w:hAnsi="宋体" w:eastAsia="宋体" w:cs="宋体"/>
          <w:snapToGrid/>
          <w:color w:val="auto"/>
          <w:kern w:val="0"/>
          <w:sz w:val="28"/>
          <w:szCs w:val="28"/>
          <w:highlight w:val="none"/>
          <w:lang w:val="en-US" w:eastAsia="zh-CN" w:bidi="ar-SA"/>
        </w:rPr>
        <w:sectPr>
          <w:footerReference r:id="rId10" w:type="default"/>
          <w:pgSz w:w="12070" w:h="16960"/>
          <w:pgMar w:top="1441" w:right="1810" w:bottom="2016" w:left="1810" w:header="1020" w:footer="1474" w:gutter="0"/>
          <w:pgNumType w:fmt="decimal"/>
          <w:cols w:space="720" w:num="1"/>
        </w:sectPr>
      </w:pPr>
    </w:p>
    <w:p>
      <w:pPr>
        <w:spacing w:line="268" w:lineRule="auto"/>
        <w:rPr>
          <w:rFonts w:ascii="Arial"/>
          <w:color w:val="auto"/>
          <w:sz w:val="21"/>
          <w:highlight w:val="none"/>
        </w:r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39" w:name="_Toc30559"/>
      <w:bookmarkStart w:id="40" w:name="_Toc24259"/>
      <w:r>
        <w:rPr>
          <w:rFonts w:hint="eastAsia" w:ascii="宋体" w:hAnsi="宋体" w:eastAsia="宋体" w:cs="宋体"/>
          <w:color w:val="auto"/>
          <w:sz w:val="32"/>
          <w:szCs w:val="32"/>
          <w:highlight w:val="none"/>
          <w:lang w:val="en-US" w:eastAsia="zh-CN"/>
        </w:rPr>
        <w:t>3 编制依据</w:t>
      </w:r>
      <w:bookmarkEnd w:id="39"/>
      <w:bookmarkEnd w:id="4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1" w:name="_Toc24645"/>
      <w:bookmarkStart w:id="42" w:name="_Toc1280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3.1 法律法规</w:t>
      </w:r>
      <w:bookmarkEnd w:id="41"/>
      <w:bookmarkEnd w:id="4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1、《中华人民共和国水法》;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2、《中华人民共和国防洪法》;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3、《中华人民共和国水土保持法》;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4、《中华人民共和国水污染防治法》;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5、《中华人民共和国环境保护法》;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6、《中华人民共和国城乡规划法》;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7、《中华人民共和国土地管理法》;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8、《中华人民共和国河道管理条例》;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9、《中华人民共和国水文条例》;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10、《中华人民共和国自然保护区条例》;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11、《中华人民共和国风景名胜区条例》;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12、《中华人民共和国草原法》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13、《中华人民共和国水库大坝安全管理条例》;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14、《中华人民共和国土地管理法实施条例》;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15、《内蒙古自治区节约用水条例》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16、《内蒙古自治区水工程管理保护办法》;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17、《内蒙古自治区水工程管理和保护范围划定标准》;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18、《内蒙古自治区水土保持条例》;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19、《内蒙古自治区取水许可和水资源费征收管理实施办法》;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20、《内蒙古自治区农村牧区饮用水供水条例》;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21、《内蒙古自治区实施&lt;中华人民共和国防洪法&gt;办法》;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22、《内蒙古自治区草原管理条例》;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23、《内蒙古自治区基本草原保护条例》;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24、《公路安全保护条例》;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25、《铁路安全管理条例》;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26、《电子设施保护条例》;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27、其他相关法律法规文件。</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3" w:name="_bookmark26"/>
      <w:bookmarkEnd w:id="43"/>
      <w:bookmarkStart w:id="44" w:name="_Toc15074"/>
      <w:bookmarkStart w:id="45" w:name="_Toc232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规程规范</w:t>
      </w:r>
      <w:bookmarkEnd w:id="44"/>
      <w:bookmarkEnd w:id="4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1、《江河流域规划编制规程》(SL201-2015)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2、《防洪标准》(GB50201-2014);</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3、《河道整治设计规范》(GB50707-2011);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6、《水利水电工程设计洪水计算规范》(SL44-2006);</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8、《水利水电工程水利计算规范》(SL104-2015);</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9、《水利水电工程水文计算规范》(SL278-2002);</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10、《水库工程管理设计规范》(SL106-2017)</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11、《河湖岸线保护与利用规划编制指南》(试行);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12、国家及行业颁布的其他有关现行规范、规程、标准等。</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6" w:name="_Toc28304"/>
      <w:bookmarkStart w:id="47" w:name="_Toc62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政策文件</w:t>
      </w:r>
      <w:bookmarkEnd w:id="46"/>
      <w:bookmarkEnd w:id="4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1、《中共中央国务院关于加快推进生态文明建设的意见》(中发(2015)12号);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2、《中共中央办公厅、国务院办公厅印发&lt;关于全面推行河长制的意见&gt;的通知》(厅字〔2016〕42号);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3、《关于在湖泊实施湖长制的指导意见》(2018年1月中共中央办公厅、国务院办公厅印发);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4、《关于划定并严守生态保护红线的若干意见》(2017年2月中共中央办公厅、国务院办公厅印发);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5、《水利部办公厅关于印发河湖岸线保护与利用规划编制指南(试行)的通知》(办河湖〔2019〕394号);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6、《关于开展河道(湖泊)岸线利用管理规划工作的通知》(水利部，水建管(2007)67号，2007年2月);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7、《水利部关于加快推进河湖管理范围划定工作的通知》(水河湖〔2018)314号);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8、《关于印发&lt;生态保护红线划定指南&gt;的通知》(环办生态〔2017〕48号);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9、《内蒙古自治区水利厅关于转发&lt;水利部关于加快推进河湖管理范围划定</w:t>
      </w:r>
      <w:bookmarkStart w:id="48" w:name="_bookmark27"/>
      <w:bookmarkEnd w:id="48"/>
      <w:r>
        <w:rPr>
          <w:rFonts w:hint="eastAsia" w:ascii="宋体" w:hAnsi="宋体" w:eastAsia="宋体" w:cs="宋体"/>
          <w:snapToGrid/>
          <w:color w:val="auto"/>
          <w:kern w:val="0"/>
          <w:sz w:val="28"/>
          <w:szCs w:val="28"/>
          <w:highlight w:val="none"/>
          <w:lang w:val="en-US" w:eastAsia="zh-CN" w:bidi="ar-SA"/>
        </w:rPr>
        <w:t>工作的通知&gt;的通知》(内河湖〔2019〕4号);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10、《内蒙古自治区党委办公厅、自治区人民政府办公厅关于印发&lt;内蒙古自治区全面推行河长制工作方案&gt;的通知》(厅发〔2017〕12号);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11、《内蒙古自治区水利厅关于抓紧构建各级河长体系的通知》(内水建(2017)120号);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12、《内蒙古自治区河长制办公室关于做好一河一策实施方案编制工作的通知》(内河长办〔2017)15号〕;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13、内蒙古自治区人民政府办公厅关于印发《内蒙古自治区水土保持规划(2016-2030年)》的通知，内政办发(2017)8号;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14、《内蒙古自治区人民政府办公厅关于印发&lt;内蒙古自治区生态环境保护“十三五”规划&gt;的通知》(内政办发(2017)95号)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15、《内蒙古自治区人民政府关于加强地下水生态保护和治理的指导意见》(内政发[2018]52号);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16、内蒙古自治区人民办公厅印发《关于划定并严守生态保护红线的工作方案》(内政办发〔2017)133号〕;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17、中共巴彦淖尔市市委办公室文件政府办公室关于印发《巴彦淖尔市全面推行湖长制实施方案》的通知室发[2018]33号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18、巴彦淖尔市市委政府《关于全面推行河长制工作情况的报告》巴党报[2018]16号;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19、巴彦淖尔市人民政府办公室关于《巴彦淖尔市重点湖泊生态环境保护工作的实施意见》[2020]25号;</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49" w:name="_Toc13452"/>
      <w:bookmarkStart w:id="50" w:name="_Toc976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3.4 有关规划</w:t>
      </w:r>
      <w:bookmarkEnd w:id="49"/>
      <w:bookmarkEnd w:id="5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1、《生态文明体制改革总体方案》;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2、《全国水资源综合规划》;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3、《全国抗旱规划》;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4、《水利改革发展“十四五”规划》;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5、《巴彦淖尔市水利发展“十四五”规划》;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6、《巴彦淖尔市生态环境保护“十四五”规划》巴彦淖尔市人民政府，规划期2021年-2025年;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7、《巴彦淖尔市国民经济和社会发展第十四个五年规划》;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8、《巴彦淖尔市“十四五”时期城乡社区建设发展规划》;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9、《巴彦淖尔市公路、水路交通运输“十四五”发展规划中期评估及调整》巴彦淖尔市交通运输局，2021年9月。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10、《内蒙古自治区水功能区划》;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11、《内蒙古自治区“十四五”国控重点流域水质月报》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12、《内蒙古自治区节水型社会建设“十四五”规划》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13、《内蒙古自治区水土保持规划(2016~2030年)》;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14、《内蒙古自治区城市饮用水水源地安全保障规划》;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yellow"/>
          <w:lang w:val="en-US" w:eastAsia="zh-CN" w:bidi="ar-SA"/>
        </w:rPr>
      </w:pPr>
      <w:r>
        <w:rPr>
          <w:rFonts w:hint="eastAsia" w:ascii="宋体" w:hAnsi="宋体" w:eastAsia="宋体" w:cs="宋体"/>
          <w:snapToGrid/>
          <w:color w:val="auto"/>
          <w:kern w:val="0"/>
          <w:sz w:val="28"/>
          <w:szCs w:val="28"/>
          <w:highlight w:val="none"/>
          <w:lang w:val="en-US" w:eastAsia="zh-CN" w:bidi="ar-SA"/>
        </w:rPr>
        <w:t>15、</w:t>
      </w:r>
      <w:r>
        <w:rPr>
          <w:rFonts w:hint="eastAsia" w:ascii="宋体" w:hAnsi="宋体" w:eastAsia="宋体" w:cs="宋体"/>
          <w:snapToGrid/>
          <w:color w:val="auto"/>
          <w:kern w:val="0"/>
          <w:sz w:val="28"/>
          <w:szCs w:val="28"/>
          <w:highlight w:val="yellow"/>
          <w:lang w:val="en-US" w:eastAsia="zh-CN" w:bidi="ar-SA"/>
        </w:rPr>
        <w:t>《内蒙古自治区江河湖库水系连通实施方案(2017~2020年)》;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16、《内蒙古自治区“十四五”节水灌溉工程发展规划》;</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17、其他相关规划成果</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1" w:name="_Toc11650"/>
      <w:bookmarkStart w:id="52" w:name="_Toc2866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3.5</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相关技术成果</w:t>
      </w:r>
      <w:bookmarkEnd w:id="51"/>
      <w:bookmarkEnd w:id="5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1、《全国重要江河湖泊水功能区划(2011—2030)》(国务院国函(2011)167号);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2、《内蒙古自治区水功能区划》(内蒙古自治区水利厅、内蒙古自治区环境保护厅，2010年12月);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w:t>
      </w:r>
      <w:r>
        <w:rPr>
          <w:rFonts w:hint="eastAsia" w:ascii="宋体" w:hAnsi="宋体" w:eastAsia="宋体" w:cs="宋体"/>
          <w:snapToGrid/>
          <w:color w:val="auto"/>
          <w:kern w:val="0"/>
          <w:sz w:val="28"/>
          <w:szCs w:val="28"/>
          <w:highlight w:val="yellow"/>
          <w:lang w:val="en-US" w:eastAsia="zh-CN" w:bidi="ar-SA"/>
        </w:rPr>
        <w:t>《内蒙古自治区水利发展“十四五”规划》,内蒙古自治区水利厅，2021年9月;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w:t>
      </w:r>
      <w:r>
        <w:rPr>
          <w:rFonts w:hint="eastAsia" w:ascii="宋体" w:hAnsi="宋体" w:eastAsia="宋体" w:cs="宋体"/>
          <w:snapToGrid/>
          <w:color w:val="auto"/>
          <w:kern w:val="0"/>
          <w:sz w:val="28"/>
          <w:szCs w:val="28"/>
          <w:highlight w:val="yellow"/>
          <w:lang w:val="en-US" w:eastAsia="zh-CN" w:bidi="ar-SA"/>
        </w:rPr>
        <w:t>《内蒙古自治区水利网建设规划(2016~2020年)》,内蒙古自治区水利水电勘测设计院，2011年3月</w:t>
      </w:r>
      <w:r>
        <w:rPr>
          <w:rFonts w:hint="eastAsia" w:ascii="宋体" w:hAnsi="宋体" w:eastAsia="宋体" w:cs="宋体"/>
          <w:snapToGrid/>
          <w:color w:val="auto"/>
          <w:kern w:val="0"/>
          <w:sz w:val="28"/>
          <w:szCs w:val="28"/>
          <w:highlight w:val="none"/>
          <w:lang w:val="en-US" w:eastAsia="zh-CN" w:bidi="ar-SA"/>
        </w:rPr>
        <w:t>;</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5、《内蒙古自治区城市饮用水水源地安全保障规划》,内蒙古自治区水利厅，2015年3月;</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6、《2019年巴彦淖尔市统计年鉴》,巴彦淖尔市统计局;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7、《内蒙古自治区水利风景区建设发展规划(2016年~2025年)》,内蒙古自治区水利水电勘测设计院，2017年;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8、《内蒙古自治区河流湖泊特征值手册》,巴彦淖尔市卷;</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9、其他已编制的规划报告、设计报告。</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53" w:name="_bookmark28"/>
      <w:bookmarkEnd w:id="53"/>
      <w:bookmarkStart w:id="54" w:name="_bookmark29"/>
      <w:bookmarkEnd w:id="54"/>
      <w:bookmarkStart w:id="55" w:name="_bookmark30"/>
      <w:bookmarkEnd w:id="55"/>
      <w:bookmarkStart w:id="56" w:name="_Toc18299"/>
      <w:bookmarkStart w:id="57" w:name="_Toc1292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3.6 技术路线</w:t>
      </w:r>
      <w:bookmarkEnd w:id="56"/>
      <w:bookmarkEnd w:id="5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资料收集与分析整理等基础上，分析岸线保护和利用现状，按照有关法律。法规、规程规范和相关上位规划有关要求，确定岸线管控目标与指标，划分功能区和拟定规划方案，提出岸线保护利用的行动计划于实施安排，形成河流水域岸线保护利用规划成果。并制定本次规划报告技术路线图。见图3-1。</w:t>
      </w:r>
    </w:p>
    <w:p>
      <w:pPr>
        <w:spacing w:line="318" w:lineRule="auto"/>
        <w:rPr>
          <w:rFonts w:ascii="Arial"/>
          <w:color w:val="auto"/>
          <w:sz w:val="21"/>
          <w:highlight w:val="none"/>
        </w:rPr>
      </w:pPr>
    </w:p>
    <w:p>
      <w:pPr>
        <w:spacing w:line="319" w:lineRule="auto"/>
        <w:rPr>
          <w:rFonts w:ascii="Arial"/>
          <w:color w:val="auto"/>
          <w:sz w:val="21"/>
          <w:highlight w:val="none"/>
        </w:rPr>
      </w:pPr>
      <w:r>
        <w:rPr>
          <w:color w:val="auto"/>
          <w:highlight w:val="none"/>
        </w:rPr>
        <w:drawing>
          <wp:inline distT="0" distB="0" distL="114300" distR="114300">
            <wp:extent cx="5377815" cy="4258310"/>
            <wp:effectExtent l="0" t="0" r="13335" b="889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33"/>
                    <a:stretch>
                      <a:fillRect/>
                    </a:stretch>
                  </pic:blipFill>
                  <pic:spPr>
                    <a:xfrm>
                      <a:off x="0" y="0"/>
                      <a:ext cx="5377815" cy="4258310"/>
                    </a:xfrm>
                    <a:prstGeom prst="rect">
                      <a:avLst/>
                    </a:prstGeom>
                    <a:noFill/>
                    <a:ln>
                      <a:noFill/>
                    </a:ln>
                  </pic:spPr>
                </pic:pic>
              </a:graphicData>
            </a:graphic>
          </wp:inline>
        </w:drawing>
      </w:r>
    </w:p>
    <w:p>
      <w:pPr>
        <w:spacing w:line="319" w:lineRule="auto"/>
        <w:rPr>
          <w:rFonts w:ascii="Arial"/>
          <w:color w:val="auto"/>
          <w:sz w:val="21"/>
          <w:highlight w:val="none"/>
        </w:rPr>
      </w:pPr>
    </w:p>
    <w:p>
      <w:pPr>
        <w:spacing w:before="75" w:line="219" w:lineRule="auto"/>
        <w:ind w:left="0" w:leftChars="0" w:firstLine="0" w:firstLineChars="0"/>
        <w:jc w:val="center"/>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图3-1 河流水域岸线保护利用规划编制技术路线图</w:t>
      </w:r>
    </w:p>
    <w:p>
      <w:pPr>
        <w:rPr>
          <w:color w:val="auto"/>
          <w:highlight w:val="none"/>
        </w:rPr>
        <w:sectPr>
          <w:footerReference r:id="rId11" w:type="default"/>
          <w:pgSz w:w="11910" w:h="16850"/>
          <w:pgMar w:top="1432" w:right="1644" w:bottom="2008" w:left="1786" w:header="1020" w:footer="1474"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58" w:name="_bookmark31"/>
      <w:bookmarkEnd w:id="58"/>
      <w:bookmarkStart w:id="59" w:name="_Toc2125"/>
      <w:bookmarkStart w:id="60" w:name="_Toc19953"/>
      <w:r>
        <w:rPr>
          <w:rFonts w:hint="eastAsia" w:ascii="宋体" w:hAnsi="宋体" w:eastAsia="宋体" w:cs="宋体"/>
          <w:color w:val="auto"/>
          <w:sz w:val="32"/>
          <w:szCs w:val="32"/>
          <w:highlight w:val="none"/>
          <w:lang w:val="en-US" w:eastAsia="zh-CN"/>
        </w:rPr>
        <w:t>4 指导思想与原则</w:t>
      </w:r>
      <w:bookmarkEnd w:id="59"/>
      <w:bookmarkEnd w:id="6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1" w:name="_Toc31550"/>
      <w:bookmarkStart w:id="62" w:name="_Toc2041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4.1 指导思想</w:t>
      </w:r>
      <w:bookmarkEnd w:id="61"/>
      <w:bookmarkEnd w:id="6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全面贯彻党的十八大和党的十九大精神，深入学习、贯彻落实习近平总书记系列重要讲话精神，落实党中央、国务院和省委、省政府关于河长制工作要求，坚持绿色发展理念，正确处理岸线资源开发利用与治理保护的关系;综合协调上、下游、左右岸及相关部门和行业间的关系，统筹兼顾近远期的要求，通过对岸线资源的合理布局和优化配置，在保障防洪安全、河势稳定、供水安全和满足水生态环境保护要求的前提下，实现岸线资源的有效利用、科学保护、强化管理、实现岸线资源的可持续利用，促进经济社会的可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3" w:name="_Toc7517"/>
      <w:bookmarkStart w:id="64" w:name="_Toc570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规划原则</w:t>
      </w:r>
      <w:bookmarkEnd w:id="63"/>
      <w:bookmarkEnd w:id="6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(1)保护优先、合理利用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坚持保护优先，把岸线保护作为岸线利用的前提，实现在保护中有序开发、在开发中落实保护。协调城市发展、产业开发、生态保护等方面对岸线的利用需求，统筹岸线与后方土地的使用和管理，促进岸线合理利用、强化节约集约利用。做好与生态保护红线划定、空间规划等工作的相互衔接。</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(2)统筹兼顾、科学布局</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遵循河湖演变的自然规律，根据岸线自然条件，充分考虑防洪安全、河势稳定、供水安全、生态环境保护等方面要求，兼顾上下游、左右岸、不同地区及不同行业的开发利用需求，科学布局河湖岸线生态空间、生活空间、生产空间，合理划定划分岸线功能分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(3)依法依规、从严管控</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按照《水法》《防洪法》《河道管理条例》等法律法规的要求，针对岸线利用与保护中存在的突出问题，强调制度建设、强化整体保护、落实监管责任，确保岸线得到有效保护、合理利用和依法管理。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(4)远近结合、持续发展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既考虑近期经济社会发展需要，节约集约利用岸线，又充分兼顾未来经济社会发展需求，做好岸线的保护，为远期发展预留空间，划定一定范围的保留区做到远近结合、持续发展。</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5" w:name="_bookmark32"/>
      <w:bookmarkEnd w:id="65"/>
      <w:bookmarkStart w:id="66" w:name="_Toc31890"/>
      <w:bookmarkStart w:id="67" w:name="_Toc3235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规划范围及水平年</w:t>
      </w:r>
      <w:bookmarkEnd w:id="66"/>
      <w:bookmarkEnd w:id="67"/>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4.3.1 规划范围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七分场海子</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4.3.2 规划水平年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现状基准年：2022年;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pPr>
      <w:r>
        <w:rPr>
          <w:rFonts w:hint="eastAsia" w:ascii="宋体" w:hAnsi="宋体" w:eastAsia="宋体" w:cs="宋体"/>
          <w:snapToGrid/>
          <w:color w:val="auto"/>
          <w:kern w:val="0"/>
          <w:sz w:val="28"/>
          <w:szCs w:val="28"/>
          <w:highlight w:val="green"/>
          <w:lang w:val="en-US" w:eastAsia="zh-CN" w:bidi="ar-SA"/>
        </w:rPr>
        <w:t>规划水平年：2035年。</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68" w:name="_Toc730"/>
      <w:bookmarkStart w:id="69" w:name="_Toc733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4.4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规划目标及任务</w:t>
      </w:r>
      <w:bookmarkEnd w:id="68"/>
      <w:bookmarkEnd w:id="69"/>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4.4.1 规划目标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总目标：通过制定湖泊岸线保护与利用规划，统筹协调经济发展与河道防洪、河势演变及水生态、水环境保护等方面的需求，科学划分岸线功能区，为有效保护和合理利用岸线资源，发挥岸线综合功能提供依据，形成保护与利用紧密结合、协调发展的新机制。优化配置岸线资源，使得岸线功能得到全面、有效、持续的发挥。磴口县七分场海子形成经济社会协调发展、水生态和水环境良好、人水和谐相处的自然美景。</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近期目标：摸清七分场海子岸线开发利用现状，通过制定岸线利用管理规划，科学合理地划分岸线控制线和岸线功能区，提出岸线控制利用管理意见及规划实施保障措施。在保障防洪安全、供水安全、河势稳定、保护水生态环境和其它公共利益的前提下，按照保护优先、开发有序、合理控制的要求，提出岸线合理开发有效保护、科学利用、强化管理的布局和方案，建立开发利用与治理保护紧密结合、协调发展的机制，为实现岸线的依法、科学、有序利用和控制保护奠定基础为今后一定时期内岸线开发利用与管理提供重要依据和准则，实现岸线的依法、科学、有序利用，全面发挥岸线的综合功能，促进经济社会与资源、环境的协调发展。</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4.4.2 规划任务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分析湖泊演变规律，调查分析岸线资源及岸线开发利用现状，分析总结岸线开发利用与保护中存在的主要问题;在深入分析岸线利用与保护对湖势控制、防洪安全、水资源利用、生态环境保护及其它方面影响的基础上，确定岸线的范围</w:t>
      </w:r>
      <w:bookmarkStart w:id="70" w:name="_bookmark33"/>
      <w:bookmarkEnd w:id="70"/>
      <w:r>
        <w:rPr>
          <w:rFonts w:hint="eastAsia" w:ascii="宋体" w:hAnsi="宋体" w:eastAsia="宋体" w:cs="宋体"/>
          <w:snapToGrid/>
          <w:color w:val="auto"/>
          <w:kern w:val="0"/>
          <w:sz w:val="28"/>
          <w:szCs w:val="28"/>
          <w:highlight w:val="none"/>
          <w:lang w:val="en-US" w:eastAsia="zh-CN" w:bidi="ar-SA"/>
        </w:rPr>
        <w:t>合理划定岸线控制线;根据不同河段岸线的主要功能特点，统筹考虑防洪、城市建设、河道生态环境保护以及沿河地区经济社会发展的要求，科学合理地划分岸线功能区;按照保障防洪安全、供水安全、维护河流健康、促进岸线资源合理利用和有效保护的要求，对现状岸线资源利用不合理的地区，研究提出岸线布局调整和控制利用与保护的管理指导意见，以及岸线管理的保障措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2" w:type="default"/>
          <w:pgSz w:w="12120" w:h="17000"/>
          <w:pgMar w:top="1445" w:right="1818" w:bottom="2063" w:left="1818" w:header="1020" w:footer="158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71" w:name="_Toc30596"/>
      <w:bookmarkStart w:id="72" w:name="_Toc26733"/>
      <w:r>
        <w:rPr>
          <w:rFonts w:hint="eastAsia" w:ascii="宋体" w:hAnsi="宋体" w:eastAsia="宋体" w:cs="宋体"/>
          <w:color w:val="auto"/>
          <w:sz w:val="32"/>
          <w:szCs w:val="32"/>
          <w:highlight w:val="none"/>
          <w:lang w:val="en-US" w:eastAsia="zh-CN"/>
        </w:rPr>
        <w:t>5 岸线控制线确定</w:t>
      </w:r>
      <w:bookmarkEnd w:id="71"/>
      <w:bookmarkEnd w:id="72"/>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3" w:name="_Toc6332"/>
      <w:bookmarkStart w:id="74" w:name="_Toc12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5.1 岸线控制线定义</w:t>
      </w:r>
      <w:bookmarkEnd w:id="73"/>
      <w:bookmarkEnd w:id="7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岸线边界线：是指沿河流走向或湖泊沿岸周边划定的用于界定各类岸线功能区垂向带区范围的边界线，分为临水边界线和外缘边界线。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临水边界线：是根据稳定河势、保障河道行洪安全和维护河流湖泊生态等基本要求，在河流沿岸临水一侧顺水流方向或湖泊(水库)沿岸边临水一侧划定的岸线带区内边界线。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外缘边界线：是根据河流湖泊岸线管理保护、维护河流功能等管控要求，在河流沿岸陆域一侧或湖泊(水库)沿岸周边陆域一侧划定的岸线带区外边界线。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是在外缘边界线和临水边界线之间的带状区域。岸线既具有调节水流和维护渠道健康的自然生态功能属性，同时在一定情况下，也具有开发利用价值的资源功能属性。任何进入外缘边界线以内岸线区域的开发利用行为都必须符合岸线功能区划的规定及管理要求，且原则上不得逾越临水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75" w:name="_Toc26349"/>
      <w:bookmarkStart w:id="76" w:name="_Toc3310"/>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5.2 岸线控制线划定的原则</w:t>
      </w:r>
      <w:bookmarkEnd w:id="75"/>
      <w:bookmarkEnd w:id="7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合理利用与有效保护相结合的原则。根据岸线利用与保护的总体目标和要求，结合七分场海子的湖泊状况、岸线自然特点、岸线资源状况，在服从防洪安全、湖泊稳定和维护河流健康的前提下，充分考虑水资源利用与保护的要求，按照合理利用与有效保护相结合的原则划定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综合利用、统筹协调的原则。按照流域综合规划、防洪规划、水功能区划及河湖整治规划等方面的要求，统筹协调近远期防洪工程建设、河流生态功能保护、滩地合理利用、土地利用等规划以及各部门对岸线利用的要求，按照岸线保护的要求，结合需要与可能合理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考虑河势演变、适当留有余地的原则。应充分考虑河湖岸线的地形地质条件、河势演变趋势及与岸线开发利用与治理的相互影响，以及周边经济社会发展、防洪保安和生态环境保护对岸线利用与保护的要求等因素，合理划定河湖的岸线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(4)结合实际、因地制宜原则。城市段的岸线控制线应充分考虑城市防洪安全与生态环境保护的要求，结合城市发展总体规划、岸线开发利用与保护现状、</w:t>
      </w:r>
      <w:bookmarkStart w:id="77" w:name="_bookmark36"/>
      <w:bookmarkEnd w:id="77"/>
      <w:bookmarkStart w:id="78" w:name="_bookmark34"/>
      <w:bookmarkEnd w:id="78"/>
      <w:bookmarkStart w:id="79" w:name="_bookmark35"/>
      <w:bookmarkEnd w:id="79"/>
      <w:bookmarkStart w:id="80" w:name="_bookmark37"/>
      <w:bookmarkEnd w:id="80"/>
      <w:r>
        <w:rPr>
          <w:rFonts w:hint="eastAsia" w:ascii="宋体" w:hAnsi="宋体" w:eastAsia="宋体" w:cs="宋体"/>
          <w:snapToGrid/>
          <w:color w:val="auto"/>
          <w:kern w:val="0"/>
          <w:sz w:val="28"/>
          <w:szCs w:val="28"/>
          <w:highlight w:val="none"/>
          <w:lang w:val="en-US" w:eastAsia="zh-CN" w:bidi="ar-SA"/>
        </w:rPr>
        <w:t>城市景观建设等因素。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连续性和一致性原则。岸线控制线的划定应保持连续性和一致性,特别是各行政区域交界处，应按照河流特性，在综合考虑各行业要求，统筹岸线资源状况和区域经济发展对岸线的需求等综合因素的前提下，科学合理进行划定，避免因地区间社会经济发展要求的差异，导致岸线控制线划分不合理。</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1" w:name="_Toc26174"/>
      <w:bookmarkStart w:id="82" w:name="_Toc2080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5.3 岸线划定方法</w:t>
      </w:r>
      <w:bookmarkEnd w:id="81"/>
      <w:bookmarkEnd w:id="8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一、临水控制线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根据河湖特点和上述条件，制定临水边界线定线方法如下：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1、对丘陵区河道，洪水涨落较快，岸坡较陡，临水边界线按一定重现期(如三年一遇或五年一遇)洪水位水边线并留有适当的河宽确定。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2、对河道滩槽关系明显、主槽具有一定规模(可通过三年一遇洪水)、河势较稳定的河段，采用滩槽分界线作为临水边界线定线依据，定线时结合河流演变特性适当留有余地;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3、对河道滩槽关系不明显和主槽很小主要靠滩地行洪的河段，采用河道中水整治流量(采用第一造床流量或多年平均洪峰流量)水边线或临水堤脚线作为临水边界线;具体根据实际情况分析确定。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4、对河势不稳、河槽冲淤变化明显、主流摆动的河段，划定临水边界线时应考虑河势演变影响，适当留有余地。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5、临水边界线与河道水流流向保持基本平顺。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二、外缘边界线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岸线外缘边界线按照水利部印发《河湖岸线保护与利用规划编制指南(试行)》规定，确定外缘边界线定线方法如下：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1、对于无堤防河段，因已确权，按照确权资料中的岸线长度及宽度确定岸线外缘线;若未确权，采用河道设计洪水位与岸边的交界线作为外缘控制线。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2、对于已建有堤防的河段，已确权的河段，按照确权资料中的岸线长度及宽度确定岸线外缘线;若未确权，采用堤防工程的管理范围外缘线作为外缘控制线。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3、对于已规划建设堤防工程而目前尚未建设的河段，根据规划要求及相关设计资料，以规划堤防管理范围外缘线或征地线划定外缘控制线。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三、管理范围线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依据《中华人民共和国防洪法》第二十一条第三款：有堤防的河道、湖泊其管理范围为两岸堤防之间的水域沙洲、滩地、行洪区和堤防及护堤地;无堤防的河道、湖泊，其管理范围为历史最高洪水位或者设计洪水位之间的水域、沙洲、滩地和行洪区。《中华人民共和国河道管理条例》中的第二十条给出了与“防洪法”中相同的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根据水利部《河湖岸线保护与利用规划编制指南(试行)》中对外缘边界线的定义，结合河流的实际情况，管理范围线即为外缘边界线。</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3" w:name="_Toc10450"/>
      <w:bookmarkStart w:id="84" w:name="_Toc517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5.4 岸线边界线确定</w:t>
      </w:r>
      <w:bookmarkEnd w:id="83"/>
      <w:bookmarkEnd w:id="8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1、控制线定线条件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七分场海子湖岸均属于自然坡型式，水域外围无堤防，管理范围划定工作已进行。</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2、临水控制线定线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采用七分场海子湖泊多年平均水位线。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3、外缘控制线定线</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green"/>
          <w:lang w:val="en-US" w:eastAsia="zh-CN" w:bidi="ar-SA"/>
        </w:rPr>
        <w:sectPr>
          <w:footerReference r:id="rId13" w:type="default"/>
          <w:pgSz w:w="12080" w:h="16970"/>
          <w:pgMar w:top="1442" w:right="1812" w:bottom="2023" w:left="1812" w:header="1020" w:footer="1531" w:gutter="0"/>
          <w:pgNumType w:fmt="decimal"/>
          <w:cols w:space="720" w:num="1"/>
        </w:sectPr>
      </w:pPr>
      <w:r>
        <w:rPr>
          <w:rFonts w:hint="eastAsia" w:ascii="宋体" w:hAnsi="宋体" w:eastAsia="宋体" w:cs="宋体"/>
          <w:snapToGrid/>
          <w:color w:val="auto"/>
          <w:kern w:val="0"/>
          <w:sz w:val="28"/>
          <w:szCs w:val="28"/>
          <w:highlight w:val="green"/>
          <w:lang w:val="en-US" w:eastAsia="zh-CN" w:bidi="ar-SA"/>
        </w:rPr>
        <w:t>七分场海子外缘控制线已在《七分场海子管理范围划定方案》中划定。划定成果见附表4。</w:t>
      </w: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85" w:name="_Toc857"/>
      <w:bookmarkStart w:id="86" w:name="_Toc13437"/>
      <w:r>
        <w:rPr>
          <w:rFonts w:hint="eastAsia" w:ascii="宋体" w:hAnsi="宋体" w:eastAsia="宋体" w:cs="宋体"/>
          <w:color w:val="auto"/>
          <w:sz w:val="32"/>
          <w:szCs w:val="32"/>
          <w:highlight w:val="none"/>
          <w:lang w:val="en-US" w:eastAsia="zh-CN"/>
        </w:rPr>
        <w:t>6 岸线功能区划分</w:t>
      </w:r>
      <w:bookmarkEnd w:id="85"/>
      <w:bookmarkEnd w:id="86"/>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7" w:name="_Toc11891"/>
      <w:bookmarkStart w:id="88" w:name="_Toc513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6.1 岸线功能区的划分原则</w:t>
      </w:r>
      <w:bookmarkEnd w:id="87"/>
      <w:bookmarkEnd w:id="88"/>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近远期结合、开发与保护并重的原则。岸线功能区划分应正确处理近期与远期、开发与保护之间的关系，做到近远期结合，开发利用与保护并重，确保防洪安全和水资源、水环境及河流生态得到有效保护，促进岸线资源的可持续利用，保障沿岸地区经济社会的可持续发展。</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(2)上下游、左右岸协调统一的原则。岸线功能区划分应统筹考虑和协调处理好上下游、左右岸之间的关系及岸线的开发利用可能带来相互的影响。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(3)与相关功能分区协调一致的原则。岸线功能区划分应与已有的防洪分区、水功能分区、农业分区、自然生态分区等区划相协调。</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因地制宜、兼顾现实的原则。岸线功能区划分应本着因地制宜，实事求是的原则，充分考虑河流自然生态属性，以及河势演变、河道冲淤特性及河道岸线的稳定性，并结合行政区划分界，进行科学划分，保证岸线功能区划分的合理性。</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89" w:name="_Toc30011"/>
      <w:bookmarkStart w:id="90" w:name="_Toc270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6.2 岸线功能区划分的基本要求及方法</w:t>
      </w:r>
      <w:bookmarkEnd w:id="89"/>
      <w:bookmarkEnd w:id="90"/>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本次岸线功能区划分根据《河湖岸线保护与利用规划编制指南》,指南中对河道岸线功能区划分提出了基本要求。本次规划针对巴彦套海农场境内河流特点，参照指南中对河道岸线划分的要求与方法，提出河道岸线功能区划分的基本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1、岸线功能区划分应突出强调保护与管控，尽可能提高岸线保护区、岸线保留区在河流、湖泊岸线功能区中的比例，从严控制岸线开发利用区和控制利用区，尽可能减小岸线开发利用区所占比例。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2、岸线功能区的划分应在已划分的岸线边界线的带状区域内合理进行划分。岸线功能区划定时应尽可能详细具体，以便于管理。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3、对于岸线开发利用要求相对较低，经济发展相对落后的河段，或位于上游两岸人口稀少的山丘区河道，可结合实际情况适当加大单个功能区的长度。</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1" w:name="_Toc16032"/>
      <w:bookmarkStart w:id="92" w:name="_Toc2035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6.3 岸线功能区划分方法</w:t>
      </w:r>
      <w:bookmarkEnd w:id="91"/>
      <w:bookmarkEnd w:id="92"/>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6.3.1 岸线保护区划定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岸线保护区是指岸线开发利用可能对防洪安全、河势稳定、供水安全、生态环境、重要枢纽和涉水工程安全等有明显不利影响的岸段。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岸线保护区划分方法如下：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1、引起深泓变迁的节点段或改变分汊河段分流态势的分汇流段等重要河势敏感区岸线应划为岸线保护区。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2、列入各省(自治区、直辖市)集中式饮用水水源地名录的水源地，其一级保护区应划为岸线保护区，列入全国重要饮用水水源地地名录的应划为岸线保护区。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3、位于国家级和省级自然保护区核心区和缓冲区、风景名胜区核心景区等生态敏感区，法律法规有明确禁止性规定的，需要实施严格保护的各类保护地的河湖岸线，应从严划分为岸线保护区。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4、根据地方划定的生态保护红线范围，位于生态保护红线范围的河湖岸线，按红线管控要求划定岸线保护区。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6.3.2 岸线保留区划定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岸线保留区是指规划期内暂时不宜开发利用或者尚不具备开发利用条件、为生态保护预留的岸段。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1、对河势变化剧烈、岸线开发利用条件较差，河道治理和河势调整方案尚未确定或尚未实施等暂不具备开发利用条件的岸段，划分为岸线保留区。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位于国家级和省级自然保护区的实验区、水产种质资源保护区、国际重要湿地、国家重要湿地以及国家湿地公园、森林公园生态保育区和核心景区、地质公园地质遗迹保护区、世界自然遗产核心区和缓冲区等生态敏感区，但未纳入生态保护红线范围内的河湖岸线，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3、已列入国家或省级规划，尚未实施的防洪保留区、水资源保护区、供水水源地的岸段等应划为岸线保留区。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4、为生态建设需要预留的岸段，划为岸线保留区。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5、对虽具备开发利用条件，但经济社会发展水平相对较低，规划期内暂无开发利用需求的岸段，划为岸线保留区。</w:t>
      </w:r>
    </w:p>
    <w:p>
      <w:pPr>
        <w:bidi w:val="0"/>
        <w:spacing w:line="360" w:lineRule="auto"/>
        <w:rPr>
          <w:rFonts w:hint="eastAsia" w:ascii="宋体" w:hAnsi="宋体" w:eastAsia="宋体" w:cs="宋体"/>
          <w:b/>
          <w:bCs/>
          <w:color w:val="auto"/>
          <w:sz w:val="28"/>
          <w:szCs w:val="28"/>
          <w:highlight w:val="none"/>
        </w:rPr>
      </w:pPr>
      <w:bookmarkStart w:id="93" w:name="_bookmark40"/>
      <w:bookmarkEnd w:id="93"/>
      <w:bookmarkStart w:id="94" w:name="_bookmark39"/>
      <w:bookmarkEnd w:id="94"/>
      <w:r>
        <w:rPr>
          <w:rFonts w:hint="eastAsia" w:ascii="宋体" w:hAnsi="宋体" w:eastAsia="宋体" w:cs="宋体"/>
          <w:b/>
          <w:bCs/>
          <w:color w:val="auto"/>
          <w:sz w:val="28"/>
          <w:szCs w:val="28"/>
          <w:highlight w:val="none"/>
        </w:rPr>
        <w:t>6.3.3 岸线控制利用区划定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岸线控制利用区是指岸线开发利用程度较高，或开发利用对防洪安全、河势稳定、供水安全、生态环境可能造成一定影响，需要控制其开发利用强度、调整开发利用方式或开发利用用途的岸段。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1、对岸线开发利用程度相对较高的岸段，为避免进一步开发可能对防洪安全、河势稳定、供水安全、航道稳定等带来不利影响，需要控制或减少其开发利用强度的岸段，划分为岸线控制利用区。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2、重要险工险段、重要涉水工程及设施、河势变化敏感区、地质灾害易发区、水土流失严重区需控制开发利用方式的岸段，划为岸线控制利用区。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3、位于风景名胜区的一般景区、地方重要湿地和地方一般湿地、湿地公园以及饮用水源地二级保护区、准保护区等生态敏感区未纳入生态红线范围，但需控制开发利用方式的部分岸段，划为岸线控制利用区。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6.3.4 岸线开发利用区划定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岸线开发利用区是指河势基本稳定、岸线利用条件较好，岸线开发利用对防洪安全、河势稳定、供水安全以及生态环境影响较小的岸段。</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岸线开发利用区划分方法如下：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根据《河湖岸线保护与利用规划编制指南(试行)》的要求：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河势基本稳定、岸线利用条件较好，岸线开发利用对防洪安全、河势稳定、供水安全以及生态环境影响较小的岸段，划为岸线开发利用区。但要在规划中充分体现岸线的集约节约利用。</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95" w:name="_Toc25441"/>
      <w:bookmarkStart w:id="96" w:name="_Toc24615"/>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6.4 岸线功能区划分</w:t>
      </w:r>
      <w:bookmarkEnd w:id="95"/>
      <w:bookmarkEnd w:id="9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岸线资源及其开发利用的实际情况，考虑经济社会发展各方面对岸线利用的需求，同时根据前述岸线功能区划分原则及方法的指导下，将七分场海子管理范围界以内功能区划分为岸线保留区。最终确定管理范围面积为1.53km²。成果汇总详见表6-1。岸线功能区分区图见图 6-1。</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sectPr>
          <w:footerReference r:id="rId14" w:type="default"/>
          <w:pgSz w:w="12160" w:h="17020"/>
          <w:pgMar w:top="1446" w:right="1824" w:bottom="2076" w:left="1824" w:header="1020" w:footer="1531" w:gutter="0"/>
          <w:pgNumType w:fmt="decimal"/>
          <w:cols w:space="720" w:num="1"/>
        </w:sectPr>
      </w:pPr>
    </w:p>
    <w:p>
      <w:pPr>
        <w:spacing w:line="269" w:lineRule="auto"/>
        <w:rPr>
          <w:rFonts w:ascii="Arial"/>
          <w:color w:val="auto"/>
          <w:sz w:val="21"/>
          <w:highlight w:val="yellow"/>
        </w:rPr>
      </w:pPr>
    </w:p>
    <w:p>
      <w:pPr>
        <w:spacing w:before="78" w:line="196" w:lineRule="auto"/>
        <w:ind w:left="0" w:leftChars="0" w:firstLine="0" w:firstLineChars="0"/>
        <w:rPr>
          <w:rFonts w:ascii="宋体" w:hAnsi="宋体" w:eastAsia="宋体" w:cs="宋体"/>
          <w:color w:val="auto"/>
          <w:sz w:val="21"/>
          <w:szCs w:val="21"/>
          <w:highlight w:val="yellow"/>
        </w:rPr>
      </w:pPr>
      <w:bookmarkStart w:id="97" w:name="_bookmark41"/>
      <w:bookmarkEnd w:id="97"/>
      <w:r>
        <w:rPr>
          <w:rFonts w:ascii="宋体" w:hAnsi="宋体" w:eastAsia="宋体" w:cs="宋体"/>
          <w:color w:val="auto"/>
          <w:spacing w:val="-1"/>
          <w:sz w:val="21"/>
          <w:szCs w:val="21"/>
          <w:highlight w:val="yellow"/>
        </w:rPr>
        <w:t>表6-1</w:t>
      </w:r>
      <w:r>
        <w:rPr>
          <w:rFonts w:hint="eastAsia" w:ascii="宋体" w:hAnsi="宋体" w:eastAsia="宋体" w:cs="宋体"/>
          <w:color w:val="auto"/>
          <w:spacing w:val="-1"/>
          <w:sz w:val="21"/>
          <w:szCs w:val="21"/>
          <w:highlight w:val="yellow"/>
          <w:lang w:val="en-US" w:eastAsia="zh-CN"/>
        </w:rPr>
        <w:t xml:space="preserve">                                               </w:t>
      </w:r>
      <w:r>
        <w:rPr>
          <w:rFonts w:hint="eastAsia" w:ascii="宋体" w:hAnsi="宋体" w:eastAsia="宋体" w:cs="宋体"/>
          <w:snapToGrid/>
          <w:color w:val="auto"/>
          <w:kern w:val="0"/>
          <w:sz w:val="21"/>
          <w:szCs w:val="21"/>
          <w:highlight w:val="yellow"/>
          <w:lang w:val="en-US" w:eastAsia="zh-CN" w:bidi="ar-SA"/>
        </w:rPr>
        <w:t>七分场海子</w:t>
      </w:r>
      <w:r>
        <w:rPr>
          <w:rFonts w:ascii="宋体" w:hAnsi="宋体" w:eastAsia="宋体" w:cs="宋体"/>
          <w:color w:val="auto"/>
          <w:sz w:val="21"/>
          <w:szCs w:val="21"/>
          <w:highlight w:val="yellow"/>
        </w:rPr>
        <w:t>岸线划分成果表</w:t>
      </w:r>
    </w:p>
    <w:p>
      <w:pPr>
        <w:rPr>
          <w:rFonts w:ascii="Arial"/>
          <w:color w:val="auto"/>
          <w:sz w:val="21"/>
          <w:highlight w:val="yellow"/>
        </w:rPr>
      </w:pPr>
    </w:p>
    <w:p>
      <w:pPr>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416"/>
        <w:gridCol w:w="762"/>
        <w:gridCol w:w="627"/>
        <w:gridCol w:w="2376"/>
        <w:gridCol w:w="2203"/>
        <w:gridCol w:w="1417"/>
        <w:gridCol w:w="1436"/>
        <w:gridCol w:w="1417"/>
        <w:gridCol w:w="28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序号</w:t>
            </w:r>
          </w:p>
        </w:tc>
        <w:tc>
          <w:tcPr>
            <w:tcW w:w="28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市（地）级 行政区</w:t>
            </w:r>
          </w:p>
        </w:tc>
        <w:tc>
          <w:tcPr>
            <w:tcW w:w="232" w:type="pct"/>
            <w:tcBorders>
              <w:bottom w:val="single" w:color="auto" w:sz="4" w:space="0"/>
            </w:tcBorders>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旗县级 行政区</w:t>
            </w:r>
          </w:p>
        </w:tc>
        <w:tc>
          <w:tcPr>
            <w:tcW w:w="879"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起止位置</w:t>
            </w:r>
          </w:p>
        </w:tc>
        <w:tc>
          <w:tcPr>
            <w:tcW w:w="815" w:type="pct"/>
            <w:vAlign w:val="center"/>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功能区类型</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外缘边界线长度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31"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临水边界线长度</w:t>
            </w:r>
          </w:p>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(km)</w:t>
            </w:r>
          </w:p>
        </w:tc>
        <w:tc>
          <w:tcPr>
            <w:tcW w:w="52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岸线功能区面积 (km²)</w:t>
            </w:r>
          </w:p>
        </w:tc>
        <w:tc>
          <w:tcPr>
            <w:tcW w:w="1054" w:type="pct"/>
            <w:vAlign w:val="top"/>
          </w:tcPr>
          <w:p>
            <w:pPr>
              <w:spacing w:before="200" w:line="220" w:lineRule="auto"/>
              <w:ind w:left="44"/>
              <w:jc w:val="center"/>
              <w:rPr>
                <w:rFonts w:hint="eastAsia" w:ascii="楷体" w:hAnsi="楷体" w:eastAsia="楷体" w:cs="楷体"/>
                <w:b/>
                <w:bCs/>
                <w:color w:val="auto"/>
                <w:spacing w:val="-4"/>
                <w:sz w:val="21"/>
                <w:szCs w:val="21"/>
                <w:highlight w:val="yellow"/>
              </w:rPr>
            </w:pPr>
            <w:r>
              <w:rPr>
                <w:rFonts w:hint="eastAsia" w:ascii="楷体" w:hAnsi="楷体" w:eastAsia="楷体" w:cs="楷体"/>
                <w:b/>
                <w:bCs/>
                <w:color w:val="auto"/>
                <w:spacing w:val="-4"/>
                <w:sz w:val="21"/>
                <w:szCs w:val="21"/>
                <w:highlight w:val="yellow"/>
              </w:rPr>
              <w:t>主要划分依据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154" w:type="pct"/>
            <w:tcBorders>
              <w:right w:val="single" w:color="auto" w:sz="4" w:space="0"/>
            </w:tcBorders>
            <w:vAlign w:val="top"/>
          </w:tcPr>
          <w:p>
            <w:pPr>
              <w:jc w:val="center"/>
              <w:rPr>
                <w:rFonts w:hint="eastAsia" w:ascii="楷体" w:hAnsi="楷体" w:eastAsia="楷体" w:cs="楷体"/>
                <w:color w:val="auto"/>
                <w:sz w:val="21"/>
                <w:szCs w:val="21"/>
                <w:highlight w:val="yellow"/>
              </w:rPr>
            </w:pPr>
          </w:p>
          <w:p>
            <w:pPr>
              <w:spacing w:line="241" w:lineRule="auto"/>
              <w:jc w:val="center"/>
              <w:rPr>
                <w:rFonts w:hint="eastAsia" w:ascii="楷体" w:hAnsi="楷体" w:eastAsia="楷体" w:cs="楷体"/>
                <w:color w:val="auto"/>
                <w:sz w:val="21"/>
                <w:szCs w:val="21"/>
                <w:highlight w:val="yellow"/>
              </w:rPr>
            </w:pPr>
          </w:p>
          <w:p>
            <w:pPr>
              <w:spacing w:before="65" w:line="184" w:lineRule="auto"/>
              <w:ind w:left="74"/>
              <w:jc w:val="center"/>
              <w:rPr>
                <w:rFonts w:hint="eastAsia" w:ascii="楷体" w:hAnsi="楷体" w:eastAsia="楷体" w:cs="楷体"/>
                <w:color w:val="auto"/>
                <w:sz w:val="21"/>
                <w:szCs w:val="21"/>
                <w:highlight w:val="yellow"/>
              </w:rPr>
            </w:pPr>
            <w:r>
              <w:rPr>
                <w:rFonts w:hint="eastAsia" w:ascii="楷体" w:hAnsi="楷体" w:eastAsia="楷体" w:cs="楷体"/>
                <w:color w:val="auto"/>
                <w:sz w:val="21"/>
                <w:szCs w:val="21"/>
                <w:highlight w:val="yellow"/>
              </w:rPr>
              <w:t>1</w:t>
            </w:r>
          </w:p>
        </w:tc>
        <w:tc>
          <w:tcPr>
            <w:tcW w:w="282" w:type="pct"/>
            <w:tcBorders>
              <w:top w:val="single" w:color="auto" w:sz="4" w:space="0"/>
              <w:left w:val="single" w:color="auto" w:sz="4" w:space="0"/>
              <w:bottom w:val="single" w:color="auto" w:sz="4" w:space="0"/>
            </w:tcBorders>
            <w:vAlign w:val="center"/>
          </w:tcPr>
          <w:p>
            <w:pPr>
              <w:spacing w:before="65" w:line="248" w:lineRule="auto"/>
              <w:ind w:left="49" w:right="47" w:firstLine="100"/>
              <w:jc w:val="center"/>
              <w:rPr>
                <w:rFonts w:hint="eastAsia" w:ascii="楷体" w:hAnsi="楷体" w:eastAsia="楷体" w:cs="楷体"/>
                <w:color w:val="auto"/>
                <w:sz w:val="21"/>
                <w:szCs w:val="21"/>
                <w:highlight w:val="yellow"/>
              </w:rPr>
            </w:pPr>
            <w:r>
              <w:rPr>
                <w:rFonts w:hint="eastAsia" w:ascii="楷体" w:hAnsi="楷体" w:eastAsia="楷体" w:cs="楷体"/>
                <w:color w:val="auto"/>
                <w:spacing w:val="8"/>
                <w:sz w:val="21"/>
                <w:szCs w:val="21"/>
                <w:highlight w:val="yellow"/>
              </w:rPr>
              <w:t>巴彦</w:t>
            </w:r>
            <w:r>
              <w:rPr>
                <w:rFonts w:hint="eastAsia" w:ascii="楷体" w:hAnsi="楷体" w:eastAsia="楷体" w:cs="楷体"/>
                <w:color w:val="auto"/>
                <w:sz w:val="21"/>
                <w:szCs w:val="21"/>
                <w:highlight w:val="yellow"/>
              </w:rPr>
              <w:t xml:space="preserve">  </w:t>
            </w:r>
            <w:r>
              <w:rPr>
                <w:rFonts w:hint="eastAsia" w:ascii="楷体" w:hAnsi="楷体" w:eastAsia="楷体" w:cs="楷体"/>
                <w:color w:val="auto"/>
                <w:spacing w:val="3"/>
                <w:sz w:val="21"/>
                <w:szCs w:val="21"/>
                <w:highlight w:val="yellow"/>
              </w:rPr>
              <w:t>淖尔市</w:t>
            </w:r>
          </w:p>
        </w:tc>
        <w:tc>
          <w:tcPr>
            <w:tcW w:w="232" w:type="pct"/>
            <w:tcBorders>
              <w:top w:val="single" w:color="auto" w:sz="4" w:space="0"/>
              <w:bottom w:val="single" w:color="auto" w:sz="4" w:space="0"/>
              <w:right w:val="single" w:color="auto" w:sz="4" w:space="0"/>
            </w:tcBorders>
            <w:vAlign w:val="center"/>
          </w:tcPr>
          <w:p>
            <w:pPr>
              <w:spacing w:before="65" w:line="254" w:lineRule="auto"/>
              <w:ind w:left="10" w:right="1"/>
              <w:jc w:val="center"/>
              <w:rPr>
                <w:rFonts w:hint="eastAsia" w:ascii="楷体" w:hAnsi="楷体" w:eastAsia="楷体" w:cs="楷体"/>
                <w:color w:val="auto"/>
                <w:sz w:val="21"/>
                <w:szCs w:val="21"/>
                <w:highlight w:val="yellow"/>
                <w:lang w:eastAsia="zh-CN"/>
              </w:rPr>
            </w:pPr>
            <w:r>
              <w:rPr>
                <w:rFonts w:hint="eastAsia" w:ascii="楷体" w:hAnsi="楷体" w:eastAsia="楷体" w:cs="楷体"/>
                <w:color w:val="auto"/>
                <w:spacing w:val="-12"/>
                <w:sz w:val="21"/>
                <w:szCs w:val="21"/>
                <w:highlight w:val="yellow"/>
                <w:lang w:val="en-US" w:eastAsia="zh-CN"/>
              </w:rPr>
              <w:t>磴口县</w:t>
            </w:r>
          </w:p>
        </w:tc>
        <w:tc>
          <w:tcPr>
            <w:tcW w:w="879" w:type="pct"/>
            <w:tcBorders>
              <w:left w:val="single" w:color="auto" w:sz="4" w:space="0"/>
            </w:tcBorders>
            <w:vAlign w:val="top"/>
          </w:tcPr>
          <w:p>
            <w:pPr>
              <w:spacing w:line="430" w:lineRule="auto"/>
              <w:rPr>
                <w:rFonts w:hint="eastAsia" w:ascii="楷体" w:hAnsi="楷体" w:eastAsia="楷体" w:cs="楷体"/>
                <w:color w:val="auto"/>
                <w:sz w:val="21"/>
                <w:szCs w:val="21"/>
                <w:highlight w:val="yellow"/>
              </w:rPr>
            </w:pPr>
          </w:p>
          <w:p>
            <w:pPr>
              <w:spacing w:before="65" w:line="219" w:lineRule="auto"/>
              <w:ind w:left="42"/>
              <w:jc w:val="center"/>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z w:val="21"/>
                <w:szCs w:val="21"/>
                <w:highlight w:val="yellow"/>
                <w:lang w:val="en-US" w:eastAsia="zh-CN"/>
              </w:rPr>
              <w:t>全线</w:t>
            </w:r>
          </w:p>
        </w:tc>
        <w:tc>
          <w:tcPr>
            <w:tcW w:w="815" w:type="pct"/>
            <w:vAlign w:val="top"/>
          </w:tcPr>
          <w:p>
            <w:pPr>
              <w:spacing w:line="432" w:lineRule="auto"/>
              <w:jc w:val="center"/>
              <w:rPr>
                <w:rFonts w:hint="eastAsia" w:ascii="楷体" w:hAnsi="楷体" w:eastAsia="楷体" w:cs="楷体"/>
                <w:color w:val="auto"/>
                <w:sz w:val="21"/>
                <w:szCs w:val="21"/>
                <w:highlight w:val="yellow"/>
              </w:rPr>
            </w:pPr>
          </w:p>
          <w:p>
            <w:pPr>
              <w:spacing w:before="65" w:line="220" w:lineRule="auto"/>
              <w:ind w:left="64"/>
              <w:jc w:val="center"/>
              <w:rPr>
                <w:rFonts w:hint="eastAsia" w:ascii="楷体" w:hAnsi="楷体" w:eastAsia="楷体" w:cs="楷体"/>
                <w:color w:val="auto"/>
                <w:sz w:val="21"/>
                <w:szCs w:val="21"/>
                <w:highlight w:val="yellow"/>
              </w:rPr>
            </w:pPr>
            <w:r>
              <w:rPr>
                <w:rFonts w:hint="eastAsia" w:ascii="楷体" w:hAnsi="楷体" w:eastAsia="楷体" w:cs="楷体"/>
                <w:color w:val="auto"/>
                <w:spacing w:val="2"/>
                <w:sz w:val="21"/>
                <w:szCs w:val="21"/>
                <w:highlight w:val="yellow"/>
              </w:rPr>
              <w:t>岸线</w:t>
            </w:r>
            <w:r>
              <w:rPr>
                <w:rFonts w:hint="eastAsia" w:ascii="楷体" w:hAnsi="楷体" w:eastAsia="楷体" w:cs="楷体"/>
                <w:color w:val="auto"/>
                <w:spacing w:val="3"/>
                <w:sz w:val="21"/>
                <w:szCs w:val="21"/>
                <w:highlight w:val="yellow"/>
              </w:rPr>
              <w:t>保留区</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4"/>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8.351</w:t>
            </w:r>
          </w:p>
        </w:tc>
        <w:tc>
          <w:tcPr>
            <w:tcW w:w="531"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15"/>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4"/>
                <w:sz w:val="21"/>
                <w:szCs w:val="21"/>
                <w:highlight w:val="yellow"/>
                <w:lang w:val="en-US" w:eastAsia="zh-CN"/>
              </w:rPr>
              <w:t>7.794</w:t>
            </w:r>
          </w:p>
        </w:tc>
        <w:tc>
          <w:tcPr>
            <w:tcW w:w="524" w:type="pct"/>
            <w:vAlign w:val="top"/>
          </w:tcPr>
          <w:p>
            <w:pPr>
              <w:rPr>
                <w:rFonts w:hint="eastAsia" w:ascii="楷体" w:hAnsi="楷体" w:eastAsia="楷体" w:cs="楷体"/>
                <w:color w:val="auto"/>
                <w:sz w:val="21"/>
                <w:szCs w:val="21"/>
                <w:highlight w:val="yellow"/>
              </w:rPr>
            </w:pPr>
          </w:p>
          <w:p>
            <w:pPr>
              <w:spacing w:line="241" w:lineRule="auto"/>
              <w:rPr>
                <w:rFonts w:hint="eastAsia" w:ascii="楷体" w:hAnsi="楷体" w:eastAsia="楷体" w:cs="楷体"/>
                <w:color w:val="auto"/>
                <w:sz w:val="21"/>
                <w:szCs w:val="21"/>
                <w:highlight w:val="yellow"/>
              </w:rPr>
            </w:pPr>
          </w:p>
          <w:p>
            <w:pPr>
              <w:spacing w:before="65" w:line="184" w:lineRule="auto"/>
              <w:ind w:left="406"/>
              <w:rPr>
                <w:rFonts w:hint="default" w:ascii="楷体" w:hAnsi="楷体" w:eastAsia="楷体" w:cs="楷体"/>
                <w:color w:val="auto"/>
                <w:sz w:val="21"/>
                <w:szCs w:val="21"/>
                <w:highlight w:val="yellow"/>
                <w:lang w:val="en-US" w:eastAsia="zh-CN"/>
              </w:rPr>
            </w:pPr>
            <w:r>
              <w:rPr>
                <w:rFonts w:hint="eastAsia" w:ascii="楷体" w:hAnsi="楷体" w:eastAsia="楷体" w:cs="楷体"/>
                <w:color w:val="auto"/>
                <w:spacing w:val="-2"/>
                <w:sz w:val="21"/>
                <w:szCs w:val="21"/>
                <w:highlight w:val="yellow"/>
                <w:lang w:val="en-US" w:eastAsia="zh-CN"/>
              </w:rPr>
              <w:t>0.297</w:t>
            </w:r>
          </w:p>
        </w:tc>
        <w:tc>
          <w:tcPr>
            <w:tcW w:w="1054" w:type="pct"/>
            <w:vAlign w:val="top"/>
          </w:tcPr>
          <w:p>
            <w:pPr>
              <w:spacing w:before="211"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3"/>
                <w:sz w:val="21"/>
                <w:szCs w:val="21"/>
                <w:highlight w:val="yellow"/>
              </w:rPr>
              <w:t>生态保护红线内</w:t>
            </w:r>
          </w:p>
          <w:p>
            <w:pPr>
              <w:spacing w:before="63"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2"/>
                <w:position w:val="6"/>
                <w:sz w:val="21"/>
                <w:szCs w:val="21"/>
                <w:highlight w:val="yellow"/>
              </w:rPr>
              <w:t>生态保护预留岸段</w:t>
            </w:r>
          </w:p>
          <w:p>
            <w:pPr>
              <w:spacing w:before="89" w:line="240" w:lineRule="auto"/>
              <w:ind w:left="57"/>
              <w:rPr>
                <w:rFonts w:hint="eastAsia" w:ascii="楷体" w:hAnsi="楷体" w:eastAsia="楷体" w:cs="楷体"/>
                <w:color w:val="auto"/>
                <w:sz w:val="21"/>
                <w:szCs w:val="21"/>
                <w:highlight w:val="yellow"/>
              </w:rPr>
            </w:pPr>
            <w:r>
              <w:rPr>
                <w:rFonts w:hint="eastAsia" w:ascii="楷体" w:hAnsi="楷体" w:eastAsia="楷体" w:cs="楷体"/>
                <w:color w:val="auto"/>
                <w:spacing w:val="1"/>
                <w:sz w:val="21"/>
                <w:szCs w:val="21"/>
                <w:highlight w:val="yellow"/>
              </w:rPr>
              <w:t>暂无开发利用需求</w:t>
            </w:r>
          </w:p>
        </w:tc>
      </w:tr>
    </w:tbl>
    <w:p>
      <w:pPr>
        <w:pStyle w:val="2"/>
        <w:rPr>
          <w:color w:val="auto"/>
          <w:highlight w:val="none"/>
        </w:rPr>
      </w:pPr>
    </w:p>
    <w:p>
      <w:pPr>
        <w:pStyle w:val="2"/>
        <w:rPr>
          <w:color w:val="auto"/>
          <w:highlight w:val="none"/>
        </w:rPr>
      </w:pPr>
    </w:p>
    <w:p>
      <w:pPr>
        <w:pStyle w:val="2"/>
        <w:rPr>
          <w:color w:val="auto"/>
          <w:highlight w:val="none"/>
        </w:rPr>
        <w:sectPr>
          <w:footerReference r:id="rId15" w:type="default"/>
          <w:pgSz w:w="16850" w:h="11910"/>
          <w:pgMar w:top="1012" w:right="1584" w:bottom="1550" w:left="1775" w:header="624" w:footer="1077" w:gutter="0"/>
          <w:pgNumType w:fmt="decimal"/>
          <w:cols w:space="720" w:num="1"/>
        </w:sectPr>
      </w:pPr>
    </w:p>
    <w:p>
      <w:pPr>
        <w:spacing w:line="273" w:lineRule="auto"/>
        <w:rPr>
          <w:rFonts w:ascii="Arial"/>
          <w:color w:val="auto"/>
          <w:sz w:val="21"/>
          <w:highlight w:val="none"/>
        </w:rPr>
      </w:pPr>
    </w:p>
    <w:p>
      <w:pPr>
        <w:spacing w:before="81" w:line="360" w:lineRule="auto"/>
        <w:ind w:right="111"/>
        <w:jc w:val="center"/>
        <w:rPr>
          <w:rFonts w:hint="eastAsia" w:ascii="宋体" w:hAnsi="宋体" w:eastAsia="宋体" w:cs="宋体"/>
          <w:snapToGrid/>
          <w:color w:val="auto"/>
          <w:kern w:val="0"/>
          <w:sz w:val="21"/>
          <w:szCs w:val="21"/>
          <w:highlight w:val="none"/>
          <w:lang w:val="en-US" w:eastAsia="zh-CN" w:bidi="ar-SA"/>
        </w:rPr>
      </w:pPr>
      <w:bookmarkStart w:id="98" w:name="_bookmark43"/>
      <w:bookmarkEnd w:id="98"/>
      <w:bookmarkStart w:id="99" w:name="_bookmark42"/>
      <w:bookmarkEnd w:id="99"/>
    </w:p>
    <w:p>
      <w:pPr>
        <w:spacing w:line="360" w:lineRule="auto"/>
        <w:ind w:left="0" w:leftChars="0" w:firstLine="0" w:firstLineChars="0"/>
        <w:textAlignment w:val="center"/>
        <w:rPr>
          <w:color w:val="auto"/>
          <w:highlight w:val="none"/>
        </w:rPr>
      </w:pPr>
      <w:r>
        <w:drawing>
          <wp:inline distT="0" distB="0" distL="114300" distR="114300">
            <wp:extent cx="5293360" cy="4008755"/>
            <wp:effectExtent l="0" t="0" r="2540" b="1079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4"/>
                    <a:stretch>
                      <a:fillRect/>
                    </a:stretch>
                  </pic:blipFill>
                  <pic:spPr>
                    <a:xfrm>
                      <a:off x="0" y="0"/>
                      <a:ext cx="5293360" cy="4008755"/>
                    </a:xfrm>
                    <a:prstGeom prst="rect">
                      <a:avLst/>
                    </a:prstGeom>
                    <a:noFill/>
                    <a:ln>
                      <a:noFill/>
                    </a:ln>
                  </pic:spPr>
                </pic:pic>
              </a:graphicData>
            </a:graphic>
          </wp:inline>
        </w:drawing>
      </w:r>
    </w:p>
    <w:p>
      <w:pPr>
        <w:jc w:val="center"/>
        <w:rPr>
          <w:rFonts w:hint="eastAsia" w:ascii="宋体" w:hAnsi="宋体" w:eastAsia="宋体" w:cs="宋体"/>
          <w:snapToGrid/>
          <w:color w:val="auto"/>
          <w:kern w:val="0"/>
          <w:sz w:val="24"/>
          <w:szCs w:val="24"/>
          <w:highlight w:val="yellow"/>
          <w:lang w:val="en-US" w:eastAsia="zh-CN" w:bidi="ar-SA"/>
        </w:rPr>
      </w:pPr>
      <w:r>
        <w:rPr>
          <w:rFonts w:hint="eastAsia" w:ascii="宋体" w:hAnsi="宋体" w:eastAsia="宋体" w:cs="宋体"/>
          <w:snapToGrid/>
          <w:color w:val="auto"/>
          <w:kern w:val="0"/>
          <w:sz w:val="24"/>
          <w:szCs w:val="24"/>
          <w:highlight w:val="yellow"/>
          <w:lang w:val="en-US" w:eastAsia="zh-CN" w:bidi="ar-SA"/>
        </w:rPr>
        <w:t>图 6-1 磴口县七分场海子岸线功能区分区图</w:t>
      </w:r>
    </w:p>
    <w:p>
      <w:pPr>
        <w:rPr>
          <w:rFonts w:ascii="Arial"/>
          <w:color w:val="auto"/>
          <w:sz w:val="21"/>
          <w:highlight w:val="yellow"/>
        </w:rPr>
      </w:pPr>
    </w:p>
    <w:p>
      <w:pPr>
        <w:rPr>
          <w:color w:val="auto"/>
          <w:highlight w:val="yellow"/>
        </w:rPr>
        <w:sectPr>
          <w:footerReference r:id="rId16" w:type="default"/>
          <w:pgSz w:w="11910" w:h="16850"/>
          <w:pgMar w:top="1432" w:right="1786" w:bottom="2256" w:left="1786"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00" w:name="_bookmark45"/>
      <w:bookmarkEnd w:id="100"/>
      <w:bookmarkStart w:id="101" w:name="_bookmark44"/>
      <w:bookmarkEnd w:id="101"/>
      <w:bookmarkStart w:id="102" w:name="_Toc17655"/>
      <w:bookmarkStart w:id="103" w:name="_Toc9174"/>
      <w:r>
        <w:rPr>
          <w:rFonts w:hint="eastAsia" w:ascii="宋体" w:hAnsi="宋体" w:eastAsia="宋体" w:cs="宋体"/>
          <w:color w:val="auto"/>
          <w:sz w:val="32"/>
          <w:szCs w:val="32"/>
          <w:highlight w:val="none"/>
          <w:lang w:val="en-US" w:eastAsia="zh-CN"/>
        </w:rPr>
        <w:t>7 岸线保护与管控</w:t>
      </w:r>
      <w:bookmarkEnd w:id="102"/>
      <w:bookmarkEnd w:id="103"/>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4" w:name="_Toc19905"/>
      <w:bookmarkStart w:id="105" w:name="_Toc12991"/>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7.1</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功能区管控要求</w:t>
      </w:r>
      <w:bookmarkEnd w:id="104"/>
      <w:bookmarkEnd w:id="105"/>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7.1.1</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岸线保护区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有效保护是岸线保护区管理的首要目标。结合不同岸线保护区的具体要求确定其保护目标，有针对性地提出岸线保护区的</w:t>
      </w:r>
      <w:bookmarkStart w:id="143" w:name="_GoBack"/>
      <w:bookmarkEnd w:id="143"/>
      <w:r>
        <w:rPr>
          <w:rFonts w:hint="eastAsia" w:ascii="宋体" w:hAnsi="宋体" w:eastAsia="宋体" w:cs="宋体"/>
          <w:snapToGrid/>
          <w:color w:val="auto"/>
          <w:kern w:val="0"/>
          <w:sz w:val="28"/>
          <w:szCs w:val="28"/>
          <w:highlight w:val="none"/>
          <w:lang w:val="en-US" w:eastAsia="zh-CN" w:bidi="ar-SA"/>
        </w:rPr>
        <w:t>管理意见，确保实现岸线保护区的保护目标。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1、岸线保护区原则上不准进行与保护对象无关的开发利用，确需开发的，应经过重点论证并报水行政主管部门审批。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2、城镇引水水源地类岸线保护区，禁止除取水工程以外的各类项目建设行为。在城镇引水水源地类岸线保护区河段的取水工程，施工期间应避免发生污染水源地水质的行为。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3、岸线保护区河段利用堤防建设公路的路堤结合项目，公路建设应符合所在河段堤防的远期规划防洪标准。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4、对为保护生态环境和文物划定的岸线保护区，原则上不允许进行河道治理以外的任何项目建设。若要建设河道治理工程，应满足防洪和河势稳定要求，不破坏风景名胜区和自然保护区，且符合风景名胜区和自然保护区的相关保护条例，进行生态环境影响评价。</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5、岸线保护区内的生态景观项目建设，应符合河道近远期防洪以及河势稳定要求，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6、险工段和部分河势不稳的支流河口段类岸线保护区，禁止岸线开发利用行为。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对于此次七分场海子，并未列入生态敏感区及生态保护红线范围，故本次不设置岸线保护区。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7.1.2 岸线保留区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岸线保留区是指对于河势不稳定，或河道治理和河势控制方案尚未确定或尚未实施或为防洪等水利建设预留较大空间的河段岸线;重要堤防一定范围需改线的区段，或重</w:t>
      </w:r>
      <w:bookmarkStart w:id="106" w:name="_bookmark47"/>
      <w:bookmarkEnd w:id="106"/>
      <w:bookmarkStart w:id="107" w:name="_bookmark46"/>
      <w:bookmarkEnd w:id="107"/>
      <w:r>
        <w:rPr>
          <w:rFonts w:hint="eastAsia" w:ascii="宋体" w:hAnsi="宋体" w:eastAsia="宋体" w:cs="宋体"/>
          <w:snapToGrid/>
          <w:color w:val="auto"/>
          <w:kern w:val="0"/>
          <w:sz w:val="28"/>
          <w:szCs w:val="28"/>
          <w:highlight w:val="none"/>
          <w:lang w:val="en-US" w:eastAsia="zh-CN" w:bidi="ar-SA"/>
        </w:rPr>
        <w:t>要的城市工业水源、自备水源集中区段，或为航电枢纽等重要工程建设预留用地的河段岸线;重要河口区段，其汇入后的区域防洪保安、河势稳定、水资源利用、生态环境等方面可能对本河段岸线利用有特定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保留区在规划期内不应实施岸线利用建设项目和开发利用活动。确需启用规划保留区的，要事先征得河流管理机构同意，并按基本建设程序报批。在不影响防洪安全和生态安全的条件下，允许开发跨穿河建筑和河岸景观等项目。禁止建设排放污染物或加重水土流失的建设项目。</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对于本次七分场海子未纳入生态保护红线范围内，故应划为岸线保留区。</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7.1.3</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岸线控制利用区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岸线控制利用区内建设的岸线利用项目，应重视和加强管理，注重岸线利用的指导与控制，以实现岸线的可持续利用。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对为现状开发利用程度比较高的河段而划定的岸线控制利用区，严格控制桥梁、取水工程等项目的建设，项目新占用岸线长度比率不得超过现有岸线占有的率20%;特别是同类岸线利用项目，如现状项目较多，应对项目的必要性、可行性重点论证，充分考虑其不利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2、容许进行生态景观和堤顶公路项目建设的河段，项目建设应满足所在河段堤防的远期防洪标准。</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3、在岸线开发利用可能对防洪安全、河势稳定、河流生态保护造成不利影响的河段，应根据项目类型及其开发利用行为进行研究或论证，充分考虑其不利影响，并采取必要措施，减小或消除不利影响。</w:t>
      </w:r>
    </w:p>
    <w:p>
      <w:pPr>
        <w:bidi w:val="0"/>
        <w:spacing w:line="360" w:lineRule="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7.1.4</w:t>
      </w:r>
      <w:r>
        <w:rPr>
          <w:rFonts w:hint="eastAsia" w:ascii="宋体" w:hAnsi="宋体" w:eastAsia="宋体" w:cs="宋体"/>
          <w:b/>
          <w:bCs/>
          <w:color w:val="auto"/>
          <w:sz w:val="28"/>
          <w:szCs w:val="28"/>
          <w:highlight w:val="none"/>
          <w:lang w:val="en-US" w:eastAsia="zh-CN"/>
        </w:rPr>
        <w:t xml:space="preserve"> </w:t>
      </w:r>
      <w:r>
        <w:rPr>
          <w:rFonts w:hint="eastAsia" w:ascii="宋体" w:hAnsi="宋体" w:eastAsia="宋体" w:cs="宋体"/>
          <w:b/>
          <w:bCs/>
          <w:color w:val="auto"/>
          <w:sz w:val="28"/>
          <w:szCs w:val="28"/>
          <w:highlight w:val="none"/>
        </w:rPr>
        <w:t>岸线开发利用区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1、在城区段的岸线开发利用区，控制岸线开发类型，禁止污染严重性的项目建设。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禁止影响护岸工程安全的项目建设，要注重对河岸的保护。在非城区的岸线开发利用区，可开发桥梁、取排水口、管线、生态景观、旅游等项目，项目建设不得影响防洪安全、河势稳定、水环境安全，并满足防汛交通要求，并应符合河道内建设项目管理要求。桥梁、取排水口等项目建设(不包括生态景观项目)的岸线占用率累计不得超过50%(50%为项目占用自然岸线长度净比例，如条件允许，不同类型建设项目可重复占用岸线，因此实际占用比例可适当高于50%)。</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除上述管理规划目标，与岸线功能区管理规划目标不符的已有开发利用项目或设施，不得在现有规模上进行改建、扩建;严重影响防洪、水质及水利设施安全的，应逐步进行调整、清退或搬迁。</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08" w:name="_Toc26575"/>
      <w:bookmarkStart w:id="109" w:name="_Toc1316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岸线边界线管控要求</w:t>
      </w:r>
      <w:bookmarkEnd w:id="108"/>
      <w:bookmarkEnd w:id="109"/>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利用必须保障河势稳定、防洪安全、供水安全，保护水生态环境。在满足行洪安全的前提下，要实现岸线的合理开发、科学保护、有效管理，必须对岸线范围加以界定。岸线控制线是确定岸线范围的重要依据，包括临水控制线和外缘控制线。</w:t>
      </w:r>
    </w:p>
    <w:p>
      <w:pPr>
        <w:widowControl w:val="0"/>
        <w:kinsoku/>
        <w:adjustRightInd w:val="0"/>
        <w:snapToGrid/>
        <w:spacing w:line="360" w:lineRule="auto"/>
        <w:ind w:right="80" w:rightChars="38" w:firstLine="560" w:firstLineChars="200"/>
        <w:contextualSpacing/>
        <w:jc w:val="left"/>
        <w:textAlignment w:val="auto"/>
        <w:rPr>
          <w:rFonts w:hint="eastAsia"/>
          <w:lang w:val="en-US" w:eastAsia="zh-CN"/>
        </w:rPr>
      </w:pPr>
      <w:r>
        <w:rPr>
          <w:rFonts w:hint="eastAsia" w:ascii="宋体" w:hAnsi="宋体" w:eastAsia="宋体" w:cs="宋体"/>
          <w:snapToGrid/>
          <w:color w:val="auto"/>
          <w:kern w:val="0"/>
          <w:sz w:val="28"/>
          <w:szCs w:val="28"/>
          <w:highlight w:val="none"/>
          <w:lang w:val="en-US" w:eastAsia="zh-CN" w:bidi="ar-SA"/>
        </w:rPr>
        <w:t>临水控制线是为保障河流畅通、行洪安全、稳定河势和维护河流健康生命的基本要求，对进入河道范围的岸线利用项目加以限定的控制线，除防洪及河势控制工程，任何阻水的实体建筑物原则上不允许逾越临水控制线。对必须在河道内修建的跨河建筑物的墩台、重要的取水口、水下控导工程及水利水电枢纽工程等建筑实体，应依法依规充分论证。确需越过临水控制线穿越河道的岸线利用建设项目，必须充分论证项目及其影响，提出穿越方案，并经有审批权限的水行政主管部门审查同意后方可实施。桥梁、管线、取水、排水等基础设施需超越临水控制线的项目，超越临水控制线的部分应尽量采取架空、贴地或下沉等方式，尽量减小占用河道过流断面。</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外缘控制线是岸线保护和管理的外缘边界线，边界线外围50m内不允许建设水利等相关建筑物，进入外缘控制线的建设项目必须服从岸线利用管理规划的要求。</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0" w:name="_bookmark49"/>
      <w:bookmarkEnd w:id="110"/>
      <w:bookmarkStart w:id="111" w:name="_bookmark48"/>
      <w:bookmarkEnd w:id="111"/>
      <w:bookmarkStart w:id="112" w:name="_bookmark50"/>
      <w:bookmarkEnd w:id="112"/>
      <w:bookmarkStart w:id="113" w:name="_Toc14134"/>
      <w:bookmarkStart w:id="114" w:name="_Toc131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岸线管控能力建设措施</w:t>
      </w:r>
      <w:bookmarkEnd w:id="113"/>
      <w:bookmarkEnd w:id="114"/>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一、设立界碑，明确管控范围</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按照属地管理原则，在本次岸线规划划定的岸线边界线和功能区划分基础上，在控制性节点位置，设立界桩、标示牌，明确管理者和管理界线和管控目标。</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二、建立河长负责、多部门统筹协调的岸线管控机制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在河长制基础上，按照盟、县、乡进行分级管理，河长负责岸线管理，明确各级河长岸线管理职责，建立“一条线管理、以块为主、属地负责”的岸线管控机制。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强化地方各级政府责任，严格考核评估和监督。建立以政府为主导，水务部门为主体的组织体系，各单位各司其职、各负其责，密切配合、通力协作。建立定期通报机制和重大问题协调机制，及时解决各类矛盾和问题。</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三、开展动态监测，建立岸线监管信息共享平台</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区域可持续发展为目标，以空间管控为核心，以生态保护为重点，开展动态监测，构建岸线监管信息平台，全面掌握岸线演变、使用和整治修复情况。编制岸线监测与统计公报，定期评估岸线保护情况和生态效益，为岸线管护提供技术支撑。</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四、加强宣传，提高群众岸线资源保护意识</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以旗组织培训各乡(镇)河长为切入点，由各乡(镇)河长负责本乡(镇)沿河各村的宣传工作，建立乡(镇)包村、村包组、干部党员包群众的“包保”宣传体系，向牧民宣传岸线划分与保护的必要性和意义，提高牧民自觉保护水域和岸线资源的意识，改变沿河倾倒垃圾的习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15" w:name="_Toc11915"/>
      <w:bookmarkStart w:id="116" w:name="_Toc4562"/>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7.4</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岸线保护利用调整要求</w:t>
      </w:r>
      <w:bookmarkEnd w:id="115"/>
      <w:bookmarkEnd w:id="116"/>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为切实做好岸线的有效保护与合理利用，保障防洪安全和水生态环境保护，统筹协调上下游、左右岸关系，合理配置岸线，对照岸线功能区的规划成果和现状岸线利用情况，对不符合岸线功能区划管理的岸线利用行为和设施，按照岸线利用管理规划要求，</w:t>
      </w:r>
      <w:bookmarkStart w:id="117" w:name="_bookmark51"/>
      <w:bookmarkEnd w:id="117"/>
      <w:r>
        <w:rPr>
          <w:rFonts w:hint="eastAsia" w:ascii="宋体" w:hAnsi="宋体" w:eastAsia="宋体" w:cs="宋体"/>
          <w:snapToGrid/>
          <w:color w:val="auto"/>
          <w:kern w:val="0"/>
          <w:sz w:val="28"/>
          <w:szCs w:val="28"/>
          <w:highlight w:val="none"/>
          <w:lang w:val="en-US" w:eastAsia="zh-CN" w:bidi="ar-SA"/>
        </w:rPr>
        <w:t>对岸线利用及其布局进行规范和调整，使岸线利用项目符合岸线功能区的要求。</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根据现状利用与管理情况提出现状岸线利用的调整要求如下：</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1、治理违章</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在湖泊管理范围内，未经审批、取得建设项目同意书的建设项目，属违章建设，必须改正或清除。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2、保障防洪安全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防洪安全是国民经济可持续发展以及岸线利用与保护的重要前提条件。按照保障防</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洪安全的要求，岸线利用项目的调整包括以下方面：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(1)清理阻碍行(蓄)洪的滩地占用、侵占岸线、设障等现象;</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(2)严格按照岸线利用管理的要求，对超越和侵占临水控制线的设障项目实施清退或改建。</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3、水资源与水环境保护</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水资源是国民经济可持续发展的战略资源。岸线利用应重视水资源和水环境保护合理确定各功能区内的岸线利用项目。按照水资源与水环境保护的要求，岸线利用项目的调整包括以下方面：</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(1)岸线保护区严禁堆放垃圾。</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(2)由于放牧对规划河道水质有重大影响，应予以调整，改变岸线植被类型，进行岸线植物的种植设计，使之从放牧区向自然风景区转化。</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(3)加大河道两岸垃圾、腐殖质等污染物入河管控措施，做好河道两岸管理范围内的保洁工作。</w:t>
      </w:r>
    </w:p>
    <w:p>
      <w:pPr>
        <w:rPr>
          <w:color w:val="auto"/>
          <w:highlight w:val="none"/>
        </w:rPr>
        <w:sectPr>
          <w:footerReference r:id="rId17" w:type="default"/>
          <w:pgSz w:w="11910" w:h="16850"/>
          <w:pgMar w:top="1432" w:right="1427" w:bottom="2280" w:left="1779"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18" w:name="_bookmark52"/>
      <w:bookmarkEnd w:id="118"/>
      <w:bookmarkStart w:id="119" w:name="_Toc17406"/>
      <w:bookmarkStart w:id="120" w:name="_Toc2092"/>
      <w:r>
        <w:rPr>
          <w:rFonts w:hint="eastAsia" w:ascii="宋体" w:hAnsi="宋体" w:eastAsia="宋体" w:cs="宋体"/>
          <w:color w:val="auto"/>
          <w:sz w:val="32"/>
          <w:szCs w:val="32"/>
          <w:highlight w:val="none"/>
          <w:lang w:val="en-US" w:eastAsia="zh-CN"/>
        </w:rPr>
        <w:t>8 环境影响评价</w:t>
      </w:r>
      <w:bookmarkEnd w:id="119"/>
      <w:bookmarkEnd w:id="120"/>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1" w:name="_Toc12461"/>
      <w:bookmarkStart w:id="122" w:name="_Toc18177"/>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8.1 环境保护目标</w:t>
      </w:r>
      <w:bookmarkEnd w:id="121"/>
      <w:bookmarkEnd w:id="122"/>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规划主要环境保护目标为：维护河流水环境功能，维护水生生态系统完整性和连通性;保护区域生物多样性;保护湿地及珍稀濒危动植物生态系统功能。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进落实《水污染防治行动计划》、《内蒙古自治区水污染防治工作方案》,加快构建“政府统领、企业施治、市场驱动、公众参与”的水污染防治新机制。继续做好污染源防治工作，推进工业、农牧业面源污染综合治理，深入开展“五控”行动，到2025年畜禽粪污资源化综合利用率达到80%。防止湖泊内源性污染，每年根据芦苇蔓延情况收割，进行资源化利用。规范零散畜禽养殖户粪污处理设施装备配套，使农业污染源得到有效控制;依托农村环境连片整治，推进农村生活污水与生活垃圾集中收纳和处理，减少污水与垃圾的入河量，使农村污染源得到有效控制。</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根据《中共中央国务院关于全面加强生态环境保护坚决打好污染防治攻坚战的意见》、《关于印发水污染防治工作方案的通知》等相关文件精神，加强水功能区监管力度，增加对跨界断面的监测;加大水域岸线环境综合治理力度，河道管理范围乱占乱建、乱围乱堵、乱倒乱排等现象得到有效遏制，河湖水事秩序良好;加强水环境质量监测，从2023年开始，七分场海子水体功能区监测覆盖率达100%,2023-2025年七分场海子水体水质全年控制在地表Ⅳ类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针对重点水土流失区，建立预防监督体系和水土流失监测网络，明确禁止和限制开发的区域范围，加大监督管理，逐步完成水土流失区的整治工作。到2025年完成湖岸边绿化，有效控制水土流失现象，加强林业生态建设，森林覆盖率达到21%,水土流失得到有效治理，河道淤积得到有效缓解。</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持续做好七分场海子生态补水工作，理顺生态补水机制，连通生态补水工程，争取每年在黄河凌汛期给七分场海子补水100万m3,维持湿地正常水面面积。</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3" w:name="_bookmark53"/>
      <w:bookmarkEnd w:id="123"/>
      <w:bookmarkStart w:id="124" w:name="_Toc12909"/>
      <w:bookmarkStart w:id="125" w:name="_Toc482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规划符合性分析</w:t>
      </w:r>
      <w:bookmarkEnd w:id="124"/>
      <w:bookmarkEnd w:id="12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1、与相关法律、法规及政策符合性分析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主要任务是实现岸线资源的科学合理利用和有效保护，支撑当地经济的建设和长远可持续发展。规划充分考虑了防洪安全、河势稳定、饮用水安全及生态环境保护要求，规划成果符合《中华人民共和国防洪法》、《中华人民共和国河道管理条例》、《中华人民共和国自然保护区条例》、《风景名胜区条例》、《饮用水水源保护区污染防治管理规定》以及自治区、盟级有关水源保护区和水污染防治的管理规定。</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2、与发展战略符合性分析</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规划遵循创新、协调、绿色、开放、共享的发展理念，坚持统筹兼顾、科学布局、保护优先、综合利用、持续发展等原则，在确保防洪安全、河势稳定、供水安全，满足生态环境保护等要求的前提下，妥善处理岸线保护和开发利用的关系，规划符合国家确立的可持续发展战略和方针政策。</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3、与相关规划的协调性分析</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本规划与《内蒙古主体功能区规划》。规划编制过程中已考虑了相关规划对岸线的利用要求，规划与其是协调一致的。</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26" w:name="_Toc8596"/>
      <w:bookmarkStart w:id="127" w:name="_Toc509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8.3 环境影响预测与评价</w:t>
      </w:r>
      <w:bookmarkEnd w:id="126"/>
      <w:bookmarkEnd w:id="12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(1)水文水资源影响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开发利用不涉及拦河建筑物工程，没有调水、引水等规划项目，规划实施不影响河流水文过程，对七分场海子的总体水文情势基本无影响;规划不对区域水资源配置进行调整，不改变流域水资源的时空分布格局，对水资源利用基本无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(2)水环境影响</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岸线功能区划考虑了湖泊水功能区管理要求，有利于河流水环境保护。岸线开发利用区岸段对水环境的影响取决于岸线利用的具体用途，如布置工业园区等可能产生污水排放影响局部水环境，在具体项目实施过程中，应落实环境影响评价制度，分析具体项目实施对河段水质的影响，并采取相应的水污染防治措施，保护水功能区水质。</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(3)社会环境影响</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4"/>
          <w:szCs w:val="24"/>
          <w:highlight w:val="none"/>
        </w:rPr>
      </w:pPr>
      <w:r>
        <w:rPr>
          <w:rFonts w:hint="eastAsia" w:ascii="宋体" w:hAnsi="宋体" w:eastAsia="宋体" w:cs="宋体"/>
          <w:snapToGrid/>
          <w:color w:val="auto"/>
          <w:kern w:val="0"/>
          <w:sz w:val="28"/>
          <w:szCs w:val="28"/>
          <w:highlight w:val="none"/>
          <w:lang w:val="en-US" w:eastAsia="zh-CN" w:bidi="ar-SA"/>
        </w:rPr>
        <w:t>本规划对规划范围内七分场海子岸线进行科学合理的保护与开发布局。规划实施以后，岸线资源将得到统一有效的管理，其利用效益和利用价值都将得到很大程度地提高，对湖泊沿岸地区社会环境的可持续发展具有有利影响。</w:t>
      </w:r>
    </w:p>
    <w:p>
      <w:pPr>
        <w:rPr>
          <w:color w:val="auto"/>
          <w:highlight w:val="none"/>
        </w:rPr>
        <w:sectPr>
          <w:footerReference r:id="rId18" w:type="default"/>
          <w:pgSz w:w="11910" w:h="16850"/>
          <w:pgMar w:top="1419" w:right="1409" w:bottom="2313" w:left="1730" w:header="1020" w:footer="1757" w:gutter="0"/>
          <w:pgNumType w:fmt="decimal"/>
          <w:cols w:space="720" w:num="1"/>
        </w:sectPr>
      </w:pPr>
    </w:p>
    <w:p>
      <w:pPr>
        <w:pStyle w:val="3"/>
        <w:bidi w:val="0"/>
        <w:spacing w:line="240" w:lineRule="auto"/>
        <w:jc w:val="center"/>
        <w:rPr>
          <w:rFonts w:hint="eastAsia" w:ascii="宋体" w:hAnsi="宋体" w:eastAsia="宋体" w:cs="宋体"/>
          <w:color w:val="auto"/>
          <w:sz w:val="32"/>
          <w:szCs w:val="32"/>
          <w:highlight w:val="none"/>
          <w:lang w:val="en-US" w:eastAsia="zh-CN"/>
        </w:rPr>
      </w:pPr>
      <w:bookmarkStart w:id="128" w:name="_Toc31091"/>
      <w:bookmarkStart w:id="129" w:name="_Toc1121"/>
      <w:r>
        <w:rPr>
          <w:rFonts w:hint="eastAsia" w:ascii="宋体" w:hAnsi="宋体" w:eastAsia="宋体" w:cs="宋体"/>
          <w:color w:val="auto"/>
          <w:sz w:val="32"/>
          <w:szCs w:val="32"/>
          <w:highlight w:val="none"/>
          <w:lang w:val="en-US" w:eastAsia="zh-CN"/>
        </w:rPr>
        <w:t>9 保障措施</w:t>
      </w:r>
      <w:bookmarkEnd w:id="128"/>
      <w:bookmarkEnd w:id="129"/>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0" w:name="_Toc2901"/>
      <w:bookmarkStart w:id="131" w:name="_Toc25314"/>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9.1 政策、制度保障</w:t>
      </w:r>
      <w:bookmarkEnd w:id="130"/>
      <w:bookmarkEnd w:id="131"/>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健全岸线管理的政策规章。深入贯彻《中华人民共和国水法》、《中华人民共和国防洪法》、《中华人民共和国河道管理条例》和《中华人民共和国水污染防治法》等法律法规，坚持统一管理、探索实行岸线占用许可制度、岸线水域有偿使用制度和影响补偿制度、限制限期开发、鼓励岸线整治开发等措施，使岸线得到进一步有效管理，确保岸线管理的权威性、严肃性和延续性。</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2"/>
          <w:szCs w:val="22"/>
          <w:highlight w:val="none"/>
        </w:rPr>
      </w:pPr>
      <w:r>
        <w:rPr>
          <w:rFonts w:hint="eastAsia" w:ascii="宋体" w:hAnsi="宋体" w:eastAsia="宋体" w:cs="宋体"/>
          <w:snapToGrid/>
          <w:color w:val="auto"/>
          <w:kern w:val="0"/>
          <w:sz w:val="28"/>
          <w:szCs w:val="28"/>
          <w:highlight w:val="none"/>
          <w:lang w:val="en-US" w:eastAsia="zh-CN" w:bidi="ar-SA"/>
        </w:rPr>
        <w:t>加强水行政执法。按照统一、精简、效能原则，进一步加强包括涉河建设项目监督的水行政执法队伍建设，保障岸线利用管理各项法规、规定的全面贯彻和执行;进一步推进水行政执法责任制，保证各项法律规定落到实处;加强执法检查监督工作，落实执法责任，规范执法行为，提高流域水行政执法质量。</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2" w:name="_Toc22530"/>
      <w:bookmarkStart w:id="133" w:name="_Toc11153"/>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9.2</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行政管理保障</w:t>
      </w:r>
      <w:bookmarkEnd w:id="132"/>
      <w:bookmarkEnd w:id="133"/>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明确职责，实行分级管理。建立水利牵头、部门配合的工作机制，进一步细化责任、明确分工，严格考核和责任追究。按照《中华人民共和国河道管理条例》中关于涉河建设项目审查权限的划分，实行自治区与、盟、县水行政主管部门负责，按照岸线规划确定的开发利用范围，审批各自管辖范围内的建设项目，并参与其范围内城乡规划、跨河湖交通规划、生态湿地保护规划和旅游业、工业园规划的审查等。</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严格基本建设立项程序。贯彻落实《中华人民共和国行政许可法》、《中共中央国务院关于深化投融资体制改革的意见》(中发[2016]18号)精神，改进和加强建设项目管理，发展改革部门严格执行基本建设程序，建设单位认真做好项目前期工作，水行政主管部门按照规定的审批权限审批建设项目，推进政务公开。各类公益性项目和基本建设项目要符合流域规划以及防洪、水资源、城市建设、水土保持等专项规划的要求，力求避免对河湖水域岸线的占用。开发建设项目涉及防洪和水资源的建设项目，要实行防洪评价和水资源论证制度，立项前必须经水行政主管部门进行专项审批。</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继续推行河长制工作机制。进一步落实并加强河长制责任主体，协调整合各方力量，构建责任明确、协调有序、监管严格、保护有力的河湖管理保护机制，为维护河湖健康生命、实现河湖功能永续利用提供制度保障。各级河长要牵头组织对岸线乱占滥用、多占少用、占而不用等突出问题依法进行清理整治，协调解决重大问题;对跨行政区域的河湖明晰管理职责，协调上下游、左右岸实行联防联控;对目标任务完成情况进行考核等，恢复河湖水域岸线生态功能。</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建立完善有效的管理监督机制。按照分级管理的原则，地方发改委需会同规划、交通、水利、建设、环境、国上、渔业等部门，根据本规划要求，联合对城镇规划、交通、旅游规划等涉及河道岸线部分进行审查;建立健全规划实施监督和评估机制，协调推进并保障规划的贯彻落实。</w:t>
      </w:r>
    </w:p>
    <w:p>
      <w:pPr>
        <w:widowControl w:val="0"/>
        <w:kinsoku/>
        <w:adjustRightInd w:val="0"/>
        <w:snapToGrid/>
        <w:spacing w:line="360" w:lineRule="auto"/>
        <w:ind w:right="80" w:rightChars="38" w:firstLine="560" w:firstLineChars="200"/>
        <w:contextualSpacing/>
        <w:jc w:val="left"/>
        <w:textAlignment w:val="auto"/>
        <w:rPr>
          <w:rFonts w:ascii="宋体" w:hAnsi="宋体" w:eastAsia="宋体" w:cs="宋体"/>
          <w:color w:val="auto"/>
          <w:sz w:val="23"/>
          <w:szCs w:val="23"/>
          <w:highlight w:val="none"/>
        </w:rPr>
      </w:pPr>
      <w:r>
        <w:rPr>
          <w:rFonts w:hint="eastAsia" w:ascii="宋体" w:hAnsi="宋体" w:eastAsia="宋体" w:cs="宋体"/>
          <w:snapToGrid/>
          <w:color w:val="auto"/>
          <w:kern w:val="0"/>
          <w:sz w:val="28"/>
          <w:szCs w:val="28"/>
          <w:highlight w:val="none"/>
          <w:lang w:val="en-US" w:eastAsia="zh-CN" w:bidi="ar-SA"/>
        </w:rPr>
        <w:t>加强监测分析和基础研究工作，提高科学管理水平。建立河道管理信息系统，将河道日常巡查、问题督办、情况通报、责任落实等纳入信息化、一体化的现代化管理，提高工作效能，接受社会监督。</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4" w:name="_Toc19763"/>
      <w:bookmarkStart w:id="135" w:name="_Toc31258"/>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9.3</w:t>
      </w:r>
      <w:r>
        <w:rPr>
          <w:rFonts w:hint="eastAsia" w:ascii="宋体" w:hAnsi="宋体" w:eastAsia="宋体" w:cs="宋体"/>
          <w:color w:val="auto"/>
          <w:spacing w:val="1"/>
          <w:sz w:val="28"/>
          <w:szCs w:val="28"/>
          <w:highlight w:val="none"/>
          <w:lang w:val="en-US" w:eastAsia="zh-CN"/>
          <w14:textOutline w14:w="4902" w14:cap="flat" w14:cmpd="sng">
            <w14:solidFill>
              <w14:srgbClr w14:val="000000"/>
            </w14:solidFill>
            <w14:prstDash w14:val="solid"/>
            <w14:miter w14:val="0"/>
          </w14:textOutline>
        </w:rPr>
        <w:t xml:space="preserve"> </w:t>
      </w:r>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经济措施</w:t>
      </w:r>
      <w:bookmarkEnd w:id="134"/>
      <w:bookmarkEnd w:id="135"/>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在水利建设资金、环境保护资金、林业发展资金、国家污染防治专项资金等现有资金渠道的基础上，积极争取各种途径中央财政投资。探索以政府公共财政为主导、市场化投资为补充的投入机制，试点各种社会组织和民间组织参与岸线保护与利用规划工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考虑资源稀缺程度、河道治理成本、市场供求关系、生态环境损害成本等因素，探索建立岸线资源有偿使用制度，促进岸线资源的节约、集约利用。出台岸线资源有偿使用指导意见，明确岸线资源使用权登记、岸线资源税费征收制度及岸线资源综合评价指标体系、征收标准。在指导意见出台前，磴口县人民政府依据相关规划，按照“科学布局，集约利用”的原则，可探索采用招标、拍卖、挂牌等市场手段对岸线资源进行有偿出让。</w:t>
      </w:r>
    </w:p>
    <w:p>
      <w:pPr>
        <w:spacing w:before="190" w:line="360" w:lineRule="auto"/>
        <w:outlineLvl w:val="0"/>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pPr>
      <w:bookmarkStart w:id="136" w:name="_Toc30056"/>
      <w:bookmarkStart w:id="137" w:name="_Toc21809"/>
      <w:r>
        <w:rPr>
          <w:rFonts w:ascii="宋体" w:hAnsi="宋体" w:eastAsia="宋体" w:cs="宋体"/>
          <w:color w:val="auto"/>
          <w:spacing w:val="1"/>
          <w:sz w:val="28"/>
          <w:szCs w:val="28"/>
          <w:highlight w:val="none"/>
          <w14:textOutline w14:w="4902" w14:cap="flat" w14:cmpd="sng">
            <w14:solidFill>
              <w14:srgbClr w14:val="000000"/>
            </w14:solidFill>
            <w14:prstDash w14:val="solid"/>
            <w14:miter w14:val="0"/>
          </w14:textOutline>
        </w:rPr>
        <w:t>9.4 公众参与保障</w:t>
      </w:r>
      <w:bookmarkEnd w:id="136"/>
      <w:bookmarkEnd w:id="137"/>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营造有效的公众参与机制。建立公开透明、公众参与、公正廉洁的民主管理机制和行政管理体制。与群众利益密切相关的重大问题，要广泛听取和充分反映公众意见，提高全社会对加快经济发展和保护岸线相协调的认同程度。促使沿岸开发利用的地方政府、企业单位,特别是非政府组织充分参与到保护水域、岸线中来。提高全民保护水、珍惜岸线的意识，将维护河道、湖泊变得更接近自然状态成为全社会每个成员的实际行动，取得更好的经济社会和环境效果。</w:t>
      </w:r>
    </w:p>
    <w:p>
      <w:pPr>
        <w:widowControl w:val="0"/>
        <w:kinsoku/>
        <w:adjustRightInd w:val="0"/>
        <w:snapToGrid/>
        <w:spacing w:line="360" w:lineRule="auto"/>
        <w:ind w:right="80" w:rightChars="38" w:firstLine="560" w:firstLineChars="200"/>
        <w:contextualSpacing/>
        <w:jc w:val="left"/>
        <w:textAlignment w:val="auto"/>
        <w:rPr>
          <w:rFonts w:hint="eastAsia" w:ascii="宋体" w:hAnsi="宋体" w:eastAsia="宋体" w:cs="宋体"/>
          <w:snapToGrid/>
          <w:color w:val="auto"/>
          <w:kern w:val="0"/>
          <w:sz w:val="28"/>
          <w:szCs w:val="28"/>
          <w:highlight w:val="none"/>
          <w:lang w:val="en-US" w:eastAsia="zh-CN" w:bidi="ar-SA"/>
        </w:rPr>
      </w:pPr>
      <w:r>
        <w:rPr>
          <w:rFonts w:hint="eastAsia" w:ascii="宋体" w:hAnsi="宋体" w:eastAsia="宋体" w:cs="宋体"/>
          <w:snapToGrid/>
          <w:color w:val="auto"/>
          <w:kern w:val="0"/>
          <w:sz w:val="28"/>
          <w:szCs w:val="28"/>
          <w:highlight w:val="none"/>
          <w:lang w:val="en-US" w:eastAsia="zh-CN" w:bidi="ar-SA"/>
        </w:rPr>
        <w:t>加强社会监督。进一步加强规划实施的民主监督，扩大政务公开，强化信息引导，面向企业和公众，积极广泛地组织好规划宣传，形成全社会关心规划、参与实施和共同监督的良好氛围。设立含基础数据、举报建议、查看阅读、治河动态等功能的微信公众号，方便公众参与，落实全民管理理念。</w:t>
      </w:r>
    </w:p>
    <w:p>
      <w:pPr>
        <w:rPr>
          <w:color w:val="auto"/>
          <w:highlight w:val="none"/>
        </w:rPr>
        <w:sectPr>
          <w:footerReference r:id="rId19" w:type="default"/>
          <w:pgSz w:w="11910" w:h="16850"/>
          <w:pgMar w:top="1432" w:right="1285" w:bottom="2300" w:left="1759" w:header="1020" w:footer="1757" w:gutter="0"/>
          <w:pgNumType w:fmt="decimal"/>
          <w:cols w:space="720" w:num="1"/>
        </w:sectPr>
      </w:pPr>
    </w:p>
    <w:p>
      <w:pPr>
        <w:spacing w:line="242" w:lineRule="auto"/>
        <w:rPr>
          <w:rFonts w:ascii="Arial"/>
          <w:color w:val="auto"/>
          <w:sz w:val="21"/>
          <w:highlight w:val="none"/>
        </w:rPr>
      </w:pPr>
    </w:p>
    <w:p>
      <w:pPr>
        <w:spacing w:before="98" w:line="223" w:lineRule="auto"/>
        <w:ind w:left="789"/>
        <w:outlineLvl w:val="0"/>
        <w:rPr>
          <w:rFonts w:ascii="黑体" w:hAnsi="黑体" w:eastAsia="黑体" w:cs="黑体"/>
          <w:color w:val="auto"/>
          <w:sz w:val="30"/>
          <w:szCs w:val="30"/>
          <w:highlight w:val="none"/>
        </w:rPr>
      </w:pPr>
      <w:bookmarkStart w:id="138" w:name="_Toc28299"/>
      <w:bookmarkStart w:id="139" w:name="_Toc22812"/>
      <w:r>
        <w:rPr>
          <w:rFonts w:ascii="黑体" w:hAnsi="黑体" w:eastAsia="黑体" w:cs="黑体"/>
          <w:color w:val="auto"/>
          <w:spacing w:val="7"/>
          <w:sz w:val="30"/>
          <w:szCs w:val="30"/>
          <w:highlight w:val="none"/>
          <w14:textOutline w14:w="5448" w14:cap="flat" w14:cmpd="sng">
            <w14:solidFill>
              <w14:srgbClr w14:val="000000"/>
            </w14:solidFill>
            <w14:prstDash w14:val="solid"/>
            <w14:miter w14:val="0"/>
          </w14:textOutline>
        </w:rPr>
        <w:t>附</w:t>
      </w:r>
      <w:r>
        <w:rPr>
          <w:rFonts w:ascii="黑体" w:hAnsi="黑体" w:eastAsia="黑体" w:cs="黑体"/>
          <w:color w:val="auto"/>
          <w:spacing w:val="6"/>
          <w:sz w:val="30"/>
          <w:szCs w:val="30"/>
          <w:highlight w:val="none"/>
          <w14:textOutline w14:w="5448" w14:cap="flat" w14:cmpd="sng">
            <w14:solidFill>
              <w14:srgbClr w14:val="000000"/>
            </w14:solidFill>
            <w14:prstDash w14:val="solid"/>
            <w14:miter w14:val="0"/>
          </w14:textOutline>
        </w:rPr>
        <w:t>表</w:t>
      </w:r>
      <w:bookmarkEnd w:id="138"/>
      <w:bookmarkEnd w:id="139"/>
    </w:p>
    <w:p>
      <w:pPr>
        <w:spacing w:line="286" w:lineRule="auto"/>
        <w:rPr>
          <w:rFonts w:ascii="Arial"/>
          <w:color w:val="auto"/>
          <w:sz w:val="21"/>
          <w:highlight w:val="none"/>
        </w:rPr>
      </w:pPr>
    </w:p>
    <w:p>
      <w:pPr>
        <w:spacing w:line="287" w:lineRule="auto"/>
        <w:rPr>
          <w:rFonts w:ascii="Arial"/>
          <w:color w:val="auto"/>
          <w:sz w:val="21"/>
          <w:highlight w:val="none"/>
        </w:rPr>
      </w:pPr>
    </w:p>
    <w:p>
      <w:pPr>
        <w:spacing w:before="97" w:line="221" w:lineRule="auto"/>
        <w:ind w:left="4419"/>
        <w:rPr>
          <w:rFonts w:ascii="黑体" w:hAnsi="黑体" w:eastAsia="黑体" w:cs="黑体"/>
          <w:color w:val="auto"/>
          <w:sz w:val="30"/>
          <w:szCs w:val="30"/>
          <w:highlight w:val="none"/>
        </w:rPr>
      </w:pPr>
      <w:r>
        <w:rPr>
          <w:rFonts w:ascii="黑体" w:hAnsi="黑体" w:eastAsia="黑体" w:cs="黑体"/>
          <w:color w:val="auto"/>
          <w:spacing w:val="-22"/>
          <w:sz w:val="30"/>
          <w:szCs w:val="30"/>
          <w:highlight w:val="none"/>
          <w14:textOutline w14:w="5448" w14:cap="flat" w14:cmpd="sng">
            <w14:solidFill>
              <w14:srgbClr w14:val="000000"/>
            </w14:solidFill>
            <w14:prstDash w14:val="solid"/>
            <w14:miter w14:val="0"/>
          </w14:textOutline>
        </w:rPr>
        <w:t>表</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1</w:t>
      </w:r>
      <w:r>
        <w:rPr>
          <w:rFonts w:ascii="黑体" w:hAnsi="黑体" w:eastAsia="黑体" w:cs="黑体"/>
          <w:color w:val="auto"/>
          <w:spacing w:val="-19"/>
          <w:sz w:val="30"/>
          <w:szCs w:val="30"/>
          <w:highlight w:val="none"/>
        </w:rPr>
        <w:t xml:space="preserve"> </w:t>
      </w:r>
      <w:r>
        <w:rPr>
          <w:rFonts w:hint="eastAsia" w:ascii="黑体" w:hAnsi="黑体" w:eastAsia="黑体" w:cs="黑体"/>
          <w:color w:val="auto"/>
          <w:spacing w:val="-19"/>
          <w:sz w:val="30"/>
          <w:szCs w:val="30"/>
          <w:highlight w:val="none"/>
          <w:lang w:val="en-US" w:eastAsia="zh-CN"/>
          <w14:textOutline w14:w="5448" w14:cap="flat" w14:cmpd="sng">
            <w14:solidFill>
              <w14:srgbClr w14:val="000000"/>
            </w14:solidFill>
            <w14:prstDash w14:val="solid"/>
            <w14:miter w14:val="0"/>
          </w14:textOutline>
        </w:rPr>
        <w:t>七分场海子</w:t>
      </w:r>
      <w:r>
        <w:rPr>
          <w:rFonts w:ascii="黑体" w:hAnsi="黑体" w:eastAsia="黑体" w:cs="黑体"/>
          <w:color w:val="auto"/>
          <w:spacing w:val="-19"/>
          <w:sz w:val="30"/>
          <w:szCs w:val="30"/>
          <w:highlight w:val="none"/>
          <w14:textOutline w14:w="5448" w14:cap="flat" w14:cmpd="sng">
            <w14:solidFill>
              <w14:srgbClr w14:val="000000"/>
            </w14:solidFill>
            <w14:prstDash w14:val="solid"/>
            <w14:miter w14:val="0"/>
          </w14:textOutline>
        </w:rPr>
        <w:t>所在县级以上行政区主要经济社会指标</w:t>
      </w:r>
    </w:p>
    <w:p>
      <w:pPr>
        <w:spacing w:line="40" w:lineRule="exact"/>
        <w:rPr>
          <w:color w:val="auto"/>
          <w:highlight w:val="none"/>
        </w:rPr>
      </w:pPr>
    </w:p>
    <w:tbl>
      <w:tblPr>
        <w:tblStyle w:val="13"/>
        <w:tblW w:w="141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94"/>
        <w:gridCol w:w="1579"/>
        <w:gridCol w:w="1568"/>
        <w:gridCol w:w="1599"/>
        <w:gridCol w:w="1568"/>
        <w:gridCol w:w="1579"/>
        <w:gridCol w:w="1569"/>
        <w:gridCol w:w="1569"/>
        <w:gridCol w:w="15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99" w:hRule="atLeast"/>
        </w:trPr>
        <w:tc>
          <w:tcPr>
            <w:tcW w:w="1594" w:type="dxa"/>
            <w:tcBorders>
              <w:top w:val="single" w:color="000000" w:sz="2" w:space="0"/>
              <w:bottom w:val="single" w:color="000000" w:sz="2" w:space="0"/>
            </w:tcBorders>
            <w:vAlign w:val="top"/>
          </w:tcPr>
          <w:p>
            <w:pPr>
              <w:spacing w:line="264" w:lineRule="auto"/>
              <w:rPr>
                <w:rFonts w:ascii="Arial"/>
                <w:color w:val="auto"/>
                <w:sz w:val="21"/>
                <w:highlight w:val="none"/>
              </w:rPr>
            </w:pPr>
          </w:p>
          <w:p>
            <w:pPr>
              <w:spacing w:line="264" w:lineRule="auto"/>
              <w:rPr>
                <w:rFonts w:ascii="Arial"/>
                <w:color w:val="auto"/>
                <w:sz w:val="21"/>
                <w:highlight w:val="none"/>
              </w:rPr>
            </w:pPr>
          </w:p>
          <w:p>
            <w:pPr>
              <w:spacing w:before="68" w:line="221" w:lineRule="auto"/>
              <w:ind w:left="57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序号</w:t>
            </w:r>
          </w:p>
        </w:tc>
        <w:tc>
          <w:tcPr>
            <w:tcW w:w="1579" w:type="dxa"/>
            <w:tcBorders>
              <w:top w:val="single" w:color="000000" w:sz="2" w:space="0"/>
              <w:bottom w:val="single" w:color="000000" w:sz="2" w:space="0"/>
            </w:tcBorders>
            <w:vAlign w:val="top"/>
          </w:tcPr>
          <w:p>
            <w:pPr>
              <w:spacing w:line="263" w:lineRule="auto"/>
              <w:rPr>
                <w:rFonts w:ascii="Arial"/>
                <w:color w:val="auto"/>
                <w:sz w:val="21"/>
                <w:highlight w:val="none"/>
              </w:rPr>
            </w:pPr>
          </w:p>
          <w:p>
            <w:pPr>
              <w:spacing w:line="264" w:lineRule="auto"/>
              <w:rPr>
                <w:rFonts w:ascii="Arial"/>
                <w:color w:val="auto"/>
                <w:sz w:val="21"/>
                <w:highlight w:val="none"/>
              </w:rPr>
            </w:pPr>
          </w:p>
          <w:p>
            <w:pPr>
              <w:spacing w:before="68" w:line="219" w:lineRule="auto"/>
              <w:ind w:left="670"/>
              <w:rPr>
                <w:rFonts w:ascii="宋体" w:hAnsi="宋体" w:eastAsia="宋体" w:cs="宋体"/>
                <w:color w:val="auto"/>
                <w:sz w:val="21"/>
                <w:szCs w:val="21"/>
                <w:highlight w:val="none"/>
              </w:rPr>
            </w:pPr>
            <w:r>
              <w:rPr>
                <w:rFonts w:ascii="宋体" w:hAnsi="宋体" w:eastAsia="宋体" w:cs="宋体"/>
                <w:color w:val="auto"/>
                <w:sz w:val="21"/>
                <w:szCs w:val="21"/>
                <w:highlight w:val="none"/>
              </w:rPr>
              <w:t>省</w:t>
            </w:r>
          </w:p>
        </w:tc>
        <w:tc>
          <w:tcPr>
            <w:tcW w:w="1568" w:type="dxa"/>
            <w:tcBorders>
              <w:top w:val="single" w:color="000000" w:sz="2" w:space="0"/>
              <w:bottom w:val="single" w:color="000000" w:sz="2" w:space="0"/>
            </w:tcBorders>
            <w:vAlign w:val="top"/>
          </w:tcPr>
          <w:p>
            <w:pPr>
              <w:spacing w:line="339" w:lineRule="auto"/>
              <w:rPr>
                <w:rFonts w:ascii="Arial"/>
                <w:color w:val="auto"/>
                <w:sz w:val="21"/>
                <w:highlight w:val="none"/>
              </w:rPr>
            </w:pPr>
          </w:p>
          <w:p>
            <w:pPr>
              <w:spacing w:before="68" w:line="351" w:lineRule="auto"/>
              <w:ind w:left="670" w:right="146" w:hanging="52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市(</w:t>
            </w:r>
            <w:r>
              <w:rPr>
                <w:rFonts w:ascii="宋体" w:hAnsi="宋体" w:eastAsia="宋体" w:cs="宋体"/>
                <w:color w:val="auto"/>
                <w:spacing w:val="1"/>
                <w:sz w:val="21"/>
                <w:szCs w:val="21"/>
                <w:highlight w:val="none"/>
              </w:rPr>
              <w:t>地)级行政</w:t>
            </w:r>
            <w:r>
              <w:rPr>
                <w:rFonts w:ascii="宋体" w:hAnsi="宋体" w:eastAsia="宋体" w:cs="宋体"/>
                <w:color w:val="auto"/>
                <w:sz w:val="21"/>
                <w:szCs w:val="21"/>
                <w:highlight w:val="none"/>
              </w:rPr>
              <w:t>区</w:t>
            </w:r>
          </w:p>
        </w:tc>
        <w:tc>
          <w:tcPr>
            <w:tcW w:w="1599" w:type="dxa"/>
            <w:tcBorders>
              <w:top w:val="single" w:color="000000" w:sz="2" w:space="0"/>
              <w:bottom w:val="single" w:color="000000" w:sz="2" w:space="0"/>
            </w:tcBorders>
            <w:vAlign w:val="top"/>
          </w:tcPr>
          <w:p>
            <w:pPr>
              <w:spacing w:line="300" w:lineRule="auto"/>
              <w:rPr>
                <w:rFonts w:ascii="Arial"/>
                <w:color w:val="auto"/>
                <w:sz w:val="21"/>
                <w:highlight w:val="none"/>
              </w:rPr>
            </w:pPr>
          </w:p>
          <w:p>
            <w:pPr>
              <w:spacing w:before="69" w:line="458" w:lineRule="exact"/>
              <w:ind w:left="583"/>
              <w:rPr>
                <w:rFonts w:ascii="宋体" w:hAnsi="宋体" w:eastAsia="宋体" w:cs="宋体"/>
                <w:color w:val="auto"/>
                <w:sz w:val="21"/>
                <w:szCs w:val="21"/>
                <w:highlight w:val="none"/>
              </w:rPr>
            </w:pPr>
            <w:r>
              <w:rPr>
                <w:rFonts w:ascii="宋体" w:hAnsi="宋体" w:eastAsia="宋体" w:cs="宋体"/>
                <w:color w:val="auto"/>
                <w:spacing w:val="6"/>
                <w:position w:val="19"/>
                <w:sz w:val="21"/>
                <w:szCs w:val="21"/>
                <w:highlight w:val="none"/>
              </w:rPr>
              <w:t>县级</w:t>
            </w:r>
          </w:p>
          <w:p>
            <w:pPr>
              <w:spacing w:line="220" w:lineRule="auto"/>
              <w:ind w:left="473"/>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行政区</w:t>
            </w:r>
          </w:p>
        </w:tc>
        <w:tc>
          <w:tcPr>
            <w:tcW w:w="1568" w:type="dxa"/>
            <w:tcBorders>
              <w:top w:val="single" w:color="000000" w:sz="2" w:space="0"/>
              <w:bottom w:val="single" w:color="000000" w:sz="2" w:space="0"/>
            </w:tcBorders>
            <w:vAlign w:val="top"/>
          </w:tcPr>
          <w:p>
            <w:pPr>
              <w:spacing w:before="158" w:line="443" w:lineRule="exact"/>
              <w:ind w:left="564"/>
              <w:rPr>
                <w:rFonts w:ascii="宋体" w:hAnsi="宋体" w:eastAsia="宋体" w:cs="宋体"/>
                <w:color w:val="auto"/>
                <w:sz w:val="21"/>
                <w:szCs w:val="21"/>
                <w:highlight w:val="none"/>
              </w:rPr>
            </w:pPr>
            <w:r>
              <w:rPr>
                <w:rFonts w:ascii="宋体" w:hAnsi="宋体" w:eastAsia="宋体" w:cs="宋体"/>
                <w:color w:val="auto"/>
                <w:spacing w:val="6"/>
                <w:position w:val="17"/>
                <w:sz w:val="21"/>
                <w:szCs w:val="21"/>
                <w:highlight w:val="none"/>
              </w:rPr>
              <w:t>年</w:t>
            </w:r>
            <w:r>
              <w:rPr>
                <w:rFonts w:ascii="宋体" w:hAnsi="宋体" w:eastAsia="宋体" w:cs="宋体"/>
                <w:color w:val="auto"/>
                <w:spacing w:val="5"/>
                <w:position w:val="17"/>
                <w:sz w:val="21"/>
                <w:szCs w:val="21"/>
                <w:highlight w:val="none"/>
              </w:rPr>
              <w:t>末</w:t>
            </w:r>
          </w:p>
          <w:p>
            <w:pPr>
              <w:spacing w:line="222" w:lineRule="auto"/>
              <w:ind w:left="464"/>
              <w:rPr>
                <w:rFonts w:ascii="宋体" w:hAnsi="宋体" w:eastAsia="宋体" w:cs="宋体"/>
                <w:color w:val="auto"/>
                <w:sz w:val="21"/>
                <w:szCs w:val="21"/>
                <w:highlight w:val="none"/>
              </w:rPr>
            </w:pPr>
            <w:r>
              <w:rPr>
                <w:rFonts w:ascii="宋体" w:hAnsi="宋体" w:eastAsia="宋体" w:cs="宋体"/>
                <w:color w:val="auto"/>
                <w:spacing w:val="11"/>
                <w:sz w:val="21"/>
                <w:szCs w:val="21"/>
                <w:highlight w:val="none"/>
              </w:rPr>
              <w:t>总</w:t>
            </w:r>
            <w:r>
              <w:rPr>
                <w:rFonts w:ascii="宋体" w:hAnsi="宋体" w:eastAsia="宋体" w:cs="宋体"/>
                <w:color w:val="auto"/>
                <w:spacing w:val="10"/>
                <w:sz w:val="21"/>
                <w:szCs w:val="21"/>
                <w:highlight w:val="none"/>
              </w:rPr>
              <w:t>人口</w:t>
            </w:r>
          </w:p>
          <w:p>
            <w:pPr>
              <w:spacing w:before="174" w:line="220" w:lineRule="auto"/>
              <w:ind w:left="464"/>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万人)</w:t>
            </w:r>
          </w:p>
        </w:tc>
        <w:tc>
          <w:tcPr>
            <w:tcW w:w="1579" w:type="dxa"/>
            <w:tcBorders>
              <w:top w:val="single" w:color="000000" w:sz="2" w:space="0"/>
              <w:bottom w:val="single" w:color="000000" w:sz="2" w:space="0"/>
            </w:tcBorders>
            <w:vAlign w:val="top"/>
          </w:tcPr>
          <w:p>
            <w:pPr>
              <w:spacing w:before="148" w:line="440" w:lineRule="exact"/>
              <w:ind w:left="366"/>
              <w:rPr>
                <w:rFonts w:ascii="宋体" w:hAnsi="宋体" w:eastAsia="宋体" w:cs="宋体"/>
                <w:color w:val="auto"/>
                <w:sz w:val="21"/>
                <w:szCs w:val="21"/>
                <w:highlight w:val="none"/>
              </w:rPr>
            </w:pPr>
            <w:r>
              <w:rPr>
                <w:rFonts w:ascii="宋体" w:hAnsi="宋体" w:eastAsia="宋体" w:cs="宋体"/>
                <w:color w:val="auto"/>
                <w:spacing w:val="5"/>
                <w:position w:val="17"/>
                <w:sz w:val="21"/>
                <w:szCs w:val="21"/>
                <w:highlight w:val="none"/>
              </w:rPr>
              <w:t>年末牲畜</w:t>
            </w:r>
          </w:p>
          <w:p>
            <w:pPr>
              <w:spacing w:line="219" w:lineRule="auto"/>
              <w:ind w:left="467"/>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总头</w:t>
            </w:r>
            <w:r>
              <w:rPr>
                <w:rFonts w:ascii="宋体" w:hAnsi="宋体" w:eastAsia="宋体" w:cs="宋体"/>
                <w:color w:val="auto"/>
                <w:spacing w:val="2"/>
                <w:sz w:val="21"/>
                <w:szCs w:val="21"/>
                <w:highlight w:val="none"/>
              </w:rPr>
              <w:t>数</w:t>
            </w:r>
          </w:p>
          <w:p>
            <w:pPr>
              <w:spacing w:before="190" w:line="219" w:lineRule="auto"/>
              <w:ind w:left="467"/>
              <w:rPr>
                <w:rFonts w:ascii="宋体" w:hAnsi="宋体" w:eastAsia="宋体" w:cs="宋体"/>
                <w:color w:val="auto"/>
                <w:sz w:val="21"/>
                <w:szCs w:val="21"/>
                <w:highlight w:val="none"/>
              </w:rPr>
            </w:pP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万头)</w:t>
            </w:r>
          </w:p>
        </w:tc>
        <w:tc>
          <w:tcPr>
            <w:tcW w:w="1569" w:type="dxa"/>
            <w:tcBorders>
              <w:top w:val="single" w:color="000000" w:sz="2" w:space="0"/>
              <w:bottom w:val="single" w:color="000000" w:sz="2" w:space="0"/>
            </w:tcBorders>
            <w:vAlign w:val="top"/>
          </w:tcPr>
          <w:p>
            <w:pPr>
              <w:spacing w:before="148" w:line="441" w:lineRule="exact"/>
              <w:ind w:left="567"/>
              <w:rPr>
                <w:rFonts w:ascii="宋体" w:hAnsi="宋体" w:eastAsia="宋体" w:cs="宋体"/>
                <w:color w:val="auto"/>
                <w:sz w:val="21"/>
                <w:szCs w:val="21"/>
                <w:highlight w:val="none"/>
              </w:rPr>
            </w:pPr>
            <w:r>
              <w:rPr>
                <w:rFonts w:ascii="宋体" w:hAnsi="宋体" w:eastAsia="宋体" w:cs="宋体"/>
                <w:color w:val="auto"/>
                <w:spacing w:val="-4"/>
                <w:position w:val="17"/>
                <w:sz w:val="21"/>
                <w:szCs w:val="21"/>
                <w:highlight w:val="none"/>
              </w:rPr>
              <w:t>灌</w:t>
            </w:r>
            <w:r>
              <w:rPr>
                <w:rFonts w:ascii="宋体" w:hAnsi="宋体" w:eastAsia="宋体" w:cs="宋体"/>
                <w:color w:val="auto"/>
                <w:spacing w:val="-2"/>
                <w:position w:val="17"/>
                <w:sz w:val="21"/>
                <w:szCs w:val="21"/>
                <w:highlight w:val="none"/>
              </w:rPr>
              <w:t>溉</w:t>
            </w:r>
          </w:p>
          <w:p>
            <w:pPr>
              <w:spacing w:line="220" w:lineRule="auto"/>
              <w:ind w:left="567"/>
              <w:rPr>
                <w:rFonts w:ascii="宋体" w:hAnsi="宋体" w:eastAsia="宋体" w:cs="宋体"/>
                <w:color w:val="auto"/>
                <w:sz w:val="21"/>
                <w:szCs w:val="21"/>
                <w:highlight w:val="none"/>
              </w:rPr>
            </w:pPr>
            <w:r>
              <w:rPr>
                <w:rFonts w:ascii="宋体" w:hAnsi="宋体" w:eastAsia="宋体" w:cs="宋体"/>
                <w:color w:val="auto"/>
                <w:spacing w:val="7"/>
                <w:sz w:val="21"/>
                <w:szCs w:val="21"/>
                <w:highlight w:val="none"/>
              </w:rPr>
              <w:t>面</w:t>
            </w:r>
            <w:r>
              <w:rPr>
                <w:rFonts w:ascii="宋体" w:hAnsi="宋体" w:eastAsia="宋体" w:cs="宋体"/>
                <w:color w:val="auto"/>
                <w:spacing w:val="6"/>
                <w:sz w:val="21"/>
                <w:szCs w:val="21"/>
                <w:highlight w:val="none"/>
              </w:rPr>
              <w:t>积</w:t>
            </w:r>
          </w:p>
          <w:p>
            <w:pPr>
              <w:spacing w:before="189" w:line="220" w:lineRule="auto"/>
              <w:ind w:left="567"/>
              <w:rPr>
                <w:rFonts w:ascii="宋体" w:hAnsi="宋体" w:eastAsia="宋体" w:cs="宋体"/>
                <w:color w:val="auto"/>
                <w:sz w:val="21"/>
                <w:szCs w:val="21"/>
                <w:highlight w:val="none"/>
              </w:rPr>
            </w:pPr>
            <w:r>
              <w:rPr>
                <w:rFonts w:ascii="宋体" w:hAnsi="宋体" w:eastAsia="宋体" w:cs="宋体"/>
                <w:color w:val="auto"/>
                <w:spacing w:val="15"/>
                <w:sz w:val="21"/>
                <w:szCs w:val="21"/>
                <w:highlight w:val="none"/>
              </w:rPr>
              <w:t>(亩)</w:t>
            </w:r>
          </w:p>
        </w:tc>
        <w:tc>
          <w:tcPr>
            <w:tcW w:w="1569" w:type="dxa"/>
            <w:tcBorders>
              <w:top w:val="single" w:color="000000" w:sz="2" w:space="0"/>
              <w:bottom w:val="single" w:color="000000" w:sz="2" w:space="0"/>
            </w:tcBorders>
            <w:vAlign w:val="top"/>
          </w:tcPr>
          <w:p>
            <w:pPr>
              <w:spacing w:line="278" w:lineRule="auto"/>
              <w:rPr>
                <w:rFonts w:ascii="Arial"/>
                <w:color w:val="auto"/>
                <w:sz w:val="21"/>
                <w:highlight w:val="none"/>
              </w:rPr>
            </w:pPr>
          </w:p>
          <w:p>
            <w:pPr>
              <w:spacing w:before="68" w:line="412" w:lineRule="auto"/>
              <w:ind w:left="467" w:right="158" w:hanging="319"/>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地区生</w:t>
            </w:r>
            <w:r>
              <w:rPr>
                <w:rFonts w:ascii="宋体" w:hAnsi="宋体" w:eastAsia="宋体" w:cs="宋体"/>
                <w:color w:val="auto"/>
                <w:spacing w:val="-1"/>
                <w:sz w:val="21"/>
                <w:szCs w:val="21"/>
                <w:highlight w:val="none"/>
              </w:rPr>
              <w:t>产总值</w:t>
            </w:r>
            <w:r>
              <w:rPr>
                <w:rFonts w:ascii="宋体" w:hAnsi="宋体" w:eastAsia="宋体" w:cs="宋体"/>
                <w:color w:val="auto"/>
                <w:spacing w:val="12"/>
                <w:sz w:val="21"/>
                <w:szCs w:val="21"/>
                <w:highlight w:val="none"/>
              </w:rPr>
              <w:t>(</w:t>
            </w:r>
            <w:r>
              <w:rPr>
                <w:rFonts w:ascii="宋体" w:hAnsi="宋体" w:eastAsia="宋体" w:cs="宋体"/>
                <w:color w:val="auto"/>
                <w:spacing w:val="11"/>
                <w:sz w:val="21"/>
                <w:szCs w:val="21"/>
                <w:highlight w:val="none"/>
              </w:rPr>
              <w:t>亿元)</w:t>
            </w:r>
          </w:p>
        </w:tc>
        <w:tc>
          <w:tcPr>
            <w:tcW w:w="1574" w:type="dxa"/>
            <w:tcBorders>
              <w:top w:val="single" w:color="000000" w:sz="2" w:space="0"/>
              <w:bottom w:val="single" w:color="000000" w:sz="2" w:space="0"/>
            </w:tcBorders>
            <w:vAlign w:val="top"/>
          </w:tcPr>
          <w:p>
            <w:pPr>
              <w:spacing w:line="348" w:lineRule="auto"/>
              <w:rPr>
                <w:rFonts w:ascii="Arial"/>
                <w:color w:val="auto"/>
                <w:sz w:val="21"/>
                <w:highlight w:val="none"/>
              </w:rPr>
            </w:pPr>
          </w:p>
          <w:p>
            <w:pPr>
              <w:spacing w:before="68" w:line="331" w:lineRule="auto"/>
              <w:ind w:left="569" w:right="262" w:hanging="310"/>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岸线总长</w:t>
            </w:r>
            <w:r>
              <w:rPr>
                <w:rFonts w:ascii="宋体" w:hAnsi="宋体" w:eastAsia="宋体" w:cs="宋体"/>
                <w:color w:val="auto"/>
                <w:spacing w:val="-1"/>
                <w:sz w:val="21"/>
                <w:szCs w:val="21"/>
                <w:highlight w:val="none"/>
              </w:rPr>
              <w:t>度</w:t>
            </w:r>
            <w:r>
              <w:rPr>
                <w:rFonts w:ascii="宋体" w:hAnsi="宋体" w:eastAsia="宋体" w:cs="宋体"/>
                <w:color w:val="auto"/>
                <w:sz w:val="21"/>
                <w:szCs w:val="21"/>
                <w:highlight w:val="none"/>
              </w:rPr>
              <w:t xml:space="preserve"> </w:t>
            </w:r>
            <w:r>
              <w:rPr>
                <w:rFonts w:ascii="宋体" w:hAnsi="宋体" w:eastAsia="宋体" w:cs="宋体"/>
                <w:color w:val="auto"/>
                <w:spacing w:val="-10"/>
                <w:sz w:val="21"/>
                <w:szCs w:val="21"/>
                <w:highlight w:val="none"/>
              </w:rPr>
              <w:t>(</w:t>
            </w:r>
            <w:r>
              <w:rPr>
                <w:rFonts w:ascii="宋体" w:hAnsi="宋体" w:eastAsia="宋体" w:cs="宋体"/>
                <w:color w:val="auto"/>
                <w:spacing w:val="-8"/>
                <w:sz w:val="21"/>
                <w:szCs w:val="21"/>
                <w:highlight w:val="none"/>
              </w:rPr>
              <w:t>km)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1594" w:type="dxa"/>
            <w:tcBorders>
              <w:top w:val="single" w:color="000000" w:sz="2" w:space="0"/>
              <w:bottom w:val="single" w:color="000000" w:sz="2" w:space="0"/>
            </w:tcBorders>
            <w:vAlign w:val="top"/>
          </w:tcPr>
          <w:p>
            <w:pPr>
              <w:spacing w:before="227" w:line="187" w:lineRule="auto"/>
              <w:ind w:left="734"/>
              <w:rPr>
                <w:rFonts w:ascii="宋体" w:hAnsi="宋体" w:eastAsia="宋体" w:cs="宋体"/>
                <w:color w:val="auto"/>
                <w:sz w:val="21"/>
                <w:szCs w:val="21"/>
                <w:highlight w:val="none"/>
              </w:rPr>
            </w:pPr>
            <w:r>
              <w:rPr>
                <w:rFonts w:ascii="宋体" w:hAnsi="宋体" w:eastAsia="宋体" w:cs="宋体"/>
                <w:color w:val="auto"/>
                <w:sz w:val="21"/>
                <w:szCs w:val="21"/>
                <w:highlight w:val="none"/>
              </w:rPr>
              <w:t>1</w:t>
            </w:r>
          </w:p>
        </w:tc>
        <w:tc>
          <w:tcPr>
            <w:tcW w:w="1579" w:type="dxa"/>
            <w:tcBorders>
              <w:top w:val="single" w:color="000000" w:sz="2" w:space="0"/>
              <w:bottom w:val="single" w:color="000000" w:sz="2" w:space="0"/>
            </w:tcBorders>
            <w:vAlign w:val="top"/>
          </w:tcPr>
          <w:p>
            <w:pPr>
              <w:spacing w:before="174" w:line="219" w:lineRule="auto"/>
              <w:ind w:left="150"/>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内蒙古自治区</w:t>
            </w:r>
          </w:p>
        </w:tc>
        <w:tc>
          <w:tcPr>
            <w:tcW w:w="1568" w:type="dxa"/>
            <w:tcBorders>
              <w:top w:val="single" w:color="000000" w:sz="2" w:space="0"/>
              <w:bottom w:val="single" w:color="000000" w:sz="2" w:space="0"/>
            </w:tcBorders>
            <w:vAlign w:val="top"/>
          </w:tcPr>
          <w:p>
            <w:pPr>
              <w:spacing w:before="173" w:line="219" w:lineRule="auto"/>
              <w:ind w:left="251"/>
              <w:rPr>
                <w:rFonts w:ascii="宋体" w:hAnsi="宋体" w:eastAsia="宋体" w:cs="宋体"/>
                <w:color w:val="auto"/>
                <w:sz w:val="21"/>
                <w:szCs w:val="21"/>
                <w:highlight w:val="none"/>
              </w:rPr>
            </w:pPr>
            <w:r>
              <w:rPr>
                <w:rFonts w:ascii="宋体" w:hAnsi="宋体" w:eastAsia="宋体" w:cs="宋体"/>
                <w:color w:val="auto"/>
                <w:spacing w:val="4"/>
                <w:sz w:val="21"/>
                <w:szCs w:val="21"/>
                <w:highlight w:val="none"/>
              </w:rPr>
              <w:t>巴</w:t>
            </w:r>
            <w:r>
              <w:rPr>
                <w:rFonts w:ascii="宋体" w:hAnsi="宋体" w:eastAsia="宋体" w:cs="宋体"/>
                <w:color w:val="auto"/>
                <w:spacing w:val="2"/>
                <w:sz w:val="21"/>
                <w:szCs w:val="21"/>
                <w:highlight w:val="none"/>
              </w:rPr>
              <w:t>彦淖尔市</w:t>
            </w:r>
          </w:p>
        </w:tc>
        <w:tc>
          <w:tcPr>
            <w:tcW w:w="1599" w:type="dxa"/>
            <w:tcBorders>
              <w:top w:val="single" w:color="000000" w:sz="2" w:space="0"/>
              <w:bottom w:val="single" w:color="000000" w:sz="2" w:space="0"/>
            </w:tcBorders>
            <w:vAlign w:val="top"/>
          </w:tcPr>
          <w:p>
            <w:pPr>
              <w:spacing w:before="179" w:line="224" w:lineRule="auto"/>
              <w:ind w:left="473"/>
              <w:rPr>
                <w:rFonts w:ascii="宋体" w:hAnsi="宋体" w:eastAsia="宋体" w:cs="宋体"/>
                <w:color w:val="auto"/>
                <w:sz w:val="21"/>
                <w:szCs w:val="21"/>
                <w:highlight w:val="none"/>
              </w:rPr>
            </w:pPr>
            <w:r>
              <w:rPr>
                <w:rFonts w:ascii="宋体" w:hAnsi="宋体" w:eastAsia="宋体" w:cs="宋体"/>
                <w:color w:val="auto"/>
                <w:spacing w:val="-3"/>
                <w:sz w:val="21"/>
                <w:szCs w:val="21"/>
                <w:highlight w:val="none"/>
              </w:rPr>
              <w:t>磴</w:t>
            </w:r>
            <w:r>
              <w:rPr>
                <w:rFonts w:ascii="宋体" w:hAnsi="宋体" w:eastAsia="宋体" w:cs="宋体"/>
                <w:color w:val="auto"/>
                <w:spacing w:val="-2"/>
                <w:sz w:val="21"/>
                <w:szCs w:val="21"/>
                <w:highlight w:val="none"/>
              </w:rPr>
              <w:t>口县</w:t>
            </w:r>
          </w:p>
        </w:tc>
        <w:tc>
          <w:tcPr>
            <w:tcW w:w="1568" w:type="dxa"/>
            <w:tcBorders>
              <w:top w:val="single" w:color="000000" w:sz="2" w:space="0"/>
              <w:bottom w:val="single" w:color="000000" w:sz="2" w:space="0"/>
            </w:tcBorders>
            <w:vAlign w:val="top"/>
          </w:tcPr>
          <w:p>
            <w:pPr>
              <w:spacing w:before="227" w:line="185" w:lineRule="auto"/>
              <w:ind w:left="514"/>
              <w:rPr>
                <w:rFonts w:ascii="宋体" w:hAnsi="宋体" w:eastAsia="宋体" w:cs="宋体"/>
                <w:color w:val="auto"/>
                <w:sz w:val="21"/>
                <w:szCs w:val="21"/>
                <w:highlight w:val="none"/>
              </w:rPr>
            </w:pPr>
            <w:r>
              <w:rPr>
                <w:rFonts w:ascii="宋体" w:hAnsi="宋体" w:eastAsia="宋体" w:cs="宋体"/>
                <w:color w:val="auto"/>
                <w:spacing w:val="-6"/>
                <w:sz w:val="21"/>
                <w:szCs w:val="21"/>
                <w:highlight w:val="none"/>
              </w:rPr>
              <w:t>1</w:t>
            </w:r>
            <w:r>
              <w:rPr>
                <w:rFonts w:ascii="宋体" w:hAnsi="宋体" w:eastAsia="宋体" w:cs="宋体"/>
                <w:color w:val="auto"/>
                <w:spacing w:val="-4"/>
                <w:sz w:val="21"/>
                <w:szCs w:val="21"/>
                <w:highlight w:val="none"/>
              </w:rPr>
              <w:t>1</w:t>
            </w:r>
            <w:r>
              <w:rPr>
                <w:rFonts w:ascii="宋体" w:hAnsi="宋体" w:eastAsia="宋体" w:cs="宋体"/>
                <w:color w:val="auto"/>
                <w:spacing w:val="-3"/>
                <w:sz w:val="21"/>
                <w:szCs w:val="21"/>
                <w:highlight w:val="none"/>
              </w:rPr>
              <w:t>.75</w:t>
            </w:r>
          </w:p>
        </w:tc>
        <w:tc>
          <w:tcPr>
            <w:tcW w:w="1579" w:type="dxa"/>
            <w:tcBorders>
              <w:top w:val="single" w:color="000000" w:sz="2" w:space="0"/>
              <w:bottom w:val="single" w:color="000000" w:sz="2" w:space="0"/>
            </w:tcBorders>
            <w:vAlign w:val="top"/>
          </w:tcPr>
          <w:p>
            <w:pPr>
              <w:spacing w:before="228" w:line="184" w:lineRule="auto"/>
              <w:ind w:left="516"/>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4</w:t>
            </w:r>
            <w:r>
              <w:rPr>
                <w:rFonts w:ascii="宋体" w:hAnsi="宋体" w:eastAsia="宋体" w:cs="宋体"/>
                <w:color w:val="auto"/>
                <w:spacing w:val="-1"/>
                <w:sz w:val="21"/>
                <w:szCs w:val="21"/>
                <w:highlight w:val="none"/>
              </w:rPr>
              <w:t>5.97</w:t>
            </w:r>
          </w:p>
        </w:tc>
        <w:tc>
          <w:tcPr>
            <w:tcW w:w="1569" w:type="dxa"/>
            <w:tcBorders>
              <w:top w:val="single" w:color="000000" w:sz="2" w:space="0"/>
              <w:bottom w:val="single" w:color="000000" w:sz="2" w:space="0"/>
            </w:tcBorders>
            <w:vAlign w:val="top"/>
          </w:tcPr>
          <w:p>
            <w:pPr>
              <w:spacing w:before="227" w:line="185" w:lineRule="auto"/>
              <w:ind w:left="467"/>
              <w:rPr>
                <w:rFonts w:ascii="宋体" w:hAnsi="宋体" w:eastAsia="宋体" w:cs="宋体"/>
                <w:color w:val="auto"/>
                <w:sz w:val="21"/>
                <w:szCs w:val="21"/>
                <w:highlight w:val="none"/>
              </w:rPr>
            </w:pPr>
            <w:r>
              <w:rPr>
                <w:rFonts w:ascii="宋体" w:hAnsi="宋体" w:eastAsia="宋体" w:cs="宋体"/>
                <w:color w:val="auto"/>
                <w:spacing w:val="-5"/>
                <w:sz w:val="21"/>
                <w:szCs w:val="21"/>
                <w:highlight w:val="none"/>
              </w:rPr>
              <w:t>1</w:t>
            </w:r>
            <w:r>
              <w:rPr>
                <w:rFonts w:ascii="宋体" w:hAnsi="宋体" w:eastAsia="宋体" w:cs="宋体"/>
                <w:color w:val="auto"/>
                <w:spacing w:val="-3"/>
                <w:sz w:val="21"/>
                <w:szCs w:val="21"/>
                <w:highlight w:val="none"/>
              </w:rPr>
              <w:t>20.83</w:t>
            </w:r>
          </w:p>
        </w:tc>
        <w:tc>
          <w:tcPr>
            <w:tcW w:w="1569" w:type="dxa"/>
            <w:tcBorders>
              <w:top w:val="single" w:color="000000" w:sz="2" w:space="0"/>
              <w:bottom w:val="single" w:color="000000" w:sz="2" w:space="0"/>
            </w:tcBorders>
            <w:vAlign w:val="top"/>
          </w:tcPr>
          <w:p>
            <w:pPr>
              <w:spacing w:before="228" w:line="184" w:lineRule="auto"/>
              <w:ind w:left="518"/>
              <w:rPr>
                <w:rFonts w:ascii="宋体" w:hAnsi="宋体" w:eastAsia="宋体" w:cs="宋体"/>
                <w:color w:val="auto"/>
                <w:sz w:val="21"/>
                <w:szCs w:val="21"/>
                <w:highlight w:val="none"/>
              </w:rPr>
            </w:pPr>
            <w:r>
              <w:rPr>
                <w:rFonts w:ascii="宋体" w:hAnsi="宋体" w:eastAsia="宋体" w:cs="宋体"/>
                <w:color w:val="auto"/>
                <w:spacing w:val="-2"/>
                <w:sz w:val="21"/>
                <w:szCs w:val="21"/>
                <w:highlight w:val="none"/>
              </w:rPr>
              <w:t>54.90</w:t>
            </w:r>
          </w:p>
        </w:tc>
        <w:tc>
          <w:tcPr>
            <w:tcW w:w="1574" w:type="dxa"/>
            <w:tcBorders>
              <w:top w:val="single" w:color="000000" w:sz="2" w:space="0"/>
              <w:bottom w:val="single" w:color="000000" w:sz="2" w:space="0"/>
            </w:tcBorders>
            <w:vAlign w:val="top"/>
          </w:tcPr>
          <w:p>
            <w:pPr>
              <w:spacing w:before="228" w:line="184" w:lineRule="auto"/>
              <w:ind w:left="519"/>
              <w:rPr>
                <w:rFonts w:hint="default" w:ascii="宋体" w:hAnsi="宋体" w:eastAsia="宋体" w:cs="宋体"/>
                <w:color w:val="auto"/>
                <w:sz w:val="21"/>
                <w:szCs w:val="21"/>
                <w:highlight w:val="none"/>
                <w:lang w:val="en-US" w:eastAsia="zh-CN"/>
              </w:rPr>
            </w:pPr>
            <w:r>
              <w:rPr>
                <w:rFonts w:hint="eastAsia" w:ascii="宋体" w:hAnsi="宋体" w:eastAsia="宋体" w:cs="宋体"/>
                <w:color w:val="auto"/>
                <w:spacing w:val="-2"/>
                <w:sz w:val="21"/>
                <w:szCs w:val="21"/>
                <w:highlight w:val="yellow"/>
                <w:lang w:val="en-US" w:eastAsia="zh-CN"/>
              </w:rPr>
              <w:t>8.351</w:t>
            </w:r>
          </w:p>
        </w:tc>
      </w:tr>
    </w:tbl>
    <w:p>
      <w:pPr>
        <w:rPr>
          <w:rFonts w:ascii="Arial"/>
          <w:color w:val="auto"/>
          <w:sz w:val="21"/>
          <w:highlight w:val="none"/>
        </w:rPr>
      </w:pPr>
    </w:p>
    <w:p>
      <w:pPr>
        <w:rPr>
          <w:color w:val="auto"/>
          <w:highlight w:val="none"/>
        </w:rPr>
        <w:sectPr>
          <w:footerReference r:id="rId20" w:type="default"/>
          <w:pgSz w:w="16850" w:h="11910"/>
          <w:pgMar w:top="1012" w:right="1274" w:bottom="1912" w:left="1365" w:header="680" w:footer="1474" w:gutter="0"/>
          <w:pgNumType w:fmt="decimal"/>
          <w:cols w:space="720" w:num="1"/>
        </w:sectPr>
      </w:pPr>
    </w:p>
    <w:p>
      <w:pPr>
        <w:widowControl w:val="0"/>
        <w:kinsoku/>
        <w:adjustRightInd w:val="0"/>
        <w:snapToGrid/>
        <w:spacing w:line="360" w:lineRule="auto"/>
        <w:ind w:right="80" w:rightChars="38" w:firstLine="420" w:firstLineChars="200"/>
        <w:contextualSpacing/>
        <w:jc w:val="left"/>
        <w:textAlignment w:val="auto"/>
        <w:rPr>
          <w:rFonts w:ascii="Arial"/>
          <w:color w:val="auto"/>
          <w:sz w:val="21"/>
          <w:highlight w:val="yellow"/>
        </w:rPr>
      </w:pPr>
    </w:p>
    <w:p>
      <w:pPr>
        <w:spacing w:before="91" w:line="221" w:lineRule="auto"/>
        <w:ind w:left="5388"/>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w:t>
      </w:r>
      <w:r>
        <w:rPr>
          <w:rFonts w:ascii="黑体" w:hAnsi="黑体" w:eastAsia="黑体" w:cs="黑体"/>
          <w:color w:val="auto"/>
          <w:spacing w:val="-8"/>
          <w:sz w:val="28"/>
          <w:szCs w:val="28"/>
          <w:highlight w:val="yellow"/>
          <w14:textOutline w14:w="5080" w14:cap="flat" w14:cmpd="sng">
            <w14:solidFill>
              <w14:srgbClr w14:val="000000"/>
            </w14:solidFill>
            <w14:prstDash w14:val="solid"/>
            <w14:miter w14:val="0"/>
          </w14:textOutline>
        </w:rPr>
        <w:t>2</w:t>
      </w:r>
      <w:r>
        <w:rPr>
          <w:rFonts w:ascii="黑体" w:hAnsi="黑体" w:eastAsia="黑体" w:cs="黑体"/>
          <w:color w:val="auto"/>
          <w:spacing w:val="-5"/>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七分场海子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主要入湖河流基本情况</w:t>
      </w:r>
    </w:p>
    <w:p>
      <w:pPr>
        <w:rPr>
          <w:color w:val="auto"/>
          <w:highlight w:val="yellow"/>
        </w:rPr>
      </w:pPr>
    </w:p>
    <w:p>
      <w:pPr>
        <w:spacing w:line="143" w:lineRule="exact"/>
        <w:rPr>
          <w:color w:val="auto"/>
          <w:highlight w:val="yellow"/>
        </w:rPr>
      </w:pPr>
    </w:p>
    <w:tbl>
      <w:tblPr>
        <w:tblStyle w:val="13"/>
        <w:tblW w:w="5001"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044"/>
        <w:gridCol w:w="2073"/>
        <w:gridCol w:w="2795"/>
        <w:gridCol w:w="2597"/>
        <w:gridCol w:w="2065"/>
        <w:gridCol w:w="23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7" w:hRule="atLeast"/>
        </w:trPr>
        <w:tc>
          <w:tcPr>
            <w:tcW w:w="734" w:type="pct"/>
            <w:tcBorders>
              <w:top w:val="single" w:color="000000" w:sz="2" w:space="0"/>
              <w:bottom w:val="single" w:color="000000" w:sz="2" w:space="0"/>
            </w:tcBorders>
            <w:vAlign w:val="top"/>
          </w:tcPr>
          <w:p>
            <w:pPr>
              <w:spacing w:line="349" w:lineRule="auto"/>
              <w:rPr>
                <w:rFonts w:ascii="Arial"/>
                <w:color w:val="auto"/>
                <w:sz w:val="21"/>
                <w:highlight w:val="yellow"/>
              </w:rPr>
            </w:pPr>
          </w:p>
          <w:p>
            <w:pPr>
              <w:spacing w:before="68" w:line="221" w:lineRule="auto"/>
              <w:ind w:left="66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744"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672"/>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类</w:t>
            </w:r>
            <w:r>
              <w:rPr>
                <w:rFonts w:ascii="宋体" w:hAnsi="宋体" w:eastAsia="宋体" w:cs="宋体"/>
                <w:color w:val="auto"/>
                <w:spacing w:val="8"/>
                <w:sz w:val="21"/>
                <w:szCs w:val="21"/>
                <w:highlight w:val="yellow"/>
              </w:rPr>
              <w:t>别</w:t>
            </w:r>
          </w:p>
        </w:tc>
        <w:tc>
          <w:tcPr>
            <w:tcW w:w="1003"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9" w:line="220" w:lineRule="auto"/>
              <w:ind w:left="463"/>
              <w:rPr>
                <w:rFonts w:ascii="宋体" w:hAnsi="宋体" w:eastAsia="宋体" w:cs="宋体"/>
                <w:color w:val="auto"/>
                <w:sz w:val="21"/>
                <w:szCs w:val="21"/>
                <w:highlight w:val="yellow"/>
              </w:rPr>
            </w:pPr>
            <w:r>
              <w:rPr>
                <w:rFonts w:ascii="宋体" w:hAnsi="宋体" w:eastAsia="宋体" w:cs="宋体"/>
                <w:color w:val="auto"/>
                <w:spacing w:val="-1"/>
                <w:sz w:val="21"/>
                <w:szCs w:val="21"/>
                <w:highlight w:val="yellow"/>
              </w:rPr>
              <w:t>河流(沟道)名</w:t>
            </w:r>
            <w:r>
              <w:rPr>
                <w:rFonts w:ascii="宋体" w:hAnsi="宋体" w:eastAsia="宋体" w:cs="宋体"/>
                <w:color w:val="auto"/>
                <w:sz w:val="21"/>
                <w:szCs w:val="21"/>
                <w:highlight w:val="yellow"/>
              </w:rPr>
              <w:t>称</w:t>
            </w:r>
          </w:p>
        </w:tc>
        <w:tc>
          <w:tcPr>
            <w:tcW w:w="932"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366"/>
              <w:rPr>
                <w:rFonts w:ascii="宋体" w:hAnsi="宋体" w:eastAsia="宋体" w:cs="宋体"/>
                <w:color w:val="auto"/>
                <w:sz w:val="21"/>
                <w:szCs w:val="21"/>
                <w:highlight w:val="yellow"/>
              </w:rPr>
            </w:pPr>
            <w:r>
              <w:rPr>
                <w:rFonts w:ascii="宋体" w:hAnsi="宋体" w:eastAsia="宋体" w:cs="宋体"/>
                <w:color w:val="auto"/>
                <w:spacing w:val="10"/>
                <w:sz w:val="21"/>
                <w:szCs w:val="21"/>
                <w:highlight w:val="yellow"/>
              </w:rPr>
              <w:t>区</w:t>
            </w:r>
            <w:r>
              <w:rPr>
                <w:rFonts w:ascii="宋体" w:hAnsi="宋体" w:eastAsia="宋体" w:cs="宋体"/>
                <w:color w:val="auto"/>
                <w:spacing w:val="7"/>
                <w:sz w:val="21"/>
                <w:szCs w:val="21"/>
                <w:highlight w:val="yellow"/>
              </w:rPr>
              <w:t>内长度(</w:t>
            </w:r>
            <w:r>
              <w:rPr>
                <w:rFonts w:ascii="宋体" w:hAnsi="宋体" w:eastAsia="宋体" w:cs="宋体"/>
                <w:color w:val="auto"/>
                <w:sz w:val="21"/>
                <w:szCs w:val="21"/>
                <w:highlight w:val="yellow"/>
              </w:rPr>
              <w:t>km</w:t>
            </w:r>
            <w:r>
              <w:rPr>
                <w:rFonts w:ascii="宋体" w:hAnsi="宋体" w:eastAsia="宋体" w:cs="宋体"/>
                <w:color w:val="auto"/>
                <w:spacing w:val="7"/>
                <w:sz w:val="21"/>
                <w:szCs w:val="21"/>
                <w:highlight w:val="yellow"/>
              </w:rPr>
              <w:t>)</w:t>
            </w:r>
          </w:p>
        </w:tc>
        <w:tc>
          <w:tcPr>
            <w:tcW w:w="741" w:type="pct"/>
            <w:tcBorders>
              <w:top w:val="single" w:color="000000" w:sz="2" w:space="0"/>
              <w:bottom w:val="single" w:color="000000" w:sz="2" w:space="0"/>
            </w:tcBorders>
            <w:vAlign w:val="top"/>
          </w:tcPr>
          <w:p>
            <w:pPr>
              <w:spacing w:line="348" w:lineRule="auto"/>
              <w:rPr>
                <w:rFonts w:ascii="Arial"/>
                <w:color w:val="auto"/>
                <w:sz w:val="21"/>
                <w:highlight w:val="yellow"/>
              </w:rPr>
            </w:pPr>
          </w:p>
          <w:p>
            <w:pPr>
              <w:spacing w:before="68" w:line="219" w:lineRule="auto"/>
              <w:ind w:left="97"/>
              <w:rPr>
                <w:rFonts w:ascii="宋体" w:hAnsi="宋体" w:eastAsia="宋体" w:cs="宋体"/>
                <w:color w:val="auto"/>
                <w:sz w:val="21"/>
                <w:szCs w:val="21"/>
                <w:highlight w:val="yellow"/>
              </w:rPr>
            </w:pPr>
            <w:r>
              <w:rPr>
                <w:rFonts w:ascii="宋体" w:hAnsi="宋体" w:eastAsia="宋体" w:cs="宋体"/>
                <w:color w:val="auto"/>
                <w:spacing w:val="19"/>
                <w:sz w:val="21"/>
                <w:szCs w:val="21"/>
                <w:highlight w:val="yellow"/>
              </w:rPr>
              <w:t>引</w:t>
            </w:r>
            <w:r>
              <w:rPr>
                <w:rFonts w:ascii="宋体" w:hAnsi="宋体" w:eastAsia="宋体" w:cs="宋体"/>
                <w:color w:val="auto"/>
                <w:spacing w:val="18"/>
                <w:sz w:val="21"/>
                <w:szCs w:val="21"/>
                <w:highlight w:val="yellow"/>
              </w:rPr>
              <w:t>水能力(</w:t>
            </w:r>
            <w:r>
              <w:rPr>
                <w:rFonts w:ascii="宋体" w:hAnsi="宋体" w:eastAsia="宋体" w:cs="宋体"/>
                <w:color w:val="auto"/>
                <w:sz w:val="21"/>
                <w:szCs w:val="21"/>
                <w:highlight w:val="yellow"/>
              </w:rPr>
              <w:t>m</w:t>
            </w:r>
            <w:r>
              <w:rPr>
                <w:rFonts w:ascii="宋体" w:hAnsi="宋体" w:eastAsia="宋体" w:cs="宋体"/>
                <w:color w:val="auto"/>
                <w:spacing w:val="18"/>
                <w:sz w:val="21"/>
                <w:szCs w:val="21"/>
                <w:highlight w:val="yellow"/>
              </w:rPr>
              <w:t>³/</w:t>
            </w:r>
            <w:r>
              <w:rPr>
                <w:rFonts w:ascii="宋体" w:hAnsi="宋体" w:eastAsia="宋体" w:cs="宋体"/>
                <w:color w:val="auto"/>
                <w:sz w:val="21"/>
                <w:szCs w:val="21"/>
                <w:highlight w:val="yellow"/>
              </w:rPr>
              <w:t>s</w:t>
            </w:r>
            <w:r>
              <w:rPr>
                <w:rFonts w:ascii="宋体" w:hAnsi="宋体" w:eastAsia="宋体" w:cs="宋体"/>
                <w:color w:val="auto"/>
                <w:spacing w:val="18"/>
                <w:sz w:val="21"/>
                <w:szCs w:val="21"/>
                <w:highlight w:val="yellow"/>
              </w:rPr>
              <w:t>)</w:t>
            </w:r>
          </w:p>
        </w:tc>
        <w:tc>
          <w:tcPr>
            <w:tcW w:w="843" w:type="pct"/>
            <w:tcBorders>
              <w:top w:val="single" w:color="000000" w:sz="2" w:space="0"/>
              <w:bottom w:val="single" w:color="000000" w:sz="2" w:space="0"/>
            </w:tcBorders>
            <w:vAlign w:val="top"/>
          </w:tcPr>
          <w:p>
            <w:pPr>
              <w:spacing w:before="218" w:line="219" w:lineRule="auto"/>
              <w:ind w:left="108"/>
              <w:rPr>
                <w:rFonts w:ascii="宋体" w:hAnsi="宋体" w:eastAsia="宋体" w:cs="宋体"/>
                <w:color w:val="auto"/>
                <w:sz w:val="21"/>
                <w:szCs w:val="21"/>
                <w:highlight w:val="yellow"/>
              </w:rPr>
            </w:pPr>
            <w:r>
              <w:rPr>
                <w:rFonts w:ascii="宋体" w:hAnsi="宋体" w:eastAsia="宋体" w:cs="宋体"/>
                <w:color w:val="auto"/>
                <w:spacing w:val="2"/>
                <w:sz w:val="21"/>
                <w:szCs w:val="21"/>
                <w:highlight w:val="yellow"/>
              </w:rPr>
              <w:t>湖面面积/灌排面积</w:t>
            </w:r>
          </w:p>
          <w:p>
            <w:pPr>
              <w:spacing w:before="131" w:line="220" w:lineRule="auto"/>
              <w:ind w:left="688"/>
              <w:rPr>
                <w:rFonts w:ascii="宋体" w:hAnsi="宋体" w:eastAsia="宋体" w:cs="宋体"/>
                <w:color w:val="auto"/>
                <w:sz w:val="21"/>
                <w:szCs w:val="21"/>
                <w:highlight w:val="yellow"/>
              </w:rPr>
            </w:pPr>
            <w:r>
              <w:rPr>
                <w:rFonts w:ascii="宋体" w:hAnsi="宋体" w:eastAsia="宋体" w:cs="宋体"/>
                <w:color w:val="auto"/>
                <w:spacing w:val="12"/>
                <w:sz w:val="21"/>
                <w:szCs w:val="21"/>
                <w:highlight w:val="yellow"/>
              </w:rPr>
              <w:t>(</w:t>
            </w:r>
            <w:r>
              <w:rPr>
                <w:rFonts w:ascii="宋体" w:hAnsi="宋体" w:eastAsia="宋体" w:cs="宋体"/>
                <w:color w:val="auto"/>
                <w:spacing w:val="11"/>
                <w:sz w:val="21"/>
                <w:szCs w:val="21"/>
                <w:highlight w:val="yellow"/>
              </w:rPr>
              <w:t>万亩)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4" w:hRule="atLeast"/>
        </w:trPr>
        <w:tc>
          <w:tcPr>
            <w:tcW w:w="734" w:type="pct"/>
            <w:tcBorders>
              <w:top w:val="single" w:color="000000" w:sz="2" w:space="0"/>
              <w:bottom w:val="single" w:color="000000" w:sz="2" w:space="0"/>
            </w:tcBorders>
            <w:vAlign w:val="top"/>
          </w:tcPr>
          <w:p>
            <w:pPr>
              <w:spacing w:before="229" w:line="187" w:lineRule="auto"/>
              <w:ind w:left="81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744" w:type="pct"/>
            <w:tcBorders>
              <w:top w:val="single" w:color="000000" w:sz="2" w:space="0"/>
              <w:bottom w:val="single" w:color="000000" w:sz="2" w:space="0"/>
            </w:tcBorders>
            <w:vAlign w:val="top"/>
          </w:tcPr>
          <w:p>
            <w:pPr>
              <w:spacing w:before="176" w:line="219" w:lineRule="auto"/>
              <w:ind w:left="57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引</w:t>
            </w:r>
            <w:r>
              <w:rPr>
                <w:rFonts w:ascii="宋体" w:hAnsi="宋体" w:eastAsia="宋体" w:cs="宋体"/>
                <w:color w:val="auto"/>
                <w:spacing w:val="3"/>
                <w:sz w:val="21"/>
                <w:szCs w:val="21"/>
                <w:highlight w:val="yellow"/>
              </w:rPr>
              <w:t>水渠</w:t>
            </w:r>
          </w:p>
        </w:tc>
        <w:tc>
          <w:tcPr>
            <w:tcW w:w="1003" w:type="pct"/>
            <w:tcBorders>
              <w:top w:val="single" w:color="000000" w:sz="2" w:space="0"/>
              <w:bottom w:val="single" w:color="000000" w:sz="2" w:space="0"/>
            </w:tcBorders>
            <w:vAlign w:val="top"/>
          </w:tcPr>
          <w:p>
            <w:pPr>
              <w:spacing w:before="175" w:line="219" w:lineRule="auto"/>
              <w:ind w:left="563"/>
              <w:rPr>
                <w:rFonts w:hint="eastAsia" w:ascii="宋体" w:hAnsi="宋体" w:eastAsia="宋体" w:cs="宋体"/>
                <w:color w:val="auto"/>
                <w:sz w:val="21"/>
                <w:szCs w:val="21"/>
                <w:highlight w:val="yellow"/>
                <w:lang w:eastAsia="zh-CN"/>
              </w:rPr>
            </w:pPr>
            <w:r>
              <w:rPr>
                <w:rFonts w:hint="eastAsia" w:ascii="宋体" w:hAnsi="宋体" w:eastAsia="宋体" w:cs="宋体"/>
                <w:color w:val="auto"/>
                <w:spacing w:val="2"/>
                <w:sz w:val="21"/>
                <w:szCs w:val="21"/>
                <w:highlight w:val="yellow"/>
                <w:lang w:eastAsia="zh-CN"/>
              </w:rPr>
              <w:t>小南渠</w:t>
            </w:r>
          </w:p>
        </w:tc>
        <w:tc>
          <w:tcPr>
            <w:tcW w:w="932" w:type="pct"/>
            <w:tcBorders>
              <w:top w:val="single" w:color="000000" w:sz="2" w:space="0"/>
              <w:bottom w:val="single" w:color="000000" w:sz="2" w:space="0"/>
            </w:tcBorders>
            <w:vAlign w:val="top"/>
          </w:tcPr>
          <w:p>
            <w:pPr>
              <w:spacing w:before="230" w:line="184" w:lineRule="auto"/>
              <w:ind w:left="955"/>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1.2</w:t>
            </w:r>
          </w:p>
        </w:tc>
        <w:tc>
          <w:tcPr>
            <w:tcW w:w="741" w:type="pct"/>
            <w:tcBorders>
              <w:top w:val="single" w:color="000000" w:sz="2" w:space="0"/>
              <w:bottom w:val="single" w:color="000000" w:sz="2" w:space="0"/>
            </w:tcBorders>
            <w:vAlign w:val="top"/>
          </w:tcPr>
          <w:p>
            <w:pPr>
              <w:spacing w:before="230" w:line="185" w:lineRule="auto"/>
              <w:ind w:left="77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0.3</w:t>
            </w:r>
          </w:p>
        </w:tc>
        <w:tc>
          <w:tcPr>
            <w:tcW w:w="843" w:type="pct"/>
            <w:tcBorders>
              <w:top w:val="single" w:color="000000" w:sz="2" w:space="0"/>
              <w:bottom w:val="single" w:color="000000" w:sz="2" w:space="0"/>
            </w:tcBorders>
            <w:vAlign w:val="top"/>
          </w:tcPr>
          <w:p>
            <w:pPr>
              <w:spacing w:before="229" w:line="185" w:lineRule="auto"/>
              <w:ind w:left="798"/>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6"/>
                <w:sz w:val="21"/>
                <w:szCs w:val="21"/>
                <w:highlight w:val="yellow"/>
                <w:lang w:val="en-US" w:eastAsia="zh-CN"/>
              </w:rPr>
              <w:t>0.06</w:t>
            </w:r>
          </w:p>
        </w:tc>
      </w:tr>
    </w:tbl>
    <w:p>
      <w:pPr>
        <w:spacing w:before="152" w:line="219" w:lineRule="auto"/>
        <w:ind w:left="220" w:leftChars="0" w:firstLine="0" w:firstLineChars="0"/>
        <w:rPr>
          <w:rFonts w:hint="eastAsia" w:ascii="宋体" w:hAnsi="宋体" w:eastAsia="宋体" w:cs="宋体"/>
          <w:color w:val="auto"/>
          <w:sz w:val="21"/>
          <w:szCs w:val="21"/>
          <w:highlight w:val="red"/>
          <w:lang w:eastAsia="zh-CN"/>
        </w:rPr>
      </w:pPr>
      <w:r>
        <w:rPr>
          <w:rFonts w:ascii="宋体" w:hAnsi="宋体" w:eastAsia="宋体" w:cs="宋体"/>
          <w:color w:val="auto"/>
          <w:spacing w:val="-1"/>
          <w:sz w:val="21"/>
          <w:szCs w:val="21"/>
          <w:highlight w:val="none"/>
        </w:rPr>
        <w:t>入</w:t>
      </w:r>
      <w:r>
        <w:rPr>
          <w:rFonts w:hint="eastAsia" w:ascii="宋体" w:hAnsi="宋体" w:eastAsia="宋体" w:cs="宋体"/>
          <w:color w:val="auto"/>
          <w:spacing w:val="-1"/>
          <w:sz w:val="21"/>
          <w:szCs w:val="21"/>
          <w:highlight w:val="none"/>
          <w:lang w:eastAsia="zh-CN"/>
        </w:rPr>
        <w:t>七分场海子</w:t>
      </w:r>
      <w:r>
        <w:rPr>
          <w:rFonts w:ascii="宋体" w:hAnsi="宋体" w:eastAsia="宋体" w:cs="宋体"/>
          <w:color w:val="auto"/>
          <w:spacing w:val="-1"/>
          <w:sz w:val="21"/>
          <w:szCs w:val="21"/>
          <w:highlight w:val="none"/>
        </w:rPr>
        <w:t>的渠沟主</w:t>
      </w:r>
      <w:r>
        <w:rPr>
          <w:rFonts w:ascii="宋体" w:hAnsi="宋体" w:eastAsia="宋体" w:cs="宋体"/>
          <w:color w:val="auto"/>
          <w:sz w:val="21"/>
          <w:szCs w:val="21"/>
          <w:highlight w:val="none"/>
        </w:rPr>
        <w:t>要是</w:t>
      </w:r>
      <w:r>
        <w:rPr>
          <w:rFonts w:hint="eastAsia" w:ascii="宋体" w:hAnsi="宋体" w:eastAsia="宋体" w:cs="宋体"/>
          <w:color w:val="auto"/>
          <w:spacing w:val="2"/>
          <w:sz w:val="21"/>
          <w:szCs w:val="21"/>
          <w:highlight w:val="yellow"/>
          <w:lang w:eastAsia="zh-CN"/>
        </w:rPr>
        <w:t>小南渠</w:t>
      </w:r>
      <w:r>
        <w:rPr>
          <w:rFonts w:hint="eastAsia" w:ascii="宋体" w:hAnsi="宋体" w:eastAsia="宋体" w:cs="宋体"/>
          <w:color w:val="auto"/>
          <w:sz w:val="21"/>
          <w:szCs w:val="21"/>
          <w:highlight w:val="red"/>
          <w:lang w:eastAsia="zh-CN"/>
        </w:rPr>
        <w:t>。</w:t>
      </w:r>
    </w:p>
    <w:p>
      <w:pPr>
        <w:spacing w:line="305" w:lineRule="auto"/>
        <w:rPr>
          <w:rFonts w:ascii="Arial"/>
          <w:color w:val="auto"/>
          <w:sz w:val="21"/>
          <w:highlight w:val="red"/>
        </w:rPr>
      </w:pPr>
    </w:p>
    <w:p>
      <w:pPr>
        <w:spacing w:before="91" w:line="219" w:lineRule="auto"/>
        <w:ind w:left="5279"/>
        <w:rPr>
          <w:rFonts w:ascii="黑体" w:hAnsi="黑体" w:eastAsia="黑体" w:cs="黑体"/>
          <w:color w:val="auto"/>
          <w:sz w:val="28"/>
          <w:szCs w:val="28"/>
          <w:highlight w:val="yellow"/>
        </w:rPr>
      </w:pPr>
      <w:r>
        <w:rPr>
          <w:rFonts w:ascii="黑体" w:hAnsi="黑体" w:eastAsia="黑体" w:cs="黑体"/>
          <w:color w:val="auto"/>
          <w:spacing w:val="-10"/>
          <w:sz w:val="28"/>
          <w:szCs w:val="28"/>
          <w:highlight w:val="yellow"/>
          <w14:textOutline w14:w="5080" w14:cap="flat" w14:cmpd="sng">
            <w14:solidFill>
              <w14:srgbClr w14:val="000000"/>
            </w14:solidFill>
            <w14:prstDash w14:val="solid"/>
            <w14:miter w14:val="0"/>
          </w14:textOutline>
        </w:rPr>
        <w:t>表3</w:t>
      </w:r>
      <w:r>
        <w:rPr>
          <w:rFonts w:ascii="黑体" w:hAnsi="黑体" w:eastAsia="黑体" w:cs="黑体"/>
          <w:color w:val="auto"/>
          <w:spacing w:val="-7"/>
          <w:sz w:val="28"/>
          <w:szCs w:val="28"/>
          <w:highlight w:val="yellow"/>
        </w:rPr>
        <w:t xml:space="preserve"> </w:t>
      </w:r>
      <w:r>
        <w:rPr>
          <w:rFonts w:hint="eastAsia" w:ascii="黑体" w:hAnsi="黑体" w:eastAsia="黑体" w:cs="黑体"/>
          <w:color w:val="auto"/>
          <w:spacing w:val="-5"/>
          <w:sz w:val="28"/>
          <w:szCs w:val="28"/>
          <w:highlight w:val="yellow"/>
          <w:lang w:val="en-US" w:eastAsia="zh-CN"/>
          <w14:textOutline w14:w="5080" w14:cap="flat" w14:cmpd="sng">
            <w14:solidFill>
              <w14:srgbClr w14:val="000000"/>
            </w14:solidFill>
            <w14:prstDash w14:val="solid"/>
            <w14:miter w14:val="0"/>
          </w14:textOutline>
        </w:rPr>
        <w:t>七分场海子</w:t>
      </w:r>
      <w:r>
        <w:rPr>
          <w:rFonts w:ascii="黑体" w:hAnsi="黑体" w:eastAsia="黑体" w:cs="黑体"/>
          <w:color w:val="auto"/>
          <w:spacing w:val="-5"/>
          <w:sz w:val="28"/>
          <w:szCs w:val="28"/>
          <w:highlight w:val="yellow"/>
          <w14:textOutline w14:w="5080" w14:cap="flat" w14:cmpd="sng">
            <w14:solidFill>
              <w14:srgbClr w14:val="000000"/>
            </w14:solidFill>
            <w14:prstDash w14:val="solid"/>
            <w14:miter w14:val="0"/>
          </w14:textOutline>
        </w:rPr>
        <w:t>岸线功能分区成果汇总表</w:t>
      </w:r>
    </w:p>
    <w:p>
      <w:pPr>
        <w:spacing w:line="95" w:lineRule="auto"/>
        <w:rPr>
          <w:rFonts w:ascii="Arial"/>
          <w:color w:val="auto"/>
          <w:sz w:val="2"/>
          <w:highlight w:val="yellow"/>
        </w:rPr>
      </w:pPr>
    </w:p>
    <w:tbl>
      <w:tblPr>
        <w:tblStyle w:val="13"/>
        <w:tblW w:w="13899"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34"/>
        <w:gridCol w:w="1309"/>
        <w:gridCol w:w="640"/>
        <w:gridCol w:w="859"/>
        <w:gridCol w:w="650"/>
        <w:gridCol w:w="849"/>
        <w:gridCol w:w="630"/>
        <w:gridCol w:w="939"/>
        <w:gridCol w:w="819"/>
        <w:gridCol w:w="830"/>
        <w:gridCol w:w="959"/>
        <w:gridCol w:w="1009"/>
        <w:gridCol w:w="1019"/>
        <w:gridCol w:w="939"/>
        <w:gridCol w:w="960"/>
        <w:gridCol w:w="8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9" w:hRule="atLeast"/>
        </w:trPr>
        <w:tc>
          <w:tcPr>
            <w:tcW w:w="634" w:type="dxa"/>
            <w:vMerge w:val="restart"/>
            <w:tcBorders>
              <w:top w:val="single" w:color="000000" w:sz="2" w:space="0"/>
              <w:bottom w:val="nil"/>
            </w:tcBorders>
            <w:vAlign w:val="top"/>
          </w:tcPr>
          <w:p>
            <w:pPr>
              <w:spacing w:line="317"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21" w:lineRule="auto"/>
              <w:ind w:left="74"/>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序</w:t>
            </w:r>
            <w:r>
              <w:rPr>
                <w:rFonts w:ascii="宋体" w:hAnsi="宋体" w:eastAsia="宋体" w:cs="宋体"/>
                <w:color w:val="auto"/>
                <w:spacing w:val="6"/>
                <w:sz w:val="21"/>
                <w:szCs w:val="21"/>
                <w:highlight w:val="yellow"/>
              </w:rPr>
              <w:t>号</w:t>
            </w:r>
          </w:p>
        </w:tc>
        <w:tc>
          <w:tcPr>
            <w:tcW w:w="1309" w:type="dxa"/>
            <w:vMerge w:val="restart"/>
            <w:tcBorders>
              <w:top w:val="single" w:color="000000" w:sz="2" w:space="0"/>
              <w:bottom w:val="nil"/>
            </w:tcBorders>
            <w:vAlign w:val="top"/>
          </w:tcPr>
          <w:p>
            <w:pPr>
              <w:spacing w:line="316" w:lineRule="auto"/>
              <w:rPr>
                <w:rFonts w:ascii="Arial"/>
                <w:color w:val="auto"/>
                <w:sz w:val="21"/>
                <w:szCs w:val="21"/>
                <w:highlight w:val="yellow"/>
              </w:rPr>
            </w:pPr>
          </w:p>
          <w:p>
            <w:pPr>
              <w:spacing w:line="317" w:lineRule="auto"/>
              <w:rPr>
                <w:rFonts w:ascii="Arial"/>
                <w:color w:val="auto"/>
                <w:sz w:val="21"/>
                <w:szCs w:val="21"/>
                <w:highlight w:val="yellow"/>
              </w:rPr>
            </w:pPr>
          </w:p>
          <w:p>
            <w:pPr>
              <w:spacing w:before="72" w:line="219" w:lineRule="auto"/>
              <w:ind w:left="90"/>
              <w:rPr>
                <w:rFonts w:ascii="宋体" w:hAnsi="宋体" w:eastAsia="宋体" w:cs="宋体"/>
                <w:color w:val="auto"/>
                <w:sz w:val="21"/>
                <w:szCs w:val="21"/>
                <w:highlight w:val="yellow"/>
              </w:rPr>
            </w:pPr>
            <w:r>
              <w:rPr>
                <w:rFonts w:ascii="宋体" w:hAnsi="宋体" w:eastAsia="宋体" w:cs="宋体"/>
                <w:color w:val="auto"/>
                <w:spacing w:val="8"/>
                <w:sz w:val="21"/>
                <w:szCs w:val="21"/>
                <w:highlight w:val="yellow"/>
              </w:rPr>
              <w:t>省(市、县)</w:t>
            </w:r>
          </w:p>
        </w:tc>
        <w:tc>
          <w:tcPr>
            <w:tcW w:w="1499" w:type="dxa"/>
            <w:gridSpan w:val="2"/>
            <w:tcBorders>
              <w:top w:val="single" w:color="000000" w:sz="2" w:space="0"/>
              <w:bottom w:val="single" w:color="000000" w:sz="2" w:space="0"/>
            </w:tcBorders>
            <w:vAlign w:val="top"/>
          </w:tcPr>
          <w:p>
            <w:pPr>
              <w:spacing w:before="230" w:line="221" w:lineRule="auto"/>
              <w:ind w:left="41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功能区</w:t>
            </w:r>
          </w:p>
        </w:tc>
        <w:tc>
          <w:tcPr>
            <w:tcW w:w="2129" w:type="dxa"/>
            <w:gridSpan w:val="3"/>
            <w:tcBorders>
              <w:top w:val="single" w:color="000000" w:sz="2" w:space="0"/>
              <w:bottom w:val="single" w:color="000000" w:sz="2" w:space="0"/>
            </w:tcBorders>
            <w:vAlign w:val="top"/>
          </w:tcPr>
          <w:p>
            <w:pPr>
              <w:spacing w:before="229" w:line="220" w:lineRule="auto"/>
              <w:ind w:left="722"/>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保护区</w:t>
            </w:r>
          </w:p>
        </w:tc>
        <w:tc>
          <w:tcPr>
            <w:tcW w:w="2588" w:type="dxa"/>
            <w:gridSpan w:val="3"/>
            <w:tcBorders>
              <w:top w:val="single" w:color="000000" w:sz="2" w:space="0"/>
              <w:bottom w:val="single" w:color="000000" w:sz="2" w:space="0"/>
            </w:tcBorders>
            <w:vAlign w:val="top"/>
          </w:tcPr>
          <w:p>
            <w:pPr>
              <w:spacing w:before="229" w:line="220" w:lineRule="auto"/>
              <w:ind w:left="953"/>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保留区</w:t>
            </w:r>
          </w:p>
        </w:tc>
        <w:tc>
          <w:tcPr>
            <w:tcW w:w="2987" w:type="dxa"/>
            <w:gridSpan w:val="3"/>
            <w:tcBorders>
              <w:top w:val="single" w:color="000000" w:sz="2" w:space="0"/>
              <w:bottom w:val="single" w:color="000000" w:sz="2" w:space="0"/>
            </w:tcBorders>
            <w:vAlign w:val="top"/>
          </w:tcPr>
          <w:p>
            <w:pPr>
              <w:spacing w:before="229" w:line="220" w:lineRule="auto"/>
              <w:ind w:left="936"/>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控</w:t>
            </w:r>
            <w:r>
              <w:rPr>
                <w:rFonts w:ascii="宋体" w:hAnsi="宋体" w:eastAsia="宋体" w:cs="宋体"/>
                <w:color w:val="auto"/>
                <w:spacing w:val="3"/>
                <w:sz w:val="21"/>
                <w:szCs w:val="21"/>
                <w:highlight w:val="yellow"/>
              </w:rPr>
              <w:t>制利用区</w:t>
            </w:r>
          </w:p>
        </w:tc>
        <w:tc>
          <w:tcPr>
            <w:tcW w:w="2753" w:type="dxa"/>
            <w:gridSpan w:val="3"/>
            <w:tcBorders>
              <w:top w:val="single" w:color="000000" w:sz="2" w:space="0"/>
              <w:bottom w:val="single" w:color="000000" w:sz="2" w:space="0"/>
            </w:tcBorders>
            <w:vAlign w:val="top"/>
          </w:tcPr>
          <w:p>
            <w:pPr>
              <w:spacing w:before="229" w:line="220" w:lineRule="auto"/>
              <w:ind w:left="818"/>
              <w:rPr>
                <w:rFonts w:ascii="宋体" w:hAnsi="宋体" w:eastAsia="宋体" w:cs="宋体"/>
                <w:color w:val="auto"/>
                <w:sz w:val="21"/>
                <w:szCs w:val="21"/>
                <w:highlight w:val="yellow"/>
              </w:rPr>
            </w:pPr>
            <w:r>
              <w:rPr>
                <w:rFonts w:ascii="宋体" w:hAnsi="宋体" w:eastAsia="宋体" w:cs="宋体"/>
                <w:color w:val="auto"/>
                <w:spacing w:val="6"/>
                <w:sz w:val="21"/>
                <w:szCs w:val="21"/>
                <w:highlight w:val="yellow"/>
              </w:rPr>
              <w:t>开</w:t>
            </w:r>
            <w:r>
              <w:rPr>
                <w:rFonts w:ascii="宋体" w:hAnsi="宋体" w:eastAsia="宋体" w:cs="宋体"/>
                <w:color w:val="auto"/>
                <w:spacing w:val="3"/>
                <w:sz w:val="21"/>
                <w:szCs w:val="21"/>
                <w:highlight w:val="yellow"/>
              </w:rPr>
              <w:t>发利用区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4" w:hRule="atLeast"/>
        </w:trPr>
        <w:tc>
          <w:tcPr>
            <w:tcW w:w="634" w:type="dxa"/>
            <w:vMerge w:val="continue"/>
            <w:tcBorders>
              <w:top w:val="nil"/>
              <w:bottom w:val="single" w:color="000000" w:sz="2" w:space="0"/>
            </w:tcBorders>
            <w:vAlign w:val="top"/>
          </w:tcPr>
          <w:p>
            <w:pPr>
              <w:rPr>
                <w:rFonts w:ascii="Arial"/>
                <w:color w:val="auto"/>
                <w:sz w:val="21"/>
                <w:szCs w:val="21"/>
                <w:highlight w:val="yellow"/>
              </w:rPr>
            </w:pPr>
          </w:p>
        </w:tc>
        <w:tc>
          <w:tcPr>
            <w:tcW w:w="1309" w:type="dxa"/>
            <w:vMerge w:val="continue"/>
            <w:tcBorders>
              <w:top w:val="nil"/>
              <w:bottom w:val="single" w:color="000000" w:sz="2" w:space="0"/>
            </w:tcBorders>
            <w:vAlign w:val="top"/>
          </w:tcPr>
          <w:p>
            <w:pPr>
              <w:rPr>
                <w:rFonts w:ascii="Arial"/>
                <w:color w:val="auto"/>
                <w:sz w:val="21"/>
                <w:szCs w:val="21"/>
                <w:highlight w:val="yellow"/>
              </w:rPr>
            </w:pPr>
          </w:p>
        </w:tc>
        <w:tc>
          <w:tcPr>
            <w:tcW w:w="64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71"/>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59" w:type="dxa"/>
            <w:tcBorders>
              <w:top w:val="single" w:color="000000" w:sz="2" w:space="0"/>
              <w:bottom w:val="single" w:color="000000" w:sz="2" w:space="0"/>
            </w:tcBorders>
            <w:vAlign w:val="top"/>
          </w:tcPr>
          <w:p>
            <w:pPr>
              <w:spacing w:before="145" w:line="453" w:lineRule="exact"/>
              <w:ind w:left="201"/>
              <w:rPr>
                <w:rFonts w:ascii="宋体" w:hAnsi="宋体" w:eastAsia="宋体" w:cs="宋体"/>
                <w:color w:val="auto"/>
                <w:sz w:val="21"/>
                <w:szCs w:val="21"/>
                <w:highlight w:val="yellow"/>
              </w:rPr>
            </w:pPr>
            <w:r>
              <w:rPr>
                <w:rFonts w:ascii="宋体" w:hAnsi="宋体" w:eastAsia="宋体" w:cs="宋体"/>
                <w:color w:val="auto"/>
                <w:spacing w:val="7"/>
                <w:position w:val="17"/>
                <w:sz w:val="21"/>
                <w:szCs w:val="21"/>
                <w:highlight w:val="yellow"/>
              </w:rPr>
              <w:t>长</w:t>
            </w:r>
            <w:r>
              <w:rPr>
                <w:rFonts w:ascii="宋体" w:hAnsi="宋体" w:eastAsia="宋体" w:cs="宋体"/>
                <w:color w:val="auto"/>
                <w:spacing w:val="6"/>
                <w:position w:val="17"/>
                <w:sz w:val="21"/>
                <w:szCs w:val="21"/>
                <w:highlight w:val="yellow"/>
              </w:rPr>
              <w:t>度</w:t>
            </w:r>
          </w:p>
          <w:p>
            <w:pPr>
              <w:spacing w:line="222" w:lineRule="auto"/>
              <w:ind w:left="201"/>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50"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9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49" w:type="dxa"/>
            <w:tcBorders>
              <w:top w:val="single" w:color="000000" w:sz="2" w:space="0"/>
              <w:bottom w:val="single" w:color="000000" w:sz="2" w:space="0"/>
            </w:tcBorders>
            <w:vAlign w:val="top"/>
          </w:tcPr>
          <w:p>
            <w:pPr>
              <w:spacing w:before="145" w:line="453" w:lineRule="exact"/>
              <w:ind w:left="193"/>
              <w:rPr>
                <w:rFonts w:ascii="宋体" w:hAnsi="宋体" w:eastAsia="宋体" w:cs="宋体"/>
                <w:color w:val="auto"/>
                <w:sz w:val="21"/>
                <w:szCs w:val="21"/>
                <w:highlight w:val="yellow"/>
              </w:rPr>
            </w:pPr>
            <w:r>
              <w:rPr>
                <w:rFonts w:ascii="宋体" w:hAnsi="宋体" w:eastAsia="宋体" w:cs="宋体"/>
                <w:color w:val="auto"/>
                <w:spacing w:val="6"/>
                <w:position w:val="17"/>
                <w:sz w:val="21"/>
                <w:szCs w:val="21"/>
                <w:highlight w:val="yellow"/>
              </w:rPr>
              <w:t>长度</w:t>
            </w:r>
          </w:p>
          <w:p>
            <w:pPr>
              <w:spacing w:line="222" w:lineRule="auto"/>
              <w:ind w:left="193"/>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6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83"/>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3"/>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819" w:type="dxa"/>
            <w:tcBorders>
              <w:top w:val="single" w:color="000000" w:sz="2" w:space="0"/>
              <w:bottom w:val="single" w:color="000000" w:sz="2" w:space="0"/>
            </w:tcBorders>
            <w:vAlign w:val="top"/>
          </w:tcPr>
          <w:p>
            <w:pPr>
              <w:spacing w:before="155" w:line="443" w:lineRule="exact"/>
              <w:ind w:left="184"/>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184"/>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30"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85"/>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5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55"/>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1009" w:type="dxa"/>
            <w:tcBorders>
              <w:top w:val="single" w:color="000000" w:sz="2" w:space="0"/>
              <w:bottom w:val="single" w:color="000000" w:sz="2" w:space="0"/>
            </w:tcBorders>
            <w:vAlign w:val="top"/>
          </w:tcPr>
          <w:p>
            <w:pPr>
              <w:spacing w:before="135" w:line="443" w:lineRule="exact"/>
              <w:ind w:left="276"/>
              <w:rPr>
                <w:rFonts w:ascii="宋体" w:hAnsi="宋体" w:eastAsia="宋体" w:cs="宋体"/>
                <w:color w:val="auto"/>
                <w:sz w:val="21"/>
                <w:szCs w:val="21"/>
                <w:highlight w:val="yellow"/>
              </w:rPr>
            </w:pPr>
            <w:r>
              <w:rPr>
                <w:rFonts w:ascii="宋体" w:hAnsi="宋体" w:eastAsia="宋体" w:cs="宋体"/>
                <w:color w:val="auto"/>
                <w:spacing w:val="6"/>
                <w:position w:val="16"/>
                <w:sz w:val="21"/>
                <w:szCs w:val="21"/>
                <w:highlight w:val="yellow"/>
              </w:rPr>
              <w:t>长度</w:t>
            </w:r>
          </w:p>
          <w:p>
            <w:pPr>
              <w:spacing w:line="222" w:lineRule="auto"/>
              <w:ind w:left="276"/>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1019"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287"/>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c>
          <w:tcPr>
            <w:tcW w:w="939" w:type="dxa"/>
            <w:tcBorders>
              <w:top w:val="single" w:color="000000" w:sz="2" w:space="0"/>
              <w:bottom w:val="single" w:color="000000" w:sz="2" w:space="0"/>
            </w:tcBorders>
            <w:vAlign w:val="top"/>
          </w:tcPr>
          <w:p>
            <w:pPr>
              <w:spacing w:line="301" w:lineRule="auto"/>
              <w:rPr>
                <w:rFonts w:ascii="Arial"/>
                <w:color w:val="auto"/>
                <w:sz w:val="21"/>
                <w:szCs w:val="21"/>
                <w:highlight w:val="yellow"/>
              </w:rPr>
            </w:pPr>
          </w:p>
          <w:p>
            <w:pPr>
              <w:spacing w:before="72" w:line="219" w:lineRule="auto"/>
              <w:ind w:left="248"/>
              <w:rPr>
                <w:rFonts w:ascii="宋体" w:hAnsi="宋体" w:eastAsia="宋体" w:cs="宋体"/>
                <w:color w:val="auto"/>
                <w:sz w:val="21"/>
                <w:szCs w:val="21"/>
                <w:highlight w:val="yellow"/>
              </w:rPr>
            </w:pPr>
            <w:r>
              <w:rPr>
                <w:rFonts w:ascii="宋体" w:hAnsi="宋体" w:eastAsia="宋体" w:cs="宋体"/>
                <w:color w:val="auto"/>
                <w:spacing w:val="-3"/>
                <w:sz w:val="21"/>
                <w:szCs w:val="21"/>
                <w:highlight w:val="yellow"/>
              </w:rPr>
              <w:t>个</w:t>
            </w:r>
            <w:r>
              <w:rPr>
                <w:rFonts w:ascii="宋体" w:hAnsi="宋体" w:eastAsia="宋体" w:cs="宋体"/>
                <w:color w:val="auto"/>
                <w:spacing w:val="-2"/>
                <w:sz w:val="21"/>
                <w:szCs w:val="21"/>
                <w:highlight w:val="yellow"/>
              </w:rPr>
              <w:t>数</w:t>
            </w:r>
          </w:p>
        </w:tc>
        <w:tc>
          <w:tcPr>
            <w:tcW w:w="960" w:type="dxa"/>
            <w:tcBorders>
              <w:top w:val="single" w:color="000000" w:sz="2" w:space="0"/>
              <w:bottom w:val="single" w:color="000000" w:sz="2" w:space="0"/>
            </w:tcBorders>
            <w:vAlign w:val="top"/>
          </w:tcPr>
          <w:p>
            <w:pPr>
              <w:spacing w:before="155" w:line="463" w:lineRule="exact"/>
              <w:ind w:left="259"/>
              <w:rPr>
                <w:rFonts w:ascii="宋体" w:hAnsi="宋体" w:eastAsia="宋体" w:cs="宋体"/>
                <w:color w:val="auto"/>
                <w:sz w:val="21"/>
                <w:szCs w:val="21"/>
                <w:highlight w:val="yellow"/>
              </w:rPr>
            </w:pPr>
            <w:r>
              <w:rPr>
                <w:rFonts w:ascii="宋体" w:hAnsi="宋体" w:eastAsia="宋体" w:cs="宋体"/>
                <w:color w:val="auto"/>
                <w:spacing w:val="7"/>
                <w:position w:val="18"/>
                <w:sz w:val="21"/>
                <w:szCs w:val="21"/>
                <w:highlight w:val="yellow"/>
              </w:rPr>
              <w:t>长</w:t>
            </w:r>
            <w:r>
              <w:rPr>
                <w:rFonts w:ascii="宋体" w:hAnsi="宋体" w:eastAsia="宋体" w:cs="宋体"/>
                <w:color w:val="auto"/>
                <w:spacing w:val="6"/>
                <w:position w:val="18"/>
                <w:sz w:val="21"/>
                <w:szCs w:val="21"/>
                <w:highlight w:val="yellow"/>
              </w:rPr>
              <w:t>度</w:t>
            </w:r>
          </w:p>
          <w:p>
            <w:pPr>
              <w:spacing w:line="222" w:lineRule="auto"/>
              <w:ind w:left="259"/>
              <w:rPr>
                <w:rFonts w:ascii="宋体" w:hAnsi="宋体" w:eastAsia="宋体" w:cs="宋体"/>
                <w:color w:val="auto"/>
                <w:sz w:val="21"/>
                <w:szCs w:val="21"/>
                <w:highlight w:val="yellow"/>
              </w:rPr>
            </w:pPr>
            <w:r>
              <w:rPr>
                <w:rFonts w:ascii="宋体" w:hAnsi="宋体" w:eastAsia="宋体" w:cs="宋体"/>
                <w:color w:val="auto"/>
                <w:spacing w:val="-9"/>
                <w:sz w:val="21"/>
                <w:szCs w:val="21"/>
                <w:highlight w:val="yellow"/>
              </w:rPr>
              <w:t>(km)</w:t>
            </w:r>
          </w:p>
        </w:tc>
        <w:tc>
          <w:tcPr>
            <w:tcW w:w="854" w:type="dxa"/>
            <w:tcBorders>
              <w:top w:val="single" w:color="000000" w:sz="2" w:space="0"/>
              <w:bottom w:val="single" w:color="000000" w:sz="2" w:space="0"/>
            </w:tcBorders>
            <w:vAlign w:val="top"/>
          </w:tcPr>
          <w:p>
            <w:pPr>
              <w:spacing w:line="303" w:lineRule="auto"/>
              <w:rPr>
                <w:rFonts w:ascii="Arial"/>
                <w:color w:val="auto"/>
                <w:sz w:val="21"/>
                <w:szCs w:val="21"/>
                <w:highlight w:val="yellow"/>
              </w:rPr>
            </w:pPr>
          </w:p>
          <w:p>
            <w:pPr>
              <w:spacing w:before="71" w:line="221" w:lineRule="auto"/>
              <w:ind w:left="199"/>
              <w:rPr>
                <w:rFonts w:ascii="宋体" w:hAnsi="宋体" w:eastAsia="宋体" w:cs="宋体"/>
                <w:color w:val="auto"/>
                <w:sz w:val="21"/>
                <w:szCs w:val="21"/>
                <w:highlight w:val="yellow"/>
              </w:rPr>
            </w:pPr>
            <w:r>
              <w:rPr>
                <w:rFonts w:ascii="宋体" w:hAnsi="宋体" w:eastAsia="宋体" w:cs="宋体"/>
                <w:color w:val="auto"/>
                <w:spacing w:val="-22"/>
                <w:sz w:val="21"/>
                <w:szCs w:val="21"/>
                <w:highlight w:val="yellow"/>
              </w:rPr>
              <w:t>占</w:t>
            </w:r>
            <w:r>
              <w:rPr>
                <w:rFonts w:ascii="宋体" w:hAnsi="宋体" w:eastAsia="宋体" w:cs="宋体"/>
                <w:color w:val="auto"/>
                <w:spacing w:val="-21"/>
                <w:sz w:val="21"/>
                <w:szCs w:val="21"/>
                <w:highlight w:val="yellow"/>
              </w:rPr>
              <w:t xml:space="preserve"> 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4" w:hRule="atLeast"/>
        </w:trPr>
        <w:tc>
          <w:tcPr>
            <w:tcW w:w="634" w:type="dxa"/>
            <w:tcBorders>
              <w:top w:val="single" w:color="000000" w:sz="2" w:space="0"/>
              <w:bottom w:val="single" w:color="000000" w:sz="2" w:space="0"/>
            </w:tcBorders>
            <w:vAlign w:val="top"/>
          </w:tcPr>
          <w:p>
            <w:pPr>
              <w:spacing w:before="211" w:line="187" w:lineRule="auto"/>
              <w:ind w:left="74"/>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1309" w:type="dxa"/>
            <w:tcBorders>
              <w:top w:val="single" w:color="000000" w:sz="2" w:space="0"/>
              <w:bottom w:val="single" w:color="000000" w:sz="2" w:space="0"/>
            </w:tcBorders>
            <w:vAlign w:val="top"/>
          </w:tcPr>
          <w:p>
            <w:pPr>
              <w:spacing w:before="160" w:line="224" w:lineRule="auto"/>
              <w:ind w:left="311"/>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磴</w:t>
            </w:r>
            <w:r>
              <w:rPr>
                <w:rFonts w:ascii="宋体" w:hAnsi="宋体" w:eastAsia="宋体" w:cs="宋体"/>
                <w:color w:val="auto"/>
                <w:spacing w:val="3"/>
                <w:sz w:val="21"/>
                <w:szCs w:val="21"/>
                <w:highlight w:val="yellow"/>
              </w:rPr>
              <w:t>口县</w:t>
            </w:r>
          </w:p>
        </w:tc>
        <w:tc>
          <w:tcPr>
            <w:tcW w:w="640" w:type="dxa"/>
            <w:tcBorders>
              <w:top w:val="single" w:color="000000" w:sz="2" w:space="0"/>
              <w:bottom w:val="single" w:color="000000" w:sz="2" w:space="0"/>
            </w:tcBorders>
            <w:vAlign w:val="top"/>
          </w:tcPr>
          <w:p>
            <w:pPr>
              <w:spacing w:before="199" w:line="187" w:lineRule="auto"/>
              <w:ind w:left="71"/>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59" w:type="dxa"/>
            <w:tcBorders>
              <w:top w:val="single" w:color="000000" w:sz="2" w:space="0"/>
              <w:bottom w:val="single" w:color="000000" w:sz="2" w:space="0"/>
            </w:tcBorders>
            <w:vAlign w:val="top"/>
          </w:tcPr>
          <w:p>
            <w:pPr>
              <w:spacing w:before="212" w:line="184" w:lineRule="auto"/>
              <w:ind w:left="141"/>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8.351</w:t>
            </w:r>
          </w:p>
        </w:tc>
        <w:tc>
          <w:tcPr>
            <w:tcW w:w="650" w:type="dxa"/>
            <w:tcBorders>
              <w:top w:val="single" w:color="000000" w:sz="2" w:space="0"/>
              <w:bottom w:val="single" w:color="000000" w:sz="2" w:space="0"/>
            </w:tcBorders>
            <w:vAlign w:val="top"/>
          </w:tcPr>
          <w:p>
            <w:pPr>
              <w:spacing w:before="200" w:line="185" w:lineRule="auto"/>
              <w:ind w:left="2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49" w:type="dxa"/>
            <w:tcBorders>
              <w:top w:val="single" w:color="000000" w:sz="2" w:space="0"/>
              <w:bottom w:val="single" w:color="000000" w:sz="2" w:space="0"/>
            </w:tcBorders>
            <w:vAlign w:val="top"/>
          </w:tcPr>
          <w:p>
            <w:pPr>
              <w:spacing w:before="200" w:line="185" w:lineRule="auto"/>
              <w:ind w:left="342"/>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630" w:type="dxa"/>
            <w:tcBorders>
              <w:top w:val="single" w:color="000000" w:sz="2" w:space="0"/>
              <w:bottom w:val="single" w:color="000000" w:sz="2" w:space="0"/>
            </w:tcBorders>
            <w:vAlign w:val="top"/>
          </w:tcPr>
          <w:p>
            <w:pPr>
              <w:spacing w:before="212" w:line="185" w:lineRule="auto"/>
              <w:ind w:left="193"/>
              <w:rPr>
                <w:rFonts w:ascii="宋体" w:hAnsi="宋体" w:eastAsia="宋体" w:cs="宋体"/>
                <w:color w:val="auto"/>
                <w:sz w:val="21"/>
                <w:szCs w:val="21"/>
                <w:highlight w:val="yellow"/>
              </w:rPr>
            </w:pPr>
            <w:r>
              <w:rPr>
                <w:rFonts w:ascii="宋体" w:hAnsi="宋体" w:eastAsia="宋体" w:cs="宋体"/>
                <w:color w:val="auto"/>
                <w:spacing w:val="-4"/>
                <w:sz w:val="21"/>
                <w:szCs w:val="21"/>
                <w:highlight w:val="yellow"/>
              </w:rPr>
              <w:t>0</w:t>
            </w:r>
            <w:r>
              <w:rPr>
                <w:rFonts w:ascii="宋体" w:hAnsi="宋体" w:eastAsia="宋体" w:cs="宋体"/>
                <w:color w:val="auto"/>
                <w:spacing w:val="-2"/>
                <w:sz w:val="21"/>
                <w:szCs w:val="21"/>
                <w:highlight w:val="yellow"/>
              </w:rPr>
              <w:t>%</w:t>
            </w:r>
          </w:p>
        </w:tc>
        <w:tc>
          <w:tcPr>
            <w:tcW w:w="939" w:type="dxa"/>
            <w:tcBorders>
              <w:top w:val="single" w:color="000000" w:sz="2" w:space="0"/>
              <w:bottom w:val="single" w:color="000000" w:sz="2" w:space="0"/>
            </w:tcBorders>
            <w:vAlign w:val="top"/>
          </w:tcPr>
          <w:p>
            <w:pPr>
              <w:spacing w:before="211" w:line="187" w:lineRule="auto"/>
              <w:ind w:left="403"/>
              <w:rPr>
                <w:rFonts w:ascii="宋体" w:hAnsi="宋体" w:eastAsia="宋体" w:cs="宋体"/>
                <w:color w:val="auto"/>
                <w:sz w:val="21"/>
                <w:szCs w:val="21"/>
                <w:highlight w:val="yellow"/>
              </w:rPr>
            </w:pPr>
            <w:r>
              <w:rPr>
                <w:rFonts w:ascii="宋体" w:hAnsi="宋体" w:eastAsia="宋体" w:cs="宋体"/>
                <w:color w:val="auto"/>
                <w:sz w:val="21"/>
                <w:szCs w:val="21"/>
                <w:highlight w:val="yellow"/>
              </w:rPr>
              <w:t>1</w:t>
            </w:r>
          </w:p>
        </w:tc>
        <w:tc>
          <w:tcPr>
            <w:tcW w:w="819" w:type="dxa"/>
            <w:tcBorders>
              <w:top w:val="single" w:color="000000" w:sz="2" w:space="0"/>
              <w:bottom w:val="single" w:color="000000" w:sz="2" w:space="0"/>
            </w:tcBorders>
            <w:vAlign w:val="top"/>
          </w:tcPr>
          <w:p>
            <w:pPr>
              <w:spacing w:before="212" w:line="184" w:lineRule="auto"/>
              <w:ind w:left="124"/>
              <w:rPr>
                <w:rFonts w:hint="default" w:ascii="宋体" w:hAnsi="宋体" w:eastAsia="宋体" w:cs="宋体"/>
                <w:color w:val="auto"/>
                <w:sz w:val="21"/>
                <w:szCs w:val="21"/>
                <w:highlight w:val="yellow"/>
                <w:lang w:val="en-US" w:eastAsia="zh-CN"/>
              </w:rPr>
            </w:pPr>
            <w:r>
              <w:rPr>
                <w:rFonts w:hint="eastAsia" w:ascii="宋体" w:hAnsi="宋体" w:eastAsia="宋体" w:cs="宋体"/>
                <w:color w:val="auto"/>
                <w:spacing w:val="-3"/>
                <w:sz w:val="21"/>
                <w:szCs w:val="21"/>
                <w:highlight w:val="yellow"/>
                <w:lang w:val="en-US" w:eastAsia="zh-CN"/>
              </w:rPr>
              <w:t>8.351</w:t>
            </w:r>
          </w:p>
        </w:tc>
        <w:tc>
          <w:tcPr>
            <w:tcW w:w="830" w:type="dxa"/>
            <w:tcBorders>
              <w:top w:val="single" w:color="000000" w:sz="2" w:space="0"/>
              <w:bottom w:val="single" w:color="000000" w:sz="2" w:space="0"/>
            </w:tcBorders>
            <w:vAlign w:val="top"/>
          </w:tcPr>
          <w:p>
            <w:pPr>
              <w:spacing w:before="212" w:line="185" w:lineRule="auto"/>
              <w:ind w:left="185"/>
              <w:rPr>
                <w:rFonts w:ascii="宋体" w:hAnsi="宋体" w:eastAsia="宋体" w:cs="宋体"/>
                <w:color w:val="auto"/>
                <w:sz w:val="21"/>
                <w:szCs w:val="21"/>
                <w:highlight w:val="yellow"/>
              </w:rPr>
            </w:pPr>
            <w:r>
              <w:rPr>
                <w:rFonts w:ascii="宋体" w:hAnsi="宋体" w:eastAsia="宋体" w:cs="宋体"/>
                <w:color w:val="auto"/>
                <w:spacing w:val="-7"/>
                <w:sz w:val="21"/>
                <w:szCs w:val="21"/>
                <w:highlight w:val="yellow"/>
              </w:rPr>
              <w:t>1</w:t>
            </w:r>
            <w:r>
              <w:rPr>
                <w:rFonts w:ascii="宋体" w:hAnsi="宋体" w:eastAsia="宋体" w:cs="宋体"/>
                <w:color w:val="auto"/>
                <w:spacing w:val="-4"/>
                <w:sz w:val="21"/>
                <w:szCs w:val="21"/>
                <w:highlight w:val="yellow"/>
              </w:rPr>
              <w:t>00%</w:t>
            </w:r>
          </w:p>
        </w:tc>
        <w:tc>
          <w:tcPr>
            <w:tcW w:w="959" w:type="dxa"/>
            <w:tcBorders>
              <w:top w:val="single" w:color="000000" w:sz="2" w:space="0"/>
              <w:bottom w:val="single" w:color="000000" w:sz="2" w:space="0"/>
            </w:tcBorders>
            <w:vAlign w:val="top"/>
          </w:tcPr>
          <w:p>
            <w:pPr>
              <w:spacing w:before="200" w:line="185" w:lineRule="auto"/>
              <w:ind w:left="405"/>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09" w:type="dxa"/>
            <w:tcBorders>
              <w:top w:val="single" w:color="000000" w:sz="2" w:space="0"/>
              <w:bottom w:val="single" w:color="000000" w:sz="2" w:space="0"/>
            </w:tcBorders>
            <w:vAlign w:val="top"/>
          </w:tcPr>
          <w:p>
            <w:pPr>
              <w:spacing w:before="212" w:line="185" w:lineRule="auto"/>
              <w:ind w:left="446"/>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1019" w:type="dxa"/>
            <w:tcBorders>
              <w:top w:val="single" w:color="000000" w:sz="2" w:space="0"/>
              <w:bottom w:val="single" w:color="000000" w:sz="2" w:space="0"/>
            </w:tcBorders>
            <w:vAlign w:val="top"/>
          </w:tcPr>
          <w:p>
            <w:pPr>
              <w:spacing w:before="200" w:line="185" w:lineRule="auto"/>
              <w:ind w:left="43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39" w:type="dxa"/>
            <w:tcBorders>
              <w:top w:val="single" w:color="000000" w:sz="2" w:space="0"/>
              <w:bottom w:val="single" w:color="000000" w:sz="2" w:space="0"/>
            </w:tcBorders>
            <w:vAlign w:val="top"/>
          </w:tcPr>
          <w:p>
            <w:pPr>
              <w:spacing w:before="200" w:line="185" w:lineRule="auto"/>
              <w:ind w:left="398"/>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960" w:type="dxa"/>
            <w:tcBorders>
              <w:top w:val="single" w:color="000000" w:sz="2" w:space="0"/>
              <w:bottom w:val="single" w:color="000000" w:sz="2" w:space="0"/>
            </w:tcBorders>
            <w:vAlign w:val="top"/>
          </w:tcPr>
          <w:p>
            <w:pPr>
              <w:spacing w:before="200" w:line="185" w:lineRule="auto"/>
              <w:ind w:left="410"/>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c>
          <w:tcPr>
            <w:tcW w:w="854" w:type="dxa"/>
            <w:tcBorders>
              <w:top w:val="single" w:color="000000" w:sz="2" w:space="0"/>
              <w:bottom w:val="single" w:color="000000" w:sz="2" w:space="0"/>
            </w:tcBorders>
            <w:vAlign w:val="top"/>
          </w:tcPr>
          <w:p>
            <w:pPr>
              <w:spacing w:before="200" w:line="185" w:lineRule="auto"/>
              <w:ind w:left="349"/>
              <w:rPr>
                <w:rFonts w:ascii="宋体" w:hAnsi="宋体" w:eastAsia="宋体" w:cs="宋体"/>
                <w:color w:val="auto"/>
                <w:sz w:val="21"/>
                <w:szCs w:val="21"/>
                <w:highlight w:val="yellow"/>
              </w:rPr>
            </w:pPr>
            <w:r>
              <w:rPr>
                <w:rFonts w:ascii="宋体" w:hAnsi="宋体" w:eastAsia="宋体" w:cs="宋体"/>
                <w:color w:val="auto"/>
                <w:sz w:val="21"/>
                <w:szCs w:val="21"/>
                <w:highlight w:val="yellow"/>
              </w:rPr>
              <w:t>0</w:t>
            </w:r>
          </w:p>
        </w:tc>
      </w:tr>
    </w:tbl>
    <w:p>
      <w:pPr>
        <w:spacing w:line="203" w:lineRule="exact"/>
        <w:rPr>
          <w:rFonts w:ascii="Arial"/>
          <w:color w:val="auto"/>
          <w:sz w:val="17"/>
          <w:highlight w:val="none"/>
        </w:rPr>
      </w:pPr>
    </w:p>
    <w:p>
      <w:pPr>
        <w:rPr>
          <w:color w:val="auto"/>
          <w:highlight w:val="none"/>
        </w:rPr>
        <w:sectPr>
          <w:footerReference r:id="rId21" w:type="default"/>
          <w:pgSz w:w="16850" w:h="11910"/>
          <w:pgMar w:top="1012" w:right="1545" w:bottom="1851" w:left="1395" w:header="624" w:footer="1361" w:gutter="0"/>
          <w:pgNumType w:fmt="decimal"/>
          <w:cols w:space="720" w:num="1"/>
        </w:sectPr>
      </w:pPr>
    </w:p>
    <w:p>
      <w:pPr>
        <w:widowControl/>
        <w:jc w:val="left"/>
        <w:rPr>
          <w:rFonts w:hint="eastAsia" w:ascii="宋体" w:hAnsi="宋体" w:cs="宋体"/>
          <w:b/>
          <w:bCs/>
          <w:color w:val="auto"/>
          <w:kern w:val="0"/>
          <w:sz w:val="28"/>
          <w:szCs w:val="28"/>
          <w:highlight w:val="none"/>
          <w:lang w:bidi="bo-CN"/>
        </w:rPr>
      </w:pPr>
      <w:bookmarkStart w:id="140" w:name="_Toc14364"/>
      <w:bookmarkStart w:id="141" w:name="_Toc18030"/>
      <w:bookmarkStart w:id="142" w:name="_Toc26252"/>
      <w:r>
        <w:rPr>
          <w:rFonts w:hint="eastAsia" w:ascii="宋体" w:hAnsi="宋体" w:cs="宋体"/>
          <w:b/>
          <w:bCs/>
          <w:color w:val="auto"/>
          <w:kern w:val="0"/>
          <w:sz w:val="28"/>
          <w:szCs w:val="28"/>
          <w:highlight w:val="none"/>
          <w:lang w:bidi="bo-CN"/>
        </w:rPr>
        <w:t xml:space="preserve">附表4 </w:t>
      </w:r>
      <w:bookmarkEnd w:id="140"/>
      <w:bookmarkEnd w:id="141"/>
      <w:bookmarkEnd w:id="142"/>
      <w:r>
        <w:rPr>
          <w:rFonts w:hint="eastAsia" w:ascii="宋体" w:hAnsi="宋体" w:cs="宋体"/>
          <w:b/>
          <w:bCs/>
          <w:color w:val="auto"/>
          <w:kern w:val="0"/>
          <w:sz w:val="28"/>
          <w:szCs w:val="28"/>
          <w:highlight w:val="none"/>
          <w:lang w:val="en-US" w:eastAsia="zh-CN" w:bidi="bo-CN"/>
        </w:rPr>
        <w:t>七分场海子外缘边界</w:t>
      </w:r>
      <w:r>
        <w:rPr>
          <w:rFonts w:hint="eastAsia" w:ascii="宋体" w:hAnsi="宋体" w:cs="宋体"/>
          <w:b/>
          <w:bCs/>
          <w:color w:val="auto"/>
          <w:kern w:val="0"/>
          <w:sz w:val="28"/>
          <w:szCs w:val="28"/>
          <w:highlight w:val="none"/>
          <w:lang w:bidi="bo-CN"/>
        </w:rPr>
        <w:t>线转角点坐标</w:t>
      </w:r>
    </w:p>
    <w:p>
      <w:pPr>
        <w:pStyle w:val="2"/>
        <w:rPr>
          <w:rFonts w:hint="eastAsia"/>
          <w:color w:val="auto"/>
          <w:highlight w:val="none"/>
        </w:rPr>
      </w:pPr>
    </w:p>
    <w:tbl>
      <w:tblPr>
        <w:tblStyle w:val="1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88"/>
        <w:gridCol w:w="2088"/>
        <w:gridCol w:w="2677"/>
        <w:gridCol w:w="2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3" w:hRule="atLeast"/>
          <w:tblHeader/>
        </w:trPr>
        <w:tc>
          <w:tcPr>
            <w:tcW w:w="109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序号</w:t>
            </w:r>
          </w:p>
        </w:tc>
        <w:tc>
          <w:tcPr>
            <w:tcW w:w="1095" w:type="pct"/>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Style w:val="18"/>
                <w:snapToGrid w:val="0"/>
                <w:color w:val="000000"/>
                <w:lang w:val="en-US" w:eastAsia="zh-CN" w:bidi="ar"/>
              </w:rPr>
              <w:t>转角点号</w:t>
            </w:r>
          </w:p>
        </w:tc>
        <w:tc>
          <w:tcPr>
            <w:tcW w:w="1404" w:type="pct"/>
            <w:shd w:val="clear" w:color="auto" w:fill="C0C0C0"/>
            <w:noWrap/>
            <w:vAlign w:val="bottom"/>
          </w:tcPr>
          <w:p>
            <w:pPr>
              <w:keepNext w:val="0"/>
              <w:keepLines w:val="0"/>
              <w:widowControl/>
              <w:suppressLineNumbers w:val="0"/>
              <w:jc w:val="center"/>
              <w:textAlignment w:val="bottom"/>
              <w:rPr>
                <w:rFonts w:ascii="Arial" w:hAnsi="Arial" w:eastAsia="宋体" w:cs="Arial"/>
                <w:b/>
                <w:bCs/>
                <w:i w:val="0"/>
                <w:iCs w:val="0"/>
                <w:color w:val="000000"/>
                <w:sz w:val="20"/>
                <w:szCs w:val="20"/>
                <w:u w:val="none"/>
              </w:rPr>
            </w:pPr>
            <w:r>
              <w:rPr>
                <w:rStyle w:val="19"/>
                <w:rFonts w:eastAsia="宋体"/>
                <w:snapToGrid w:val="0"/>
                <w:color w:val="000000"/>
                <w:lang w:val="en-US" w:eastAsia="zh-CN" w:bidi="ar"/>
              </w:rPr>
              <w:t>X</w:t>
            </w:r>
          </w:p>
        </w:tc>
        <w:tc>
          <w:tcPr>
            <w:tcW w:w="1404" w:type="pct"/>
            <w:shd w:val="clear" w:color="auto" w:fill="C0C0C0"/>
            <w:noWrap/>
            <w:vAlign w:val="bottom"/>
          </w:tcPr>
          <w:p>
            <w:pPr>
              <w:keepNext w:val="0"/>
              <w:keepLines w:val="0"/>
              <w:widowControl/>
              <w:suppressLineNumbers w:val="0"/>
              <w:jc w:val="center"/>
              <w:textAlignment w:val="bottom"/>
              <w:rPr>
                <w:rFonts w:hint="default" w:ascii="Arial" w:hAnsi="Arial" w:eastAsia="宋体" w:cs="Arial"/>
                <w:b/>
                <w:bCs/>
                <w:i w:val="0"/>
                <w:iCs w:val="0"/>
                <w:color w:val="000000"/>
                <w:sz w:val="20"/>
                <w:szCs w:val="20"/>
                <w:u w:val="none"/>
              </w:rPr>
            </w:pPr>
            <w:r>
              <w:rPr>
                <w:rStyle w:val="19"/>
                <w:rFonts w:eastAsia="宋体"/>
                <w:snapToGrid w:val="0"/>
                <w:color w:val="000000"/>
                <w:lang w:val="en-US" w:eastAsia="zh-CN" w:bidi="ar"/>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36412639.67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4489559.167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36412658.51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4489586.683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36412716.51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4489584.143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36412737.46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4489614.835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36412746.99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4489612.718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36412760.32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4489646.373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36412866.16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4489629.017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36412867.22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4489635.367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36412799.7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4489870.143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36412763.98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4489993.836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36412800.36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4490016.656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36412879.41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4490013.679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36412885.36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4490015.664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36412887.67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4490022.609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36412871.8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4490078.502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36412869.82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4490085.778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36412875.44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4490087.763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36412935.3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4490072.219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36412978.29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4490068.581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36413096.37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4490045.429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36413115.55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4490045.429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36413132.08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4490045.429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36413137.04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4490086.771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36413173.43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4490077.841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36413182.19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4490075.357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36413193.27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4490095.37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36413216.09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4490094.708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36413228.99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4490109.922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36413322.58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4490101.984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36413548.72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4490060.037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36413595.68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4490254.34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36413662.82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4490300.973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36413751.79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4490295.02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36413770.64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4490300.312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36413910.21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4490481.552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36413922.45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4490486.513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36414116.25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4490544.721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36414153.29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4490567.211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36414216.13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4490587.385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36414282.28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4490643.94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36414398.03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4490762.672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36414465.17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4490872.805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36414477.08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4490881.073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36414539.59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4490887.688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36414611.69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4490920.761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36414623.59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4490971.032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36414438.05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4491024.279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36414396.38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4491017.665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J49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36414300.47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4491035.524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36414292.86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4491001.128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36414243.58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4490987.238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36414183.06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4490996.167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36414154.29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4491012.704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36414130.47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4491046.108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36414021.4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4491067.473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36414030.92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4491153.198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36413804.79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4491229.358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36413773.43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4491311.909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59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J59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36413668.66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4491339.293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36413216.22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4491193.64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36413213.36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4491314.687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36413101.84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4491285.715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36413062.15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4491242.455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36413008.18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4491280.159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36412944.28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4491177.765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36412906.97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4491122.916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36412815.96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4490977.501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36412818.5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4490943.423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69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J69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36412803.89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4490900.878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36412841.99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4490891.353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36412836.91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4490833.991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36412834.37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4490774.301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36412886.86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4490732.976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36412874.69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4490704.401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36412851.4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4490682.705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36412847.7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4490567.876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36412817.01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4490543.534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36412808.01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4490490.617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79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36412787.37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4490453.046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36412688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4490470.086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36412681.01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4490441.722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36412593.59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4490448.072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36412461.62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4490428.408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36412427.89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4490422.852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36412419.16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4490421.265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36412402.89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4490443.49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36412391.77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4490446.665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36412369.94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4490435.949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89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36412251.68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4490405.786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36412258.82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4490343.08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36412255.64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4490330.38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36412126.66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4490276.405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36412078.88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4490282.791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36412077.84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4490153.373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36412087.77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4490124.402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36412095.31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4489992.639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36412119.91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4489971.604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36412120.31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4489962.079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99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36412185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4489954.539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36412202.07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4489994.623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36412232.23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4490006.133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36412254.85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4489998.592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36412269.54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4489974.382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36412267.95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4489959.301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36412240.96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4489943.029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36412233.42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4489930.726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36412225.09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4489918.423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36412202.46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4489902.151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109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36412187.78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4489888.26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36412188.97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4489836.667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36412251.68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4489837.46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36412260.41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4489832.698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36412267.15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4489773.166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36412313.19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4489760.863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36412307.64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4489664.819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36412451.7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4489637.038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36412458.85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4489619.179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36412455.67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4489593.382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119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36412453.69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4489584.65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36412639.82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4489559.25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36404405.39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4451546.821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36404511.09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4451520.748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36404547.98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4451513.946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36404594.75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4451727.303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36404600.71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4451765.089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36404602.59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4451808.656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36404594.92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4451853.214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36404571.29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4451955.954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129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36404515.34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4452199.93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36404507.44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4452239.332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36404503.77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4452284.551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36404499.47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4452477.07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36404490.96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4452748.442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36404486.54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4452877.941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36404477.03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4453022.883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36404461.15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4453299.25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36404450.36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4453562.493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36404402.28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4454529.098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139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36404387.71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4454945.667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36404375.33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4455037.63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36404415.09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4455096.876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36404818.73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4455095.509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36405132.79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4455065.923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36405355.49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4455065.329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36405599.53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4455135.964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36406049.4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4455173.457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36406548.53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4455263.741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36406520.06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4455893.554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149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J149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36406156.83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4455848.184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36405716.28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4455802.483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36405180.16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4455802.768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36404558.75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4455859.392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36404491.63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4455882.302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36404560.94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4455949.613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36404897.26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4456260.348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36405043.3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4456464.594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36405442.61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4457334.223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36406015.03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4457282.544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159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J159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36406216.02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4457295.26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36406265.34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4457334.648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36406267.24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4457373.834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36406252.62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4457417.073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36406182.02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4457532.242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36406098.99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4457659.73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36406069.73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4457752.394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36406030.46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4457774.908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36406075.74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4457793.659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36406098.41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4457795.818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169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J169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36406187.12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4457785.888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36406191.39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4457750.852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36406177.21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4457690.994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36406193.84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4457660.136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36406257.87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4457635.666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36406267.96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4457687.258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36406265.75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4457720.241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36406265.68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4457738.798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36406292.43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4457751.284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36406325.46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4457741.116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179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36406360.62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4457716.522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36406399.73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4457733.185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36406449.09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4457762.264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36406488.2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4457778.927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36406529.52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4457760.546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36406554.52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4457698.794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36406596.26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4457583.501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36406709.02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4457252.005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36406927.15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4456873.533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36407316.14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4456559.714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189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36407508.38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4456449.189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36407563.57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4456560.772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36407617.99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4456855.868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36407745.16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4457013.122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36407822.72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4457199.032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36407726.6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4457495.546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36407682.17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4457759.29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36407620.12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4458284.829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36407320.92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4458817.602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36407160.65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4459167.454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199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J199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36406935.2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4459329.386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36406315.07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4459207.139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36406230.73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4459159.353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36406100.5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4459235.089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36405982.9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4459251.082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36405852.65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4459333.004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36405831.64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4459423.642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36405791.79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4459580.182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36405919.58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4460002.609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36405957.48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4460180.617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209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36405744.65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4460226.102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36405673.8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4460253.172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36405809.98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4460715.637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36405761.24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4461022.664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36405743.64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4461280.336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36405595.19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4461277.64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36405506.62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4461256.641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36405513.13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4461180.375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36405533.98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4461126.853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36405583.64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4461085.826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219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36405587.91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4461050.791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36405574.04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4461018.79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36405555.51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4461001.264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36405552.19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4460960.542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36405539.79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4460867.442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36405501.48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4460850.995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36405491.33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4460777.677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36405477.67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4460707.834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36405436.06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4460646.012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36405355.08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4460545.641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229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36405326.09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4460523.418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36405255.54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4460431.233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36405203.62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4460333.311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36405136.56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4460241.141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36405070.43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4460201.313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36404949.65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4460160.089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36404897.34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4460152.886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36404823.36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4460045.566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36404709.16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4459825.254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36404588.64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4459720.061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239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36404562.16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4459658.305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36404532.15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4459604.674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36404517.23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4459558.087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36404502.36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4459499.869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36404485.1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4459454.435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36404477.16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4459407.878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36404466.89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4459362.473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36404385.64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4459323.744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36404319.43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4459302.525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36404249.86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4459253.378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249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J249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36404174.47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4459203.043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36404114.07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4459185.339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36404023.28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4459201.234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36403953.47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4459206.75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36403896.45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4459212.322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36403821.94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4459229.45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36403754.41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4459247.77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36403676.01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4459357.928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36403648.92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4459436.902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36403573.98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4459554.053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259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J259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36403512.1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4459609.617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36403410.84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4459626.63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36403307.26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4459642.47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36403197.81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4459669.916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36403073.16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4459717.07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36402927.62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4459751.34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36402803.15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4459756.623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36402532.28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4459809.021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36402441.28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4459872.554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36402395.72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4459919.784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269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J269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36402420.24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4459971.439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36402442.75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4460012.774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36402506.47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4460058.411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36402586.77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4460087.622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36402648.5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4460116.753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36402666.89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4460156.01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36402666.77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4460184.877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36402495.53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4460206.826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36402349.06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4460222.696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36402229.54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4460205.689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279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36402087.42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4460167.965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36401943.32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4460113.738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36401799.16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4460071.882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36401683.5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4460114.689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36401511.94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36401361.27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4460247.339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36401121.97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4460271.06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36401035.37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4460270.689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36400922.18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4460220.718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36400837.83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4460174.993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289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36400736.89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4460151.88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36400670.06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4460351.606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36400681.7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4460522.8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36400646.26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4460613.376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36400481.18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4460881.758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36400435.93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4461096.011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36400347.57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4461265.746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36400216.32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4461340.447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36399927.68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4461451.849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36399791.76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4461591.224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299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J299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36399682.28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4461697.464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36399531.94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4461774.918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36399509.56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4461765.543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36399488.8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4461737.618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36399479.74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4461686.545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36399613.87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4461603.609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36399678.24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4461559.036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36399852.27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4461364.923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36399908.09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4461330.366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36400160.55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4461240.976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309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J309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36400241.13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4461204.205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36400333.1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4461034.485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36400361.34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4460938.724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36400378.66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4460866.886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36400470.75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4460668.557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36400545.04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4460473.244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36400545.74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4460130.7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36400492.61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4460077.119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36400489.71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4460033.032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36400504.49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4460011.445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319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36400465.07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4459926.139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36400304.94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4459699.925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36400138.39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4459470.462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36399971.53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4459311.878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36399865.95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4459137.447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36399844.24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4458940.821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36399999.56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4458783.615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36400148.51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4458610.273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36400310.36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4458433.763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36400481.39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4458370.058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329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36400593.01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4458364.865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36400678.02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4458375.538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36400804.55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4458321.952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36400936.42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4458224.572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36401052.84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4458121.971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36401223.46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4458004.137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36401355.18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4457940.263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36401504.86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4457897.086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36401708.61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4457867.028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36401891.69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4457849.769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339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36402092.78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4457837.741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36402324.9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4457802.649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36402443.66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4457756.763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36402500.73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4457671.95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36402542.41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4457569.029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36402558.64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4457391.253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36402543.93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4457213.344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36402492.6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4457161.575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36402225.16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4457018.67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36402099.26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4456925.343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349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J349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36401957.99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4456811.33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36401857.78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4456738.732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36401791.08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4456663.7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36401665.36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4456529.133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36401644.85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4456503.271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36401622.13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4456392.342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36401619.9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4456309.854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36401661.63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4456196.623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36401680.03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4456111.645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36401765.27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4456070.77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359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J359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36401868.45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4456050.592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36401914.71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4456081.719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36402020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4456172.381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36402045.64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4456203.42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36402264.82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4456181.16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36402352.53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4456163.493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36402450.67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4456117.518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36402407.18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4456042.585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36402379.35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4455918.748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36402397.83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4455818.305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J369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36402480.87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4455687.209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36402648.87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4455577.096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36402798.65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4455510.722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36402920.2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4455415.875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36403137.06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4455331.746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36403276.4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4455296.257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36403379.46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4455304.431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36403459.19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4455346.011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36403562.25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4455354.184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36403733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4455205.421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379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36403970.89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4455028.592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380</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36404190.29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4454954.784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381</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36404242.21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4454867.372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382</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36404282.04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4453388.071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383</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J383</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36404330.1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4452395.949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384</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J384</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36404401.82</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4451898.803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385</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J385</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36404345.79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4451741.337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386</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J386</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36404310</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4451671.592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387</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J387</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36404310.21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4451622.621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388</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J388</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36404382.61</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4451568.804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389</w:t>
            </w:r>
          </w:p>
        </w:tc>
        <w:tc>
          <w:tcPr>
            <w:tcW w:w="1095"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Style w:val="20"/>
                <w:rFonts w:eastAsia="宋体"/>
                <w:snapToGrid w:val="0"/>
                <w:color w:val="000000"/>
                <w:lang w:val="en-US" w:eastAsia="zh-CN" w:bidi="ar"/>
              </w:rPr>
              <w:t>J389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36404405.39</w:t>
            </w:r>
          </w:p>
        </w:tc>
        <w:tc>
          <w:tcPr>
            <w:tcW w:w="1404" w:type="pct"/>
            <w:shd w:val="clear" w:color="auto" w:fill="auto"/>
            <w:noWrap/>
            <w:vAlign w:val="bottom"/>
          </w:tcPr>
          <w:p>
            <w:pPr>
              <w:keepNext w:val="0"/>
              <w:keepLines w:val="0"/>
              <w:widowControl/>
              <w:suppressLineNumbers w:val="0"/>
              <w:jc w:val="center"/>
              <w:textAlignment w:val="bottom"/>
              <w:rPr>
                <w:rFonts w:hint="default" w:ascii="Arial" w:hAnsi="Arial" w:eastAsia="宋体" w:cs="Arial"/>
                <w:i w:val="0"/>
                <w:iCs w:val="0"/>
                <w:color w:val="000000"/>
                <w:sz w:val="20"/>
                <w:szCs w:val="20"/>
                <w:u w:val="none"/>
              </w:rPr>
            </w:pPr>
            <w:r>
              <w:rPr>
                <w:rFonts w:hint="default" w:ascii="Arial" w:hAnsi="Arial" w:eastAsia="宋体" w:cs="Arial"/>
                <w:i w:val="0"/>
                <w:iCs w:val="0"/>
                <w:snapToGrid w:val="0"/>
                <w:color w:val="000000"/>
                <w:kern w:val="0"/>
                <w:sz w:val="20"/>
                <w:szCs w:val="20"/>
                <w:u w:val="none"/>
                <w:lang w:val="en-US" w:eastAsia="zh-CN" w:bidi="ar"/>
              </w:rPr>
              <w:t>4451546.821</w:t>
            </w:r>
          </w:p>
        </w:tc>
      </w:tr>
    </w:tbl>
    <w:p>
      <w:pPr>
        <w:rPr>
          <w:rFonts w:ascii="Arial"/>
          <w:color w:val="auto"/>
          <w:sz w:val="21"/>
          <w:highlight w:val="none"/>
        </w:rPr>
      </w:pPr>
    </w:p>
    <w:sectPr>
      <w:footerReference r:id="rId22" w:type="default"/>
      <w:pgSz w:w="11910" w:h="16850"/>
      <w:pgMar w:top="1715" w:right="1580" w:bottom="1545" w:left="1012" w:header="1247" w:footer="102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华文仿宋">
    <w:panose1 w:val="02010600040101010101"/>
    <w:charset w:val="86"/>
    <w:family w:val="auto"/>
    <w:pitch w:val="default"/>
    <w:sig w:usb0="00000287" w:usb1="080F0000" w:usb2="00000000" w:usb3="00000000" w:csb0="0004009F" w:csb1="DFD70000"/>
  </w:font>
  <w:font w:name="文星仿宋..嬀.">
    <w:altName w:val="仿宋"/>
    <w:panose1 w:val="00000000000000000000"/>
    <w:charset w:val="86"/>
    <w:family w:val="auto"/>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华文行楷">
    <w:altName w:val="微软雅黑"/>
    <w:panose1 w:val="0201080004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Gulim">
    <w:panose1 w:val="020B0600000101010101"/>
    <w:charset w:val="81"/>
    <w:family w:val="auto"/>
    <w:pitch w:val="default"/>
    <w:sig w:usb0="B00002AF" w:usb1="69D77CFB" w:usb2="00000030" w:usb3="00000000" w:csb0="4008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qSjhE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qSjhE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47</w:t>
                    </w:r>
                    <w:r>
                      <w:rPr>
                        <w:rFonts w:hint="eastAsia" w:eastAsia="宋体"/>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49"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g6Gf4zAgAAYwQAAA4AAABkcnMvZTJvRG9jLnhtbK1UzY7TMBC+I/EO&#10;lu80aYFVqZ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g6Gf4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48</w:t>
                    </w:r>
                    <w:r>
                      <w:rPr>
                        <w:rFonts w:hint="eastAsia" w:eastAsia="宋体"/>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56</w:t>
                    </w:r>
                    <w:r>
                      <w:rPr>
                        <w:rFonts w:hint="eastAsia" w:eastAsia="宋体"/>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61</w:t>
                    </w:r>
                    <w:r>
                      <w:rPr>
                        <w:rFonts w:hint="eastAsia" w:eastAsia="宋体"/>
                        <w:lang w:eastAsia="zh-CN"/>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1552" behindDoc="0" locked="0" layoutInCell="1" allowOverlap="1">
              <wp:simplePos x="0" y="0"/>
              <wp:positionH relativeFrom="margin">
                <wp:posOffset>2635885</wp:posOffset>
              </wp:positionH>
              <wp:positionV relativeFrom="paragraph">
                <wp:posOffset>0</wp:posOffset>
              </wp:positionV>
              <wp:extent cx="1828800" cy="182880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7.55pt;margin-top:0pt;height:144pt;width:144pt;mso-position-horizontal-relative:margin;mso-wrap-style:none;z-index:251671552;mso-width-relative:page;mso-height-relative:page;" filled="f" stroked="f" coordsize="21600,21600" o:gfxdata="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qpOOl1QAAAAgBAAAPAAAAAAAAAAEAIAAAACIAAABkcnMvZG93bnJldi54bWxQ&#10;SwECFAAUAAAACACHTuJAbI0kZjMCAABjBAAADgAAAAAAAAABACAAAAAk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66</w:t>
                    </w:r>
                    <w:r>
                      <w:rPr>
                        <w:rFonts w:hint="eastAsia" w:eastAsia="宋体"/>
                        <w:lang w:eastAsia="zh-CN"/>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0" name="文本框 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eh/es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Hof3r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67</w:t>
                    </w:r>
                    <w:r>
                      <w:rPr>
                        <w:rFonts w:hint="eastAsia" w:eastAsia="宋体"/>
                        <w:lang w:eastAsia="zh-CN"/>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黑体" w:hAnsi="黑体" w:eastAsia="黑体" w:cs="黑体"/>
        <w:sz w:val="20"/>
        <w:szCs w:val="20"/>
      </w:rPr>
    </w:pPr>
    <w:r>
      <w:rPr>
        <w:rFonts w:hint="eastAsia" w:ascii="宋体" w:hAnsi="宋体" w:eastAsia="宋体" w:cs="宋体"/>
        <w:sz w:val="18"/>
        <w:szCs w:val="18"/>
        <w:lang w:eastAsia="zh-CN"/>
      </w:rPr>
      <w:t>巴彦淖尔市鑫宇水利水电勘察设计有限公司</w:t>
    </w: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UJagQ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FCWoEMQIAAGMEAAAOAAAAAAAAAAEAIAAAAB8BAABkcnMvZTJvRG9jLnhtbFBLBQYA&#10;AAAABgAGAFkBAADCBQ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68</w:t>
                    </w:r>
                    <w:r>
                      <w:rPr>
                        <w:rFonts w:hint="eastAsia" w:eastAsia="宋体"/>
                        <w:lang w:eastAsia="zh-CN"/>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jc w:val="both"/>
      <w:rPr>
        <w:rFonts w:ascii="宋体" w:hAnsi="宋体" w:eastAsia="宋体" w:cs="宋体"/>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posOffset>2700655</wp:posOffset>
              </wp:positionH>
              <wp:positionV relativeFrom="paragraph">
                <wp:posOffset>16510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2.65pt;margin-top:1.3pt;height:144pt;width:144pt;mso-position-horizontal-relative:margin;mso-wrap-style:none;z-index:251674624;mso-width-relative:page;mso-height-relative:page;" filled="f" stroked="f" coordsize="21600,21600" o:gfxdata="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fJTLp1gAAAAkBAAAPAAAAAAAAAAEAIAAAACIAAABkcnMvZG93bnJldi54bWxQ&#10;SwECFAAUAAAACACHTuJAgvej7zICAABjBAAADgAAAAAAAAABACAAAAAlAQAAZHJzL2Uyb0RvYy54&#10;bWxQSwUGAAAAAAYABgBZAQAAyQU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69</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4"/>
        <w:szCs w:val="14"/>
      </w:rPr>
    </w:pPr>
    <w:r>
      <w:rPr>
        <w:sz w:val="18"/>
        <w:szCs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xhYO8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7</w:t>
                    </w:r>
                    <w:r>
                      <w:rPr>
                        <w:rFonts w:hint="eastAsia" w:eastAsia="宋体"/>
                        <w:lang w:eastAsia="zh-CN"/>
                      </w:rPr>
                      <w:fldChar w:fldCharType="end"/>
                    </w:r>
                  </w:p>
                </w:txbxContent>
              </v:textbox>
            </v:shape>
          </w:pict>
        </mc:Fallback>
      </mc:AlternateContent>
    </w:r>
    <w:r>
      <w:rPr>
        <w:rFonts w:hint="eastAsia" w:ascii="宋体" w:hAnsi="宋体" w:eastAsia="宋体" w:cs="宋体"/>
        <w:sz w:val="18"/>
        <w:szCs w:val="18"/>
        <w:lang w:eastAsia="zh-CN"/>
      </w:rPr>
      <w:t>巴彦淖尔市鑫宇水利水电勘察设计有限公司</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ufqQQ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M2E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ufqQQ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仿宋" w:hAnsi="仿宋" w:eastAsia="仿宋" w:cs="仿宋"/>
        <w:sz w:val="23"/>
        <w:szCs w:val="23"/>
      </w:rPr>
    </w:pPr>
    <w:r>
      <w:rPr>
        <w:rFonts w:hint="eastAsia" w:ascii="宋体" w:hAnsi="宋体" w:eastAsia="宋体" w:cs="宋体"/>
        <w:sz w:val="18"/>
        <w:szCs w:val="18"/>
        <w:lang w:eastAsia="zh-CN"/>
      </w:rPr>
      <w:t>巴彦淖尔市鑫宇水利水电勘察设计有限公司</w:t>
    </w:r>
    <w:r>
      <w:rPr>
        <w:sz w:val="2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k3Pus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PUV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k3Pus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26</w:t>
                    </w:r>
                    <w:r>
                      <w:rPr>
                        <w:rFonts w:hint="eastAsia" w:eastAsia="宋体"/>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9"/>
        <w:szCs w:val="9"/>
      </w:rPr>
    </w:pPr>
    <w:r>
      <w:rPr>
        <w:rFonts w:hint="eastAsia" w:ascii="宋体" w:hAnsi="宋体" w:eastAsia="宋体" w:cs="宋体"/>
        <w:sz w:val="18"/>
        <w:szCs w:val="18"/>
        <w:lang w:eastAsia="zh-CN"/>
      </w:rPr>
      <w:t>巴彦淖尔市鑫宇水利水电勘察设计有限公司</w:t>
    </w:r>
    <w:r>
      <w:rPr>
        <w:sz w:val="9"/>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9"/>
        <w:szCs w:val="19"/>
      </w:rPr>
    </w:pPr>
    <w:r>
      <w:rPr>
        <w:rFonts w:hint="eastAsia" w:ascii="宋体" w:hAnsi="宋体" w:eastAsia="宋体" w:cs="宋体"/>
        <w:sz w:val="18"/>
        <w:szCs w:val="18"/>
        <w:lang w:eastAsia="zh-CN"/>
      </w:rPr>
      <w:t>巴彦淖尔市鑫宇水利水电勘察设计有限公司</w:t>
    </w:r>
    <w:r>
      <w:rPr>
        <w:sz w:val="19"/>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37</w:t>
                    </w:r>
                    <w:r>
                      <w:rPr>
                        <w:rFonts w:hint="eastAsia" w:eastAsia="宋体"/>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single" w:color="auto" w:sz="4" w:space="0"/>
      </w:pBdr>
      <w:spacing w:line="360" w:lineRule="auto"/>
      <w:rPr>
        <w:rFonts w:ascii="宋体" w:hAnsi="宋体" w:eastAsia="宋体" w:cs="宋体"/>
        <w:sz w:val="18"/>
        <w:szCs w:val="18"/>
      </w:rPr>
    </w:pPr>
    <w:r>
      <w:rPr>
        <w:rFonts w:hint="eastAsia" w:ascii="宋体" w:hAnsi="宋体" w:eastAsia="宋体" w:cs="宋体"/>
        <w:sz w:val="18"/>
        <w:szCs w:val="18"/>
        <w:lang w:eastAsia="zh-CN"/>
      </w:rPr>
      <w:t>巴彦淖尔市鑫宇水利水电勘察设计有限公司</w: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6"/>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43</w:t>
                    </w:r>
                    <w:r>
                      <w:rPr>
                        <w:rFonts w:hint="eastAsia" w:eastAsia="宋体"/>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single" w:color="auto" w:sz="4" w:space="1"/>
      </w:pBdr>
      <w:jc w:val="center"/>
      <w:rPr>
        <w:rFonts w:hint="eastAsia" w:eastAsia="宋体"/>
        <w:lang w:val="en-US" w:eastAsia="zh-CN"/>
      </w:rPr>
    </w:pPr>
    <w:r>
      <w:rPr>
        <w:rFonts w:hint="eastAsia" w:eastAsia="宋体"/>
        <w:lang w:val="en-US" w:eastAsia="zh-CN"/>
      </w:rPr>
      <w:t>磴口县七分场海子岸线保护与利用规划</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YzAwZThiMDg4OWMxOTE4NGQzNjBlMDJlZGQyNmU4YjEifQ=="/>
  </w:docVars>
  <w:rsids>
    <w:rsidRoot w:val="00000000"/>
    <w:rsid w:val="00266690"/>
    <w:rsid w:val="00B2145B"/>
    <w:rsid w:val="00C90AC8"/>
    <w:rsid w:val="00E559CB"/>
    <w:rsid w:val="018A3AB7"/>
    <w:rsid w:val="023D7C56"/>
    <w:rsid w:val="027E0641"/>
    <w:rsid w:val="02EC316B"/>
    <w:rsid w:val="02EE5C92"/>
    <w:rsid w:val="0373171E"/>
    <w:rsid w:val="03D10F30"/>
    <w:rsid w:val="03D1534C"/>
    <w:rsid w:val="03E41468"/>
    <w:rsid w:val="041175C6"/>
    <w:rsid w:val="04D1736D"/>
    <w:rsid w:val="04D6687F"/>
    <w:rsid w:val="05EA59F4"/>
    <w:rsid w:val="05F64197"/>
    <w:rsid w:val="07331E0B"/>
    <w:rsid w:val="0A081A83"/>
    <w:rsid w:val="0A146CB2"/>
    <w:rsid w:val="0A27015B"/>
    <w:rsid w:val="0B867103"/>
    <w:rsid w:val="0C015B39"/>
    <w:rsid w:val="0C0E70CD"/>
    <w:rsid w:val="0C370F4A"/>
    <w:rsid w:val="0C3A227F"/>
    <w:rsid w:val="0CB40621"/>
    <w:rsid w:val="0CF77756"/>
    <w:rsid w:val="0DA722D1"/>
    <w:rsid w:val="0EAD2BF9"/>
    <w:rsid w:val="0EEE1954"/>
    <w:rsid w:val="0F443B8E"/>
    <w:rsid w:val="0F6A6292"/>
    <w:rsid w:val="0FC376EC"/>
    <w:rsid w:val="1038450C"/>
    <w:rsid w:val="109C7993"/>
    <w:rsid w:val="11361DC0"/>
    <w:rsid w:val="115A7068"/>
    <w:rsid w:val="11AA5F65"/>
    <w:rsid w:val="120930BA"/>
    <w:rsid w:val="136C4E31"/>
    <w:rsid w:val="143924FE"/>
    <w:rsid w:val="153E1E76"/>
    <w:rsid w:val="15EE5FD1"/>
    <w:rsid w:val="17CD1C16"/>
    <w:rsid w:val="18100E6C"/>
    <w:rsid w:val="195F0A81"/>
    <w:rsid w:val="198F7ACB"/>
    <w:rsid w:val="19E75211"/>
    <w:rsid w:val="1A915156"/>
    <w:rsid w:val="1AB20E88"/>
    <w:rsid w:val="1C250273"/>
    <w:rsid w:val="1CF34931"/>
    <w:rsid w:val="1E16258F"/>
    <w:rsid w:val="1E501C36"/>
    <w:rsid w:val="20C95808"/>
    <w:rsid w:val="20EE50D7"/>
    <w:rsid w:val="21254E4D"/>
    <w:rsid w:val="21563AC5"/>
    <w:rsid w:val="22195AB6"/>
    <w:rsid w:val="255414A6"/>
    <w:rsid w:val="25C40AFC"/>
    <w:rsid w:val="26025181"/>
    <w:rsid w:val="2638728C"/>
    <w:rsid w:val="27306D81"/>
    <w:rsid w:val="279B6C4A"/>
    <w:rsid w:val="283E110F"/>
    <w:rsid w:val="28C976A4"/>
    <w:rsid w:val="2916166F"/>
    <w:rsid w:val="29233D8C"/>
    <w:rsid w:val="2A65449A"/>
    <w:rsid w:val="2AF5113A"/>
    <w:rsid w:val="2BA727BF"/>
    <w:rsid w:val="2BEB4CC9"/>
    <w:rsid w:val="2C215CF7"/>
    <w:rsid w:val="2C723060"/>
    <w:rsid w:val="2D095047"/>
    <w:rsid w:val="2D1F12BC"/>
    <w:rsid w:val="2D271B5E"/>
    <w:rsid w:val="2D5F33CE"/>
    <w:rsid w:val="2E02330F"/>
    <w:rsid w:val="2E953036"/>
    <w:rsid w:val="2EBC05C2"/>
    <w:rsid w:val="2EE0630D"/>
    <w:rsid w:val="2EE82927"/>
    <w:rsid w:val="2F8F7953"/>
    <w:rsid w:val="2FCA2BFC"/>
    <w:rsid w:val="2FCE35C6"/>
    <w:rsid w:val="2FDA06A4"/>
    <w:rsid w:val="3195090E"/>
    <w:rsid w:val="325A1783"/>
    <w:rsid w:val="32C4038E"/>
    <w:rsid w:val="32F9288C"/>
    <w:rsid w:val="330662B0"/>
    <w:rsid w:val="33B30E42"/>
    <w:rsid w:val="33D97E69"/>
    <w:rsid w:val="343B4219"/>
    <w:rsid w:val="34AF3DA0"/>
    <w:rsid w:val="35694280"/>
    <w:rsid w:val="365E6403"/>
    <w:rsid w:val="36767BF1"/>
    <w:rsid w:val="36EC1C61"/>
    <w:rsid w:val="37E159F7"/>
    <w:rsid w:val="38264283"/>
    <w:rsid w:val="385B6B7F"/>
    <w:rsid w:val="395E321B"/>
    <w:rsid w:val="39FA4695"/>
    <w:rsid w:val="3A2E7B1F"/>
    <w:rsid w:val="3A3C74E1"/>
    <w:rsid w:val="3B533939"/>
    <w:rsid w:val="3B691AD2"/>
    <w:rsid w:val="3CD21CE7"/>
    <w:rsid w:val="3CD64F45"/>
    <w:rsid w:val="3CFA03A0"/>
    <w:rsid w:val="3D01695E"/>
    <w:rsid w:val="3D02645D"/>
    <w:rsid w:val="3D5A7043"/>
    <w:rsid w:val="3DB50FFF"/>
    <w:rsid w:val="3DBB4AF6"/>
    <w:rsid w:val="3E110C94"/>
    <w:rsid w:val="3EBE693D"/>
    <w:rsid w:val="3EEB49B0"/>
    <w:rsid w:val="3F28267B"/>
    <w:rsid w:val="3FCD5865"/>
    <w:rsid w:val="3FDA2F9E"/>
    <w:rsid w:val="40955117"/>
    <w:rsid w:val="40E65FE7"/>
    <w:rsid w:val="40EF2A79"/>
    <w:rsid w:val="41042973"/>
    <w:rsid w:val="41617A27"/>
    <w:rsid w:val="41B31CF9"/>
    <w:rsid w:val="4218422B"/>
    <w:rsid w:val="42242044"/>
    <w:rsid w:val="430A3B9B"/>
    <w:rsid w:val="43821950"/>
    <w:rsid w:val="43D407CA"/>
    <w:rsid w:val="4436276D"/>
    <w:rsid w:val="451D1058"/>
    <w:rsid w:val="45A034C7"/>
    <w:rsid w:val="45ED00D2"/>
    <w:rsid w:val="46B8390E"/>
    <w:rsid w:val="473E69DD"/>
    <w:rsid w:val="47D52A63"/>
    <w:rsid w:val="480B44F2"/>
    <w:rsid w:val="481B1EC8"/>
    <w:rsid w:val="48BB1493"/>
    <w:rsid w:val="498E47B9"/>
    <w:rsid w:val="4A8E485A"/>
    <w:rsid w:val="4ADE5AFE"/>
    <w:rsid w:val="4B802765"/>
    <w:rsid w:val="4BD859E7"/>
    <w:rsid w:val="4C5C4B7A"/>
    <w:rsid w:val="4D6A1FD1"/>
    <w:rsid w:val="4DD14002"/>
    <w:rsid w:val="4DE55C69"/>
    <w:rsid w:val="4E427FA0"/>
    <w:rsid w:val="4F517E50"/>
    <w:rsid w:val="4FC733C8"/>
    <w:rsid w:val="50FB61C1"/>
    <w:rsid w:val="51082E43"/>
    <w:rsid w:val="5113499D"/>
    <w:rsid w:val="519A426F"/>
    <w:rsid w:val="51FC39E3"/>
    <w:rsid w:val="526876A7"/>
    <w:rsid w:val="52A75BA8"/>
    <w:rsid w:val="555E1B24"/>
    <w:rsid w:val="557306CA"/>
    <w:rsid w:val="55A21A11"/>
    <w:rsid w:val="55E1315C"/>
    <w:rsid w:val="560B0AE4"/>
    <w:rsid w:val="563B5670"/>
    <w:rsid w:val="56C41E5B"/>
    <w:rsid w:val="575E5E0B"/>
    <w:rsid w:val="59A71CEC"/>
    <w:rsid w:val="59E53235"/>
    <w:rsid w:val="5A0E13B8"/>
    <w:rsid w:val="5A3372A8"/>
    <w:rsid w:val="5AAF4DF5"/>
    <w:rsid w:val="5AEF2551"/>
    <w:rsid w:val="5B8517CD"/>
    <w:rsid w:val="5CCC3817"/>
    <w:rsid w:val="5E6865F5"/>
    <w:rsid w:val="5E8144DD"/>
    <w:rsid w:val="5EB127F1"/>
    <w:rsid w:val="5ED2032C"/>
    <w:rsid w:val="5FED1C0E"/>
    <w:rsid w:val="611F660B"/>
    <w:rsid w:val="618532D1"/>
    <w:rsid w:val="62BD1A79"/>
    <w:rsid w:val="63980E16"/>
    <w:rsid w:val="63BA0A55"/>
    <w:rsid w:val="64024B66"/>
    <w:rsid w:val="64B35027"/>
    <w:rsid w:val="64F57AD0"/>
    <w:rsid w:val="654E3963"/>
    <w:rsid w:val="65E81D63"/>
    <w:rsid w:val="66127FAC"/>
    <w:rsid w:val="66372649"/>
    <w:rsid w:val="665E7BD6"/>
    <w:rsid w:val="6678677C"/>
    <w:rsid w:val="66C01DA1"/>
    <w:rsid w:val="66DF0602"/>
    <w:rsid w:val="67226E55"/>
    <w:rsid w:val="687C2595"/>
    <w:rsid w:val="690C4F5E"/>
    <w:rsid w:val="697B284D"/>
    <w:rsid w:val="699935AF"/>
    <w:rsid w:val="69A96778"/>
    <w:rsid w:val="69BC305A"/>
    <w:rsid w:val="69CC12FA"/>
    <w:rsid w:val="6A15504C"/>
    <w:rsid w:val="6A1A44A6"/>
    <w:rsid w:val="6AC124E1"/>
    <w:rsid w:val="6B5D0FDE"/>
    <w:rsid w:val="6B5F7556"/>
    <w:rsid w:val="6B79100E"/>
    <w:rsid w:val="6C2B055A"/>
    <w:rsid w:val="6C382C77"/>
    <w:rsid w:val="6C6A0C99"/>
    <w:rsid w:val="6CAA47AC"/>
    <w:rsid w:val="6DC26C9C"/>
    <w:rsid w:val="6F1572A0"/>
    <w:rsid w:val="6FDD4C94"/>
    <w:rsid w:val="70054610"/>
    <w:rsid w:val="71504E07"/>
    <w:rsid w:val="71746FBE"/>
    <w:rsid w:val="717604C9"/>
    <w:rsid w:val="71EF202A"/>
    <w:rsid w:val="72CB6A27"/>
    <w:rsid w:val="733A3320"/>
    <w:rsid w:val="73A55074"/>
    <w:rsid w:val="73BC418E"/>
    <w:rsid w:val="73FE5E13"/>
    <w:rsid w:val="74CB28DA"/>
    <w:rsid w:val="74FC0C2B"/>
    <w:rsid w:val="75CF1D8A"/>
    <w:rsid w:val="75F33DF9"/>
    <w:rsid w:val="77F95315"/>
    <w:rsid w:val="781A4E5C"/>
    <w:rsid w:val="79402441"/>
    <w:rsid w:val="798706BD"/>
    <w:rsid w:val="7A0B3779"/>
    <w:rsid w:val="7A7E3F4B"/>
    <w:rsid w:val="7AD73D87"/>
    <w:rsid w:val="7B486307"/>
    <w:rsid w:val="7BB44B13"/>
    <w:rsid w:val="7D586EF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customStyle="1" w:styleId="2">
    <w:name w:val="A样式 小四 行距: 1.5 倍行距 首行缩进:  2 字符"/>
    <w:basedOn w:val="1"/>
    <w:qFormat/>
    <w:uiPriority w:val="0"/>
    <w:pPr>
      <w:ind w:firstLine="480"/>
      <w:jc w:val="both"/>
    </w:pPr>
    <w:rPr>
      <w:rFonts w:ascii="Calibri" w:hAnsi="Calibri" w:eastAsia="华文仿宋" w:cs="宋体"/>
      <w:sz w:val="30"/>
      <w:szCs w:val="22"/>
    </w:rPr>
  </w:style>
  <w:style w:type="paragraph" w:styleId="4">
    <w:name w:val="Body Text"/>
    <w:basedOn w:val="1"/>
    <w:next w:val="5"/>
    <w:autoRedefine/>
    <w:qFormat/>
    <w:uiPriority w:val="0"/>
    <w:pPr>
      <w:jc w:val="center"/>
    </w:pPr>
    <w:rPr>
      <w:sz w:val="24"/>
    </w:rPr>
  </w:style>
  <w:style w:type="paragraph" w:customStyle="1" w:styleId="5">
    <w:name w:val="Default"/>
    <w:autoRedefine/>
    <w:qFormat/>
    <w:uiPriority w:val="0"/>
    <w:pPr>
      <w:widowControl w:val="0"/>
      <w:autoSpaceDE w:val="0"/>
      <w:autoSpaceDN w:val="0"/>
      <w:adjustRightInd w:val="0"/>
    </w:pPr>
    <w:rPr>
      <w:rFonts w:hint="eastAsia" w:ascii="文星仿宋..嬀." w:hAnsi="文星仿宋..嬀." w:eastAsia="文星仿宋..嬀." w:cs="Times New Roman"/>
      <w:color w:val="000000"/>
      <w:sz w:val="24"/>
      <w:szCs w:val="22"/>
      <w:lang w:val="en-US" w:eastAsia="zh-CN" w:bidi="ar-SA"/>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Body Text First Indent"/>
    <w:basedOn w:val="4"/>
    <w:qFormat/>
    <w:uiPriority w:val="0"/>
    <w:pPr>
      <w:ind w:firstLine="482"/>
    </w:pPr>
    <w:rPr>
      <w:rFonts w:ascii="Times New Roman" w:hAnsi="Times New Roman" w:eastAsia="Arial Unicode MS" w:cs="Times New Roman"/>
      <w:sz w:val="24"/>
      <w:szCs w:val="20"/>
    </w:rPr>
  </w:style>
  <w:style w:type="table" w:customStyle="1" w:styleId="13">
    <w:name w:val="Table Normal"/>
    <w:semiHidden/>
    <w:unhideWhenUsed/>
    <w:qFormat/>
    <w:uiPriority w:val="0"/>
    <w:tblPr>
      <w:tblCellMar>
        <w:top w:w="0" w:type="dxa"/>
        <w:left w:w="0" w:type="dxa"/>
        <w:bottom w:w="0" w:type="dxa"/>
        <w:right w:w="0" w:type="dxa"/>
      </w:tblCellMar>
    </w:tbl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customStyle="1" w:styleId="16">
    <w:name w:val="WPSOffice手动目录 3"/>
    <w:qFormat/>
    <w:uiPriority w:val="0"/>
    <w:pPr>
      <w:ind w:leftChars="400"/>
    </w:pPr>
    <w:rPr>
      <w:rFonts w:ascii="Times New Roman" w:hAnsi="Times New Roman" w:eastAsia="宋体" w:cs="Times New Roman"/>
      <w:sz w:val="20"/>
      <w:szCs w:val="20"/>
    </w:rPr>
  </w:style>
  <w:style w:type="paragraph" w:customStyle="1" w:styleId="17">
    <w:name w:val="样式1"/>
    <w:basedOn w:val="1"/>
    <w:qFormat/>
    <w:uiPriority w:val="0"/>
    <w:pPr>
      <w:spacing w:line="500" w:lineRule="atLeast"/>
      <w:ind w:firstLine="200" w:firstLineChars="200"/>
    </w:pPr>
    <w:rPr>
      <w:sz w:val="28"/>
      <w:szCs w:val="24"/>
    </w:rPr>
  </w:style>
  <w:style w:type="character" w:customStyle="1" w:styleId="18">
    <w:name w:val="font01"/>
    <w:basedOn w:val="12"/>
    <w:qFormat/>
    <w:uiPriority w:val="0"/>
    <w:rPr>
      <w:rFonts w:hint="eastAsia" w:ascii="宋体" w:hAnsi="宋体" w:eastAsia="宋体" w:cs="宋体"/>
      <w:color w:val="000000"/>
      <w:sz w:val="22"/>
      <w:szCs w:val="22"/>
      <w:u w:val="none"/>
    </w:rPr>
  </w:style>
  <w:style w:type="character" w:customStyle="1" w:styleId="19">
    <w:name w:val="font21"/>
    <w:basedOn w:val="12"/>
    <w:qFormat/>
    <w:uiPriority w:val="0"/>
    <w:rPr>
      <w:rFonts w:hint="default" w:ascii="Arial" w:hAnsi="Arial" w:cs="Arial"/>
      <w:b/>
      <w:bCs/>
      <w:color w:val="000000"/>
      <w:sz w:val="20"/>
      <w:szCs w:val="20"/>
      <w:u w:val="none"/>
    </w:rPr>
  </w:style>
  <w:style w:type="character" w:customStyle="1" w:styleId="20">
    <w:name w:val="font31"/>
    <w:basedOn w:val="12"/>
    <w:qFormat/>
    <w:uiPriority w:val="0"/>
    <w:rPr>
      <w:rFonts w:hint="default"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1.xml"/><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jpe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GIF"/><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69</Pages>
  <Words>26769</Words>
  <Characters>37379</Characters>
  <TotalTime>0</TotalTime>
  <ScaleCrop>false</ScaleCrop>
  <LinksUpToDate>false</LinksUpToDate>
  <CharactersWithSpaces>37733</CharactersWithSpaces>
  <Application>WPS Office_12.1.0.16388_F1E327BC-269C-435d-A152-05C5408002CA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2022-08-24T09:21:00Z</dcterms:created>
  <dc:creator>Kingsoft-PDF</dc:creator>
  <cp:keywords>63057cf7435cc200155ced07</cp:keywords>
  <cp:lastModifiedBy>覆水难收</cp:lastModifiedBy>
  <dcterms:modified xsi:type="dcterms:W3CDTF">2024-03-11T08:22:13Z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2022-08-24T09:22:18Z</vt:filetime>
  </property>
  <property fmtid="{D5CDD505-2E9C-101B-9397-08002B2CF9AE}" pid="4" name="KSOProductBuildVer">
    <vt:lpwstr>2052-12.1.0.16388</vt:lpwstr>
  </property>
  <property fmtid="{D5CDD505-2E9C-101B-9397-08002B2CF9AE}" pid="5" name="ICV">
    <vt:lpwstr>580CF0C69F3D4E4F8E3537A937A2C66B_13</vt:lpwstr>
  </property>
</Properties>
</file>