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146" w:line="360" w:lineRule="auto"/>
        <w:jc w:val="cente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t>磴口县</w:t>
      </w:r>
    </w:p>
    <w:p>
      <w:pPr>
        <w:spacing w:before="146" w:line="360" w:lineRule="auto"/>
        <w:jc w:val="cente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0"/>
          <w:sz w:val="52"/>
          <w:szCs w:val="52"/>
          <w:highlight w:val="none"/>
          <w:lang w:eastAsia="zh-CN"/>
          <w14:textOutline w14:w="8166" w14:cap="flat" w14:cmpd="sng">
            <w14:solidFill>
              <w14:srgbClr w14:val="000000"/>
            </w14:solidFill>
            <w14:prstDash w14:val="solid"/>
            <w14:miter w14:val="0"/>
          </w14:textOutline>
        </w:rPr>
        <w:t>阿尔阿布海(沃门阿布湖)</w:t>
      </w: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岸线保护</w:t>
      </w:r>
    </w:p>
    <w:p>
      <w:pPr>
        <w:spacing w:before="146" w:line="360" w:lineRule="auto"/>
        <w:jc w:val="center"/>
        <w:rPr>
          <w:rFonts w:hint="eastAsia" w:ascii="华文行楷" w:hAnsi="华文行楷" w:eastAsia="华文行楷" w:cs="华文行楷"/>
          <w:color w:val="auto"/>
          <w:sz w:val="52"/>
          <w:szCs w:val="52"/>
          <w:highlight w:val="none"/>
        </w:rPr>
      </w:pP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与利用规划</w:t>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r>
        <w:rPr>
          <w:rFonts w:hint="eastAsia"/>
          <w:color w:val="auto"/>
          <w:sz w:val="28"/>
          <w:szCs w:val="28"/>
          <w:lang w:val="en-US" w:eastAsia="zh-CN"/>
        </w:rPr>
        <w:drawing>
          <wp:anchor distT="0" distB="0" distL="114300" distR="114300" simplePos="0" relativeHeight="251675648" behindDoc="0" locked="0" layoutInCell="1" allowOverlap="1">
            <wp:simplePos x="0" y="0"/>
            <wp:positionH relativeFrom="column">
              <wp:posOffset>2039620</wp:posOffset>
            </wp:positionH>
            <wp:positionV relativeFrom="paragraph">
              <wp:posOffset>86360</wp:posOffset>
            </wp:positionV>
            <wp:extent cx="1608455" cy="1567180"/>
            <wp:effectExtent l="0" t="0" r="0" b="52070"/>
            <wp:wrapNone/>
            <wp:docPr id="1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
                    <pic:cNvPicPr>
                      <a:picLocks noChangeAspect="1"/>
                    </pic:cNvPicPr>
                  </pic:nvPicPr>
                  <pic:blipFill>
                    <a:blip r:embed="rId24"/>
                    <a:srcRect l="10503" t="13434" r="12621" b="15811"/>
                    <a:stretch>
                      <a:fillRect/>
                    </a:stretch>
                  </pic:blipFill>
                  <pic:spPr>
                    <a:xfrm rot="20520000">
                      <a:off x="0" y="0"/>
                      <a:ext cx="1608455" cy="1567180"/>
                    </a:xfrm>
                    <a:prstGeom prst="rect">
                      <a:avLst/>
                    </a:prstGeom>
                    <a:noFill/>
                    <a:ln>
                      <a:noFill/>
                    </a:ln>
                  </pic:spPr>
                </pic:pic>
              </a:graphicData>
            </a:graphic>
          </wp:anchor>
        </w:drawing>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97" w:line="221" w:lineRule="auto"/>
        <w:ind w:left="92" w:leftChars="44" w:firstLine="6" w:firstLineChars="0"/>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pacing w:val="8"/>
          <w:sz w:val="32"/>
          <w:szCs w:val="32"/>
          <w:highlight w:val="none"/>
        </w:rPr>
        <w:t>巴彦淖尔市</w:t>
      </w:r>
      <w:r>
        <w:rPr>
          <w:rFonts w:hint="eastAsia" w:ascii="仿宋" w:hAnsi="仿宋" w:eastAsia="仿宋" w:cs="仿宋"/>
          <w:b/>
          <w:bCs/>
          <w:color w:val="auto"/>
          <w:spacing w:val="8"/>
          <w:sz w:val="32"/>
          <w:szCs w:val="32"/>
          <w:highlight w:val="none"/>
          <w:lang w:eastAsia="zh-CN"/>
        </w:rPr>
        <w:t>鑫宇水利水电勘察设计有限公司</w:t>
      </w:r>
    </w:p>
    <w:p>
      <w:pPr>
        <w:spacing w:line="331" w:lineRule="auto"/>
        <w:rPr>
          <w:rFonts w:hint="eastAsia" w:ascii="仿宋" w:hAnsi="仿宋" w:eastAsia="仿宋" w:cs="仿宋"/>
          <w:b/>
          <w:bCs/>
          <w:color w:val="auto"/>
          <w:sz w:val="32"/>
          <w:szCs w:val="32"/>
          <w:highlight w:val="none"/>
        </w:rPr>
      </w:pPr>
    </w:p>
    <w:p>
      <w:pPr>
        <w:spacing w:before="97" w:line="221" w:lineRule="auto"/>
        <w:ind w:left="80" w:leftChars="0" w:hanging="80" w:hangingChars="27"/>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pacing w:val="-13"/>
          <w:sz w:val="32"/>
          <w:szCs w:val="32"/>
          <w:highlight w:val="none"/>
        </w:rPr>
        <w:t>二0二</w:t>
      </w:r>
      <w:r>
        <w:rPr>
          <w:rFonts w:hint="eastAsia" w:ascii="仿宋" w:hAnsi="仿宋" w:eastAsia="仿宋" w:cs="仿宋"/>
          <w:b/>
          <w:bCs/>
          <w:color w:val="auto"/>
          <w:spacing w:val="-13"/>
          <w:sz w:val="32"/>
          <w:szCs w:val="32"/>
          <w:highlight w:val="none"/>
          <w:lang w:eastAsia="zh-CN"/>
        </w:rPr>
        <w:t>三</w:t>
      </w:r>
      <w:r>
        <w:rPr>
          <w:rFonts w:hint="eastAsia" w:ascii="仿宋" w:hAnsi="仿宋" w:eastAsia="仿宋" w:cs="仿宋"/>
          <w:b/>
          <w:bCs/>
          <w:color w:val="auto"/>
          <w:spacing w:val="-13"/>
          <w:sz w:val="32"/>
          <w:szCs w:val="32"/>
          <w:highlight w:val="none"/>
        </w:rPr>
        <w:t>年</w:t>
      </w:r>
      <w:r>
        <w:rPr>
          <w:rFonts w:hint="eastAsia" w:ascii="仿宋" w:hAnsi="仿宋" w:eastAsia="仿宋" w:cs="仿宋"/>
          <w:b/>
          <w:bCs/>
          <w:color w:val="auto"/>
          <w:spacing w:val="-13"/>
          <w:sz w:val="32"/>
          <w:szCs w:val="32"/>
          <w:highlight w:val="none"/>
          <w:lang w:eastAsia="zh-CN"/>
        </w:rPr>
        <w:t>九</w:t>
      </w:r>
      <w:r>
        <w:rPr>
          <w:rFonts w:hint="eastAsia" w:ascii="仿宋" w:hAnsi="仿宋" w:eastAsia="仿宋" w:cs="仿宋"/>
          <w:b/>
          <w:bCs/>
          <w:color w:val="auto"/>
          <w:spacing w:val="-13"/>
          <w:sz w:val="32"/>
          <w:szCs w:val="32"/>
          <w:highlight w:val="none"/>
        </w:rPr>
        <w:t>月</w:t>
      </w: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pPr>
      <w:r>
        <w:drawing>
          <wp:inline distT="0" distB="0" distL="114300" distR="114300">
            <wp:extent cx="5371465" cy="7814945"/>
            <wp:effectExtent l="0" t="0" r="63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371465" cy="781494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10"/>
        <w:ind w:left="0" w:leftChars="0" w:firstLine="0" w:firstLineChars="0"/>
      </w:pPr>
      <w:r>
        <w:drawing>
          <wp:inline distT="0" distB="0" distL="114300" distR="114300">
            <wp:extent cx="5675630" cy="7448550"/>
            <wp:effectExtent l="0" t="0" r="127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675630" cy="7448550"/>
                    </a:xfrm>
                    <a:prstGeom prst="rect">
                      <a:avLst/>
                    </a:prstGeom>
                    <a:noFill/>
                    <a:ln>
                      <a:noFill/>
                    </a:ln>
                  </pic:spPr>
                </pic:pic>
              </a:graphicData>
            </a:graphic>
          </wp:inline>
        </w:drawing>
      </w:r>
    </w:p>
    <w:p>
      <w:pPr>
        <w:pStyle w:val="10"/>
        <w:ind w:left="0" w:leftChars="0" w:firstLine="0" w:firstLineChars="0"/>
      </w:pPr>
      <w:r>
        <w:drawing>
          <wp:inline distT="0" distB="0" distL="114300" distR="114300">
            <wp:extent cx="5371465" cy="7415530"/>
            <wp:effectExtent l="0" t="0" r="63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7"/>
                    <a:stretch>
                      <a:fillRect/>
                    </a:stretch>
                  </pic:blipFill>
                  <pic:spPr>
                    <a:xfrm>
                      <a:off x="0" y="0"/>
                      <a:ext cx="5371465" cy="7415530"/>
                    </a:xfrm>
                    <a:prstGeom prst="rect">
                      <a:avLst/>
                    </a:prstGeom>
                    <a:noFill/>
                    <a:ln>
                      <a:noFill/>
                    </a:ln>
                  </pic:spPr>
                </pic:pic>
              </a:graphicData>
            </a:graphic>
          </wp:inline>
        </w:drawing>
      </w:r>
    </w:p>
    <w:p>
      <w:pPr>
        <w:pStyle w:val="10"/>
        <w:ind w:left="0" w:leftChars="0" w:firstLine="0" w:firstLineChars="0"/>
        <w:sectPr>
          <w:pgSz w:w="12090" w:h="16970"/>
          <w:pgMar w:top="1700" w:right="1813" w:bottom="0" w:left="1813" w:header="227" w:footer="850" w:gutter="0"/>
          <w:pgNumType w:fmt="decimal"/>
          <w:cols w:space="720" w:num="1"/>
        </w:sectPr>
      </w:pPr>
    </w:p>
    <w:p>
      <w:pPr>
        <w:spacing w:line="480" w:lineRule="auto"/>
        <w:ind w:left="214" w:leftChars="95" w:hanging="15" w:hangingChars="5"/>
        <w:rPr>
          <w:rFonts w:hint="eastAsia"/>
          <w:b/>
          <w:bCs/>
          <w:color w:val="auto"/>
          <w:sz w:val="30"/>
          <w:szCs w:val="30"/>
          <w:highlight w:val="none"/>
          <w:lang w:val="en-US" w:eastAsia="zh-CN"/>
        </w:rPr>
      </w:pPr>
      <w:r>
        <w:rPr>
          <w:b/>
          <w:bCs/>
          <w:color w:val="auto"/>
          <w:sz w:val="30"/>
          <w:szCs w:val="30"/>
          <w:highlight w:val="none"/>
        </w:rPr>
        <w:t>工程名称</w:t>
      </w:r>
      <w:r>
        <w:rPr>
          <w:rFonts w:hint="eastAsia"/>
          <w:b/>
          <w:bCs/>
          <w:color w:val="auto"/>
          <w:sz w:val="30"/>
          <w:szCs w:val="30"/>
          <w:highlight w:val="none"/>
        </w:rPr>
        <w:t>：</w:t>
      </w:r>
      <w:r>
        <w:rPr>
          <w:rFonts w:hint="eastAsia"/>
          <w:b/>
          <w:bCs/>
          <w:color w:val="auto"/>
          <w:sz w:val="30"/>
          <w:szCs w:val="30"/>
          <w:highlight w:val="none"/>
          <w:lang w:val="en-US" w:eastAsia="zh-CN"/>
        </w:rPr>
        <w:t>磴口县阿尔阿布海(沃门阿布湖)岸线保护与利用规划</w:t>
      </w:r>
    </w:p>
    <w:p>
      <w:pPr>
        <w:spacing w:line="480" w:lineRule="auto"/>
        <w:ind w:left="1416" w:leftChars="101" w:hanging="1204" w:hangingChars="401"/>
        <w:rPr>
          <w:b/>
          <w:bCs/>
          <w:color w:val="auto"/>
          <w:sz w:val="30"/>
          <w:szCs w:val="30"/>
          <w:highlight w:val="none"/>
        </w:rPr>
      </w:pPr>
      <w:r>
        <w:rPr>
          <w:b/>
          <w:bCs/>
          <w:color w:val="auto"/>
          <w:sz w:val="30"/>
          <w:szCs w:val="30"/>
          <w:highlight w:val="none"/>
        </w:rPr>
        <w:t>资质证书：水利行业</w:t>
      </w:r>
      <w:r>
        <w:rPr>
          <w:rFonts w:hint="eastAsia"/>
          <w:b/>
          <w:bCs/>
          <w:color w:val="auto"/>
          <w:sz w:val="30"/>
          <w:szCs w:val="30"/>
          <w:highlight w:val="none"/>
        </w:rPr>
        <w:t>丙</w:t>
      </w:r>
      <w:r>
        <w:rPr>
          <w:b/>
          <w:bCs/>
          <w:color w:val="auto"/>
          <w:sz w:val="30"/>
          <w:szCs w:val="30"/>
          <w:highlight w:val="none"/>
        </w:rPr>
        <w:t>级</w:t>
      </w:r>
    </w:p>
    <w:p>
      <w:pPr>
        <w:spacing w:line="480" w:lineRule="auto"/>
        <w:ind w:left="1416" w:leftChars="101" w:hanging="1204" w:hangingChars="401"/>
        <w:rPr>
          <w:b/>
          <w:bCs/>
          <w:color w:val="auto"/>
          <w:sz w:val="30"/>
          <w:szCs w:val="30"/>
          <w:highlight w:val="none"/>
        </w:rPr>
      </w:pPr>
      <w:r>
        <w:rPr>
          <w:b/>
          <w:bCs/>
          <w:color w:val="auto"/>
          <w:sz w:val="30"/>
          <w:szCs w:val="30"/>
          <w:highlight w:val="none"/>
        </w:rPr>
        <w:t>证书编号：</w:t>
      </w:r>
      <w:r>
        <w:rPr>
          <w:rFonts w:hint="eastAsia"/>
          <w:b/>
          <w:bCs/>
          <w:color w:val="auto"/>
          <w:sz w:val="30"/>
          <w:szCs w:val="30"/>
          <w:highlight w:val="none"/>
        </w:rPr>
        <w:t>A215005646</w:t>
      </w:r>
    </w:p>
    <w:p>
      <w:pPr>
        <w:spacing w:line="480" w:lineRule="auto"/>
        <w:ind w:left="1416" w:leftChars="101" w:hanging="1204" w:hangingChars="401"/>
        <w:rPr>
          <w:b/>
          <w:bCs/>
          <w:color w:val="auto"/>
          <w:sz w:val="30"/>
          <w:szCs w:val="30"/>
          <w:highlight w:val="none"/>
        </w:rPr>
      </w:pPr>
      <w:r>
        <w:rPr>
          <w:b/>
          <w:bCs/>
          <w:color w:val="auto"/>
          <w:sz w:val="30"/>
          <w:szCs w:val="30"/>
          <w:highlight w:val="none"/>
        </w:rPr>
        <w:t>完成时间：20</w:t>
      </w:r>
      <w:r>
        <w:rPr>
          <w:rFonts w:hint="eastAsia"/>
          <w:b/>
          <w:bCs/>
          <w:color w:val="auto"/>
          <w:sz w:val="30"/>
          <w:szCs w:val="30"/>
          <w:highlight w:val="none"/>
        </w:rPr>
        <w:t>22</w:t>
      </w:r>
      <w:r>
        <w:rPr>
          <w:rFonts w:hint="eastAsia" w:eastAsia="宋体"/>
          <w:b/>
          <w:bCs/>
          <w:color w:val="auto"/>
          <w:sz w:val="30"/>
          <w:szCs w:val="30"/>
          <w:highlight w:val="none"/>
          <w:lang w:val="en-US" w:eastAsia="zh-CN"/>
        </w:rPr>
        <w:t>3</w:t>
      </w:r>
      <w:r>
        <w:rPr>
          <w:b/>
          <w:bCs/>
          <w:color w:val="auto"/>
          <w:sz w:val="30"/>
          <w:szCs w:val="30"/>
          <w:highlight w:val="none"/>
        </w:rPr>
        <w:t>年</w:t>
      </w:r>
      <w:r>
        <w:rPr>
          <w:rFonts w:hint="eastAsia" w:eastAsia="宋体"/>
          <w:b/>
          <w:bCs/>
          <w:color w:val="auto"/>
          <w:sz w:val="30"/>
          <w:szCs w:val="30"/>
          <w:highlight w:val="none"/>
          <w:lang w:val="en-US" w:eastAsia="zh-CN"/>
        </w:rPr>
        <w:t>9</w:t>
      </w:r>
      <w:r>
        <w:rPr>
          <w:b/>
          <w:bCs/>
          <w:color w:val="auto"/>
          <w:sz w:val="30"/>
          <w:szCs w:val="30"/>
          <w:highlight w:val="none"/>
        </w:rPr>
        <w:t>月</w:t>
      </w:r>
    </w:p>
    <w:p>
      <w:pPr>
        <w:ind w:firstLine="562"/>
        <w:rPr>
          <w:b/>
          <w:bCs/>
          <w:color w:val="auto"/>
          <w:szCs w:val="28"/>
          <w:highlight w:val="none"/>
        </w:rPr>
      </w:pPr>
    </w:p>
    <w:tbl>
      <w:tblPr>
        <w:tblStyle w:val="11"/>
        <w:tblW w:w="0" w:type="auto"/>
        <w:jc w:val="center"/>
        <w:tblLayout w:type="fixed"/>
        <w:tblCellMar>
          <w:top w:w="0" w:type="dxa"/>
          <w:left w:w="108" w:type="dxa"/>
          <w:bottom w:w="0" w:type="dxa"/>
          <w:right w:w="108" w:type="dxa"/>
        </w:tblCellMar>
      </w:tblPr>
      <w:tblGrid>
        <w:gridCol w:w="2268"/>
        <w:gridCol w:w="1276"/>
        <w:gridCol w:w="1276"/>
        <w:gridCol w:w="922"/>
        <w:gridCol w:w="937"/>
        <w:gridCol w:w="1803"/>
      </w:tblGrid>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b/>
                <w:color w:val="auto"/>
                <w:sz w:val="30"/>
                <w:szCs w:val="30"/>
                <w:highlight w:val="none"/>
              </w:rPr>
            </w:pPr>
            <w:r>
              <w:rPr>
                <w:rFonts w:hint="eastAsia"/>
                <w:b/>
                <w:color w:val="auto"/>
                <w:sz w:val="30"/>
                <w:szCs w:val="30"/>
                <w:highlight w:val="none"/>
              </w:rPr>
              <w:t>批准：</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审定：</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审查：</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729615" cy="436245"/>
                  <wp:effectExtent l="0" t="0" r="1333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729615" cy="43624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rFonts w:hint="eastAsia" w:eastAsia="宋体"/>
                <w:color w:val="auto"/>
                <w:highlight w:val="none"/>
                <w:lang w:eastAsia="zh-CN"/>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项目负责人：</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637540" cy="466725"/>
                  <wp:effectExtent l="0" t="0" r="1016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637540" cy="4667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rFonts w:ascii="Arial" w:hAnsi="Arial" w:eastAsia="Arial" w:cs="Arial"/>
                <w:snapToGrid w:val="0"/>
                <w:color w:val="auto"/>
                <w:kern w:val="0"/>
                <w:sz w:val="30"/>
                <w:szCs w:val="30"/>
                <w:highlight w:val="none"/>
              </w:rPr>
            </w:pPr>
            <w:r>
              <w:rPr>
                <w:rFonts w:hint="eastAsia"/>
                <w:b/>
                <w:color w:val="auto"/>
                <w:sz w:val="30"/>
                <w:szCs w:val="30"/>
                <w:highlight w:val="none"/>
              </w:rPr>
              <w:t>编写：</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eastAsia="zh-CN"/>
              </w:rPr>
            </w:pPr>
            <w:r>
              <w:rPr>
                <w:rFonts w:hint="eastAsia"/>
                <w:color w:val="auto"/>
                <w:sz w:val="30"/>
                <w:szCs w:val="30"/>
                <w:highlight w:val="none"/>
                <w:lang w:eastAsia="zh-CN"/>
              </w:rPr>
              <w:t>康鑫</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val="en-US" w:eastAsia="zh-CN"/>
              </w:rPr>
            </w:pPr>
            <w:r>
              <w:rPr>
                <w:rFonts w:hint="eastAsia" w:eastAsia="宋体"/>
                <w:color w:val="auto"/>
                <w:sz w:val="30"/>
                <w:szCs w:val="30"/>
                <w:highlight w:val="none"/>
                <w:lang w:val="en-US" w:eastAsia="zh-CN"/>
              </w:rPr>
              <w:t>孙爱民</w:t>
            </w:r>
          </w:p>
        </w:tc>
        <w:tc>
          <w:tcPr>
            <w:tcW w:w="922" w:type="dxa"/>
            <w:vAlign w:val="center"/>
          </w:tcPr>
          <w:p>
            <w:pPr>
              <w:spacing w:line="240" w:lineRule="auto"/>
              <w:ind w:firstLine="0" w:firstLineChars="0"/>
              <w:jc w:val="both"/>
              <w:rPr>
                <w:rFonts w:ascii="Arial" w:hAnsi="Arial" w:eastAsia="Arial" w:cs="Arial"/>
                <w:snapToGrid w:val="0"/>
                <w:color w:val="auto"/>
                <w:kern w:val="0"/>
                <w:sz w:val="30"/>
                <w:szCs w:val="30"/>
                <w:highlight w:val="none"/>
              </w:rPr>
            </w:pPr>
            <w:r>
              <w:rPr>
                <w:rFonts w:hint="eastAsia"/>
                <w:color w:val="auto"/>
                <w:sz w:val="30"/>
                <w:szCs w:val="30"/>
                <w:highlight w:val="none"/>
              </w:rPr>
              <w:t>彭阳</w:t>
            </w:r>
          </w:p>
        </w:tc>
        <w:tc>
          <w:tcPr>
            <w:tcW w:w="937" w:type="dxa"/>
            <w:vAlign w:val="center"/>
          </w:tcPr>
          <w:p>
            <w:pPr>
              <w:spacing w:line="240" w:lineRule="auto"/>
              <w:ind w:firstLine="0" w:firstLineChars="0"/>
              <w:jc w:val="left"/>
              <w:rPr>
                <w:b w:val="0"/>
                <w:bCs/>
                <w:color w:val="auto"/>
                <w:sz w:val="30"/>
                <w:szCs w:val="30"/>
                <w:highlight w:val="none"/>
              </w:rPr>
            </w:pPr>
            <w:r>
              <w:rPr>
                <w:rFonts w:hint="eastAsia"/>
                <w:b w:val="0"/>
                <w:bCs/>
                <w:color w:val="auto"/>
                <w:sz w:val="30"/>
                <w:szCs w:val="30"/>
                <w:highlight w:val="none"/>
              </w:rPr>
              <w:t>郭芳</w:t>
            </w:r>
          </w:p>
        </w:tc>
        <w:tc>
          <w:tcPr>
            <w:tcW w:w="1803" w:type="dxa"/>
            <w:vAlign w:val="center"/>
          </w:tcPr>
          <w:p>
            <w:pPr>
              <w:spacing w:line="240" w:lineRule="auto"/>
              <w:ind w:firstLine="0" w:firstLineChars="0"/>
              <w:rPr>
                <w:b w:val="0"/>
                <w:bCs/>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rPr>
                <w:b/>
                <w:color w:val="auto"/>
                <w:sz w:val="30"/>
                <w:szCs w:val="30"/>
                <w:highlight w:val="none"/>
              </w:rPr>
            </w:pPr>
          </w:p>
        </w:tc>
        <w:tc>
          <w:tcPr>
            <w:tcW w:w="937" w:type="dxa"/>
            <w:vAlign w:val="center"/>
          </w:tcPr>
          <w:p>
            <w:pPr>
              <w:spacing w:line="240" w:lineRule="auto"/>
              <w:ind w:firstLine="0" w:firstLineChars="0"/>
              <w:jc w:val="center"/>
              <w:rPr>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jc w:val="center"/>
              <w:rPr>
                <w:b/>
                <w:color w:val="auto"/>
                <w:sz w:val="30"/>
                <w:szCs w:val="30"/>
                <w:highlight w:val="none"/>
              </w:rPr>
            </w:pPr>
          </w:p>
        </w:tc>
        <w:tc>
          <w:tcPr>
            <w:tcW w:w="937" w:type="dxa"/>
            <w:vAlign w:val="center"/>
          </w:tcPr>
          <w:p>
            <w:pPr>
              <w:spacing w:line="240" w:lineRule="auto"/>
              <w:ind w:firstLine="0" w:firstLineChars="0"/>
              <w:jc w:val="center"/>
              <w:rPr>
                <w:b/>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bl>
    <w:p>
      <w:pPr>
        <w:spacing w:before="101"/>
        <w:ind w:left="963"/>
        <w:rPr>
          <w:rFonts w:ascii="仿宋" w:hAnsi="仿宋" w:eastAsia="仿宋" w:cs="仿宋"/>
          <w:color w:val="auto"/>
          <w:spacing w:val="-12"/>
          <w:sz w:val="32"/>
          <w:szCs w:val="32"/>
          <w:highlight w:val="none"/>
        </w:rPr>
      </w:pPr>
    </w:p>
    <w:p>
      <w:pPr>
        <w:spacing w:before="101"/>
        <w:ind w:left="963"/>
        <w:rPr>
          <w:rFonts w:ascii="仿宋" w:hAnsi="仿宋" w:eastAsia="仿宋" w:cs="仿宋"/>
          <w:color w:val="auto"/>
          <w:spacing w:val="-12"/>
          <w:sz w:val="32"/>
          <w:szCs w:val="32"/>
          <w:highlight w:val="none"/>
        </w:rPr>
        <w:sectPr>
          <w:footerReference r:id="rId5" w:type="default"/>
          <w:pgSz w:w="11910" w:h="16850"/>
          <w:pgMar w:top="1432" w:right="1786" w:bottom="0" w:left="1786" w:header="1134" w:footer="567" w:gutter="0"/>
          <w:pgNumType w:fmt="decimal" w:start="1"/>
          <w:cols w:space="720" w:num="1"/>
        </w:sectPr>
      </w:pPr>
    </w:p>
    <w:p>
      <w:pPr>
        <w:spacing w:before="101" w:line="360" w:lineRule="auto"/>
        <w:ind w:left="3998"/>
        <w:rPr>
          <w:rFonts w:hint="eastAsia" w:ascii="宋体" w:hAnsi="宋体" w:eastAsia="宋体" w:cs="宋体"/>
          <w:color w:val="auto"/>
          <w:sz w:val="28"/>
          <w:szCs w:val="28"/>
          <w:highlight w:val="none"/>
        </w:rPr>
      </w:pPr>
      <w:r>
        <w:rPr>
          <w:rFonts w:hint="eastAsia" w:ascii="宋体" w:hAnsi="宋体" w:eastAsia="宋体" w:cs="宋体"/>
          <w:color w:val="auto"/>
          <w:spacing w:val="12"/>
          <w:sz w:val="28"/>
          <w:szCs w:val="28"/>
          <w:highlight w:val="none"/>
        </w:rPr>
        <w:t>前</w:t>
      </w:r>
      <w:r>
        <w:rPr>
          <w:rFonts w:hint="eastAsia" w:ascii="宋体" w:hAnsi="宋体" w:eastAsia="宋体" w:cs="宋体"/>
          <w:color w:val="auto"/>
          <w:spacing w:val="11"/>
          <w:sz w:val="28"/>
          <w:szCs w:val="28"/>
          <w:highlight w:val="none"/>
        </w:rPr>
        <w:t xml:space="preserve"> 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2016年10月11日，中央全面深化改革领导小组第二十八次会议审议通过了《关于全面推行河长制的意见》(以下简称《意见》)《意见》指出，要加强河湖水域岸线管理保护。严格水域岸线等水生态空间管控，依法划定河湖管理范围，落实规划岸线分区管理要求，强化岸线保护和集约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2017年5月30日，为深入贯彻落实中共中央办公厅、国务院办公厅《意见》精神，进一步加强全区河湖管理保护工作，落实地方属地主体责任，建立健全河湖管理保护长效体制机制，内蒙古自治区党委办公厅、政府办公厅印发了《内蒙古自治区全面推行河长制工作方案》,并提出“严格水域岸线等水生态空间管控，依法划定河湖 管理范围。贯彻落实《内蒙古自治区水工程管理保护办法》和《内蒙古自治区水工程管理和保护范围划定标准》,到2020年基本完成河湖管理范围和国有水利工程管理保护范围划定工作，明确管理范围，设立界桩、管理和保护标志，并依法依规逐步确定河湖管理范围内的土地使用权属，逐步建立范围明确、权属清晰、责任落实的河湖管理、水利工程管理保护责任体系。落实规划岸线分区管理要求，强化岸线 保护和节约集约利用。分级负责科学编制主要河湖岸线利用规划，严格划定岸线保 护区、保留区、限制开发区、开发利用区。整治岸线乱占滥用、多占少用、占而不用等问题，恢复河湖水域岸线良好的生态功能。”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yellow"/>
          <w:lang w:val="en-US" w:eastAsia="zh-CN" w:bidi="ar-SA"/>
        </w:rPr>
        <w:t>2020年巴彦淖尔市人民政府办公室关于印发《巴彦淖尔市重点湖泊生态环境保护工作的实施意见》的通知中指出，“将湖泊作为国土空间规划编制的重点，严格落实‘三线一单’硬约束。重点湖泊管理范围划界工作在2020年完成，重点湖泊岸线保护与利用规划在2023年10月底前编制完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受磴口县水利局委托，巴彦淖尔市鑫宇水利水电勘察设计有限公司承担《磴口县阿尔阿布海(沃门阿布湖)岸线保护与利用规划》的编制工作。接受委托后，我公司高度重视，立即抽调各专业力量成立项目组，收集基础资料、进行现场查勘、听取磴口县水利局专家建议和意见，规划编制过程中多次与当地水利局、河长制办公室有关领导和负责项目同志进行积极沟通，了解情况。</w:t>
      </w:r>
    </w:p>
    <w:p>
      <w:pPr>
        <w:rPr>
          <w:color w:val="auto"/>
          <w:highlight w:val="none"/>
        </w:rPr>
        <w:sectPr>
          <w:footerReference r:id="rId6" w:type="default"/>
          <w:pgSz w:w="12210" w:h="17060"/>
          <w:pgMar w:top="1440" w:right="1800" w:bottom="1440" w:left="1800" w:header="1077" w:footer="1020" w:gutter="0"/>
          <w:pgNumType w:fmt="decimal"/>
          <w:cols w:space="720" w:num="1"/>
        </w:sectPr>
      </w:pPr>
    </w:p>
    <w:sdt>
      <w:sdtPr>
        <w:rPr>
          <w:rFonts w:ascii="宋体" w:hAnsi="宋体" w:eastAsia="宋体" w:cs="Arial"/>
          <w:snapToGrid w:val="0"/>
          <w:color w:val="auto"/>
          <w:kern w:val="0"/>
          <w:sz w:val="21"/>
          <w:szCs w:val="21"/>
          <w:highlight w:val="none"/>
        </w:rPr>
        <w:id w:val="147455527"/>
        <w15:color w:val="DBDBDB"/>
        <w:docPartObj>
          <w:docPartGallery w:val="Table of Contents"/>
          <w:docPartUnique/>
        </w:docPartObj>
      </w:sdtPr>
      <w:sdtEndPr>
        <w:rPr>
          <w:rFonts w:ascii="Arial" w:hAnsi="Arial" w:eastAsia="Arial" w:cs="Arial"/>
          <w:b/>
          <w:snapToGrid w:val="0"/>
          <w:color w:val="auto"/>
          <w:kern w:val="0"/>
          <w:sz w:val="21"/>
          <w:szCs w:val="21"/>
          <w:highlight w:val="none"/>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TOC \o "1-2" \h \u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_Toc25986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 </w:t>
          </w:r>
          <w:r>
            <w:rPr>
              <w:rFonts w:hint="eastAsia" w:ascii="宋体" w:hAnsi="宋体" w:eastAsia="宋体" w:cs="宋体"/>
              <w:color w:val="000000" w:themeColor="text1"/>
              <w:sz w:val="28"/>
              <w:szCs w:val="28"/>
              <w:highlight w:val="none"/>
              <w14:textFill>
                <w14:solidFill>
                  <w14:schemeClr w14:val="tx1"/>
                </w14:solidFill>
              </w14:textFill>
            </w:rPr>
            <w:t>基本情况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_Toc25986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_Toc32076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规划背景</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_Toc32076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_Toc26618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湖泊概况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_Toc26618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_Toc4797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水文气象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_Toc4797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1.4 社会经济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_Toc11223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湖泊及涉湖工程现状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_Toc18027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1.6</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相关规划资料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_Toc18027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_Toc29047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1.7</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岸线利用与保护现状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_Toc23593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1.8</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河长组织体系</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_Toc1030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2 岸线保护和利用形势分析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_Toc4676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2.1 岸线利用现状评价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_Toc4676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_Toc23804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2.2 现状岸线管理存在的主要问题</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_Toc23804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_Toc18353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经济社会发展对岸线保护和利用的需求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_Toc18353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岸线保护与利用控制条件分析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_Toc30559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3 编制依据</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_Toc30559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_Toc12808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3.1 法律法规</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_Toc23214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规程规范</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_Toc23214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_Toc6215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政策文件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_Toc6215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_Toc13452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3.4 有关规划</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_Toc13452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_Toc11650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相关技术成果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_Toc11650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_Toc12929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3.6 技术路线</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_Toc2125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4 指导思想与原则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_Toc2125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_Toc31550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4.1 指导思想</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_Toc31550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_Toc7517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_Toc7517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_Toc32352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规划范围及水平年</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_Toc32352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_Toc7337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规划目标及任务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_Toc7337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_Toc30596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5 岸线控制线确定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_Toc30596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_Toc6332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5.1 岸线控制线定义</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_Toc6332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_Toc26349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5.2 岸线控制线划定的原则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_Toc26349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_Toc20801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5.3 岸线划定方法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_Toc5179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5.4 岸线边界线确定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_Toc857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6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_Toc5133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6.1 岸线功能区的划分原则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_Toc30011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6.2 岸线功能区划分的基本要求及方法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_Toc20355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6.3 岸线功能区划分方法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_Toc20355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_Toc24615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6.4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_Toc17655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7 岸线保护与管控</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_Toc17655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功能区管控要求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_Toc13167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岸线边界线管控要求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_Toc13167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_Toc14134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岸线管控能力建设措施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_Toc14134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_Toc11915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岸线保护利用调整要求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_Toc17406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8 环境影响评价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_Toc17406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_Toc18177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8.1 环境保护目标</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_Toc18177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_Toc4823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规划符合性分析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_Toc4823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_Toc5094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8.3 环境影响预测与评价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_Toc5094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_Toc31091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9 保障措施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_Toc31091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9.1 政策、制度保障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_Toc22530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行政管理保障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_Toc22530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_Toc19763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_Toc19763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_Toc30056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9.4 公众参与保障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_Toc30056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_Toc22812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7"/>
              <w:sz w:val="28"/>
              <w:szCs w:val="28"/>
              <w:highlight w:val="none"/>
              <w14:textFill>
                <w14:solidFill>
                  <w14:schemeClr w14:val="tx1"/>
                </w14:solidFill>
              </w14:textFill>
            </w:rPr>
            <w:t>附</w:t>
          </w:r>
          <w:r>
            <w:rPr>
              <w:rFonts w:hint="eastAsia" w:ascii="宋体" w:hAnsi="宋体" w:eastAsia="宋体" w:cs="宋体"/>
              <w:color w:val="000000" w:themeColor="text1"/>
              <w:spacing w:val="6"/>
              <w:sz w:val="28"/>
              <w:szCs w:val="28"/>
              <w:highlight w:val="none"/>
              <w14:textFill>
                <w14:solidFill>
                  <w14:schemeClr w14:val="tx1"/>
                </w14:solidFill>
              </w14:textFill>
            </w:rPr>
            <w:t>表</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_Toc22812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color w:val="auto"/>
              <w:highlight w:val="none"/>
            </w:rPr>
            <w:sectPr>
              <w:footerReference r:id="rId7" w:type="default"/>
              <w:pgSz w:w="12210" w:h="17060"/>
              <w:pgMar w:top="1250" w:right="1831" w:bottom="0" w:left="1831" w:header="1191" w:footer="1191" w:gutter="0"/>
              <w:pgNumType w:fmt="decimal"/>
              <w:cols w:space="720" w:num="1"/>
            </w:sectPr>
          </w:pPr>
          <w:r>
            <w:rPr>
              <w:rFonts w:hint="eastAsia" w:ascii="宋体" w:hAnsi="宋体" w:eastAsia="宋体" w:cs="宋体"/>
              <w:color w:val="000000" w:themeColor="text1"/>
              <w:szCs w:val="28"/>
              <w:highlight w:val="none"/>
              <w14:textFill>
                <w14:solidFill>
                  <w14:schemeClr w14:val="tx1"/>
                </w14:solidFill>
              </w14:textFill>
            </w:rPr>
            <w:fldChar w:fldCharType="end"/>
          </w:r>
        </w:p>
      </w:sdtContent>
    </w:sdt>
    <w:p>
      <w:pPr>
        <w:pStyle w:val="3"/>
        <w:bidi w:val="0"/>
        <w:spacing w:line="240" w:lineRule="auto"/>
        <w:jc w:val="center"/>
        <w:rPr>
          <w:rFonts w:hint="eastAsia" w:ascii="宋体" w:hAnsi="宋体" w:eastAsia="宋体" w:cs="宋体"/>
          <w:color w:val="auto"/>
          <w:sz w:val="32"/>
          <w:szCs w:val="32"/>
          <w:highlight w:val="none"/>
        </w:rPr>
      </w:pPr>
      <w:bookmarkStart w:id="0" w:name="_Toc5665"/>
      <w:bookmarkStart w:id="1" w:name="_Toc25986"/>
      <w:r>
        <w:rPr>
          <w:rFonts w:hint="eastAsia" w:ascii="宋体" w:hAnsi="宋体" w:eastAsia="宋体" w:cs="宋体"/>
          <w:color w:val="auto"/>
          <w:sz w:val="32"/>
          <w:szCs w:val="32"/>
          <w:highlight w:val="none"/>
          <w:lang w:val="en-US" w:eastAsia="zh-CN"/>
        </w:rPr>
        <w:t xml:space="preserve">1 </w:t>
      </w:r>
      <w:r>
        <w:rPr>
          <w:rFonts w:hint="eastAsia" w:ascii="宋体" w:hAnsi="宋体" w:eastAsia="宋体" w:cs="宋体"/>
          <w:color w:val="auto"/>
          <w:sz w:val="32"/>
          <w:szCs w:val="32"/>
          <w:highlight w:val="none"/>
        </w:rPr>
        <w:t>基本情况</w:t>
      </w:r>
      <w:bookmarkEnd w:id="0"/>
      <w:bookmarkEnd w:id="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 w:name="_Toc32076"/>
      <w:bookmarkStart w:id="3" w:name="_Toc967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规划背景</w:t>
      </w:r>
      <w:bookmarkEnd w:id="2"/>
      <w:bookmarkEnd w:id="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岸线既是河湖空间的重要组成，又是服务经济社会发展不可再生的宝贵土地资源，更是维护河势稳定和防洪、供水、生态安全的重要保障。长期以来，由于河湖岸线范围不明，功能界定不清，管理缺乏依据，部分河段岸线开发无序和过渡开发严重，对河湖行(蓄)洪带来不利影响、甚至严重地破坏了河流生态环境。由于缺乏岸线功能区划和管理规定，在岸线利用与保护方面缺乏技术依据也给行政许可和审批带来一定的难度。</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2007年2月，水利部下发了《关于开展河道(湖泊)岸线利用管理规划工作的通知》(水建管〔2007〕67号),要求“在全面开展的流域综合规划修编中，以流域为单位，在全国范围内启动河道(湖泊)岸线利用管理专项规划工作”。2014年2月28日，水利部下发了《关于加强河湖管理工作的指导意见》(水建管〔2014〕76号),要求“各地要认真组织实施国家批准的流域综合规划、流域防洪规划、水资源保护规划、采砂管理规划、岸线利用管理规划等重要规划，要根据国家规划，结合本地河湖管理实际，科学编制相关规划，加强规划对河湖管理的指导和约束作用”。2019年3月，水利部印发了《河湖岸线保护与利用规划编制指南(试行)》(办河湖函〔2019〕394号)确定了岸线保护与利用规划工作的技术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为全面贯彻落实《内蒙古自治区人民政府办公厅关于加强重点湖泊生态环境保护工作的指导意见》,切实加强全市重点湖泊保护管理，有效改善重点湖泊生态环境，促进巴彦淖尔市生态经济协调发展，结合巴彦淖尔市实际，制定了《巴彦淖尔市重点湖泊生态环境保护工作的实施意见》(巴政办发〔2020〕25号)。意见中要求“湖泊作为国土空间规划编制的重点，</w:t>
      </w:r>
      <w:r>
        <w:rPr>
          <w:rFonts w:hint="eastAsia" w:ascii="宋体" w:hAnsi="宋体" w:eastAsia="宋体" w:cs="宋体"/>
          <w:snapToGrid/>
          <w:color w:val="auto"/>
          <w:kern w:val="0"/>
          <w:sz w:val="28"/>
          <w:szCs w:val="28"/>
          <w:highlight w:val="yellow"/>
          <w:lang w:val="en-US" w:eastAsia="zh-CN" w:bidi="ar-SA"/>
        </w:rPr>
        <w:t>严格落实‘三线一单’硬约束。重点湖泊管理范围划界工作在2020年完成，重点湖泊岸线保护与利用规划在2023年10月底前编制完成。”</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 w:name="_Toc26171"/>
      <w:bookmarkStart w:id="5" w:name="_Toc2661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湖泊概况</w:t>
      </w:r>
      <w:bookmarkEnd w:id="4"/>
      <w:bookmarkEnd w:id="5"/>
    </w:p>
    <w:p>
      <w:pPr>
        <w:pStyle w:val="17"/>
        <w:adjustRightInd w:val="0"/>
        <w:snapToGrid w:val="0"/>
        <w:ind w:firstLine="560"/>
        <w:rPr>
          <w:color w:val="000000" w:themeColor="text1"/>
          <w14:textFill>
            <w14:solidFill>
              <w14:schemeClr w14:val="tx1"/>
            </w14:solidFill>
          </w14:textFill>
        </w:rPr>
      </w:pPr>
      <w:r>
        <w:rPr>
          <w:rFonts w:hint="eastAsia"/>
          <w:color w:val="000000" w:themeColor="text1"/>
          <w14:textFill>
            <w14:solidFill>
              <w14:schemeClr w14:val="tx1"/>
            </w14:solidFill>
          </w14:textFill>
        </w:rPr>
        <w:t>阿尔阿布海</w:t>
      </w:r>
      <w:r>
        <w:rPr>
          <w:rFonts w:hint="eastAsia" w:eastAsia="宋体"/>
          <w:color w:val="000000" w:themeColor="text1"/>
          <w:lang w:val="en-US" w:eastAsia="zh-CN"/>
          <w14:textFill>
            <w14:solidFill>
              <w14:schemeClr w14:val="tx1"/>
            </w14:solidFill>
          </w14:textFill>
        </w:rPr>
        <w:t>(沃门阿布湖)</w:t>
      </w:r>
      <w:r>
        <w:rPr>
          <w:rFonts w:hint="eastAsia"/>
          <w:color w:val="000000" w:themeColor="text1"/>
          <w14:textFill>
            <w14:solidFill>
              <w14:schemeClr w14:val="tx1"/>
            </w14:solidFill>
          </w14:textFill>
        </w:rPr>
        <w:t>位于磴口县包尔盖农场境内，东与农垦纳林套海农场为伴，南、北、西三面均与磴口县哈腾苏木为邻。地理坐标：东经106°31′29.43″~106°32′13.09″，北纬40°30″59.81′~40°31′25.75″。沿湖建筑物共计2座，其中桥1座，水闸1座，</w:t>
      </w:r>
      <w:r>
        <w:rPr>
          <w:rFonts w:hint="eastAsia"/>
        </w:rPr>
        <w:t>阿尔阿布海总水域面积1.12</w:t>
      </w:r>
      <w:r>
        <w:rPr>
          <w:lang w:val="zh-CN"/>
        </w:rPr>
        <w:t>km</w:t>
      </w:r>
      <w:r>
        <w:rPr>
          <w:vertAlign w:val="superscript"/>
          <w:lang w:val="zh-CN"/>
        </w:rPr>
        <w:t>2</w:t>
      </w:r>
      <w: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p>
    <w:p>
      <w:pPr>
        <w:pStyle w:val="17"/>
        <w:adjustRightInd w:val="0"/>
        <w:snapToGrid w:val="0"/>
        <w:ind w:firstLine="560"/>
        <w:rPr>
          <w:color w:val="000000" w:themeColor="text1"/>
          <w14:textFill>
            <w14:solidFill>
              <w14:schemeClr w14:val="tx1"/>
            </w14:solidFill>
          </w14:textFill>
        </w:rPr>
      </w:pPr>
      <w:r>
        <w:rPr>
          <w:rFonts w:hint="eastAsia" w:eastAsia="仿宋"/>
          <w:kern w:val="0"/>
          <w:sz w:val="18"/>
          <w:szCs w:val="18"/>
          <w:lang w:eastAsia="zh-CN"/>
        </w:rPr>
        <w:drawing>
          <wp:inline distT="0" distB="0" distL="114300" distR="114300">
            <wp:extent cx="5273040" cy="4135755"/>
            <wp:effectExtent l="0" t="0" r="3810" b="17145"/>
            <wp:docPr id="3" name="图片 3" descr="沃门阿布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沃门阿布2 001"/>
                    <pic:cNvPicPr>
                      <a:picLocks noChangeAspect="1"/>
                    </pic:cNvPicPr>
                  </pic:nvPicPr>
                  <pic:blipFill>
                    <a:blip r:embed="rId31"/>
                    <a:stretch>
                      <a:fillRect/>
                    </a:stretch>
                  </pic:blipFill>
                  <pic:spPr>
                    <a:xfrm rot="10800000">
                      <a:off x="0" y="0"/>
                      <a:ext cx="5273040" cy="4135755"/>
                    </a:xfrm>
                    <a:prstGeom prst="rect">
                      <a:avLst/>
                    </a:prstGeom>
                  </pic:spPr>
                </pic:pic>
              </a:graphicData>
            </a:graphic>
          </wp:inline>
        </w:drawing>
      </w:r>
    </w:p>
    <w:p>
      <w:pPr>
        <w:pStyle w:val="2"/>
        <w:ind w:left="0" w:leftChars="0" w:firstLine="0" w:firstLineChars="0"/>
        <w:jc w:val="center"/>
        <w:rPr>
          <w:rFonts w:hint="eastAsia" w:ascii="宋体" w:hAnsi="宋体" w:eastAsia="宋体" w:cs="宋体"/>
          <w:snapToGrid/>
          <w:color w:val="auto"/>
          <w:kern w:val="0"/>
          <w:sz w:val="28"/>
          <w:szCs w:val="28"/>
          <w:highlight w:val="none"/>
          <w:lang w:val="en-US" w:eastAsia="zh-CN" w:bidi="ar-SA"/>
        </w:rPr>
      </w:pPr>
    </w:p>
    <w:p>
      <w:pPr>
        <w:spacing w:before="199" w:line="219" w:lineRule="auto"/>
        <w:ind w:left="0" w:leftChars="0" w:firstLine="0" w:firstLineChars="0"/>
        <w:jc w:val="center"/>
        <w:rPr>
          <w:rFonts w:ascii="宋体" w:hAnsi="宋体" w:eastAsia="宋体" w:cs="宋体"/>
          <w:color w:val="auto"/>
          <w:sz w:val="23"/>
          <w:szCs w:val="23"/>
          <w:highlight w:val="none"/>
        </w:rPr>
      </w:pPr>
      <w:r>
        <w:rPr>
          <w:rFonts w:ascii="宋体" w:hAnsi="宋体" w:eastAsia="宋体" w:cs="宋体"/>
          <w:color w:val="auto"/>
          <w:spacing w:val="-16"/>
          <w:sz w:val="24"/>
          <w:szCs w:val="24"/>
          <w:highlight w:val="none"/>
        </w:rPr>
        <w:t>图</w:t>
      </w:r>
      <w:r>
        <w:rPr>
          <w:rFonts w:ascii="宋体" w:hAnsi="宋体" w:eastAsia="宋体" w:cs="宋体"/>
          <w:color w:val="auto"/>
          <w:spacing w:val="-10"/>
          <w:sz w:val="24"/>
          <w:szCs w:val="24"/>
          <w:highlight w:val="none"/>
        </w:rPr>
        <w:t xml:space="preserve"> </w:t>
      </w:r>
      <w:r>
        <w:rPr>
          <w:rFonts w:ascii="宋体" w:hAnsi="宋体" w:eastAsia="宋体" w:cs="宋体"/>
          <w:color w:val="auto"/>
          <w:spacing w:val="-8"/>
          <w:sz w:val="24"/>
          <w:szCs w:val="24"/>
          <w:highlight w:val="none"/>
        </w:rPr>
        <w:t xml:space="preserve">1-1 </w:t>
      </w:r>
      <w:r>
        <w:rPr>
          <w:rFonts w:hint="eastAsia" w:eastAsia="宋体"/>
          <w:color w:val="000000" w:themeColor="text1"/>
          <w:lang w:eastAsia="zh-CN"/>
          <w14:textFill>
            <w14:solidFill>
              <w14:schemeClr w14:val="tx1"/>
            </w14:solidFill>
          </w14:textFill>
        </w:rPr>
        <w:t>阿尔阿布海(沃门阿布湖)</w:t>
      </w:r>
      <w:r>
        <w:rPr>
          <w:rFonts w:ascii="宋体" w:hAnsi="宋体" w:eastAsia="宋体" w:cs="宋体"/>
          <w:color w:val="auto"/>
          <w:spacing w:val="-8"/>
          <w:sz w:val="24"/>
          <w:szCs w:val="24"/>
          <w:highlight w:val="none"/>
        </w:rPr>
        <w:t>位置图</w:t>
      </w:r>
    </w:p>
    <w:p>
      <w:pPr>
        <w:spacing w:line="306" w:lineRule="auto"/>
        <w:rPr>
          <w:rFonts w:ascii="Arial"/>
          <w:color w:val="auto"/>
          <w:sz w:val="21"/>
          <w:highlight w:val="none"/>
        </w:rPr>
      </w:pPr>
    </w:p>
    <w:p>
      <w:pPr>
        <w:spacing w:line="306" w:lineRule="auto"/>
        <w:rPr>
          <w:rFonts w:ascii="Arial"/>
          <w:color w:val="auto"/>
          <w:sz w:val="21"/>
          <w:highlight w:val="none"/>
        </w:rPr>
      </w:pP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 w:name="_Toc4797"/>
      <w:bookmarkStart w:id="7" w:name="_Toc3182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水文气象</w:t>
      </w:r>
      <w:bookmarkEnd w:id="6"/>
      <w:bookmarkEnd w:id="7"/>
    </w:p>
    <w:p>
      <w:pPr>
        <w:pStyle w:val="17"/>
        <w:ind w:firstLine="560"/>
      </w:pPr>
      <w:bookmarkStart w:id="8" w:name="_Toc714"/>
      <w:bookmarkStart w:id="9" w:name="_Toc3901"/>
      <w:r>
        <w:rPr>
          <w:rFonts w:hint="eastAsia"/>
        </w:rPr>
        <w:t>地下水根据调查和有关水文资料介绍，地下水总量较套内其它旗县少，其水质大部分地区较好，地下水无论数量还是质量分地区都有定的规律。套区和沙区除洪积扇外，从东向西，水位越来越深，矿化度越来越高，单井涌水量越来越小。</w:t>
      </w:r>
    </w:p>
    <w:p>
      <w:pPr>
        <w:pStyle w:val="17"/>
        <w:ind w:firstLine="560"/>
      </w:pPr>
      <w:r>
        <w:rPr>
          <w:rFonts w:hint="eastAsia"/>
        </w:rPr>
        <w:t>山前洪积扇地下水较为丰富。一般埋深在3～30米以下，矿化度0.5～2.5克/升，单井涌水量100～140吨/时。套区和沿黄河的沙区边缘因补给量大，地下水埋深一般在0.5～3米之间，矿化度0.7～2克/升，单井涌水量50～100吨/时。乌兰布和沙区中部地下水埋深一般在1～10米以下，矿化度3克/升左右，单井涌水量40～80吨/时。到洪积扇前沿洼地矿化度増高，达4～7克/升</w:t>
      </w:r>
      <w:r>
        <w:t>。</w:t>
      </w:r>
    </w:p>
    <w:p>
      <w:pPr>
        <w:pStyle w:val="17"/>
        <w:ind w:firstLine="560"/>
      </w:pPr>
      <w:r>
        <w:rPr>
          <w:rFonts w:hint="eastAsia"/>
          <w:color w:val="000000" w:themeColor="text1"/>
          <w14:textFill>
            <w14:solidFill>
              <w14:schemeClr w14:val="tx1"/>
            </w14:solidFill>
          </w14:textFill>
        </w:rPr>
        <w:t>阿尔阿布海</w:t>
      </w:r>
      <w:r>
        <w:t>形状</w:t>
      </w:r>
      <w:r>
        <w:rPr>
          <w:rFonts w:hint="eastAsia"/>
        </w:rPr>
        <w:t>为多边</w:t>
      </w:r>
      <w:r>
        <w:t>形，东西最长</w:t>
      </w:r>
      <w:r>
        <w:rPr>
          <w:rFonts w:hint="eastAsia"/>
        </w:rPr>
        <w:t>0.6</w:t>
      </w:r>
      <w:r>
        <w:t>km，南北最长</w:t>
      </w:r>
      <w:r>
        <w:rPr>
          <w:rFonts w:hint="eastAsia"/>
        </w:rPr>
        <w:t>5.3</w:t>
      </w:r>
      <w:r>
        <w:t>km，湖区水面面积</w:t>
      </w:r>
      <w:r>
        <w:rPr>
          <w:rFonts w:hint="eastAsia"/>
        </w:rPr>
        <w:t>1.12</w:t>
      </w:r>
      <w:r>
        <w:rPr>
          <w:lang w:val="zh-CN"/>
        </w:rPr>
        <w:t>km</w:t>
      </w:r>
      <w:r>
        <w:rPr>
          <w:vertAlign w:val="superscript"/>
          <w:lang w:val="zh-CN"/>
        </w:rPr>
        <w:t>2</w:t>
      </w:r>
      <w:r>
        <w:t>，湖底设计高程不一，在</w:t>
      </w:r>
      <w:r>
        <w:rPr>
          <w:rFonts w:hint="eastAsia"/>
        </w:rPr>
        <w:t>1034.4</w:t>
      </w:r>
      <w:r>
        <w:t>m-</w:t>
      </w:r>
      <w:r>
        <w:rPr>
          <w:rFonts w:hint="eastAsia"/>
        </w:rPr>
        <w:t>1035.5</w:t>
      </w:r>
      <w:r>
        <w:t>m。</w:t>
      </w:r>
      <w:r>
        <w:rPr>
          <w:rFonts w:hint="eastAsia"/>
        </w:rPr>
        <w:t>现湖区平均</w:t>
      </w:r>
      <w:r>
        <w:t>水深</w:t>
      </w:r>
      <w:r>
        <w:rPr>
          <w:rFonts w:hint="eastAsia"/>
        </w:rPr>
        <w:t>1.7</w:t>
      </w:r>
      <w:r>
        <w:t>m</w:t>
      </w:r>
      <w:r>
        <w:rPr>
          <w:rFonts w:hint="eastAsia"/>
        </w:rPr>
        <w:t>丰水期最大水深3.2m</w:t>
      </w:r>
      <w:r>
        <w:t>。总蓄水量约</w:t>
      </w:r>
      <w:r>
        <w:rPr>
          <w:rFonts w:hint="eastAsia"/>
        </w:rPr>
        <w:t>190.4</w:t>
      </w:r>
      <w:r>
        <w:t>万m</w:t>
      </w:r>
      <w:r>
        <w:rPr>
          <w:vertAlign w:val="superscript"/>
        </w:rPr>
        <w:t>3</w:t>
      </w:r>
      <w:r>
        <w:t>。补给时段为每年的5-1</w:t>
      </w:r>
      <w:r>
        <w:rPr>
          <w:rFonts w:hint="eastAsia"/>
        </w:rPr>
        <w:t>1</w:t>
      </w:r>
      <w:r>
        <w:t>月份</w:t>
      </w:r>
      <w:r>
        <w:rPr>
          <w:rFonts w:hint="eastAsia"/>
        </w:rPr>
        <w:t>，</w:t>
      </w:r>
      <w:r>
        <w:t>水质情况良好，可以用于灌溉及生活用水。</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1.4 社会经济</w:t>
      </w:r>
      <w:bookmarkEnd w:id="8"/>
      <w:bookmarkEnd w:id="9"/>
    </w:p>
    <w:p>
      <w:pPr>
        <w:spacing w:line="360" w:lineRule="auto"/>
        <w:ind w:firstLine="560"/>
        <w:rPr>
          <w:rFonts w:ascii="宋体" w:hAnsi="宋体" w:cs="宋体"/>
          <w:sz w:val="28"/>
          <w:szCs w:val="28"/>
        </w:rPr>
      </w:pPr>
      <w:bookmarkStart w:id="10" w:name="_Toc26718"/>
      <w:bookmarkStart w:id="11" w:name="_Toc11223"/>
      <w:r>
        <w:rPr>
          <w:rFonts w:hint="eastAsia" w:ascii="宋体" w:hAnsi="宋体" w:cs="宋体"/>
          <w:color w:val="000000" w:themeColor="text1"/>
          <w:sz w:val="28"/>
          <w:szCs w:val="28"/>
          <w14:textFill>
            <w14:solidFill>
              <w14:schemeClr w14:val="tx1"/>
            </w14:solidFill>
          </w14:textFill>
        </w:rPr>
        <w:t>阿尔阿布海位于阿尔阿布海位于磴口县包尔盖农场，包尔盖农场</w:t>
      </w:r>
      <w:r>
        <w:rPr>
          <w:rFonts w:hint="eastAsia" w:ascii="宋体" w:hAnsi="宋体" w:cs="宋体"/>
          <w:sz w:val="28"/>
          <w:szCs w:val="28"/>
          <w:shd w:val="clear" w:color="auto" w:fill="FFFFFF"/>
        </w:rPr>
        <w:t>东与农垦纳林套海农场为伴，南、北、西三面均与磴口县哈腾苏木为邻，农场始建于1960年，1966年体改为内蒙古军区生产建设兵二团，1969年组建为北京军区内蒙占生产建设兵团一师五团，1975年体改为巴盟农垦包尔盖农场。下辖9个农业分场。辖地总面积14.6万亩，现有耕地3万亩，林地面积2万亩，全场总人口3421人，是一个蒙、汉、回、满等民族聚居的地方。</w:t>
      </w:r>
      <w:r>
        <w:rPr>
          <w:rFonts w:hint="eastAsia" w:ascii="宋体" w:hAnsi="宋体" w:cs="宋体"/>
          <w:sz w:val="28"/>
          <w:szCs w:val="28"/>
        </w:rPr>
        <w:t>包尔盖农场是一个以农为主，农、林、牧、工、商、贸全面发展的农业企业。农场的农作物主要有小麦、花葵、蜜瓜等，是优质小麦生产基地、制种玉米基地油料生产基地，青红椒、西甜瓜和蕃茄生产基地。黄湖水自流灌溉，良好的井灌配套工程，为农作物适时浇水提供了便利条件。</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湖泊及涉湖工程现状</w:t>
      </w:r>
      <w:bookmarkEnd w:id="10"/>
      <w:bookmarkEnd w:id="11"/>
    </w:p>
    <w:p>
      <w:pPr>
        <w:widowControl w:val="0"/>
        <w:kinsoku/>
        <w:adjustRightInd w:val="0"/>
        <w:snapToGrid/>
        <w:spacing w:line="360" w:lineRule="auto"/>
        <w:ind w:right="80" w:rightChars="38" w:firstLine="560" w:firstLineChars="200"/>
        <w:contextualSpacing/>
        <w:jc w:val="left"/>
        <w:textAlignment w:val="auto"/>
        <w:rPr>
          <w:highlight w:val="green"/>
        </w:rPr>
      </w:pPr>
      <w:r>
        <w:rPr>
          <w:rFonts w:hint="eastAsia" w:ascii="宋体" w:hAnsi="宋体" w:eastAsia="宋体" w:cs="宋体"/>
          <w:snapToGrid/>
          <w:color w:val="auto"/>
          <w:kern w:val="0"/>
          <w:sz w:val="28"/>
          <w:szCs w:val="28"/>
          <w:highlight w:val="green"/>
          <w:lang w:val="en-US" w:eastAsia="zh-CN" w:bidi="ar-SA"/>
        </w:rPr>
        <w:t>湖泊内目前情况良好，无黑臭现象，水质清澈见底。湖区中水沉水植物甚少,藻类及其它浮游生物繁盛。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从调查情况，湖泊周边存在部分村民直排生活污水的现象，隆盛合镇在监督、处理方面力度有限。湖泊管理范围内，没有规模养殖场及工业企业，不存在工业废水直排现象。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bookmarkStart w:id="12" w:name="_Toc18027"/>
      <w:bookmarkStart w:id="13" w:name="_Toc4887"/>
      <w:r>
        <w:rPr>
          <w:rFonts w:hint="eastAsia" w:ascii="宋体" w:hAnsi="宋体" w:eastAsia="宋体" w:cs="宋体"/>
          <w:snapToGrid/>
          <w:color w:val="auto"/>
          <w:kern w:val="0"/>
          <w:sz w:val="28"/>
          <w:szCs w:val="28"/>
          <w:highlight w:val="green"/>
          <w:lang w:val="en-US" w:eastAsia="zh-CN" w:bidi="ar-SA"/>
        </w:rPr>
        <w:t xml:space="preserve">湖面保洁、河岸保洁均已由各村落实人员、职责明确，制度健全，但还存在 薄弱环节，一是保洁人员履职不到位的现象时有出现；二是监管执行力度不够。 </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阿尔阿布海(沃门阿布湖)的总湖长由沙金套海苏木苏木达、党委副书记担任、沿湖各村段的湖长由各村支部书 记担任；各站、办、所负责人为湖长制办公室成员。</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1.6</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相关规划资料</w:t>
      </w:r>
      <w:bookmarkEnd w:id="12"/>
      <w:bookmarkEnd w:id="1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1.《内蒙古自治区国家生态保护红线划定建议方案》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内蒙古自治区禁止开发区红线主要为国家级自然保护区核心区和缓冲区。为保障省域、市县域生态安全，建议内蒙古自治区及其所辖市县可参照《国家生态保护红线一生态功能红线划定技术指南(试行)》要求，在国家级生态功能红线基础上，补充划定地方级生态功能红线，构建区域生态安全格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2.《内蒙古自治区主体功能区规划》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推进实现主体功能区主要目标的时间是2020年，规划任务是更长远的。</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3.《内蒙古自治区人民政府关于印发水污染防治工作方案的通知》,发布日期：2015-12-31,工作目标为：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到2020年，全区水环境质量得到阶段性改善，优良水体有所增加，污染严重水体较大幅度减少，饮用水安全保障水平持续提升，地下水超采得到严格控制，地下水污染趋势得到初步遏制。到2030年，力争全区水环境质量总体改善，水生态系统功能初步恢复。到本世纪中叶，生态环境质量全面改善，生态系统实现良性循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到2020年，全区重点流域水质优良比例总体达到59.6%。完成国家规定的城市建成区黑臭水体治理目标，地级城市集中式饮用水水源水质达到或优于Ⅲ类比例总体高于81.0%。全区地下水质量考核点位水质级别保持稳定且极差比例控制在21.3%左右。到2030年，全区四大重点流域水质优良比例总体为75%左右，地级城市建成区黑臭水体总体得到消除，城市集中式饮用水水源水质达到或优于Ⅲ类比例总体为95%左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(3)强化经济技术开发区、高新技术产业开发区、出口加工区等工业集聚区污染治理。旗县(市、区)污水处理率达到85%。地级城市建成区于2020年底前污水基本实现全收集、全处理，城镇力争实现截污纳管全覆盖。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(4)四大重点流域干流沿岸，要严格控制煤化工、石油加工、化学原料和化学制品制造、医药制造、化学纤维制造、有色金属冶炼、纺织印染等项目环境风险，合理布局生产装置及危险化学品仓储等设施。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(5)城市规划区范围内应保留一定比例的水域面积，新建项目一律不得违规占用水域。严格水域岸线用途管制，土地开发利用应留足河道、湖泊的管理和保护范围，非法挤占的应限期退出。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4" w:name="_Toc27970"/>
      <w:bookmarkStart w:id="15" w:name="_Toc2904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1.7</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岸线利用与保护现状</w:t>
      </w:r>
      <w:bookmarkEnd w:id="14"/>
      <w:bookmarkEnd w:id="1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域岸线定义为河湖水域水陆边界线一定范围的带状区域。其中，河湖水域是指江、河、湖泊、水库、塘坝、人工水道等在设计洪水位或历史最高洪水位下的水面范围;带状区域是指岸线向陆向水延伸占用空间所形成的带状区域。现状阿尔阿布海(沃门阿布湖)沿湖既有岸线为自然形成的岸线界限，岸线保护较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2019年3月，水利部办公厅印发了《河湖岸线保护与利用规划编制指南(试行)》,为新时期岸线规划编制工作提供了明确指引。</w:t>
      </w:r>
      <w:r>
        <w:rPr>
          <w:rFonts w:hint="eastAsia" w:ascii="宋体" w:hAnsi="宋体" w:eastAsia="宋体" w:cs="宋体"/>
          <w:snapToGrid/>
          <w:color w:val="auto"/>
          <w:kern w:val="0"/>
          <w:sz w:val="28"/>
          <w:szCs w:val="28"/>
          <w:highlight w:val="none"/>
          <w:lang w:val="en-US" w:eastAsia="zh-CN" w:bidi="ar-SA"/>
        </w:rPr>
        <w:t>2019年5月，自治区水利厅印发文件指出，岸线规划编制是加强河湖岸线空间管控的基础工作，是推动岸线有效保护和合理利用的重要措施。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阿尔阿布海(沃门阿布湖)已设立湖长责任制，明确了其相应职责。阿尔阿布海(沃门阿布湖)目前尚未编制岸线保护与利用规划。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目前阿尔阿布海(沃门阿布湖)湖长组织体系已经初步建立，根据各级河(湖)长制文件要求，各部门负责分工基本明确。但仍需要进一步完善河湖建设项目监管、占用水域补偿、河流日常巡查制度等制度体系。</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6" w:name="_Toc23593"/>
      <w:bookmarkStart w:id="17" w:name="_Toc188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1.8</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河长组织体系</w:t>
      </w:r>
      <w:bookmarkEnd w:id="16"/>
      <w:bookmarkEnd w:id="17"/>
    </w:p>
    <w:p>
      <w:pPr>
        <w:bidi w:val="0"/>
        <w:spacing w:line="360" w:lineRule="auto"/>
        <w:rPr>
          <w:rFonts w:hint="eastAsia" w:ascii="宋体" w:hAnsi="宋体" w:eastAsia="宋体" w:cs="宋体"/>
          <w:b/>
          <w:bCs/>
          <w:color w:val="auto"/>
          <w:sz w:val="28"/>
          <w:szCs w:val="28"/>
          <w:highlight w:val="none"/>
        </w:rPr>
      </w:pPr>
      <w:bookmarkStart w:id="18" w:name="_Toc17869"/>
      <w:r>
        <w:rPr>
          <w:rFonts w:hint="eastAsia" w:ascii="宋体" w:hAnsi="宋体" w:eastAsia="宋体" w:cs="宋体"/>
          <w:b/>
          <w:bCs/>
          <w:color w:val="auto"/>
          <w:sz w:val="28"/>
          <w:szCs w:val="28"/>
          <w:highlight w:val="none"/>
        </w:rPr>
        <w:t>1.8.1 组织形式</w:t>
      </w:r>
      <w:bookmarkEnd w:id="1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磴口县设立由包尔盖套海农场公司党委书记担任总河长。沃门阿布海子湖长由包尔盖套海农场公司镇（场）级湖长担任，分场级湖长由所在的分场支部主任担任。</w:t>
      </w:r>
    </w:p>
    <w:p>
      <w:pPr>
        <w:spacing w:line="325" w:lineRule="auto"/>
        <w:rPr>
          <w:rFonts w:ascii="Arial"/>
          <w:color w:val="auto"/>
          <w:sz w:val="21"/>
          <w:highlight w:val="none"/>
        </w:rPr>
      </w:pPr>
    </w:p>
    <w:p>
      <w:pPr>
        <w:bidi w:val="0"/>
        <w:spacing w:line="360" w:lineRule="auto"/>
        <w:rPr>
          <w:rFonts w:hint="eastAsia" w:ascii="宋体" w:hAnsi="宋体" w:eastAsia="宋体" w:cs="宋体"/>
          <w:b/>
          <w:bCs/>
          <w:color w:val="auto"/>
          <w:sz w:val="28"/>
          <w:szCs w:val="28"/>
          <w:highlight w:val="none"/>
        </w:rPr>
      </w:pPr>
      <w:bookmarkStart w:id="19" w:name="_Toc26295"/>
      <w:r>
        <w:rPr>
          <w:rFonts w:hint="eastAsia" w:ascii="宋体" w:hAnsi="宋体" w:eastAsia="宋体" w:cs="宋体"/>
          <w:b/>
          <w:bCs/>
          <w:color w:val="auto"/>
          <w:sz w:val="28"/>
          <w:szCs w:val="28"/>
          <w:highlight w:val="none"/>
        </w:rPr>
        <w:t>1.8.2 河长职责</w:t>
      </w:r>
      <w:bookmarkEnd w:id="1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河长、副总河长负责领导、组织本行政区域内湖长制工作，担任推行河长制的总督导、总调度职责。各级河长是所辖河湖管理和保护的直接责任人。总河(湖)长负责牵头推进河湖突出问题整治、水污染综合防治、河湖巡查保洁、生态修复、保护管理，协调上下游、左右岸实行联防联控，协调解决实际问题，检查督导下级河长和相关部门履职情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none"/>
          <w:lang w:val="en-US" w:eastAsia="zh-CN" w:bidi="ar-SA"/>
        </w:rPr>
        <w:t>1、</w:t>
      </w:r>
      <w:r>
        <w:rPr>
          <w:rFonts w:hint="eastAsia" w:ascii="宋体" w:hAnsi="宋体" w:eastAsia="宋体" w:cs="宋体"/>
          <w:snapToGrid/>
          <w:color w:val="auto"/>
          <w:kern w:val="0"/>
          <w:sz w:val="28"/>
          <w:szCs w:val="28"/>
          <w:highlight w:val="green"/>
          <w:lang w:val="en-US" w:eastAsia="zh-CN" w:bidi="ar-SA"/>
        </w:rPr>
        <w:t>总湖长(1)对阿尔阿布海(沃门阿布湖)的管理保护负总责，统筹协调湖泊与入湖河流的管理保护工作，协调解决阿尔阿布海(沃门阿布湖)管理保护中的重大问题。(2)确定湖泊管理保护目标任务，组织制定县级“一湖一策”方案。(3)明确各级湖长职责，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2、副湖长(1)协助总湖长工作。(2)阿尔阿布海(沃门阿布湖)管理保护负主体责任，参与确定湖泊管理保护目标任务，负责组织、督促、落实县级“一湖一策”及综合治理规划确定的各项目标任务。(3)组织领导巴彦套海农场相关部门和下级湖长开展湖泊管理保护和治理工作。</w:t>
      </w:r>
    </w:p>
    <w:p>
      <w:pPr>
        <w:widowControl w:val="0"/>
        <w:kinsoku/>
        <w:adjustRightInd w:val="0"/>
        <w:snapToGrid/>
        <w:spacing w:line="360" w:lineRule="auto"/>
        <w:ind w:right="80" w:rightChars="38" w:firstLine="560" w:firstLineChars="200"/>
        <w:contextualSpacing/>
        <w:jc w:val="left"/>
        <w:textAlignment w:val="auto"/>
        <w:rPr>
          <w:rFonts w:hint="default"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green"/>
          <w:lang w:val="en-US" w:eastAsia="zh-CN" w:bidi="ar-SA"/>
        </w:rPr>
        <w:t>苏木木乡镇级湖长(1)对阿尔阿布海(沃门阿布湖)的</w:t>
      </w:r>
      <w:r>
        <w:rPr>
          <w:rFonts w:hint="eastAsia" w:ascii="宋体" w:hAnsi="宋体" w:eastAsia="宋体" w:cs="宋体"/>
          <w:snapToGrid/>
          <w:color w:val="auto"/>
          <w:kern w:val="0"/>
          <w:sz w:val="28"/>
          <w:szCs w:val="28"/>
          <w:highlight w:val="none"/>
          <w:lang w:val="en-US" w:eastAsia="zh-CN" w:bidi="ar-SA"/>
        </w:rPr>
        <w:t>管理保护负直接责任，并组织实施管理保护工作。(2)确定本级管理保护目标任务，依据县级“一湖一策”方案组织制定乡镇苏木级“一湖一策”方案。(3)依法组织整治围垦湖泊、侵占水域、超标排污、违法养殖、非法采砂等突出问题。(4)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green"/>
          <w:lang w:val="en-US" w:eastAsia="zh-CN" w:bidi="ar-SA"/>
        </w:rPr>
        <w:t>嘎查村级湖长具体落实本辖区内的阿尔阿布海(沃门阿布湖)</w:t>
      </w:r>
      <w:r>
        <w:rPr>
          <w:rFonts w:hint="eastAsia" w:ascii="宋体" w:hAnsi="宋体" w:eastAsia="宋体" w:cs="宋体"/>
          <w:snapToGrid/>
          <w:color w:val="auto"/>
          <w:kern w:val="0"/>
          <w:sz w:val="28"/>
          <w:szCs w:val="28"/>
          <w:highlight w:val="none"/>
          <w:lang w:val="en-US" w:eastAsia="zh-CN" w:bidi="ar-SA"/>
        </w:rPr>
        <w:t>管理保护任务，开展管理保护宣传教育，进行日常巡湖、落实日常保洁等管理保护工作，劝阻相关违法行为，并及时向上级反映巡湖中发现的重大问题。</w:t>
      </w:r>
    </w:p>
    <w:p>
      <w:pPr>
        <w:bidi w:val="0"/>
        <w:spacing w:line="360" w:lineRule="auto"/>
        <w:rPr>
          <w:rFonts w:hint="eastAsia" w:ascii="宋体" w:hAnsi="宋体" w:eastAsia="宋体" w:cs="宋体"/>
          <w:b/>
          <w:bCs/>
          <w:color w:val="auto"/>
          <w:sz w:val="28"/>
          <w:szCs w:val="28"/>
          <w:highlight w:val="none"/>
        </w:rPr>
      </w:pPr>
      <w:bookmarkStart w:id="20" w:name="_Toc10201"/>
      <w:r>
        <w:rPr>
          <w:rFonts w:hint="eastAsia" w:ascii="宋体" w:hAnsi="宋体" w:eastAsia="宋体" w:cs="宋体"/>
          <w:b/>
          <w:bCs/>
          <w:color w:val="auto"/>
          <w:sz w:val="28"/>
          <w:szCs w:val="28"/>
          <w:highlight w:val="none"/>
        </w:rPr>
        <w:t>1.8.3 河长办公室</w:t>
      </w:r>
      <w:bookmarkEnd w:id="2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县级河长设置相应的河长制办公室，承担河长制组织实施具体工作，落实河长确定的事项，主要职责为组织协调、调度督导、检查考核。</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河(湖)长制办公室设在水利局，办公室主任由水利局局长担任。县各有关部门为推行河长制的责任单位，确定一名副科级干部作为河长制办公室组成人员。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headerReference r:id="rId8" w:type="default"/>
          <w:footerReference r:id="rId9" w:type="default"/>
          <w:pgSz w:w="12080" w:h="16970"/>
          <w:pgMar w:top="1442" w:right="1705" w:bottom="2068" w:left="1812" w:header="1020" w:footer="1587" w:gutter="0"/>
          <w:pgNumType w:fmt="decimal" w:start="1"/>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21" w:name="_Toc3522"/>
      <w:bookmarkStart w:id="22" w:name="_Toc1030"/>
      <w:r>
        <w:rPr>
          <w:rFonts w:hint="eastAsia" w:ascii="宋体" w:hAnsi="宋体" w:eastAsia="宋体" w:cs="宋体"/>
          <w:color w:val="auto"/>
          <w:sz w:val="32"/>
          <w:szCs w:val="32"/>
          <w:highlight w:val="none"/>
          <w:lang w:val="en-US" w:eastAsia="zh-CN"/>
        </w:rPr>
        <w:t>2 岸线保护和利用形势分析</w:t>
      </w:r>
      <w:bookmarkEnd w:id="21"/>
      <w:bookmarkEnd w:id="2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3" w:name="_Toc24909"/>
      <w:bookmarkStart w:id="24" w:name="_Toc467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2.1 岸线利用现状评价</w:t>
      </w:r>
      <w:bookmarkEnd w:id="23"/>
      <w:bookmarkEnd w:id="24"/>
    </w:p>
    <w:p>
      <w:pPr>
        <w:bidi w:val="0"/>
        <w:spacing w:line="360" w:lineRule="auto"/>
        <w:rPr>
          <w:rFonts w:hint="eastAsia" w:ascii="宋体" w:hAnsi="宋体" w:eastAsia="宋体" w:cs="宋体"/>
          <w:b/>
          <w:bCs/>
          <w:color w:val="auto"/>
          <w:sz w:val="28"/>
          <w:szCs w:val="28"/>
          <w:highlight w:val="none"/>
        </w:rPr>
      </w:pPr>
      <w:bookmarkStart w:id="25" w:name="_Toc4942"/>
      <w:r>
        <w:rPr>
          <w:rFonts w:hint="eastAsia" w:ascii="宋体" w:hAnsi="宋体" w:eastAsia="宋体" w:cs="宋体"/>
          <w:b/>
          <w:bCs/>
          <w:color w:val="auto"/>
          <w:sz w:val="28"/>
          <w:szCs w:val="28"/>
          <w:highlight w:val="none"/>
        </w:rPr>
        <w:t>2.1.1 岸线评价的一般原则</w:t>
      </w:r>
      <w:bookmarkEnd w:id="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(1)综合分析与主导因素相结合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因为岸线的各种自然、人文因子对岸线利用潜力所起的作用是不平衡的，不同利用方式对岸线的质量要求也不同，所以，在岸线评价时，必须找出几个起主导作用的支配因子，这些因子对各种利用方式来说具备一定的共通性特征。在综合分析的基础上，利用主导因子进行岸线的质量的分等、分级，指出对各种利用方式的适宜、不适宜，确定开发顺序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(2)自然属性和社会属性相结合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自然属性是决定其质量的基础。在进行岸线评价时应以岸线的自然属性为主，首先考虑的是相对重要的自然因子，如水深、岸线稳定性等。自然因子是岸线质量评价的主要因子。另一方面，岸线的适宜性、限制性及其质量高低同时也受人类对岸线所作的工程技术设施的影响，人们对岸线适宜性、限制性及其质量高低的认识受评价时技术水平的影响，所以岸线评价还要考虑岸线所处的社会经济背景，如岸线利用现状，岸线利用的社会经济背景和人为因素对岸线自然属性的影响，岸线陆域腹地的经济发展水平等。社会经济因子影响了岸线开发条件的好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岸线资源评价过程中，经济效益的高低是衡量岸线质量的主要依据，但根据岸线资源的特点，开发利用与治理保护同等重要，如果不重视这对矛盾，处理不好二者之间的关系，就不能达到岸线资源的持续利用。岸线资源的特征决定了岸线的评价要考虑经济和生态以及社会三方面的效益。所以生态效益和社会效益是岸线评价工作中都要考虑的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(4)定性与定量相结合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定量化有助于增加评价结果的科学性和可信度，促进评价指标与标准的统一化，但由于岸线资源是一个复杂的资源系统，其开发利用受多种因素的综合影响。因此，岸线评价要以定量评价为基础，兼之以定性的修正，这样才能使评价结果更符合实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(5)以应用为主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案一定要面向生产实际、从生产实际出发，着眼于挖掘潜力，达到合理而充分利用岸线资源的目的。参评因子的选择和指标的确定都必须符合当地生产实际，即根据规定用途对自然条件的要求而定。最终的结果要经过生产实践的检验，评价结果要符合科学性，有利于有关部门掌握和应用。</w:t>
      </w:r>
    </w:p>
    <w:p>
      <w:pPr>
        <w:bidi w:val="0"/>
        <w:spacing w:line="360" w:lineRule="auto"/>
        <w:rPr>
          <w:rFonts w:hint="eastAsia" w:ascii="宋体" w:hAnsi="宋体" w:eastAsia="宋体" w:cs="宋体"/>
          <w:b/>
          <w:bCs/>
          <w:color w:val="auto"/>
          <w:sz w:val="28"/>
          <w:szCs w:val="28"/>
          <w:highlight w:val="none"/>
        </w:rPr>
      </w:pPr>
      <w:bookmarkStart w:id="26" w:name="_Toc528"/>
      <w:r>
        <w:rPr>
          <w:rFonts w:hint="eastAsia" w:ascii="宋体" w:hAnsi="宋体" w:eastAsia="宋体" w:cs="宋体"/>
          <w:b/>
          <w:bCs/>
          <w:color w:val="auto"/>
          <w:sz w:val="28"/>
          <w:szCs w:val="28"/>
          <w:highlight w:val="none"/>
        </w:rPr>
        <w:t>2.1.2 岸线评价的一般程序</w:t>
      </w:r>
      <w:bookmarkEnd w:id="2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(1)指标选取与方法确定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的首要工作是选取评价指标，即参评因子。指标要尽可能全面而符合客观实际，最主要的是要有代表性，能比较真实地反映岸线的自然和社会经济属性。指标体系要根据评价目的不同而建立。质量评价应以重要的自然因子为主，适宜性评价还要综合分析岸线的社会特征。由于各种因素对岸线属性的影响程度有差异，不同利用方式对岸线的质量要求有差异，所以岸线的评价不能拘泥于固定的指标模式，一方面要综合分析各种因素的影响，另一方面也针对专门的利用方式选择主导因素设立相对比较灵活的指标体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评价方法主要包括：评价单元的划分方法、指标的评价方法和评价结果的获取方法。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单元是岸线评价的最小地域单元，其划分要反映岸线的主要自然属性。划分方法可采用目测法或定量分析法。目测法是通过观察评价底图上岸线自然属性的变化，参照一定的自然、人文标志物，将待评价岸线划分为若干单元。定量分析法是选取反映岸线自然属性的重要因子并将其做定量化处理，通过分析这些因子在待评岸线上的变化，划分评价单元。这种方法一般要先将岸线划分为等长的初始评价岸段，然后计算各岸段评价因子的值，最后运用计量方法将初始岸段合并成需要的评价单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指标的评价是将指标划分成若干等级，等级的多少可视指标的特征而定，也可根据评价的要求或需要而定。等级划分尽量采用定量指标，对有些无法或目前还难以定量化的指标，也可采用定向描述来划分等级。等级的表示可采用文字如A、B、C……等形式，也可采用顺序或逆序的等差数列如1、2、3……,9、7、5……等形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结果的获取方法较多，通常采用的方法有限制因素法、经营权重法和统计分析法等。限制因素法是选取参评因子中限制因子的等级分值作为评价岸段的分值。经验权重法是根据参评因子的重要性，赋予其一定的权重系数，通过建立评价结果与因子之间的回归方程，求得评价岸段的分值。统计分析法是通过对评价单元各因子的得分矩阵进行主成分分析或聚类分析，来划分评价结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(2)评价的一般程序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岸线评价涉及多学科、多领域，是一项综合性较强的工作，其评价过程一般分为准备、野外调查、具体评价和提交成果阶段，详见图2.1-1。</w:t>
      </w:r>
    </w:p>
    <w:p>
      <w:pPr>
        <w:spacing w:line="419" w:lineRule="auto"/>
        <w:rPr>
          <w:rFonts w:ascii="Arial"/>
          <w:color w:val="auto"/>
          <w:sz w:val="21"/>
          <w:highlight w:val="none"/>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4257040</wp:posOffset>
                </wp:positionH>
                <wp:positionV relativeFrom="paragraph">
                  <wp:posOffset>116840</wp:posOffset>
                </wp:positionV>
                <wp:extent cx="311785" cy="1029335"/>
                <wp:effectExtent l="0" t="0" r="12065" b="18415"/>
                <wp:wrapNone/>
                <wp:docPr id="30" name="文本框 30"/>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9.2pt;height:81.05pt;width:24.55pt;z-index:251668480;mso-width-relative:page;mso-height-relative:page;" fillcolor="#FFFFFF [3201]" filled="t" stroked="f" coordsize="21600,21600" o:gfxdata="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kvfsNUAAAAKAQAADwAA&#10;AAAAAAABACAAAAAiAAAAZHJzL2Rvd25yZXYueG1sUEsBAhQAFAAAAAgAh07iQG1lRmNSAgAAkQQA&#10;AA4AAAAAAAAAAQAgAAAAJAEAAGRycy9lMm9Eb2MueG1sUEsFBgAAAAAGAAYAWQEAAOgFA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v:textbox>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4224020</wp:posOffset>
                </wp:positionH>
                <wp:positionV relativeFrom="paragraph">
                  <wp:posOffset>59055</wp:posOffset>
                </wp:positionV>
                <wp:extent cx="1035050" cy="1161415"/>
                <wp:effectExtent l="12700" t="12700" r="19050" b="26035"/>
                <wp:wrapNone/>
                <wp:docPr id="29"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wps:txbx>
                      <wps:bodyPr lIns="0" tIns="0" rIns="0" bIns="0" upright="1"/>
                    </wps:wsp>
                  </a:graphicData>
                </a:graphic>
              </wp:anchor>
            </w:drawing>
          </mc:Choice>
          <mc:Fallback>
            <w:pict>
              <v:shape id="文本框 26" o:spid="_x0000_s1026" o:spt="202" type="#_x0000_t202" style="position:absolute;left:0pt;margin-left:332.6pt;margin-top:4.65pt;height:91.45pt;width:81.5pt;z-index:251667456;mso-width-relative:page;mso-height-relative:page;" fillcolor="#FFFFFF [3201]" filled="t" stroked="t" coordsize="21600,21600" o:gfxdata="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a0rtYAAAAJAQAADwAAAAAAAAABACAAAAAiAAAAZHJzL2Rvd25y&#10;ZXYueG1sUEsBAhQAFAAAAAgAh07iQMwKO5AAAgAACwQAAA4AAAAAAAAAAQAgAAAAJQEAAGRycy9l&#10;Mm9Eb2MueG1sUEsFBgAAAAAGAAYAWQEAAJcFAAAAAA==&#10;">
                <v:fill on="t" focussize="0,0"/>
                <v:stroke weight="2pt" color="#F79646 [3209]" joinstyle="round"/>
                <v:imagedata o:title=""/>
                <o:lock v:ext="edit" aspectratio="f"/>
                <v:textbox inset="0mm,0mm,0mm,0mm">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102870</wp:posOffset>
                </wp:positionV>
                <wp:extent cx="311785" cy="1029335"/>
                <wp:effectExtent l="0" t="0" r="12065" b="18415"/>
                <wp:wrapNone/>
                <wp:docPr id="28" name="文本框 28"/>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8.1pt;height:81.05pt;width:24.55pt;z-index:251666432;mso-width-relative:page;mso-height-relative:page;" fillcolor="#FFFFFF [3201]" filled="t" stroked="f" coordsize="21600,21600" o:gfxdata="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oqbQPWAAAACgEAAA8A&#10;AAAAAAAAAQAgAAAAIgAAAGRycy9kb3ducmV2LnhtbFBLAQIUABQAAAAIAIdO4kC9H1d9UgIAAJEE&#10;AAAOAAAAAAAAAAEAIAAAACUBAABkcnMvZTJvRG9jLnhtbFBLBQYAAAAABgAGAFkBAADpBQ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1085215</wp:posOffset>
                </wp:positionH>
                <wp:positionV relativeFrom="paragraph">
                  <wp:posOffset>427990</wp:posOffset>
                </wp:positionV>
                <wp:extent cx="286385" cy="424815"/>
                <wp:effectExtent l="12700" t="12700" r="24765" b="19685"/>
                <wp:wrapNone/>
                <wp:docPr id="21" name="右箭头 21"/>
                <wp:cNvGraphicFramePr/>
                <a:graphic xmlns:a="http://schemas.openxmlformats.org/drawingml/2006/main">
                  <a:graphicData uri="http://schemas.microsoft.com/office/word/2010/wordprocessingShape">
                    <wps:wsp>
                      <wps:cNvSpPr/>
                      <wps:spPr>
                        <a:xfrm>
                          <a:off x="2727325" y="4147820"/>
                          <a:ext cx="286385" cy="42481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45pt;margin-top:33.7pt;height:33.45pt;width:22.55pt;z-index:251661312;v-text-anchor:middle;mso-width-relative:page;mso-height-relative:page;" fillcolor="#FFFFFF [3201]" filled="t" stroked="t" coordsize="21600,21600" o:gfxdata="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O7b+1gAAAAoBAAAPAAAAAAAAAAEAIAAAACIA&#10;AABkcnMvZG93bnJldi54bWxQSwECFAAUAAAACACHTuJA9LqLrX0CAAD+BAAADgAAAAAAAAABACAA&#10;AAAlAQAAZHJzL2Uyb0RvYy54bWxQSwUGAAAAAAYABgBZAQAAFAY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2433320</wp:posOffset>
                </wp:positionH>
                <wp:positionV relativeFrom="paragraph">
                  <wp:posOffset>450215</wp:posOffset>
                </wp:positionV>
                <wp:extent cx="330200" cy="434975"/>
                <wp:effectExtent l="12700" t="12700" r="19050" b="28575"/>
                <wp:wrapNone/>
                <wp:docPr id="23" name="右箭头 23"/>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1.6pt;margin-top:35.45pt;height:34.25pt;width:26pt;z-index:251663360;v-text-anchor:middle;mso-width-relative:page;mso-height-relative:page;" fillcolor="#FFFFFF [3201]" filled="t" stroked="t" coordsize="21600,21600" o:gfxdata="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Cy33DYAAAACgEAAA8AAAAAAAAAAQAgAAAAIgAAAGRycy9kb3du&#10;cmV2LnhtbFBLAQIUABQAAAAIAIdO4kBu+5RmcQIAAPIEAAAOAAAAAAAAAAEAIAAAACc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464185</wp:posOffset>
                </wp:positionV>
                <wp:extent cx="330200" cy="434975"/>
                <wp:effectExtent l="12700" t="12700" r="19050" b="28575"/>
                <wp:wrapNone/>
                <wp:docPr id="27" name="右箭头 27"/>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3.15pt;margin-top:36.55pt;height:34.25pt;width:26pt;z-index:251665408;v-text-anchor:middle;mso-width-relative:page;mso-height-relative:page;" fillcolor="#FFFFFF [3201]" filled="t" stroked="t" coordsize="21600,21600" o:gfxdata="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6CwKDXAAAACgEAAA8AAAAAAAAAAQAgAAAAIgAAAGRycy9kb3du&#10;cmV2LnhtbFBLAQIUABQAAAAIAIdO4kDoViErcgIAAPIEAAAOAAAAAAAAAAEAIAAAACY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2790190</wp:posOffset>
                </wp:positionH>
                <wp:positionV relativeFrom="paragraph">
                  <wp:posOffset>53975</wp:posOffset>
                </wp:positionV>
                <wp:extent cx="1035050" cy="1161415"/>
                <wp:effectExtent l="12700" t="12700" r="19050" b="26035"/>
                <wp:wrapNone/>
                <wp:docPr id="25"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wps:txbx>
                      <wps:bodyPr lIns="0" tIns="0" rIns="0" bIns="0" upright="1"/>
                    </wps:wsp>
                  </a:graphicData>
                </a:graphic>
              </wp:anchor>
            </w:drawing>
          </mc:Choice>
          <mc:Fallback>
            <w:pict>
              <v:shape id="文本框 26" o:spid="_x0000_s1026" o:spt="202" type="#_x0000_t202" style="position:absolute;left:0pt;margin-left:219.7pt;margin-top:4.25pt;height:91.45pt;width:81.5pt;z-index:251664384;mso-width-relative:page;mso-height-relative:page;" fillcolor="#FFFFFF [3201]" filled="t" stroked="t" coordsize="21600,21600" o:gfxdata="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lvtr1gAAAAkBAAAPAAAAAAAAAAEAIAAAACIAAABkcnMvZG93bnJl&#10;di54bWxQSwECFAAUAAAACACHTuJAypqh9P8BAAALBAAADgAAAAAAAAABACAAAAAlAQAAZHJzL2Uy&#10;b0RvYy54bWxQSwUGAAAAAAYABgBZAQAAlgUAAAAA&#10;">
                <v:fill on="t" focussize="0,0"/>
                <v:stroke weight="2pt" color="#F79646 [3209]" joinstyle="round"/>
                <v:imagedata o:title=""/>
                <o:lock v:ext="edit" aspectratio="f"/>
                <v:textbox inset="0mm,0mm,0mm,0mm">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1440815</wp:posOffset>
                </wp:positionH>
                <wp:positionV relativeFrom="paragraph">
                  <wp:posOffset>114935</wp:posOffset>
                </wp:positionV>
                <wp:extent cx="311785" cy="1029335"/>
                <wp:effectExtent l="0" t="0" r="12065" b="18415"/>
                <wp:wrapNone/>
                <wp:docPr id="22" name="文本框 22"/>
                <wp:cNvGraphicFramePr/>
                <a:graphic xmlns:a="http://schemas.openxmlformats.org/drawingml/2006/main">
                  <a:graphicData uri="http://schemas.microsoft.com/office/word/2010/wordprocessingShape">
                    <wps:wsp>
                      <wps:cNvSpPr txBox="1"/>
                      <wps:spPr>
                        <a:xfrm>
                          <a:off x="3125470" y="348996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9.05pt;height:81.05pt;width:24.55pt;z-index:251662336;mso-width-relative:page;mso-height-relative:page;" fillcolor="#FFFFFF [3201]" filled="t" stroked="f" coordsize="21600,21600" o:gfxdata="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W/SV1AAA&#10;AAoBAAAPAAAAAAAAAAEAIAAAACIAAABkcnMvZG93bnJldi54bWxQSwECFAAUAAAACACHTuJAKNX0&#10;plsCAACdBAAADgAAAAAAAAABACAAAAAjAQAAZHJzL2Uyb0RvYy54bWxQSwUGAAAAAAYABgBZAQAA&#10;8AU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v:textbox>
              </v:shape>
            </w:pict>
          </mc:Fallback>
        </mc:AlternateContent>
      </w:r>
      <w:r>
        <w:rPr>
          <w:color w:val="auto"/>
          <w:highlight w:val="none"/>
        </w:rPr>
        <mc:AlternateContent>
          <mc:Choice Requires="wpg">
            <w:drawing>
              <wp:inline distT="0" distB="0" distL="114300" distR="114300">
                <wp:extent cx="5196205" cy="1296670"/>
                <wp:effectExtent l="0" t="0" r="4445" b="17780"/>
                <wp:docPr id="24" name="组合 23"/>
                <wp:cNvGraphicFramePr/>
                <a:graphic xmlns:a="http://schemas.openxmlformats.org/drawingml/2006/main">
                  <a:graphicData uri="http://schemas.microsoft.com/office/word/2010/wordprocessingGroup">
                    <wpg:wgp>
                      <wpg:cNvGrpSpPr/>
                      <wpg:grpSpPr>
                        <a:xfrm>
                          <a:off x="0" y="0"/>
                          <a:ext cx="5196205" cy="1296520"/>
                          <a:chOff x="66" y="189"/>
                          <a:chExt cx="7760" cy="1202"/>
                        </a:xfrm>
                      </wpg:grpSpPr>
                      <pic:pic xmlns:pic="http://schemas.openxmlformats.org/drawingml/2006/picture">
                        <pic:nvPicPr>
                          <pic:cNvPr id="2" name="图片 24"/>
                          <pic:cNvPicPr>
                            <a:picLocks noChangeAspect="1"/>
                          </pic:cNvPicPr>
                        </pic:nvPicPr>
                        <pic:blipFill>
                          <a:blip r:embed="rId32"/>
                          <a:stretch>
                            <a:fillRect/>
                          </a:stretch>
                        </pic:blipFill>
                        <pic:spPr>
                          <a:xfrm>
                            <a:off x="66" y="189"/>
                            <a:ext cx="7760" cy="1202"/>
                          </a:xfrm>
                          <a:prstGeom prst="rect">
                            <a:avLst/>
                          </a:prstGeom>
                          <a:noFill/>
                          <a:ln>
                            <a:noFill/>
                          </a:ln>
                        </pic:spPr>
                      </pic:pic>
                      <wps:wsp>
                        <wps:cNvPr id="4" name="文本框 26"/>
                        <wps:cNvSpPr txBox="1"/>
                        <wps:spPr>
                          <a:xfrm>
                            <a:off x="2139" y="223"/>
                            <a:ext cx="1495" cy="11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wps:txbx>
                        <wps:bodyPr lIns="0" tIns="0" rIns="0" bIns="0" upright="1"/>
                      </wps:wsp>
                      <wps:wsp>
                        <wps:cNvPr id="13" name="文本框 28"/>
                        <wps:cNvSpPr txBox="1"/>
                        <wps:spPr>
                          <a:xfrm>
                            <a:off x="181" y="208"/>
                            <a:ext cx="1459" cy="1100"/>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wps:txbx>
                        <wps:bodyPr lIns="0" tIns="0" rIns="0" bIns="0" upright="1"/>
                      </wps:wsp>
                    </wpg:wgp>
                  </a:graphicData>
                </a:graphic>
              </wp:inline>
            </w:drawing>
          </mc:Choice>
          <mc:Fallback>
            <w:pict>
              <v:group id="组合 23" o:spid="_x0000_s1026" o:spt="203" style="height:102.1pt;width:409.15pt;" coordorigin="66,189" coordsize="7760,1202" o:gfxdata="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">
                <o:lock v:ext="edit" aspectratio="f"/>
                <v:shape id="图片 24" o:spid="_x0000_s1026" o:spt="75" type="#_x0000_t75" style="position:absolute;left:66;top:189;height:1202;width:7760;" filled="f" o:preferrelative="t" stroked="f" coordsize="21600,21600" o:gfxdata="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L/rbsAAADa&#10;AAAADwAAAAAAAAABACAAAAAiAAAAZHJzL2Rvd25yZXYueG1sUEsBAhQAFAAAAAgAh07iQDMvBZ47&#10;AAAAOQAAABAAAAAAAAAAAQAgAAAACgEAAGRycy9zaGFwZXhtbC54bWxQSwUGAAAAAAYABgBbAQAA&#10;tAMAAAAA&#10;">
                  <v:fill on="f" focussize="0,0"/>
                  <v:stroke on="f"/>
                  <v:imagedata r:id="rId32" o:title=""/>
                  <o:lock v:ext="edit" aspectratio="t"/>
                </v:shape>
                <v:shape id="文本框 26" o:spid="_x0000_s1026" o:spt="202" type="#_x0000_t202" style="position:absolute;left:2139;top:223;height:1115;width:1495;" fillcolor="#FFFFFF [3201]" filled="t" stroked="t" coordsize="21600,21600" o:gfxdata="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4rQ7sAAADa&#10;AAAADwAAAAAAAAABACAAAAAiAAAAZHJzL2Rvd25yZXYueG1sUEsBAhQAFAAAAAgAh07iQDMvBZ47&#10;AAAAOQAAABAAAAAAAAAAAQAgAAAACgEAAGRycy9zaGFwZXhtbC54bWxQSwUGAAAAAAYABgBbAQAA&#10;tAMAAAAA&#10;">
                  <v:fill on="t" focussize="0,0"/>
                  <v:stroke weight="2pt" color="#F79646 [3209]" joinstyle="round"/>
                  <v:imagedata o:title=""/>
                  <o:lock v:ext="edit" aspectratio="f"/>
                  <v:textbox inset="0mm,0mm,0mm,0mm">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v:textbox>
                </v:shape>
                <v:shape id="文本框 28" o:spid="_x0000_s1026" o:spt="202" type="#_x0000_t202" style="position:absolute;left:181;top:208;height:1100;width:1459;" fillcolor="#FFFFFF [3201]" filled="t" stroked="t" coordsize="21600,21600" o:gfxdata="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E/25AAAA2wAA&#10;AA8AAAAAAAAAAQAgAAAAIgAAAGRycy9kb3ducmV2LnhtbFBLAQIUABQAAAAIAIdO4kAzLwWeOwAA&#10;ADkAAAAQAAAAAAAAAAEAIAAAAAgBAABkcnMvc2hhcGV4bWwueG1sUEsFBgAAAAAGAAYAWwEAALID&#10;AAAAAA==&#10;">
                  <v:fill on="t" focussize="0,0"/>
                  <v:stroke weight="2pt" color="#F79646 [3209]" joinstyle="round"/>
                  <v:imagedata o:title=""/>
                  <o:lock v:ext="edit" aspectratio="f"/>
                  <v:textbox inset="0mm,0mm,0mm,0mm">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v:textbox>
                </v:shape>
                <w10:wrap type="none"/>
                <w10:anchorlock/>
              </v:group>
            </w:pict>
          </mc:Fallback>
        </mc:AlternateContent>
      </w:r>
    </w:p>
    <w:p>
      <w:pPr>
        <w:spacing w:before="61" w:line="218" w:lineRule="auto"/>
        <w:ind w:left="3030"/>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14:textOutline w14:w="3454" w14:cap="flat" w14:cmpd="sng">
            <w14:solidFill>
              <w14:srgbClr w14:val="000000"/>
            </w14:solidFill>
            <w14:prstDash w14:val="solid"/>
            <w14:miter w14:val="0"/>
          </w14:textOutline>
        </w:rPr>
        <w:t>图</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2-1</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岸线资源评价的一般步骤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1)准备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准备阶段一般首先要确定评价区域的范围，根据发范围大小初步确定评价的深度。其次要明确评价目的，根据目的初步掌握评价区内基本的自然、社会经济背景，重要资源的分布状况，并对结果进行可能性假设。最后根据了解的情况拟定初步的工作计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2)野外调查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野外调查时评价工作的重要环节，野外工作的细致与否，将直接影响到将来评价结果的科学合理性和实用性。野外调查主要是获得感性认识和资料收集，收集的资料主要包括与岸线变迁、岸线利用现状、岸线人工构筑物的分布和等级、沿岸港口分布、发展现状和规划方向等相关的文字、地图、航片、卫片资料等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3)具体评价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这个阶段的工作首先是对各种来源的资料进行分类、分区统计、并进行分析、综合。然后是实施评价。评价过程是：建立指标体系、划分评价单元、各岸段各指标评价、汇总结果。评价结果要与初始假设和地方规划进行比较、验证，并根据评价目的和原则分析各自的合理性，如有必要还要对评价方案进行适当地修改、补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4)提交成果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主要成果一般包括评价区岸线资源的总体特征阐述，岸线的长度量算与分类、分区统计，岸线资源的质量分等与地区差异，各段岸线的适宜性评价特征，岸线资源评价图、利用现状图及相关文字说明，并提出利用建议。</w:t>
      </w:r>
    </w:p>
    <w:p>
      <w:pPr>
        <w:bidi w:val="0"/>
        <w:spacing w:line="360" w:lineRule="auto"/>
        <w:rPr>
          <w:rFonts w:hint="eastAsia" w:ascii="宋体" w:hAnsi="宋体" w:eastAsia="宋体" w:cs="宋体"/>
          <w:b/>
          <w:bCs/>
          <w:color w:val="auto"/>
          <w:sz w:val="28"/>
          <w:szCs w:val="28"/>
          <w:highlight w:val="none"/>
        </w:rPr>
      </w:pPr>
      <w:bookmarkStart w:id="27" w:name="_Toc18276"/>
      <w:r>
        <w:rPr>
          <w:rFonts w:hint="eastAsia" w:ascii="宋体" w:hAnsi="宋体" w:eastAsia="宋体" w:cs="宋体"/>
          <w:b/>
          <w:bCs/>
          <w:color w:val="auto"/>
          <w:sz w:val="28"/>
          <w:szCs w:val="28"/>
          <w:highlight w:val="none"/>
        </w:rPr>
        <w:t>2.1.3 岸线评价的结论</w:t>
      </w:r>
      <w:bookmarkEnd w:id="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功能区功能属性和控制利用要求，结合岸线利用项目的具体情况，对沿河地区岸线利用项目进行了分析，阿尔阿布海(沃门阿布湖)岸线沿线绝大部分以农田为主，以各岸线功能区的岸线利用率来评价现状岸线利用程度，并对岸线功能区利用现状提出评价意见。各岸线功能区的岸线利用率是指每种功能区已利用岸线长度占总岸线长度的比率。</w:t>
      </w:r>
      <w:r>
        <w:rPr>
          <w:rFonts w:hint="eastAsia" w:ascii="宋体" w:hAnsi="宋体" w:eastAsia="宋体" w:cs="宋体"/>
          <w:snapToGrid/>
          <w:color w:val="auto"/>
          <w:kern w:val="0"/>
          <w:sz w:val="28"/>
          <w:szCs w:val="28"/>
          <w:highlight w:val="green"/>
          <w:lang w:val="en-US" w:eastAsia="zh-CN" w:bidi="ar-SA"/>
        </w:rPr>
        <w:t>阿尔阿布海(沃门阿布湖)岸线基本利用率为零</w:t>
      </w:r>
      <w:r>
        <w:rPr>
          <w:rFonts w:hint="eastAsia" w:ascii="宋体" w:hAnsi="宋体" w:eastAsia="宋体" w:cs="宋体"/>
          <w:snapToGrid/>
          <w:color w:val="auto"/>
          <w:kern w:val="0"/>
          <w:sz w:val="28"/>
          <w:szCs w:val="28"/>
          <w:highlight w:val="none"/>
          <w:lang w:val="en-US" w:eastAsia="zh-CN" w:bidi="ar-SA"/>
        </w:rPr>
        <w:t>。</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8" w:name="_Toc23804"/>
      <w:bookmarkStart w:id="29" w:name="_Toc890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2.2 现状岸线管理存在的主要问题</w:t>
      </w:r>
      <w:bookmarkEnd w:id="28"/>
      <w:bookmarkEnd w:id="2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由于历史原因加上缺乏岸线统一规划，目前岸线利用管理存在以下主要问题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(1)沿湖有畜禽养殖污染，湖泊内漂浮物较多。湖泊内存在乱到生活垃圾、建筑垃圾现象。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(2)岸线管理与保护仍需加强，</w:t>
      </w:r>
      <w:r>
        <w:rPr>
          <w:rFonts w:hint="eastAsia" w:ascii="宋体" w:hAnsi="宋体" w:eastAsia="宋体" w:cs="宋体"/>
          <w:snapToGrid/>
          <w:color w:val="auto"/>
          <w:kern w:val="0"/>
          <w:sz w:val="28"/>
          <w:szCs w:val="28"/>
          <w:highlight w:val="green"/>
          <w:lang w:val="en-US" w:eastAsia="zh-CN" w:bidi="ar-SA"/>
        </w:rPr>
        <w:t>由于阿尔阿布海(沃门阿布湖)四周现状岸线大部分以自然湖堤坝为界，岸线范围界定不明确，只有沿湖有不完整的海坝，与当地农牧民农田、牧地交叉交错，造成管理单位管理困难，岸线的定界与保护缺乏有效的控制措施，占用海滩、随意围垦等现象时有发生，对阿尔阿布海(沃门阿布湖)生态保护有较大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缺乏规范的管理制度和政策。由于缺乏具有法律效力的岸线资源利用规划，岸线界定没有统一标准，岸线界限范围不明确，难以确定岸线利用项目涉及的区域是否侵占河道，没有形成完善的岸线利用管理制度，管理依据不足，可能影响水生态环境等。岸线利用也还缺少有效的经济调控手段，现行的无偿或低偿获取岸线资源开发权的办法，与稳定岸线的投入极不相应，不利于岸线资源的节约使用和合理开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总体上，目前岸线利用管理机制不完善，也缺乏规范的管理制度和政策，难以有效规范和调节岸线利用行为。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0" w:name="_Toc18353"/>
      <w:bookmarkStart w:id="31" w:name="_Toc117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经济社会发展对岸线保护和利用的需求</w:t>
      </w:r>
      <w:bookmarkEnd w:id="30"/>
      <w:bookmarkEnd w:id="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绿水青山就是金山银山，我们既要绿水青山又要金山银山”。河湖岸线是有限的宝贵资源，具有行洪、调节水流、维持河流生态平衡的自然属性，还具有开发利用价值，为社会经济发展提供服务的资源属性。优良的岸线可以满足国民经济各部门对岸线利用的需求，其综合功能有力支撑了流域经济社会的发展和流域水生态环境的保护。</w:t>
      </w:r>
    </w:p>
    <w:p>
      <w:pPr>
        <w:bidi w:val="0"/>
        <w:spacing w:line="360" w:lineRule="auto"/>
        <w:rPr>
          <w:rFonts w:hint="eastAsia" w:ascii="宋体" w:hAnsi="宋体" w:eastAsia="宋体" w:cs="宋体"/>
          <w:b/>
          <w:bCs/>
          <w:color w:val="auto"/>
          <w:sz w:val="28"/>
          <w:szCs w:val="28"/>
          <w:highlight w:val="none"/>
        </w:rPr>
      </w:pPr>
      <w:bookmarkStart w:id="32" w:name="_Toc5725"/>
      <w:r>
        <w:rPr>
          <w:rFonts w:hint="eastAsia" w:ascii="宋体" w:hAnsi="宋体" w:eastAsia="宋体" w:cs="宋体"/>
          <w:b/>
          <w:bCs/>
          <w:color w:val="auto"/>
          <w:sz w:val="28"/>
          <w:szCs w:val="28"/>
          <w:highlight w:val="none"/>
        </w:rPr>
        <w:t>2.3.1 岸线保护需求</w:t>
      </w:r>
      <w:bookmarkEnd w:id="3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1、水生态环境保护对岸线保护的需求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现状年</w:t>
      </w:r>
      <w:r>
        <w:rPr>
          <w:rFonts w:hint="eastAsia" w:ascii="宋体" w:hAnsi="宋体" w:eastAsia="宋体" w:cs="宋体"/>
          <w:snapToGrid/>
          <w:color w:val="auto"/>
          <w:kern w:val="0"/>
          <w:sz w:val="28"/>
          <w:szCs w:val="28"/>
          <w:highlight w:val="green"/>
          <w:lang w:val="en-US" w:eastAsia="zh-CN" w:bidi="ar-SA"/>
        </w:rPr>
        <w:t>阿尔阿布海(沃门阿布湖)所在的磴口县水资源短缺，生产或生活用水挤占生态用水的现象日益严重，以及农业生产和生活排污量不断增加，致使河道水质出现恶化，给水资源保护和城乡饮水安全带来了威胁。对河岸线进行功能区划分，合理规划岸线资源利用、保护和控制分区，是保障经济社会可持续发展，是不断改善和保护水生态环境的重要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生态状况不仅关系巴彦淖尔市群众生存和发展，而且关系华北、东北、西北乃至全国生态安全，水生态环境对构筑我国北方重要生态安全屏障具有重要作用。随着国民经济的发展，水生态环境保护的形势更加严峻，水资源短缺、水体污染已经成为制约国民经济可持续发展的重要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2、防洪安全对岸线保护的需求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人口的增加和畜牧业的发展，由于自然和人为因素的影响，河势发生了较大的变化。放牧导致河滨带湿地土壤紧实，下渗降低，地表径流增加，增加的地表径流又引起更大的水土流失。牲畜对河岸的踩踏，加剧河岸的坍塌。随着淤积作用，河道变得宽浅，抬高了河道洪水位，加大了洪水危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湖泊岸线的开发主要为利用其土地资源以及河道水域，规划阶段内岸线的利用以保护生态环境为前提，兼顾地方经济发展，适当开发防洪、供水等类型的工程。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4、岸线保护需求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地区经济的快速发展，临、跨河建筑物日益增多，存在缩小湖区面积、影响湖区生态环境的现象。部分村庄距离湖区较近，再加之湖区散乱、无明显主区，演变较为剧烈，对岸线会造成不利影响。岸线资源的有效保护与防洪安全、洪涝灾害程度存在着密切的联系，对河湖岸线资源实施有效保护是保障防洪安全的重要条件。</w:t>
      </w:r>
    </w:p>
    <w:p>
      <w:pPr>
        <w:bidi w:val="0"/>
        <w:spacing w:line="360" w:lineRule="auto"/>
        <w:rPr>
          <w:rFonts w:hint="eastAsia" w:ascii="宋体" w:hAnsi="宋体" w:eastAsia="宋体" w:cs="宋体"/>
          <w:b/>
          <w:bCs/>
          <w:color w:val="auto"/>
          <w:sz w:val="28"/>
          <w:szCs w:val="28"/>
          <w:highlight w:val="none"/>
        </w:rPr>
      </w:pPr>
      <w:bookmarkStart w:id="33" w:name="_Toc23177"/>
      <w:r>
        <w:rPr>
          <w:rFonts w:hint="eastAsia" w:ascii="宋体" w:hAnsi="宋体" w:eastAsia="宋体" w:cs="宋体"/>
          <w:b/>
          <w:bCs/>
          <w:color w:val="auto"/>
          <w:sz w:val="28"/>
          <w:szCs w:val="28"/>
          <w:highlight w:val="none"/>
        </w:rPr>
        <w:t>2.3.2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岸线利用需求</w:t>
      </w:r>
      <w:bookmarkEnd w:id="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沿河地区经济的发展，河道岸线土地资源日益为开发建设关注，对于部分常年少水或无水河段，开发岸线主要是利用其土地资源和生态风景属性，以河岸为依托，利用河道水域的开发项目少，今后的需求也主要集中在土地资源和生态风景属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4" w:name="_Toc25963"/>
      <w:bookmarkStart w:id="35" w:name="_Toc11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岸线保护与利用控制条件分析</w:t>
      </w:r>
      <w:bookmarkEnd w:id="34"/>
      <w:bookmarkEnd w:id="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从防洪、供水、生态、经济社会和重要涉水工程等方面对岸线保护与利用提出管控要求，各类控制要求如下：</w:t>
      </w:r>
    </w:p>
    <w:p>
      <w:pPr>
        <w:bidi w:val="0"/>
        <w:spacing w:line="360" w:lineRule="auto"/>
        <w:rPr>
          <w:rFonts w:hint="eastAsia" w:ascii="宋体" w:hAnsi="宋体" w:eastAsia="宋体" w:cs="宋体"/>
          <w:b w:val="0"/>
          <w:bCs w:val="0"/>
          <w:color w:val="auto"/>
          <w:sz w:val="28"/>
          <w:szCs w:val="28"/>
          <w:highlight w:val="none"/>
          <w:lang w:val="en-US" w:eastAsia="zh-CN"/>
        </w:rPr>
      </w:pPr>
      <w:bookmarkStart w:id="36" w:name="_Toc5537"/>
      <w:r>
        <w:rPr>
          <w:rFonts w:hint="eastAsia" w:ascii="宋体" w:hAnsi="宋体" w:eastAsia="宋体" w:cs="宋体"/>
          <w:b w:val="0"/>
          <w:bCs w:val="0"/>
          <w:color w:val="auto"/>
          <w:sz w:val="28"/>
          <w:szCs w:val="28"/>
          <w:highlight w:val="none"/>
          <w:lang w:val="en-US" w:eastAsia="zh-CN"/>
        </w:rPr>
        <w:t>1、保障防洪安全</w:t>
      </w:r>
      <w:bookmarkEnd w:id="3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资源保护与利用的重要条件，本次岸线保护与利用规划把保障防洪安全放在了尤为突出的重要位置。按照保障防洪安全的要求，岸线保护与利用的控制条件包括：严格按照岸线利用管理的要求，对超越和侵占临水控制线的岸线利用项目实施清退和调整。</w:t>
      </w:r>
    </w:p>
    <w:p>
      <w:pPr>
        <w:bidi w:val="0"/>
        <w:spacing w:line="360" w:lineRule="auto"/>
        <w:rPr>
          <w:rFonts w:hint="eastAsia" w:ascii="宋体" w:hAnsi="宋体" w:eastAsia="宋体" w:cs="宋体"/>
          <w:b w:val="0"/>
          <w:bCs w:val="0"/>
          <w:color w:val="auto"/>
          <w:sz w:val="28"/>
          <w:szCs w:val="28"/>
          <w:highlight w:val="none"/>
          <w:lang w:val="en-US" w:eastAsia="zh-CN"/>
        </w:rPr>
      </w:pPr>
      <w:bookmarkStart w:id="37" w:name="_Toc7649"/>
      <w:r>
        <w:rPr>
          <w:rFonts w:hint="eastAsia" w:ascii="宋体" w:hAnsi="宋体" w:eastAsia="宋体" w:cs="宋体"/>
          <w:b w:val="0"/>
          <w:bCs w:val="0"/>
          <w:color w:val="auto"/>
          <w:sz w:val="28"/>
          <w:szCs w:val="28"/>
          <w:highlight w:val="none"/>
          <w:lang w:val="en-US" w:eastAsia="zh-CN"/>
        </w:rPr>
        <w:t>2、保护水资源与水环境</w:t>
      </w:r>
      <w:bookmarkEnd w:id="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水资源短缺是我国的基本国情之一，岸线利用应重视水资源和水环境保护，合理确定各功能区内的岸线利用项目。按照水资源与水环境保护的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(1)严格控制排污口水质达标排放和污染物负荷总量控制，对无法达标排放或污染物负荷总量超标的排污口应限期治理，必要时应对其占用岸线的位置予以调整。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(2)清退保护区内影响水资源保护的排污口、污染企业等项目，对影响水质控制指标的建设项目加以清退和调整。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(3)对水质有重大影响的岸线利用项目，应予以调整或迁建。</w:t>
      </w:r>
    </w:p>
    <w:p>
      <w:pPr>
        <w:bidi w:val="0"/>
        <w:spacing w:line="360" w:lineRule="auto"/>
        <w:rPr>
          <w:rFonts w:hint="eastAsia" w:ascii="宋体" w:hAnsi="宋体" w:eastAsia="宋体" w:cs="宋体"/>
          <w:b w:val="0"/>
          <w:bCs w:val="0"/>
          <w:color w:val="auto"/>
          <w:sz w:val="28"/>
          <w:szCs w:val="28"/>
          <w:highlight w:val="none"/>
          <w:lang w:val="en-US" w:eastAsia="zh-CN"/>
        </w:rPr>
      </w:pPr>
      <w:bookmarkStart w:id="38" w:name="_Toc22551"/>
      <w:r>
        <w:rPr>
          <w:rFonts w:hint="eastAsia" w:ascii="宋体" w:hAnsi="宋体" w:eastAsia="宋体" w:cs="宋体"/>
          <w:b w:val="0"/>
          <w:bCs w:val="0"/>
          <w:color w:val="auto"/>
          <w:sz w:val="28"/>
          <w:szCs w:val="28"/>
          <w:highlight w:val="none"/>
          <w:lang w:val="en-US" w:eastAsia="zh-CN"/>
        </w:rPr>
        <w:t>3、合理配置岸线资源，实现有序高效利用</w:t>
      </w:r>
      <w:bookmarkEnd w:id="3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按照优化配置岸线资源，实现岸线资源的有序、高效利用和有效保护要求，岸线保护与利用的控制条件包括以下方面：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(1)对岸线资源利用效率不高的项目予以调整，将优良岸线资源合理配置，有利于当地经济社会可持续发展。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(2)将可以集中布置的岸线开发利用项目集中布置，节约有限的岸线资源促进多个利益主体共享岸线，提高岸线利用效率。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(3)重视对岸线利用项目的占用岸线长度的合理性评价，避免过多占岸线，严禁闲置已占用的岸线。</w:t>
      </w:r>
    </w:p>
    <w:p>
      <w:pPr>
        <w:keepNext w:val="0"/>
        <w:keepLines w:val="0"/>
        <w:pageBreakBefore w:val="0"/>
        <w:widowControl/>
        <w:kinsoku w:val="0"/>
        <w:wordWrap/>
        <w:overflowPunct/>
        <w:topLinePunct w:val="0"/>
        <w:autoSpaceDE w:val="0"/>
        <w:autoSpaceDN w:val="0"/>
        <w:bidi w:val="0"/>
        <w:adjustRightInd w:val="0"/>
        <w:snapToGrid w:val="0"/>
        <w:spacing w:before="120" w:line="344" w:lineRule="auto"/>
        <w:ind w:left="295" w:right="164" w:firstLine="448"/>
        <w:textAlignment w:val="baseline"/>
        <w:rPr>
          <w:rFonts w:hint="eastAsia" w:ascii="宋体" w:hAnsi="宋体" w:eastAsia="宋体" w:cs="宋体"/>
          <w:snapToGrid/>
          <w:color w:val="auto"/>
          <w:kern w:val="0"/>
          <w:sz w:val="28"/>
          <w:szCs w:val="28"/>
          <w:highlight w:val="none"/>
          <w:lang w:val="en-US" w:eastAsia="zh-CN" w:bidi="ar-SA"/>
        </w:rPr>
        <w:sectPr>
          <w:footerReference r:id="rId10" w:type="default"/>
          <w:pgSz w:w="12070" w:h="16960"/>
          <w:pgMar w:top="1441" w:right="1810" w:bottom="2016" w:left="1810" w:header="1020" w:footer="1474" w:gutter="0"/>
          <w:pgNumType w:fmt="decimal"/>
          <w:cols w:space="720" w:num="1"/>
        </w:sectPr>
      </w:pPr>
    </w:p>
    <w:p>
      <w:pPr>
        <w:spacing w:line="268" w:lineRule="auto"/>
        <w:rPr>
          <w:rFonts w:ascii="Arial"/>
          <w:color w:val="auto"/>
          <w:sz w:val="21"/>
          <w:highlight w:val="none"/>
        </w:r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39" w:name="_Toc24259"/>
      <w:bookmarkStart w:id="40" w:name="_Toc30559"/>
      <w:r>
        <w:rPr>
          <w:rFonts w:hint="eastAsia" w:ascii="宋体" w:hAnsi="宋体" w:eastAsia="宋体" w:cs="宋体"/>
          <w:color w:val="auto"/>
          <w:sz w:val="32"/>
          <w:szCs w:val="32"/>
          <w:highlight w:val="none"/>
          <w:lang w:val="en-US" w:eastAsia="zh-CN"/>
        </w:rPr>
        <w:t>3 编制依据</w:t>
      </w:r>
      <w:bookmarkEnd w:id="39"/>
      <w:bookmarkEnd w:id="4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1" w:name="_Toc24645"/>
      <w:bookmarkStart w:id="42" w:name="_Toc1280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3.1 法律法规</w:t>
      </w:r>
      <w:bookmarkEnd w:id="41"/>
      <w:bookmarkEnd w:id="4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1、《中华人民共和国水法》;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2、《中华人民共和国防洪法》;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3、《中华人民共和国水土保持法》;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4、《中华人民共和国水污染防治法》;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5、《中华人民共和国环境保护法》;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6、《中华人民共和国城乡规划法》;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7、《中华人民共和国土地管理法》;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8、《中华人民共和国河道管理条例》;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9、《中华人民共和国水文条例》;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10、《中华人民共和国自然保护区条例》;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11、《中华人民共和国风景名胜区条例》;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12、《中华人民共和国草原法》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13、《中华人民共和国水库大坝安全管理条例》;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14、《中华人民共和国土地管理法实施条例》;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15、《内蒙古自治区节约用水条例》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16、《内蒙古自治区水工程管理保护办法》;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17、《内蒙古自治区水工程管理和保护范围划定标准》;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18、《内蒙古自治区水土保持条例》;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19、《内蒙古自治区取水许可和水资源费征收管理实施办法》;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20、《内蒙古自治区农村牧区饮用水供水条例》;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21、《内蒙古自治区实施&lt;中华人民共和国防洪法&gt;办法》;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22、《内蒙古自治区草原管理条例》;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23、《内蒙古自治区基本草原保护条例》;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24、《公路安全保护条例》;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25、《铁路安全管理条例》;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26、《电子设施保护条例》;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27、其他相关法律法规文件。</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3" w:name="_bookmark26"/>
      <w:bookmarkEnd w:id="43"/>
      <w:bookmarkStart w:id="44" w:name="_Toc23214"/>
      <w:bookmarkStart w:id="45" w:name="_Toc1507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规程规范</w:t>
      </w:r>
      <w:bookmarkEnd w:id="44"/>
      <w:bookmarkEnd w:id="4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1、《江河流域规划编制规程》(SL201-2015)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2、《防洪标准》(GB50201-2014);</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3、《河道整治设计规范》(GB50707-2011);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6、《水利水电工程设计洪水计算规范》(SL44-2006);</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8、《水利水电工程水利计算规范》(SL104-2015);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9、《水利水电工程水文计算规范》(SL278-2002);</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10、《水库工程管理设计规范》(SL106-2017)</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11、《河湖岸线保护与利用规划编制指南》(试行);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12、国家及行业颁布的其他有关现行规范、规程、标准等。</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6" w:name="_Toc28304"/>
      <w:bookmarkStart w:id="47" w:name="_Toc62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政策文件</w:t>
      </w:r>
      <w:bookmarkEnd w:id="46"/>
      <w:bookmarkEnd w:id="4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1、《中共中央国务院关于加快推进生态文明建设的意见》(中发(2015)12号);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2、《中共中央办公厅、国务院办公厅印发&lt;关于全面推行河长制的意见&gt;的通知》(厅字〔2016〕42号);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3、《关于在湖泊实施湖长制的指导意见》(2018年1月中共中央办公厅、国务院办公厅印发);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4、《关于划定并严守生态保护红线的若干意见》(2017年2月中共中央办公厅、国务院办公厅印发);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5、《水利部办公厅关于印发河湖岸线保护与利用规划编制指南(试行)的通知》(办河湖〔2019〕394号);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6、《关于开展河道(湖泊)岸线利用管理规划工作的通知》(水利部，水建管(2007)67号，2007年2月);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7、《水利部关于加快推进河湖管理范围划定工作的通知》(水河湖〔2018)314号);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8、《关于印发&lt;生态保护红线划定指南&gt;的通知》(环办生态〔2017〕48号);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9、《内蒙古自治区水利厅关于转发&lt;水利部关于加快推进河湖管理范围划定</w:t>
      </w:r>
      <w:bookmarkStart w:id="48" w:name="_bookmark27"/>
      <w:bookmarkEnd w:id="48"/>
      <w:r>
        <w:rPr>
          <w:rFonts w:hint="eastAsia" w:ascii="宋体" w:hAnsi="宋体" w:eastAsia="宋体" w:cs="宋体"/>
          <w:snapToGrid/>
          <w:color w:val="auto"/>
          <w:kern w:val="0"/>
          <w:sz w:val="28"/>
          <w:szCs w:val="28"/>
          <w:highlight w:val="none"/>
          <w:lang w:val="en-US" w:eastAsia="zh-CN" w:bidi="ar-SA"/>
        </w:rPr>
        <w:t>工作的通知&gt;的通知》(内河湖〔2019〕4号);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10、《内蒙古自治区党委办公厅、自治区人民政府办公厅关于印发&lt;内蒙古自治区全面推行河长制工作方案&gt;的通知》(厅发〔2017〕12号);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11、《内蒙古自治区水利厅关于抓紧构建各级河长体系的通知》(内水建(2017)120号);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12、《内蒙古自治区河长制办公室关于做好一河一策实施方案编制工作的通知》(内河长办〔2017)15号〕;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13、内蒙古自治区人民政府办公厅关于印发《内蒙古自治区水土保持规划(2016-2030年)》的通知，内政办发(2017)8号;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14、《内蒙古自治区人民政府办公厅关于印发&lt;内蒙古自治区生态环境保护“十三五”规划&gt;的通知》(内政办发(2017)95号)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15、《内蒙古自治区人民政府关于加强地下水生态保护和治理的指导意见》(内政发[2018]52号);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16、内蒙古自治区人民办公厅印发《关于划定并严守生态保护红线的工作方案》(内政办发〔2017)133号〕;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17、中共巴彦淖尔市市委办公室文件政府办公室关于印发《巴彦淖尔市全面推行湖长制实施方案》的通知室发[2018]33号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18、巴彦淖尔市市委政府《关于全面推行河长制工作情况的报告》巴党报[2018]16号;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19、巴彦淖尔市人民政府办公室关于《巴彦淖尔市重点湖泊生态环境保护工作的实施意见》[2020]25号;</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9" w:name="_Toc9765"/>
      <w:bookmarkStart w:id="50" w:name="_Toc1345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3.4 有关规划</w:t>
      </w:r>
      <w:bookmarkEnd w:id="49"/>
      <w:bookmarkEnd w:id="5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1、《生态文明体制改革总体方案》;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2、《全国水资源综合规划》;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3、《全国抗旱规划》;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4、《水利改革发展“十四五”规划》;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5、《巴彦淖尔市水利发展“十四五”规划》;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6、《巴彦淖尔市生态环境保护“十四五”规划》巴彦淖尔市人民政府，规划期2021年-2025年;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7、《巴彦淖尔市国民经济和社会发展第十四个五年规划》;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8、《巴彦淖尔市“十四五”时期城乡社区建设发展规划》;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9、《巴彦淖尔市公路、水路交通运输“十四五”发展规划中期评估及调整》巴彦淖尔市交通运输局，2021年9月。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10、《内蒙古自治区水功能区划》;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11、《内蒙古自治区“十四五”国控重点流域水质月报》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12、《内蒙古自治区节水型社会建设“十四五”规划》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13、《内蒙古自治区水土保持规划(2016~2030年)》;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14、《内蒙古自治区城市饮用水水源地安全保障规划》;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15、</w:t>
      </w:r>
      <w:r>
        <w:rPr>
          <w:rFonts w:hint="eastAsia" w:ascii="宋体" w:hAnsi="宋体" w:eastAsia="宋体" w:cs="宋体"/>
          <w:snapToGrid/>
          <w:color w:val="auto"/>
          <w:kern w:val="0"/>
          <w:sz w:val="28"/>
          <w:szCs w:val="28"/>
          <w:highlight w:val="yellow"/>
          <w:lang w:val="en-US" w:eastAsia="zh-CN" w:bidi="ar-SA"/>
        </w:rPr>
        <w:t>《内蒙古自治区江河湖库水系连通实施方案(2017~2020年)》;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16、《内蒙古自治区“十四五”节水灌溉工程发展规划》;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17、其他相关规划成果</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1" w:name="_Toc28663"/>
      <w:bookmarkStart w:id="52" w:name="_Toc116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相关技术成果</w:t>
      </w:r>
      <w:bookmarkEnd w:id="51"/>
      <w:bookmarkEnd w:id="5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1、《全国重要江河湖泊水功能区划(2011—2030)》(国务院国函(2011)167号);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2、《内蒙古自治区水功能区划》(内蒙古自治区水利厅、内蒙古自治区环境保护厅，2010年12月);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yellow"/>
          <w:lang w:val="en-US" w:eastAsia="zh-CN" w:bidi="ar-SA"/>
        </w:rPr>
        <w:t>《内蒙古自治区水利发展“十四五”规划》,内蒙古自治区水利厅，2021年9月;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yellow"/>
          <w:lang w:val="en-US" w:eastAsia="zh-CN" w:bidi="ar-SA"/>
        </w:rPr>
        <w:t>《内蒙古自治区水利网建设规划(2016~2020年)》,内蒙古自治区水利水电勘测设计院，2011年3月</w:t>
      </w:r>
      <w:r>
        <w:rPr>
          <w:rFonts w:hint="eastAsia" w:ascii="宋体" w:hAnsi="宋体" w:eastAsia="宋体" w:cs="宋体"/>
          <w:snapToGrid/>
          <w:color w:val="auto"/>
          <w:kern w:val="0"/>
          <w:sz w:val="28"/>
          <w:szCs w:val="28"/>
          <w:highlight w:val="none"/>
          <w:lang w:val="en-US" w:eastAsia="zh-CN" w:bidi="ar-SA"/>
        </w:rP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5、《内蒙古自治区城市饮用水水源地安全保障规划》,内蒙古自治区水利厅，2015年3月;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6、《2019年巴彦淖尔市统计年鉴》,巴彦淖尔市统计局;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7、《内蒙古自治区水利风景区建设发展规划(2016年~2025年)》,内蒙古自治区水利水电勘测设计院，2017年;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8、《内蒙古自治区河流湖泊特征值手册》,巴彦淖尔市卷;</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9、其他已编制的规划报告、设计报告。</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3" w:name="_bookmark30"/>
      <w:bookmarkEnd w:id="53"/>
      <w:bookmarkStart w:id="54" w:name="_bookmark28"/>
      <w:bookmarkEnd w:id="54"/>
      <w:bookmarkStart w:id="55" w:name="_bookmark29"/>
      <w:bookmarkEnd w:id="55"/>
      <w:bookmarkStart w:id="56" w:name="_Toc12929"/>
      <w:bookmarkStart w:id="57" w:name="_Toc1829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3.6 技术路线</w:t>
      </w:r>
      <w:bookmarkEnd w:id="56"/>
      <w:bookmarkEnd w:id="5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资料收集与分析整理等基础上，分析岸线保护和利用现状，按照有关法律。法规、规程规范和相关上位规划有关要求，确定岸线管控目标与指标，划分功能区和拟定规划方案，提出岸线保护利用的行动计划于实施安排，形成河流水域岸线保护利用规划成果。并制定本次规划报告技术路线图。见图3-1。</w:t>
      </w:r>
    </w:p>
    <w:p>
      <w:pPr>
        <w:spacing w:line="318" w:lineRule="auto"/>
        <w:rPr>
          <w:rFonts w:ascii="Arial"/>
          <w:color w:val="auto"/>
          <w:sz w:val="21"/>
          <w:highlight w:val="none"/>
        </w:rPr>
      </w:pPr>
    </w:p>
    <w:p>
      <w:pPr>
        <w:spacing w:line="319" w:lineRule="auto"/>
        <w:rPr>
          <w:rFonts w:ascii="Arial"/>
          <w:color w:val="auto"/>
          <w:sz w:val="21"/>
          <w:highlight w:val="none"/>
        </w:rPr>
      </w:pPr>
      <w:r>
        <w:rPr>
          <w:color w:val="auto"/>
          <w:highlight w:val="none"/>
        </w:rPr>
        <w:drawing>
          <wp:inline distT="0" distB="0" distL="114300" distR="114300">
            <wp:extent cx="5377815" cy="4258310"/>
            <wp:effectExtent l="0" t="0" r="13335"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3"/>
                    <a:stretch>
                      <a:fillRect/>
                    </a:stretch>
                  </pic:blipFill>
                  <pic:spPr>
                    <a:xfrm>
                      <a:off x="0" y="0"/>
                      <a:ext cx="5377815" cy="4258310"/>
                    </a:xfrm>
                    <a:prstGeom prst="rect">
                      <a:avLst/>
                    </a:prstGeom>
                    <a:noFill/>
                    <a:ln>
                      <a:noFill/>
                    </a:ln>
                  </pic:spPr>
                </pic:pic>
              </a:graphicData>
            </a:graphic>
          </wp:inline>
        </w:drawing>
      </w:r>
    </w:p>
    <w:p>
      <w:pPr>
        <w:spacing w:line="319" w:lineRule="auto"/>
        <w:rPr>
          <w:rFonts w:ascii="Arial"/>
          <w:color w:val="auto"/>
          <w:sz w:val="21"/>
          <w:highlight w:val="none"/>
        </w:rPr>
      </w:pPr>
    </w:p>
    <w:p>
      <w:pPr>
        <w:spacing w:before="75" w:line="219" w:lineRule="auto"/>
        <w:ind w:left="0" w:leftChars="0" w:firstLine="0" w:firstLineChars="0"/>
        <w:jc w:val="center"/>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图3-1 河流水域岸线保护利用规划编制技术路线图</w:t>
      </w:r>
    </w:p>
    <w:p>
      <w:pPr>
        <w:rPr>
          <w:color w:val="auto"/>
          <w:highlight w:val="none"/>
        </w:rPr>
        <w:sectPr>
          <w:footerReference r:id="rId11" w:type="default"/>
          <w:pgSz w:w="11910" w:h="16850"/>
          <w:pgMar w:top="1432" w:right="1644" w:bottom="2008" w:left="1786" w:header="1020" w:footer="1474"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58" w:name="_bookmark31"/>
      <w:bookmarkEnd w:id="58"/>
      <w:bookmarkStart w:id="59" w:name="_Toc19953"/>
      <w:bookmarkStart w:id="60" w:name="_Toc2125"/>
      <w:r>
        <w:rPr>
          <w:rFonts w:hint="eastAsia" w:ascii="宋体" w:hAnsi="宋体" w:eastAsia="宋体" w:cs="宋体"/>
          <w:color w:val="auto"/>
          <w:sz w:val="32"/>
          <w:szCs w:val="32"/>
          <w:highlight w:val="none"/>
          <w:lang w:val="en-US" w:eastAsia="zh-CN"/>
        </w:rPr>
        <w:t>4 指导思想与原则</w:t>
      </w:r>
      <w:bookmarkEnd w:id="59"/>
      <w:bookmarkEnd w:id="6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1" w:name="_Toc31550"/>
      <w:bookmarkStart w:id="62" w:name="_Toc2041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4.1 指导思想</w:t>
      </w:r>
      <w:bookmarkEnd w:id="61"/>
      <w:bookmarkEnd w:id="6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面贯彻党的十八大和党的十九大精神，深入学习、贯彻落实习近平总书记系列重要讲话精神，落实党中央、国务院和省委、省政府关于河长制工作要求，坚持绿色发展理念，正确处理岸线资源开发利用与治理保护的关系;综合协调上、下游、左右岸及相关部门和行业间的关系，统筹兼顾近远期的要求，通过对岸线资源的合理布局和优化配置，在保障防洪安全、河势稳定、供水安全和满足水生态环境保护要求的前提下，实现岸线资源的有效利用、科学保护、强化管理、实现岸线资源的可持续利用，促进经济社会的可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3" w:name="_Toc5703"/>
      <w:bookmarkStart w:id="64" w:name="_Toc751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规划原则</w:t>
      </w:r>
      <w:bookmarkEnd w:id="63"/>
      <w:bookmarkEnd w:id="6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(1)保护优先、合理利用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坚持保护优先，把岸线保护作为岸线利用的前提，实现在保护中有序开发、在开发中落实保护。协调城市发展、产业开发、生态保护等方面对岸线的利用需求，统筹岸线与后方土地的使用和管理，促进岸线合理利用、强化节约集约利用。做好与生态保护红线划定、空间规划等工作的相互衔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(2)统筹兼顾、科学布局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遵循河湖演变的自然规律，根据岸线自然条件，充分考虑防洪安全、河势稳定、供水安全、生态环境保护等方面要求，兼顾上下游、左右岸、不同地区及不同行业的开发利用需求，科学布局河湖岸线生态空间、生活空间、生产空间，合理划定划分岸线功能分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(3)依法依规、从严管控</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按照《水法》《防洪法》《河道管理条例》等法律法规的要求，针对岸线利用与保护中存在的突出问题，强调制度建设、强化整体保护、落实监管责任，确保岸线得到有效保护、合理利用和依法管理。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(4)远近结合、持续发展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既考虑近期经济社会发展需要，节约集约利用岸线，又充分兼顾未来经济社会发展需求，做好岸线的保护，为远期发展预留空间，划定一定范围的保留区做到远近结合、持续发展。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5" w:name="_bookmark32"/>
      <w:bookmarkEnd w:id="65"/>
      <w:bookmarkStart w:id="66" w:name="_Toc32352"/>
      <w:bookmarkStart w:id="67" w:name="_Toc3189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规划范围及水平年</w:t>
      </w:r>
      <w:bookmarkEnd w:id="66"/>
      <w:bookmarkEnd w:id="67"/>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4.3.1 规划范围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阿尔阿布海(沃门阿布湖)</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4.3.2 规划水平年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现状基准年：2022年;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规划水平年：2035年。</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8" w:name="_Toc7337"/>
      <w:bookmarkStart w:id="69" w:name="_Toc73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规划目标及任务</w:t>
      </w:r>
      <w:bookmarkEnd w:id="68"/>
      <w:bookmarkEnd w:id="69"/>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4.4.1 规划目标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总目标：通过制定湖泊岸线保护与利用规划，统筹协调经济发展与河道防洪、河势演变及水生态、水环境保护等方面的需求，科学划分岸线功能区，为有效保护和合理利用岸线资源，发挥岸线综合功能提供依据，形成保护与利用紧密结合、协调发展的新机制。优化配置岸线资源，使得岸线功能得到全面、有效、持续的发挥。磴口县阿尔阿布海(沃门阿布湖)形成经济社会协调发展、水生态和水环境良好、人水和谐相处的自然美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近期目标：摸清阿尔阿布海(沃门阿布湖)岸线开发利用现状，通过制定岸线利用管理规划，科学合理地划分岸线控制线和岸线功能区，提出岸线控制利用管理意见及规划实施保障措施。在保障防洪安全、供水安全、河势稳定、保护水生态环境和其它公共利益的前提下，按照保护优先、开发有序、合理控制的要求，提出岸线合理开发有效保护、科学利用、强化管理的布局和方案，建立开发利用与治理保护紧密结合、协调发展的机制，为实现岸线的依法、科学、有序利用和控制保护奠定基础为今后一定时期内岸线开发利用与管理提供重要依据和准则，实现岸线的依法、科学、有序利用，全面发挥岸线的综合功能，促进经济社会与资源、环境的协调发展。</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4.4.2 规划任务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分析湖泊演变规律，调查分析岸线资源及岸线开发利用现状，分析总结岸线开发利用与保护中存在的主要问题;在深入分析岸线利用与保护对湖势控制、防洪安全、水资源利用、生态环境保护及其它方面影响的基础上，确定岸线的范围</w:t>
      </w:r>
      <w:bookmarkStart w:id="70" w:name="_bookmark33"/>
      <w:bookmarkEnd w:id="70"/>
      <w:r>
        <w:rPr>
          <w:rFonts w:hint="eastAsia" w:ascii="宋体" w:hAnsi="宋体" w:eastAsia="宋体" w:cs="宋体"/>
          <w:snapToGrid/>
          <w:color w:val="auto"/>
          <w:kern w:val="0"/>
          <w:sz w:val="28"/>
          <w:szCs w:val="28"/>
          <w:highlight w:val="none"/>
          <w:lang w:val="en-US" w:eastAsia="zh-CN" w:bidi="ar-SA"/>
        </w:rPr>
        <w:t>合理划定岸线控制线;根据不同河段岸线的主要功能特点，统筹考虑防洪、城市建设、河道生态环境保护以及沿河地区经济社会发展的要求，科学合理地划分岸线功能区;按照保障防洪安全、供水安全、维护河流健康、促进岸线资源合理利用和有效保护的要求，对现状岸线资源利用不合理的地区，研究提出岸线布局调整和控制利用与保护的管理指导意见，以及岸线管理的保障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2" w:type="default"/>
          <w:pgSz w:w="12120" w:h="17000"/>
          <w:pgMar w:top="1445" w:right="1818" w:bottom="2063" w:left="1818" w:header="1020" w:footer="158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71" w:name="_Toc30596"/>
      <w:bookmarkStart w:id="72" w:name="_Toc26733"/>
      <w:r>
        <w:rPr>
          <w:rFonts w:hint="eastAsia" w:ascii="宋体" w:hAnsi="宋体" w:eastAsia="宋体" w:cs="宋体"/>
          <w:color w:val="auto"/>
          <w:sz w:val="32"/>
          <w:szCs w:val="32"/>
          <w:highlight w:val="none"/>
          <w:lang w:val="en-US" w:eastAsia="zh-CN"/>
        </w:rPr>
        <w:t>5 岸线控制线确定</w:t>
      </w:r>
      <w:bookmarkEnd w:id="71"/>
      <w:bookmarkEnd w:id="7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3" w:name="_Toc1291"/>
      <w:bookmarkStart w:id="74" w:name="_Toc633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5.1 岸线控制线定义</w:t>
      </w:r>
      <w:bookmarkEnd w:id="73"/>
      <w:bookmarkEnd w:id="7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岸线边界线：是指沿河流走向或湖泊沿岸周边划定的用于界定各类岸线功能区垂向带区范围的边界线，分为临水边界线和外缘边界线。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临水边界线：是根据稳定河势、保障河道行洪安全和维护河流湖泊生态等基本要求，在河流沿岸临水一侧顺水流方向或湖泊(水库)沿岸边临水一侧划定的岸线带区内边界线。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外缘边界线：是根据河流湖泊岸线管理保护、维护河流功能等管控要求，在河流沿岸陆域一侧或湖泊(水库)沿岸周边陆域一侧划定的岸线带区外边界线。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是在外缘边界线和临水边界线之间的带状区域。岸线既具有调节水流和维护渠道健康的自然生态功能属性，同时在一定情况下，也具有开发利用价值的资源功能属性。任何进入外缘边界线以内岸线区域的开发利用行为都必须符合岸线功能区划的规定及管理要求，且原则上不得逾越临水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5" w:name="_Toc26349"/>
      <w:bookmarkStart w:id="76" w:name="_Toc331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5.2 岸线控制线划定的原则</w:t>
      </w:r>
      <w:bookmarkEnd w:id="75"/>
      <w:bookmarkEnd w:id="7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合理利用与有效保护相结合的原则。根据岸线利用与保护的总体目标和要求，结合阿尔阿布海(沃门阿布湖)的湖泊状况、岸线自然特点、岸线资源状况，在服从防洪安全、湖泊稳定和维护河流健康的前提下，充分考虑水资源利用与保护的要求，按照合理利用与有效保护相结合的原则划定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综合利用、统筹协调的原则。按照流域综合规划、防洪规划、水功能区划及河湖整治规划等方面的要求，统筹协调近远期防洪工程建设、河流生态功能保护、滩地合理利用、土地利用等规划以及各部门对岸线利用的要求，按照岸线保护的要求，结合需要与可能合理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考虑河势演变、适当留有余地的原则。应充分考虑河湖岸线的地形地质条件、河势演变趋势及与岸线开发利用与治理的相互影响，以及周边经济社会发展、防洪保安和生态环境保护对岸线利用与保护的要求等因素，合理划定河湖的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(4)结合实际、因地制宜原则。城市段的岸线控制线应充分考虑城市防洪安全与生态环境保护的要求，结合城市发展总体规划、岸线开发利用与保护现状、</w:t>
      </w:r>
      <w:bookmarkStart w:id="77" w:name="_bookmark36"/>
      <w:bookmarkEnd w:id="77"/>
      <w:bookmarkStart w:id="78" w:name="_bookmark34"/>
      <w:bookmarkEnd w:id="78"/>
      <w:bookmarkStart w:id="79" w:name="_bookmark37"/>
      <w:bookmarkEnd w:id="79"/>
      <w:bookmarkStart w:id="80" w:name="_bookmark35"/>
      <w:bookmarkEnd w:id="80"/>
      <w:r>
        <w:rPr>
          <w:rFonts w:hint="eastAsia" w:ascii="宋体" w:hAnsi="宋体" w:eastAsia="宋体" w:cs="宋体"/>
          <w:snapToGrid/>
          <w:color w:val="auto"/>
          <w:kern w:val="0"/>
          <w:sz w:val="28"/>
          <w:szCs w:val="28"/>
          <w:highlight w:val="none"/>
          <w:lang w:val="en-US" w:eastAsia="zh-CN" w:bidi="ar-SA"/>
        </w:rPr>
        <w:t>城市景观建设等因素。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连续性和一致性原则。岸线控制线的划定应保持连续性和一致性,特别是各行政区域交界处，应按照河流特性，在综合考虑各行业要求，统筹岸线资源状况和区域经济发展对岸线的需求等综合因素的前提下，科学合理进行划定，避免因地区间社会经济发展要求的差异，导致岸线控制线划分不合理。</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1" w:name="_Toc26174"/>
      <w:bookmarkStart w:id="82" w:name="_Toc208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5.3 岸线划定方法</w:t>
      </w:r>
      <w:bookmarkEnd w:id="81"/>
      <w:bookmarkEnd w:id="8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一、临水控制线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根据河湖特点和上述条件，制定临水边界线定线方法如下：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1、对丘陵区河道，洪水涨落较快，岸坡较陡，临水边界线按一定重现期(如三年一遇或五年一遇)洪水位水边线并留有适当的河宽确定。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2、对河道滩槽关系明显、主槽具有一定规模(可通过三年一遇洪水)、河势较稳定的河段，采用滩槽分界线作为临水边界线定线依据，定线时结合河流演变特性适当留有余地;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3、对河道滩槽关系不明显和主槽很小主要靠滩地行洪的河段，采用河道中水整治流量(采用第一造床流量或多年平均洪峰流量)水边线或临水堤脚线作为临水边界线;具体根据实际情况分析确定。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4、对河势不稳、河槽冲淤变化明显、主流摆动的河段，划定临水边界线时应考虑河势演变影响，适当留有余地。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5、临水边界线与河道水流流向保持基本平顺。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岸线外缘边界线按照水利部印发《河湖岸线保护与利用规划编制指南(试行)》规定，确定外缘边界线定线方法如下：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1、对于无堤防河段，因已确权，按照确权资料中的岸线长度及宽度确定岸线外缘线;若未确权，采用河道设计洪水位与岸边的交界线作为外缘控制线。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2、对于已建有堤防的河段，已确权的河段，按照确权资料中的岸线长度及宽度确定岸线外缘线;若未确权，采用堤防工程的管理范围外缘线作为外缘控制线。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3、对于已规划建设堤防工程而目前尚未建设的河段，根据规划要求及相关设计资料，以规划堤防管理范围外缘线或征地线划定外缘控制线。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三、管理范围线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依据《中华人民共和国防洪法》第二十一条第三款：有堤防的河道、湖泊其管理范围为两岸堤防之间的水域沙洲、滩地、行洪区和堤防及护堤地;无堤防的河道、湖泊，其管理范围为历史最高洪水位或者设计洪水位之间的水域、沙洲、滩地和行洪区。《中华人民共和国河道管理条例》中的第二十条给出了与“防洪法”中相同的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根据水利部《河湖岸线保护与利用规划编制指南(试行)》中对外缘边界线的定义，结合河流的实际情况，管理范围线即为外缘边界线。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3" w:name="_Toc5179"/>
      <w:bookmarkStart w:id="84" w:name="_Toc104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5.4 岸线边界线确定</w:t>
      </w:r>
      <w:bookmarkEnd w:id="83"/>
      <w:bookmarkEnd w:id="8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1、控制线定线条件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阿尔阿布海(沃门阿布湖)湖岸均属于自然坡型式，水域外围无堤防，管理范围划定工作已进行。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2、临水控制线定线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采用阿尔阿布海(沃门阿布湖)湖泊多年平均水位线。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3、外缘控制线定线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sectPr>
          <w:footerReference r:id="rId13" w:type="default"/>
          <w:pgSz w:w="12080" w:h="16970"/>
          <w:pgMar w:top="1442" w:right="1812" w:bottom="2023" w:left="1812" w:header="1020" w:footer="1531" w:gutter="0"/>
          <w:pgNumType w:fmt="decimal"/>
          <w:cols w:space="720" w:num="1"/>
        </w:sectPr>
      </w:pPr>
      <w:r>
        <w:rPr>
          <w:rFonts w:hint="eastAsia" w:ascii="宋体" w:hAnsi="宋体" w:eastAsia="宋体" w:cs="宋体"/>
          <w:snapToGrid/>
          <w:color w:val="auto"/>
          <w:kern w:val="0"/>
          <w:sz w:val="28"/>
          <w:szCs w:val="28"/>
          <w:highlight w:val="green"/>
          <w:lang w:val="en-US" w:eastAsia="zh-CN" w:bidi="ar-SA"/>
        </w:rPr>
        <w:t>阿尔阿布海(沃门阿布湖)外缘控制线已在《阿尔阿布海(沃门阿布湖)管理范围划定方案》中划定。划定成果见附表4。</w:t>
      </w: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85" w:name="_Toc13437"/>
      <w:bookmarkStart w:id="86" w:name="_Toc857"/>
      <w:r>
        <w:rPr>
          <w:rFonts w:hint="eastAsia" w:ascii="宋体" w:hAnsi="宋体" w:eastAsia="宋体" w:cs="宋体"/>
          <w:color w:val="auto"/>
          <w:sz w:val="32"/>
          <w:szCs w:val="32"/>
          <w:highlight w:val="none"/>
          <w:lang w:val="en-US" w:eastAsia="zh-CN"/>
        </w:rPr>
        <w:t>6 岸线功能区划分</w:t>
      </w:r>
      <w:bookmarkEnd w:id="85"/>
      <w:bookmarkEnd w:id="86"/>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7" w:name="_Toc11891"/>
      <w:bookmarkStart w:id="88" w:name="_Toc513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6.1 岸线功能区的划分原则</w:t>
      </w:r>
      <w:bookmarkEnd w:id="87"/>
      <w:bookmarkEnd w:id="8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近远期结合、开发与保护并重的原则。岸线功能区划分应正确处理近期与远期、开发与保护之间的关系，做到近远期结合，开发利用与保护并重，确保防洪安全和水资源、水环境及河流生态得到有效保护，促进岸线资源的可持续利用，保障沿岸地区经济社会的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(2)上下游、左右岸协调统一的原则。岸线功能区划分应统筹考虑和协调处理好上下游、左右岸之间的关系及岸线的开发利用可能带来相互的影响。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(3)与相关功能分区协调一致的原则。岸线功能区划分应与已有的防洪分区、水功能分区、农业分区、自然生态分区等区划相协调。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因地制宜、兼顾现实的原则。岸线功能区划分应本着因地制宜，实事求是的原则，充分考虑河流自然生态属性，以及河势演变、河道冲淤特性及河道岸线的稳定性，并结合行政区划分界，进行科学划分，保证岸线功能区划分的合理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9" w:name="_Toc27091"/>
      <w:bookmarkStart w:id="90" w:name="_Toc3001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6.2 岸线功能区划分的基本要求及方法</w:t>
      </w:r>
      <w:bookmarkEnd w:id="89"/>
      <w:bookmarkEnd w:id="9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次岸线功能区划分根据《河湖岸线保护与利用规划编制指南》,指南中对河道岸线功能区划分提出了基本要求。本次规划针对巴彦套海农场境内河流特点，参照指南中对河道岸线划分的要求与方法，提出河道岸线功能区划分的基本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1、岸线功能区划分应突出强调保护与管控，尽可能提高岸线保护区、岸线保留区在河流、湖泊岸线功能区中的比例，从严控制岸线开发利用区和控制利用区，尽可能减小岸线开发利用区所占比例。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2、岸线功能区的划分应在已划分的岸线边界线的带状区域内合理进行划分。岸线功能区划定时应尽可能详细具体，以便于管理。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3、对于岸线开发利用要求相对较低，经济发展相对落后的河段，或位于上游两岸人口稀少的山丘区河道，可结合实际情况适当加大单个功能区的长度。</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1" w:name="_Toc16032"/>
      <w:bookmarkStart w:id="92" w:name="_Toc2035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6.3 岸线功能区划分方法</w:t>
      </w:r>
      <w:bookmarkEnd w:id="91"/>
      <w:bookmarkEnd w:id="92"/>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6.3.1 岸线保护区划定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岸线保护区是指岸线开发利用可能对防洪安全、河势稳定、供水安全、生态环境、重要枢纽和涉水工程安全等有明显不利影响的岸段。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1、引起深泓变迁的节点段或改变分汊河段分流态势的分汇流段等重要河势敏感区岸线应划为岸线保护区。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2、列入各省(自治区、直辖市)集中式饮用水水源地名录的水源地，其一级保护区应划为岸线保护区，列入全国重要饮用水水源地地名录的应划为岸线保护区。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3、位于国家级和省级自然保护区核心区和缓冲区、风景名胜区核心景区等生态敏感区，法律法规有明确禁止性规定的，需要实施严格保护的各类保护地的河湖岸线，应从严划分为岸线保护区。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4、根据地方划定的生态保护红线范围，位于生态保护红线范围的河湖岸线，按红线管控要求划定岸线保护区。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6.3.2 岸线保留区划定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岸线保留区是指规划期内暂时不宜开发利用或者尚不具备开发利用条件、为生态保护预留的岸段。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1、对河势变化剧烈、岸线开发利用条件较差，河道治理和河势调整方案尚未确定或尚未实施等暂不具备开发利用条件的岸段，划分为岸线保留区。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位于国家级和省级自然保护区的实验区、水产种质资源保护区、国际重要湿地、国家重要湿地以及国家湿地公园、森林公园生态保育区和核心景区、地质公园地质遗迹保护区、世界自然遗产核心区和缓冲区等生态敏感区，但未纳入生态保护红线范围内的河湖岸线，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3、已列入国家或省级规划，尚未实施的防洪保留区、水资源保护区、供水水源地的岸段等应划为岸线保留区。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4、为生态建设需要预留的岸段，划为岸线保留区。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5、对虽具备开发利用条件，但经济社会发展水平相对较低，规划期内暂无开发利用需求的岸段，划为岸线保留区。</w:t>
      </w:r>
    </w:p>
    <w:p>
      <w:pPr>
        <w:bidi w:val="0"/>
        <w:spacing w:line="360" w:lineRule="auto"/>
        <w:rPr>
          <w:rFonts w:hint="eastAsia" w:ascii="宋体" w:hAnsi="宋体" w:eastAsia="宋体" w:cs="宋体"/>
          <w:b/>
          <w:bCs/>
          <w:color w:val="auto"/>
          <w:sz w:val="28"/>
          <w:szCs w:val="28"/>
          <w:highlight w:val="none"/>
        </w:rPr>
      </w:pPr>
      <w:bookmarkStart w:id="93" w:name="_bookmark39"/>
      <w:bookmarkEnd w:id="93"/>
      <w:bookmarkStart w:id="94" w:name="_bookmark40"/>
      <w:bookmarkEnd w:id="94"/>
      <w:r>
        <w:rPr>
          <w:rFonts w:hint="eastAsia" w:ascii="宋体" w:hAnsi="宋体" w:eastAsia="宋体" w:cs="宋体"/>
          <w:b/>
          <w:bCs/>
          <w:color w:val="auto"/>
          <w:sz w:val="28"/>
          <w:szCs w:val="28"/>
          <w:highlight w:val="none"/>
        </w:rPr>
        <w:t>6.3.3 岸线控制利用区划定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岸线控制利用区是指岸线开发利用程度较高，或开发利用对防洪安全、河势稳定、供水安全、生态环境可能造成一定影响，需要控制其开发利用强度、调整开发利用方式或开发利用用途的岸段。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1、对岸线开发利用程度相对较高的岸段，为避免进一步开发可能对防洪安全、河势稳定、供水安全、航道稳定等带来不利影响，需要控制或减少其开发利用强度的岸段，划分为岸线控制利用区。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2、重要险工险段、重要涉水工程及设施、河势变化敏感区、地质灾害易发区、水土流失严重区需控制开发利用方式的岸段，划为岸线控制利用区。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3、位于风景名胜区的一般景区、地方重要湿地和地方一般湿地、湿地公园以及饮用水源地二级保护区、准保护区等生态敏感区未纳入生态红线范围，但需控制开发利用方式的部分岸段，划为岸线控制利用区。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6.3.4 岸线开发利用区划定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岸线开发利用区是指河势基本稳定、岸线利用条件较好，岸线开发利用对防洪安全、河势稳定、供水安全以及生态环境影响较小的岸段。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河势基本稳定、岸线利用条件较好，岸线开发利用对防洪安全、河势稳定、供水安全以及生态环境影响较小的岸段，划为岸线开发利用区。但要在规划中充分体现岸线的集约节约利用。</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5" w:name="_Toc25441"/>
      <w:bookmarkStart w:id="96" w:name="_Toc246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6.4 岸线功能区划分</w:t>
      </w:r>
      <w:bookmarkEnd w:id="95"/>
      <w:bookmarkEnd w:id="9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资源及其开发利用的实际情况，考虑经济社会发展各方面对岸线利用的需求，同时根据前述岸线功能区划分原则及方法的指导下，将阿尔阿布海(沃门阿布湖)管理范围界以内功能区划分为岸线保留区。最终确定管理范围面积为1.53km²。成果汇总详见表6-1。岸线功能区分区图见图 6-1。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4" w:type="default"/>
          <w:pgSz w:w="12160" w:h="17020"/>
          <w:pgMar w:top="1446" w:right="1824" w:bottom="2076" w:left="1824" w:header="1020" w:footer="1531" w:gutter="0"/>
          <w:pgNumType w:fmt="decimal"/>
          <w:cols w:space="720" w:num="1"/>
        </w:sectPr>
      </w:pPr>
    </w:p>
    <w:p>
      <w:pPr>
        <w:spacing w:line="269" w:lineRule="auto"/>
        <w:rPr>
          <w:rFonts w:ascii="Arial"/>
          <w:color w:val="auto"/>
          <w:sz w:val="21"/>
          <w:highlight w:val="yellow"/>
        </w:rPr>
      </w:pPr>
    </w:p>
    <w:p>
      <w:pPr>
        <w:spacing w:before="78" w:line="196" w:lineRule="auto"/>
        <w:ind w:left="0" w:leftChars="0" w:firstLine="0" w:firstLineChars="0"/>
        <w:rPr>
          <w:rFonts w:ascii="宋体" w:hAnsi="宋体" w:eastAsia="宋体" w:cs="宋体"/>
          <w:color w:val="auto"/>
          <w:sz w:val="21"/>
          <w:szCs w:val="21"/>
          <w:highlight w:val="yellow"/>
        </w:rPr>
      </w:pPr>
      <w:bookmarkStart w:id="97" w:name="_bookmark41"/>
      <w:bookmarkEnd w:id="97"/>
      <w:r>
        <w:rPr>
          <w:rFonts w:ascii="宋体" w:hAnsi="宋体" w:eastAsia="宋体" w:cs="宋体"/>
          <w:color w:val="auto"/>
          <w:spacing w:val="-1"/>
          <w:sz w:val="21"/>
          <w:szCs w:val="21"/>
          <w:highlight w:val="yellow"/>
        </w:rPr>
        <w:t>表6-1</w:t>
      </w:r>
      <w:r>
        <w:rPr>
          <w:rFonts w:hint="eastAsia" w:ascii="宋体" w:hAnsi="宋体" w:eastAsia="宋体" w:cs="宋体"/>
          <w:color w:val="auto"/>
          <w:spacing w:val="-1"/>
          <w:sz w:val="21"/>
          <w:szCs w:val="21"/>
          <w:highlight w:val="yellow"/>
          <w:lang w:val="en-US" w:eastAsia="zh-CN"/>
        </w:rPr>
        <w:t xml:space="preserve">                                               </w:t>
      </w:r>
      <w:r>
        <w:rPr>
          <w:rFonts w:hint="eastAsia" w:ascii="宋体" w:hAnsi="宋体" w:eastAsia="宋体" w:cs="宋体"/>
          <w:snapToGrid/>
          <w:color w:val="auto"/>
          <w:kern w:val="0"/>
          <w:sz w:val="21"/>
          <w:szCs w:val="21"/>
          <w:highlight w:val="yellow"/>
          <w:lang w:val="en-US" w:eastAsia="zh-CN" w:bidi="ar-SA"/>
        </w:rPr>
        <w:t>阿尔阿布海(沃门阿布湖)</w:t>
      </w:r>
      <w:r>
        <w:rPr>
          <w:rFonts w:ascii="宋体" w:hAnsi="宋体" w:eastAsia="宋体" w:cs="宋体"/>
          <w:color w:val="auto"/>
          <w:sz w:val="21"/>
          <w:szCs w:val="21"/>
          <w:highlight w:val="yellow"/>
        </w:rPr>
        <w:t>岸线划分成果表</w:t>
      </w:r>
    </w:p>
    <w:p>
      <w:pPr>
        <w:rPr>
          <w:rFonts w:ascii="Arial"/>
          <w:color w:val="auto"/>
          <w:sz w:val="21"/>
          <w:highlight w:val="yellow"/>
        </w:rPr>
      </w:pPr>
    </w:p>
    <w:p>
      <w:pPr>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762"/>
        <w:gridCol w:w="627"/>
        <w:gridCol w:w="2376"/>
        <w:gridCol w:w="2203"/>
        <w:gridCol w:w="1417"/>
        <w:gridCol w:w="1436"/>
        <w:gridCol w:w="1417"/>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序号</w:t>
            </w:r>
          </w:p>
        </w:tc>
        <w:tc>
          <w:tcPr>
            <w:tcW w:w="28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市（地）级 行政区</w:t>
            </w:r>
          </w:p>
        </w:tc>
        <w:tc>
          <w:tcPr>
            <w:tcW w:w="23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旗县级 行政区</w:t>
            </w:r>
          </w:p>
        </w:tc>
        <w:tc>
          <w:tcPr>
            <w:tcW w:w="879"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起止位置</w:t>
            </w:r>
          </w:p>
        </w:tc>
        <w:tc>
          <w:tcPr>
            <w:tcW w:w="815"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功能区类型</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外缘边界线长度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31"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临水边界线长度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岸线功能区面积 (km²)</w:t>
            </w:r>
          </w:p>
        </w:tc>
        <w:tc>
          <w:tcPr>
            <w:tcW w:w="10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主要划分依据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154" w:type="pct"/>
            <w:tcBorders>
              <w:right w:val="single" w:color="auto" w:sz="4" w:space="0"/>
            </w:tcBorders>
            <w:vAlign w:val="top"/>
          </w:tcPr>
          <w:p>
            <w:pPr>
              <w:jc w:val="center"/>
              <w:rPr>
                <w:rFonts w:hint="eastAsia" w:ascii="楷体" w:hAnsi="楷体" w:eastAsia="楷体" w:cs="楷体"/>
                <w:color w:val="auto"/>
                <w:sz w:val="21"/>
                <w:szCs w:val="21"/>
                <w:highlight w:val="yellow"/>
              </w:rPr>
            </w:pPr>
          </w:p>
          <w:p>
            <w:pPr>
              <w:spacing w:line="241" w:lineRule="auto"/>
              <w:jc w:val="center"/>
              <w:rPr>
                <w:rFonts w:hint="eastAsia" w:ascii="楷体" w:hAnsi="楷体" w:eastAsia="楷体" w:cs="楷体"/>
                <w:color w:val="auto"/>
                <w:sz w:val="21"/>
                <w:szCs w:val="21"/>
                <w:highlight w:val="yellow"/>
              </w:rPr>
            </w:pPr>
          </w:p>
          <w:p>
            <w:pPr>
              <w:spacing w:before="65" w:line="184" w:lineRule="auto"/>
              <w:ind w:left="74"/>
              <w:jc w:val="center"/>
              <w:rPr>
                <w:rFonts w:hint="eastAsia" w:ascii="楷体" w:hAnsi="楷体" w:eastAsia="楷体" w:cs="楷体"/>
                <w:color w:val="auto"/>
                <w:sz w:val="21"/>
                <w:szCs w:val="21"/>
                <w:highlight w:val="yellow"/>
              </w:rPr>
            </w:pPr>
            <w:r>
              <w:rPr>
                <w:rFonts w:hint="eastAsia" w:ascii="楷体" w:hAnsi="楷体" w:eastAsia="楷体" w:cs="楷体"/>
                <w:color w:val="auto"/>
                <w:sz w:val="21"/>
                <w:szCs w:val="21"/>
                <w:highlight w:val="yellow"/>
              </w:rPr>
              <w:t>1</w:t>
            </w:r>
          </w:p>
        </w:tc>
        <w:tc>
          <w:tcPr>
            <w:tcW w:w="282" w:type="pct"/>
            <w:tcBorders>
              <w:top w:val="single" w:color="auto" w:sz="4" w:space="0"/>
              <w:left w:val="single" w:color="auto" w:sz="4" w:space="0"/>
              <w:bottom w:val="single" w:color="auto" w:sz="4" w:space="0"/>
            </w:tcBorders>
            <w:vAlign w:val="center"/>
          </w:tcPr>
          <w:p>
            <w:pPr>
              <w:spacing w:before="65" w:line="248" w:lineRule="auto"/>
              <w:ind w:left="49" w:right="47" w:firstLine="100"/>
              <w:jc w:val="center"/>
              <w:rPr>
                <w:rFonts w:hint="eastAsia" w:ascii="楷体" w:hAnsi="楷体" w:eastAsia="楷体" w:cs="楷体"/>
                <w:color w:val="auto"/>
                <w:sz w:val="21"/>
                <w:szCs w:val="21"/>
                <w:highlight w:val="yellow"/>
              </w:rPr>
            </w:pPr>
            <w:r>
              <w:rPr>
                <w:rFonts w:hint="eastAsia" w:ascii="楷体" w:hAnsi="楷体" w:eastAsia="楷体" w:cs="楷体"/>
                <w:color w:val="auto"/>
                <w:spacing w:val="8"/>
                <w:sz w:val="21"/>
                <w:szCs w:val="21"/>
                <w:highlight w:val="yellow"/>
              </w:rPr>
              <w:t>巴彦</w:t>
            </w:r>
            <w:r>
              <w:rPr>
                <w:rFonts w:hint="eastAsia" w:ascii="楷体" w:hAnsi="楷体" w:eastAsia="楷体" w:cs="楷体"/>
                <w:color w:val="auto"/>
                <w:sz w:val="21"/>
                <w:szCs w:val="21"/>
                <w:highlight w:val="yellow"/>
              </w:rPr>
              <w:t xml:space="preserve">  </w:t>
            </w:r>
            <w:r>
              <w:rPr>
                <w:rFonts w:hint="eastAsia" w:ascii="楷体" w:hAnsi="楷体" w:eastAsia="楷体" w:cs="楷体"/>
                <w:color w:val="auto"/>
                <w:spacing w:val="3"/>
                <w:sz w:val="21"/>
                <w:szCs w:val="21"/>
                <w:highlight w:val="yellow"/>
              </w:rPr>
              <w:t>淖尔市</w:t>
            </w:r>
          </w:p>
        </w:tc>
        <w:tc>
          <w:tcPr>
            <w:tcW w:w="232" w:type="pct"/>
            <w:tcBorders>
              <w:top w:val="single" w:color="auto" w:sz="4" w:space="0"/>
              <w:bottom w:val="single" w:color="auto" w:sz="4" w:space="0"/>
              <w:right w:val="single" w:color="auto" w:sz="4" w:space="0"/>
            </w:tcBorders>
            <w:vAlign w:val="center"/>
          </w:tcPr>
          <w:p>
            <w:pPr>
              <w:spacing w:before="65" w:line="254" w:lineRule="auto"/>
              <w:ind w:left="10" w:right="1"/>
              <w:jc w:val="center"/>
              <w:rPr>
                <w:rFonts w:hint="eastAsia" w:ascii="楷体" w:hAnsi="楷体" w:eastAsia="楷体" w:cs="楷体"/>
                <w:color w:val="auto"/>
                <w:sz w:val="21"/>
                <w:szCs w:val="21"/>
                <w:highlight w:val="yellow"/>
                <w:lang w:eastAsia="zh-CN"/>
              </w:rPr>
            </w:pPr>
            <w:r>
              <w:rPr>
                <w:rFonts w:hint="eastAsia" w:ascii="楷体" w:hAnsi="楷体" w:eastAsia="楷体" w:cs="楷体"/>
                <w:color w:val="auto"/>
                <w:spacing w:val="-12"/>
                <w:sz w:val="21"/>
                <w:szCs w:val="21"/>
                <w:highlight w:val="yellow"/>
                <w:lang w:val="en-US" w:eastAsia="zh-CN"/>
              </w:rPr>
              <w:t>磴口县</w:t>
            </w:r>
          </w:p>
        </w:tc>
        <w:tc>
          <w:tcPr>
            <w:tcW w:w="879" w:type="pct"/>
            <w:tcBorders>
              <w:left w:val="single" w:color="auto" w:sz="4" w:space="0"/>
            </w:tcBorders>
            <w:vAlign w:val="top"/>
          </w:tcPr>
          <w:p>
            <w:pPr>
              <w:spacing w:line="430" w:lineRule="auto"/>
              <w:rPr>
                <w:rFonts w:hint="eastAsia" w:ascii="楷体" w:hAnsi="楷体" w:eastAsia="楷体" w:cs="楷体"/>
                <w:color w:val="auto"/>
                <w:sz w:val="21"/>
                <w:szCs w:val="21"/>
                <w:highlight w:val="yellow"/>
              </w:rPr>
            </w:pPr>
          </w:p>
          <w:p>
            <w:pPr>
              <w:spacing w:before="65" w:line="219" w:lineRule="auto"/>
              <w:ind w:left="42"/>
              <w:jc w:val="center"/>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z w:val="21"/>
                <w:szCs w:val="21"/>
                <w:highlight w:val="yellow"/>
                <w:lang w:val="en-US" w:eastAsia="zh-CN"/>
              </w:rPr>
              <w:t>全线</w:t>
            </w:r>
          </w:p>
        </w:tc>
        <w:tc>
          <w:tcPr>
            <w:tcW w:w="815" w:type="pct"/>
            <w:vAlign w:val="top"/>
          </w:tcPr>
          <w:p>
            <w:pPr>
              <w:spacing w:line="432" w:lineRule="auto"/>
              <w:jc w:val="center"/>
              <w:rPr>
                <w:rFonts w:hint="eastAsia" w:ascii="楷体" w:hAnsi="楷体" w:eastAsia="楷体" w:cs="楷体"/>
                <w:color w:val="auto"/>
                <w:sz w:val="21"/>
                <w:szCs w:val="21"/>
                <w:highlight w:val="yellow"/>
              </w:rPr>
            </w:pPr>
          </w:p>
          <w:p>
            <w:pPr>
              <w:spacing w:before="65" w:line="220" w:lineRule="auto"/>
              <w:ind w:left="64"/>
              <w:jc w:val="center"/>
              <w:rPr>
                <w:rFonts w:hint="eastAsia" w:ascii="楷体" w:hAnsi="楷体" w:eastAsia="楷体" w:cs="楷体"/>
                <w:color w:val="auto"/>
                <w:sz w:val="21"/>
                <w:szCs w:val="21"/>
                <w:highlight w:val="yellow"/>
              </w:rPr>
            </w:pPr>
            <w:r>
              <w:rPr>
                <w:rFonts w:hint="eastAsia" w:ascii="楷体" w:hAnsi="楷体" w:eastAsia="楷体" w:cs="楷体"/>
                <w:color w:val="auto"/>
                <w:spacing w:val="2"/>
                <w:sz w:val="21"/>
                <w:szCs w:val="21"/>
                <w:highlight w:val="yellow"/>
              </w:rPr>
              <w:t>岸线</w:t>
            </w:r>
            <w:r>
              <w:rPr>
                <w:rFonts w:hint="eastAsia" w:ascii="楷体" w:hAnsi="楷体" w:eastAsia="楷体" w:cs="楷体"/>
                <w:color w:val="auto"/>
                <w:spacing w:val="3"/>
                <w:sz w:val="21"/>
                <w:szCs w:val="21"/>
                <w:highlight w:val="yellow"/>
              </w:rPr>
              <w:t>保留区</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4"/>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16.032</w:t>
            </w:r>
          </w:p>
        </w:tc>
        <w:tc>
          <w:tcPr>
            <w:tcW w:w="531"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15"/>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16.07</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6"/>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2"/>
                <w:sz w:val="21"/>
                <w:szCs w:val="21"/>
                <w:highlight w:val="yellow"/>
                <w:lang w:val="en-US" w:eastAsia="zh-CN"/>
              </w:rPr>
              <w:t>0.54</w:t>
            </w:r>
          </w:p>
        </w:tc>
        <w:tc>
          <w:tcPr>
            <w:tcW w:w="1054" w:type="pct"/>
            <w:vAlign w:val="top"/>
          </w:tcPr>
          <w:p>
            <w:pPr>
              <w:spacing w:before="211"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3"/>
                <w:sz w:val="21"/>
                <w:szCs w:val="21"/>
                <w:highlight w:val="yellow"/>
              </w:rPr>
              <w:t>生态保护红线内</w:t>
            </w:r>
          </w:p>
          <w:p>
            <w:pPr>
              <w:spacing w:before="63"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2"/>
                <w:position w:val="6"/>
                <w:sz w:val="21"/>
                <w:szCs w:val="21"/>
                <w:highlight w:val="yellow"/>
              </w:rPr>
              <w:t>生态保护预留岸段</w:t>
            </w:r>
          </w:p>
          <w:p>
            <w:pPr>
              <w:spacing w:before="89"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1"/>
                <w:sz w:val="21"/>
                <w:szCs w:val="21"/>
                <w:highlight w:val="yellow"/>
              </w:rPr>
              <w:t>暂无开发利用需求</w:t>
            </w:r>
          </w:p>
        </w:tc>
      </w:tr>
    </w:tbl>
    <w:p>
      <w:pPr>
        <w:pStyle w:val="2"/>
        <w:rPr>
          <w:color w:val="auto"/>
          <w:highlight w:val="none"/>
        </w:rPr>
      </w:pPr>
    </w:p>
    <w:p>
      <w:pPr>
        <w:pStyle w:val="2"/>
        <w:rPr>
          <w:color w:val="auto"/>
          <w:highlight w:val="none"/>
        </w:rPr>
      </w:pPr>
    </w:p>
    <w:p>
      <w:pPr>
        <w:pStyle w:val="2"/>
        <w:rPr>
          <w:color w:val="auto"/>
          <w:highlight w:val="none"/>
        </w:rPr>
        <w:sectPr>
          <w:footerReference r:id="rId15" w:type="default"/>
          <w:pgSz w:w="16850" w:h="11910"/>
          <w:pgMar w:top="1012" w:right="1584" w:bottom="1550" w:left="1775" w:header="624" w:footer="1077" w:gutter="0"/>
          <w:pgNumType w:fmt="decimal"/>
          <w:cols w:space="720" w:num="1"/>
        </w:sectPr>
      </w:pPr>
    </w:p>
    <w:p>
      <w:pPr>
        <w:spacing w:line="273" w:lineRule="auto"/>
        <w:rPr>
          <w:rFonts w:ascii="Arial"/>
          <w:color w:val="auto"/>
          <w:sz w:val="21"/>
          <w:highlight w:val="none"/>
        </w:rPr>
      </w:pPr>
    </w:p>
    <w:p>
      <w:pPr>
        <w:spacing w:before="81" w:line="360" w:lineRule="auto"/>
        <w:ind w:right="111"/>
        <w:jc w:val="center"/>
        <w:rPr>
          <w:rFonts w:hint="eastAsia" w:ascii="宋体" w:hAnsi="宋体" w:eastAsia="宋体" w:cs="宋体"/>
          <w:snapToGrid/>
          <w:color w:val="auto"/>
          <w:kern w:val="0"/>
          <w:sz w:val="21"/>
          <w:szCs w:val="21"/>
          <w:highlight w:val="none"/>
          <w:lang w:val="en-US" w:eastAsia="zh-CN" w:bidi="ar-SA"/>
        </w:rPr>
      </w:pPr>
      <w:bookmarkStart w:id="98" w:name="_bookmark42"/>
      <w:bookmarkEnd w:id="98"/>
      <w:bookmarkStart w:id="99" w:name="_bookmark43"/>
      <w:bookmarkEnd w:id="99"/>
    </w:p>
    <w:p>
      <w:pPr>
        <w:spacing w:line="360" w:lineRule="auto"/>
        <w:ind w:left="0" w:leftChars="0" w:firstLine="0" w:firstLineChars="0"/>
        <w:textAlignment w:val="center"/>
        <w:rPr>
          <w:color w:val="auto"/>
          <w:highlight w:val="none"/>
        </w:rPr>
      </w:pPr>
      <w:r>
        <w:drawing>
          <wp:inline distT="0" distB="0" distL="114300" distR="114300">
            <wp:extent cx="4333875" cy="3743325"/>
            <wp:effectExtent l="0" t="0" r="9525" b="952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4"/>
                    <a:stretch>
                      <a:fillRect/>
                    </a:stretch>
                  </pic:blipFill>
                  <pic:spPr>
                    <a:xfrm>
                      <a:off x="0" y="0"/>
                      <a:ext cx="4333875" cy="3743325"/>
                    </a:xfrm>
                    <a:prstGeom prst="rect">
                      <a:avLst/>
                    </a:prstGeom>
                    <a:noFill/>
                    <a:ln>
                      <a:noFill/>
                    </a:ln>
                  </pic:spPr>
                </pic:pic>
              </a:graphicData>
            </a:graphic>
          </wp:inline>
        </w:drawing>
      </w:r>
    </w:p>
    <w:p>
      <w:pPr>
        <w:jc w:val="center"/>
        <w:rPr>
          <w:rFonts w:hint="eastAsia" w:ascii="宋体" w:hAnsi="宋体" w:eastAsia="宋体" w:cs="宋体"/>
          <w:snapToGrid/>
          <w:color w:val="auto"/>
          <w:kern w:val="0"/>
          <w:sz w:val="24"/>
          <w:szCs w:val="24"/>
          <w:highlight w:val="yellow"/>
          <w:lang w:val="en-US" w:eastAsia="zh-CN" w:bidi="ar-SA"/>
        </w:rPr>
      </w:pPr>
      <w:r>
        <w:rPr>
          <w:rFonts w:hint="eastAsia" w:ascii="宋体" w:hAnsi="宋体" w:eastAsia="宋体" w:cs="宋体"/>
          <w:snapToGrid/>
          <w:color w:val="auto"/>
          <w:kern w:val="0"/>
          <w:sz w:val="24"/>
          <w:szCs w:val="24"/>
          <w:highlight w:val="yellow"/>
          <w:lang w:val="en-US" w:eastAsia="zh-CN" w:bidi="ar-SA"/>
        </w:rPr>
        <w:t>图 6-1 磴口县阿尔阿布海(沃门阿布湖)岸线功能区分区图</w:t>
      </w:r>
    </w:p>
    <w:p>
      <w:pPr>
        <w:rPr>
          <w:rFonts w:ascii="Arial"/>
          <w:color w:val="auto"/>
          <w:sz w:val="21"/>
          <w:highlight w:val="yellow"/>
        </w:rPr>
      </w:pPr>
    </w:p>
    <w:p>
      <w:pPr>
        <w:rPr>
          <w:color w:val="auto"/>
          <w:highlight w:val="yellow"/>
        </w:rPr>
        <w:sectPr>
          <w:footerReference r:id="rId16" w:type="default"/>
          <w:pgSz w:w="11910" w:h="16850"/>
          <w:pgMar w:top="1432" w:right="1786" w:bottom="2256" w:left="1786"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00" w:name="_bookmark44"/>
      <w:bookmarkEnd w:id="100"/>
      <w:bookmarkStart w:id="101" w:name="_bookmark45"/>
      <w:bookmarkEnd w:id="101"/>
      <w:bookmarkStart w:id="102" w:name="_Toc17655"/>
      <w:bookmarkStart w:id="103" w:name="_Toc9174"/>
      <w:r>
        <w:rPr>
          <w:rFonts w:hint="eastAsia" w:ascii="宋体" w:hAnsi="宋体" w:eastAsia="宋体" w:cs="宋体"/>
          <w:color w:val="auto"/>
          <w:sz w:val="32"/>
          <w:szCs w:val="32"/>
          <w:highlight w:val="none"/>
          <w:lang w:val="en-US" w:eastAsia="zh-CN"/>
        </w:rPr>
        <w:t>7 岸线保护与管控</w:t>
      </w:r>
      <w:bookmarkEnd w:id="102"/>
      <w:bookmarkEnd w:id="10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4" w:name="_Toc12991"/>
      <w:bookmarkStart w:id="105" w:name="_Toc1990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功能区管控要求</w:t>
      </w:r>
      <w:bookmarkEnd w:id="104"/>
      <w:bookmarkEnd w:id="105"/>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有效保护是岸线保护区管理的首要目标。结合不同岸线保护区的具体要求确定其保护目标，有针对性地提出岸线保护区的</w:t>
      </w:r>
      <w:bookmarkStart w:id="143" w:name="_GoBack"/>
      <w:bookmarkEnd w:id="143"/>
      <w:r>
        <w:rPr>
          <w:rFonts w:hint="eastAsia" w:ascii="宋体" w:hAnsi="宋体" w:eastAsia="宋体" w:cs="宋体"/>
          <w:snapToGrid/>
          <w:color w:val="auto"/>
          <w:kern w:val="0"/>
          <w:sz w:val="28"/>
          <w:szCs w:val="28"/>
          <w:highlight w:val="none"/>
          <w:lang w:val="en-US" w:eastAsia="zh-CN" w:bidi="ar-SA"/>
        </w:rPr>
        <w:t>管理意见，确保实现岸线保护区的保护目标。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1、岸线保护区原则上不准进行与保护对象无关的开发利用，确需开发的，应经过重点论证并报水行政主管部门审批。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2、城镇引水水源地类岸线保护区，禁止除取水工程以外的各类项目建设行为。在城镇引水水源地类岸线保护区河段的取水工程，施工期间应避免发生污染水源地水质的行为。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3、岸线保护区河段利用堤防建设公路的路堤结合项目，公路建设应符合所在河段堤防的远期规划防洪标准。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为保护生态环境和文物划定的岸线保护区，原则上不允许进行河道治理以外的任何项目建设。若要建设河道治理工程，应满足防洪和河势稳定要求，不破坏风景名胜区和自然保护区，且符合风景名胜区和自然保护区的相关保护条例，进行生态环境影响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5、岸线保护区内的生态景观项目建设，应符合河道近远期防洪以及河势稳定要求，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6、险工段和部分河势不稳的支流河口段类岸线保护区，禁止岸线开发利用行为。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对于此次阿尔阿布海(沃门阿布湖)，并未列入生态敏感区及生态保护红线范围，故本次不设置岸线保护区。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7.1.2 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岸线保留区是指对于河势不稳定，或河道治理和河势控制方案尚未确定或尚未实施或为防洪等水利建设预留较大空间的河段岸线;重要堤防一定范围需改线的区段，或重</w:t>
      </w:r>
      <w:bookmarkStart w:id="106" w:name="_bookmark46"/>
      <w:bookmarkEnd w:id="106"/>
      <w:bookmarkStart w:id="107" w:name="_bookmark47"/>
      <w:bookmarkEnd w:id="107"/>
      <w:r>
        <w:rPr>
          <w:rFonts w:hint="eastAsia" w:ascii="宋体" w:hAnsi="宋体" w:eastAsia="宋体" w:cs="宋体"/>
          <w:snapToGrid/>
          <w:color w:val="auto"/>
          <w:kern w:val="0"/>
          <w:sz w:val="28"/>
          <w:szCs w:val="28"/>
          <w:highlight w:val="none"/>
          <w:lang w:val="en-US" w:eastAsia="zh-CN" w:bidi="ar-SA"/>
        </w:rPr>
        <w:t>要的城市工业水源、自备水源集中区段，或为航电枢纽等重要工程建设预留用地的河段岸线;重要河口区段，其汇入后的区域防洪保安、河势稳定、水资源利用、生态环境等方面可能对本河段岸线利用有特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保留区在规划期内不应实施岸线利用建设项目和开发利用活动。确需启用规划保留区的，要事先征得河流管理机构同意，并按基本建设程序报批。在不影响防洪安全和生态安全的条件下，允许开发跨穿河建筑和河岸景观等项目。禁止建设排放污染物或加重水土流失的建设项目。</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对于本次阿尔阿布海(沃门阿布湖)未纳入生态保护红线范围内，故应划为岸线保留区。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岸线控制利用区内建设的岸线利用项目，应重视和加强管理，注重岸线利用的指导与控制，以实现岸线的可持续利用。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为现状开发利用程度比较高的河段而划定的岸线控制利用区，严格控制桥梁、取水工程等项目的建设，项目新占用岸线长度比率不得超过现有岸线占有的率20%;特别是同类岸线利用项目，如现状项目较多，应对项目的必要性、可行性重点论证，充分考虑其不利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2、容许进行生态景观和堤顶公路项目建设的河段，项目建设应满足所在河段堤防的远期防洪标准。</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3、在岸线开发利用可能对防洪安全、河势稳定、河流生态保护造成不利影响的河段，应根据项目类型及其开发利用行为进行研究或论证，充分考虑其不利影响，并采取必要措施，减小或消除不利影响。</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岸线开发利用区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1、在城区段的岸线开发利用区，控制岸线开发类型，禁止污染严重性的项目建设。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禁止影响护岸工程安全的项目建设，要注重对河岸的保护。在非城区的岸线开发利用区，可开发桥梁、取排水口、管线、生态景观、旅游等项目，项目建设不得影响防洪安全、河势稳定、水环境安全，并满足防汛交通要求，并应符合河道内建设项目管理要求。桥梁、取排水口等项目建设(不包括生态景观项目)的岸线占用率累计不得超过50%(50%为项目占用自然岸线长度净比例，如条件允许，不同类型建设项目可重复占用岸线，因此实际占用比例可适当高于50%)。</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除上述管理规划目标，与岸线功能区管理规划目标不符的已有开发利用项目或设施，不得在现有规模上进行改建、扩建;严重影响防洪、水质及水利设施安全的，应逐步进行调整、清退或搬迁。</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8" w:name="_Toc26575"/>
      <w:bookmarkStart w:id="109" w:name="_Toc1316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岸线边界线管控要求</w:t>
      </w:r>
      <w:bookmarkEnd w:id="108"/>
      <w:bookmarkEnd w:id="10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利用必须保障河势稳定、防洪安全、供水安全，保护水生态环境。在满足行洪安全的前提下，要实现岸线的合理开发、科学保护、有效管理，必须对岸线范围加以界定。岸线控制线是确定岸线范围的重要依据，包括临水控制线和外缘控制线。</w:t>
      </w:r>
    </w:p>
    <w:p>
      <w:pPr>
        <w:widowControl w:val="0"/>
        <w:kinsoku/>
        <w:adjustRightInd w:val="0"/>
        <w:snapToGrid/>
        <w:spacing w:line="360" w:lineRule="auto"/>
        <w:ind w:right="80" w:rightChars="38" w:firstLine="560" w:firstLineChars="200"/>
        <w:contextualSpacing/>
        <w:jc w:val="left"/>
        <w:textAlignment w:val="auto"/>
        <w:rPr>
          <w:rFonts w:hint="eastAsia"/>
          <w:lang w:val="en-US" w:eastAsia="zh-CN"/>
        </w:rPr>
      </w:pPr>
      <w:r>
        <w:rPr>
          <w:rFonts w:hint="eastAsia" w:ascii="宋体" w:hAnsi="宋体" w:eastAsia="宋体" w:cs="宋体"/>
          <w:snapToGrid/>
          <w:color w:val="auto"/>
          <w:kern w:val="0"/>
          <w:sz w:val="28"/>
          <w:szCs w:val="28"/>
          <w:highlight w:val="none"/>
          <w:lang w:val="en-US" w:eastAsia="zh-CN" w:bidi="ar-SA"/>
        </w:rPr>
        <w:t>临水控制线是为保障河流畅通、行洪安全、稳定河势和维护河流健康生命的基本要求，对进入河道范围的岸线利用项目加以限定的控制线，除防洪及河势控制工程，任何阻水的实体建筑物原则上不允许逾越临水控制线。对必须在河道内修建的跨河建筑物的墩台、重要的取水口、水下控导工程及水利水电枢纽工程等建筑实体，应依法依规充分论证。确需越过临水控制线穿越河道的岸线利用建设项目，必须充分论证项目及其影响，提出穿越方案，并经有审批权限的水行政主管部门审查同意后方可实施。桥梁、管线、取水、排水等基础设施需超越临水控制线的项目，超越临水控制线的部分应尽量采取架空、贴地或下沉等方式，尽量减小占用河道过流断面。</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外缘控制线是岸线保护和管理的外缘边界线，边界线外围50m内不允许建设水利等相关建筑物，进入外缘控制线的建设项目必须服从岸线利用管理规划的要求。</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0" w:name="_bookmark49"/>
      <w:bookmarkEnd w:id="110"/>
      <w:bookmarkStart w:id="111" w:name="_bookmark48"/>
      <w:bookmarkEnd w:id="111"/>
      <w:bookmarkStart w:id="112" w:name="_bookmark50"/>
      <w:bookmarkEnd w:id="112"/>
      <w:bookmarkStart w:id="113" w:name="_Toc14134"/>
      <w:bookmarkStart w:id="114" w:name="_Toc131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岸线管控能力建设措施</w:t>
      </w:r>
      <w:bookmarkEnd w:id="113"/>
      <w:bookmarkEnd w:id="11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一、设立界碑，明确管控范围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按照属地管理原则，在本次岸线规划划定的岸线边界线和功能区划分基础上，在控制性节点位置，设立界桩、标示牌，明确管理者和管理界线和管控目标。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二、建立河长负责、多部门统筹协调的岸线管控机制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在河长制基础上，按照盟、县、乡进行分级管理，河长负责岸线管理，明确各级河长岸线管理职责，建立“一条线管理、以块为主、属地负责”的岸线管控机制。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强化地方各级政府责任，严格考核评估和监督。建立以政府为主导，水务部门为主体的组织体系，各单位各司其职、各负其责，密切配合、通力协作。建立定期通报机制和重大问题协调机制，及时解决各类矛盾和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三、开展动态监测，建立岸线监管信息共享平台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区域可持续发展为目标，以空间管控为核心，以生态保护为重点，开展动态监测，构建岸线监管信息平台，全面掌握岸线演变、使用和整治修复情况。编制岸线监测与统计公报，定期评估岸线保护情况和生态效益，为岸线管护提供技术支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四、加强宣传，提高群众岸线资源保护意识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旗组织培训各乡(镇)河长为切入点，由各乡(镇)河长负责本乡(镇)沿河各村的宣传工作，建立乡(镇)包村、村包组、干部党员包群众的“包保”宣传体系，向牧民宣传岸线划分与保护的必要性和意义，提高牧民自觉保护水域和岸线资源的意识，改变沿河倾倒垃圾的习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5" w:name="_Toc11915"/>
      <w:bookmarkStart w:id="116" w:name="_Toc456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岸线保护利用调整要求</w:t>
      </w:r>
      <w:bookmarkEnd w:id="115"/>
      <w:bookmarkEnd w:id="11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为切实做好岸线的有效保护与合理利用，保障防洪安全和水生态环境保护，统筹协调上下游、左右岸关系，合理配置岸线，对照岸线功能区的规划成果和现状岸线利用情况，对不符合岸线功能区划管理的岸线利用行为和设施，按照岸线利用管理规划要求，</w:t>
      </w:r>
      <w:bookmarkStart w:id="117" w:name="_bookmark51"/>
      <w:bookmarkEnd w:id="117"/>
      <w:r>
        <w:rPr>
          <w:rFonts w:hint="eastAsia" w:ascii="宋体" w:hAnsi="宋体" w:eastAsia="宋体" w:cs="宋体"/>
          <w:snapToGrid/>
          <w:color w:val="auto"/>
          <w:kern w:val="0"/>
          <w:sz w:val="28"/>
          <w:szCs w:val="28"/>
          <w:highlight w:val="none"/>
          <w:lang w:val="en-US" w:eastAsia="zh-CN" w:bidi="ar-SA"/>
        </w:rPr>
        <w:t>对岸线利用及其布局进行规范和调整，使岸线利用项目符合岸线功能区的要求。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根据现状利用与管理情况提出现状岸线利用的调整要求如下：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1、治理违章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在湖泊管理范围内，未经审批、取得建设项目同意书的建设项目，属违章建设，必须改正或清除。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2、保障防洪安全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防洪安全是国民经济可持续发展以及岸线利用与保护的重要前提条件。按照保障防</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洪安全的要求，岸线利用项目的调整包括以下方面：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(1)清理阻碍行(蓄)洪的滩地占用、侵占岸线、设障等现象;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(2)严格按照岸线利用管理的要求，对超越和侵占临水控制线的设障项目实施清退或改建。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3、水资源与水环境保护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水资源是国民经济可持续发展的战略资源。岸线利用应重视水资源和水环境保护合理确定各功能区内的岸线利用项目。按照水资源与水环境保护的要求，岸线利用项目的调整包括以下方面：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(1)岸线保护区严禁堆放垃圾。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(2)由于放牧对规划河道水质有重大影响，应予以调整，改变岸线植被类型，进行岸线植物的种植设计，使之从放牧区向自然风景区转化。</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(3)加大河道两岸垃圾、腐殖质等污染物入河管控措施，做好河道两岸管理范围内的保洁工作。</w:t>
      </w:r>
    </w:p>
    <w:p>
      <w:pPr>
        <w:rPr>
          <w:color w:val="auto"/>
          <w:highlight w:val="none"/>
        </w:rPr>
        <w:sectPr>
          <w:footerReference r:id="rId17" w:type="default"/>
          <w:pgSz w:w="11910" w:h="16850"/>
          <w:pgMar w:top="1432" w:right="1427" w:bottom="2280" w:left="1779"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18" w:name="_bookmark52"/>
      <w:bookmarkEnd w:id="118"/>
      <w:bookmarkStart w:id="119" w:name="_Toc17406"/>
      <w:bookmarkStart w:id="120" w:name="_Toc2092"/>
      <w:r>
        <w:rPr>
          <w:rFonts w:hint="eastAsia" w:ascii="宋体" w:hAnsi="宋体" w:eastAsia="宋体" w:cs="宋体"/>
          <w:color w:val="auto"/>
          <w:sz w:val="32"/>
          <w:szCs w:val="32"/>
          <w:highlight w:val="none"/>
          <w:lang w:val="en-US" w:eastAsia="zh-CN"/>
        </w:rPr>
        <w:t>8 环境影响评价</w:t>
      </w:r>
      <w:bookmarkEnd w:id="119"/>
      <w:bookmarkEnd w:id="12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1" w:name="_Toc18177"/>
      <w:bookmarkStart w:id="122" w:name="_Toc1246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8.1 环境保护目标</w:t>
      </w:r>
      <w:bookmarkEnd w:id="121"/>
      <w:bookmarkEnd w:id="12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规划主要环境保护目标为：维护河流水环境功能，维护水生生态系统完整性和连通性;保护区域生物多样性;保护湿地及珍稀濒危动植物生态系统功能。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进落实《水污染防治行动计划》、《内蒙古自治区水污染防治工作方案》,加快构建“政府统领、企业施治、市场驱动、公众参与”的水污染防治新机制。继续做好污染源防治工作，推进工业、农牧业面源污染综合治理，深入开展“五控”行动，到2025年畜禽粪污资源化综合利用率达到80%。防止湖泊内源性污染，每年根据芦苇蔓延情况收割，进行资源化利用。规范零散畜禽养殖户粪污处理设施装备配套，使农业污染源得到有效控制;依托农村环境连片整治，推进农村生活污水与生活垃圾集中收纳和处理，减少污水与垃圾的入河量，使农村污染源得到有效控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中共中央国务院关于全面加强生态环境保护坚决打好污染防治攻坚战的意见》、《关于印发水污染防治工作方案的通知》等相关文件精神，加强水功能区监管力度，增加对跨界断面的监测;加大水域岸线环境综合治理力度，河道管理范围乱占乱建、乱围乱堵、乱倒乱排等现象得到有效遏制，河湖水事秩序良好;加强水环境质量监测，从2023年开始，阿尔阿布海(沃门阿布湖)水体功能区监测覆盖率达100%,2023-2025年阿尔阿布海(沃门阿布湖)水体水质全年控制在地表Ⅳ类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针对重点水土流失区，建立预防监督体系和水土流失监测网络，明确禁止和限制开发的区域范围，加大监督管理，逐步完成水土流失区的整治工作。到2025年完成湖岸边绿化，有效控制水土流失现象，加强林业生态建设，森林覆盖率达到21%,水土流失得到有效治理，河道淤积得到有效缓解。</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持续做好阿尔阿布海(沃门阿布湖)生态补水工作，理顺生态补水机制，连通生态补水工程，争取每年在黄河凌汛期给阿尔阿布海(沃门阿布湖)补水100万m3,维持湿地正常水面面积。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3" w:name="_bookmark53"/>
      <w:bookmarkEnd w:id="123"/>
      <w:bookmarkStart w:id="124" w:name="_Toc4823"/>
      <w:bookmarkStart w:id="125" w:name="_Toc1290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规划符合性分析</w:t>
      </w:r>
      <w:bookmarkEnd w:id="124"/>
      <w:bookmarkEnd w:id="1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1、与相关法律、法规及政策符合性分析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任务是实现岸线资源的科学合理利用和有效保护，支撑当地经济的建设和长远可持续发展。规划充分考虑了防洪安全、河势稳定、饮用水安全及生态环境保护要求，规划成果符合《中华人民共和国防洪法》、《中华人民共和国河道管理条例》、《中华人民共和国自然保护区条例》、《风景名胜区条例》、《饮用水水源保护区污染防治管理规定》以及自治区、盟级有关水源保护区和水污染防治的管理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2、与发展战略符合性分析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遵循创新、协调、绿色、开放、共享的发展理念，坚持统筹兼顾、科学布局、保护优先、综合利用、持续发展等原则，在确保防洪安全、河势稳定、供水安全，满足生态环境保护等要求的前提下，妥善处理岸线保护和开发利用的关系，规划符合国家确立的可持续发展战略和方针政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3、与相关规划的协调性分析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本规划与《内蒙古主体功能区规划》。规划编制过程中已考虑了相关规划对岸线的利用要求，规划与其是协调一致的。</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6" w:name="_Toc8596"/>
      <w:bookmarkStart w:id="127" w:name="_Toc509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8.3 环境影响预测与评价</w:t>
      </w:r>
      <w:bookmarkEnd w:id="126"/>
      <w:bookmarkEnd w:id="1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(1)水文水资源影响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不涉及拦河建筑物工程，没有调水、引水等规划项目，规划实施不影响河流水文过程，对阿尔阿布海(沃门阿布湖)的总体水文情势基本无影响;规划不对区域水资源配置进行调整，不改变流域水资源的时空分布格局，对水资源利用基本无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(2)水环境影响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功能区划考虑了湖泊水功能区管理要求，有利于河流水环境保护。岸线开发利用区岸段对水环境的影响取决于岸线利用的具体用途，如布置工业园区等可能产生污水排放影响局部水环境，在具体项目实施过程中，应落实环境影响评价制度，分析具体项目实施对河段水质的影响，并采取相应的水污染防治措施，保护水功能区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(3)社会环境影响</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本规划对规划范围内阿尔阿布海(沃门阿布湖)岸线进行科学合理的保护与开发布局。规划实施以后，岸线资源将得到统一有效的管理，其利用效益和利用价值都将得到很大程度地提高，对湖泊沿岸地区社会环境的可持续发展具有有利影响。</w:t>
      </w:r>
    </w:p>
    <w:p>
      <w:pPr>
        <w:rPr>
          <w:color w:val="auto"/>
          <w:highlight w:val="none"/>
        </w:rPr>
        <w:sectPr>
          <w:footerReference r:id="rId18" w:type="default"/>
          <w:pgSz w:w="11910" w:h="16850"/>
          <w:pgMar w:top="1419" w:right="1409" w:bottom="2313" w:left="1730"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28" w:name="_Toc1121"/>
      <w:bookmarkStart w:id="129" w:name="_Toc31091"/>
      <w:r>
        <w:rPr>
          <w:rFonts w:hint="eastAsia" w:ascii="宋体" w:hAnsi="宋体" w:eastAsia="宋体" w:cs="宋体"/>
          <w:color w:val="auto"/>
          <w:sz w:val="32"/>
          <w:szCs w:val="32"/>
          <w:highlight w:val="none"/>
          <w:lang w:val="en-US" w:eastAsia="zh-CN"/>
        </w:rPr>
        <w:t>9 保障措施</w:t>
      </w:r>
      <w:bookmarkEnd w:id="128"/>
      <w:bookmarkEnd w:id="129"/>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0" w:name="_Toc2901"/>
      <w:bookmarkStart w:id="131" w:name="_Toc2531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9.1 政策、制度保障</w:t>
      </w:r>
      <w:bookmarkEnd w:id="130"/>
      <w:bookmarkEnd w:id="1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健全岸线管理的政策规章。深入贯彻《中华人民共和国水法》、《中华人民共和国防洪法》、《中华人民共和国河道管理条例》和《中华人民共和国水污染防治法》等法律法规，坚持统一管理、探索实行岸线占用许可制度、岸线水域有偿使用制度和影响补偿制度、限制限期开发、鼓励岸线整治开发等措施，使岸线得到进一步有效管理，确保岸线管理的权威性、严肃性和延续性。</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加强水行政执法。按照统一、精简、效能原则，进一步加强包括涉河建设项目监督的水行政执法队伍建设，保障岸线利用管理各项法规、规定的全面贯彻和执行;进一步推进水行政执法责任制，保证各项法律规定落到实处;加强执法检查监督工作，落实执法责任，规范执法行为，提高流域水行政执法质量。</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2" w:name="_Toc22530"/>
      <w:bookmarkStart w:id="133" w:name="_Toc111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行政管理保障</w:t>
      </w:r>
      <w:bookmarkEnd w:id="132"/>
      <w:bookmarkEnd w:id="1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明确职责，实行分级管理。建立水利牵头、部门配合的工作机制，进一步细化责任、明确分工，严格考核和责任追究。按照《中华人民共和国河道管理条例》中关于涉河建设项目审查权限的划分，实行自治区与、盟、县水行政主管部门负责，按照岸线规划确定的开发利用范围，审批各自管辖范围内的建设项目，并参与其范围内城乡规划、跨河湖交通规划、生态湿地保护规划和旅游业、工业园规划的审查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严格基本建设立项程序。贯彻落实《中华人民共和国行政许可法》、《中共中央国务院关于深化投融资体制改革的意见》(中发[2016]18号)精神，改进和加强建设项目管理，发展改革部门严格执行基本建设程序，建设单位认真做好项目前期工作，水行政主管部门按照规定的审批权限审批建设项目，推进政务公开。各类公益性项目和基本建设项目要符合流域规划以及防洪、水资源、城市建设、水土保持等专项规划的要求，力求避免对河湖水域岸线的占用。开发建设项目涉及防洪和水资源的建设项目，要实行防洪评价和水资源论证制度，立项前必须经水行政主管部门进行专项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行河长制工作机制。进一步落实并加强河长制责任主体，协调整合各方力量，构建责任明确、协调有序、监管严格、保护有力的河湖管理保护机制，为维护河湖健康生命、实现河湖功能永续利用提供制度保障。各级河长要牵头组织对岸线乱占滥用、多占少用、占而不用等突出问题依法进行清理整治，协调解决重大问题;对跨行政区域的河湖明晰管理职责，协调上下游、左右岸实行联防联控;对目标任务完成情况进行考核等，恢复河湖水域岸线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建立完善有效的管理监督机制。按照分级管理的原则，地方发改委需会同规划、交通、水利、建设、环境、国上、渔业等部门，根据本规划要求，联合对城镇规划、交通、旅游规划等涉及河道岸线部分进行审查;建立健全规划实施监督和评估机制，协调推进并保障规划的贯彻落实。</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加强监测分析和基础研究工作，提高科学管理水平。建立河道管理信息系统，将河道日常巡查、问题督办、情况通报、责任落实等纳入信息化、一体化的现代化管理，提高工作效能，接受社会监督。</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4" w:name="_Toc31258"/>
      <w:bookmarkStart w:id="135" w:name="_Toc197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经济措施</w:t>
      </w:r>
      <w:bookmarkEnd w:id="134"/>
      <w:bookmarkEnd w:id="1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水利建设资金、环境保护资金、林业发展资金、国家污染防治专项资金等现有资金渠道的基础上，积极争取各种途径中央财政投资。探索以政府公共财政为主导、市场化投资为补充的投入机制，试点各种社会组织和民间组织参与岸线保护与利用规划工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考虑资源稀缺程度、河道治理成本、市场供求关系、生态环境损害成本等因素，探索建立岸线资源有偿使用制度，促进岸线资源的节约、集约利用。出台岸线资源有偿使用指导意见，明确岸线资源使用权登记、岸线资源税费征收制度及岸线资源综合评价指标体系、征收标准。在指导意见出台前，磴口县人民政府依据相关规划，按照“科学布局，集约利用”的原则，可探索采用招标、拍卖、挂牌等市场手段对岸线资源进行有偿出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6" w:name="_Toc30056"/>
      <w:bookmarkStart w:id="137" w:name="_Toc2180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9.4 公众参与保障</w:t>
      </w:r>
      <w:bookmarkEnd w:id="136"/>
      <w:bookmarkEnd w:id="1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营造有效的公众参与机制。建立公开透明、公众参与、公正廉洁的民主管理机制和行政管理体制。与群众利益密切相关的重大问题，要广泛听取和充分反映公众意见，提高全社会对加快经济发展和保护岸线相协调的认同程度。促使沿岸开发利用的地方政府、企业单位,特别是非政府组织充分参与到保护水域、岸线中来。提高全民保护水、珍惜岸线的意识，将维护河道、湖泊变得更接近自然状态成为全社会每个成员的实际行动，取得更好的经济社会和环境效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加强社会监督。进一步加强规划实施的民主监督，扩大政务公开，强化信息引导，面向企业和公众，积极广泛地组织好规划宣传，形成全社会关心规划、参与实施和共同监督的良好氛围。设立含基础数据、举报建议、查看阅读、治河动态等功能的微信公众号，方便公众参与，落实全民管理理念。</w:t>
      </w:r>
    </w:p>
    <w:p>
      <w:pPr>
        <w:rPr>
          <w:color w:val="auto"/>
          <w:highlight w:val="none"/>
        </w:rPr>
        <w:sectPr>
          <w:footerReference r:id="rId19" w:type="default"/>
          <w:pgSz w:w="11910" w:h="16850"/>
          <w:pgMar w:top="1432" w:right="1285" w:bottom="2300" w:left="1759" w:header="1020" w:footer="1757" w:gutter="0"/>
          <w:pgNumType w:fmt="decimal"/>
          <w:cols w:space="720" w:num="1"/>
        </w:sectPr>
      </w:pPr>
    </w:p>
    <w:p>
      <w:pPr>
        <w:spacing w:line="242" w:lineRule="auto"/>
        <w:rPr>
          <w:rFonts w:ascii="Arial"/>
          <w:color w:val="auto"/>
          <w:sz w:val="21"/>
          <w:highlight w:val="none"/>
        </w:rPr>
      </w:pPr>
    </w:p>
    <w:p>
      <w:pPr>
        <w:spacing w:before="98" w:line="223" w:lineRule="auto"/>
        <w:ind w:left="789"/>
        <w:outlineLvl w:val="0"/>
        <w:rPr>
          <w:rFonts w:ascii="黑体" w:hAnsi="黑体" w:eastAsia="黑体" w:cs="黑体"/>
          <w:color w:val="auto"/>
          <w:sz w:val="30"/>
          <w:szCs w:val="30"/>
          <w:highlight w:val="none"/>
        </w:rPr>
      </w:pPr>
      <w:bookmarkStart w:id="138" w:name="_Toc22812"/>
      <w:bookmarkStart w:id="139" w:name="_Toc28299"/>
      <w:r>
        <w:rPr>
          <w:rFonts w:ascii="黑体" w:hAnsi="黑体" w:eastAsia="黑体" w:cs="黑体"/>
          <w:color w:val="auto"/>
          <w:spacing w:val="7"/>
          <w:sz w:val="30"/>
          <w:szCs w:val="30"/>
          <w:highlight w:val="none"/>
          <w14:textOutline w14:w="5448" w14:cap="flat" w14:cmpd="sng">
            <w14:solidFill>
              <w14:srgbClr w14:val="000000"/>
            </w14:solidFill>
            <w14:prstDash w14:val="solid"/>
            <w14:miter w14:val="0"/>
          </w14:textOutline>
        </w:rPr>
        <w:t>附</w:t>
      </w:r>
      <w:r>
        <w:rPr>
          <w:rFonts w:ascii="黑体" w:hAnsi="黑体" w:eastAsia="黑体" w:cs="黑体"/>
          <w:color w:val="auto"/>
          <w:spacing w:val="6"/>
          <w:sz w:val="30"/>
          <w:szCs w:val="30"/>
          <w:highlight w:val="none"/>
          <w14:textOutline w14:w="5448" w14:cap="flat" w14:cmpd="sng">
            <w14:solidFill>
              <w14:srgbClr w14:val="000000"/>
            </w14:solidFill>
            <w14:prstDash w14:val="solid"/>
            <w14:miter w14:val="0"/>
          </w14:textOutline>
        </w:rPr>
        <w:t>表</w:t>
      </w:r>
      <w:bookmarkEnd w:id="138"/>
      <w:bookmarkEnd w:id="139"/>
    </w:p>
    <w:p>
      <w:pPr>
        <w:spacing w:line="286" w:lineRule="auto"/>
        <w:rPr>
          <w:rFonts w:ascii="Arial"/>
          <w:color w:val="auto"/>
          <w:sz w:val="21"/>
          <w:highlight w:val="none"/>
        </w:rPr>
      </w:pPr>
    </w:p>
    <w:p>
      <w:pPr>
        <w:spacing w:line="287" w:lineRule="auto"/>
        <w:rPr>
          <w:rFonts w:ascii="Arial"/>
          <w:color w:val="auto"/>
          <w:sz w:val="21"/>
          <w:highlight w:val="none"/>
        </w:rPr>
      </w:pPr>
    </w:p>
    <w:p>
      <w:pPr>
        <w:spacing w:before="97" w:line="221" w:lineRule="auto"/>
        <w:ind w:left="4419"/>
        <w:rPr>
          <w:rFonts w:ascii="黑体" w:hAnsi="黑体" w:eastAsia="黑体" w:cs="黑体"/>
          <w:color w:val="auto"/>
          <w:sz w:val="30"/>
          <w:szCs w:val="30"/>
          <w:highlight w:val="none"/>
        </w:rPr>
      </w:pPr>
      <w:r>
        <w:rPr>
          <w:rFonts w:ascii="黑体" w:hAnsi="黑体" w:eastAsia="黑体" w:cs="黑体"/>
          <w:color w:val="auto"/>
          <w:spacing w:val="-22"/>
          <w:sz w:val="30"/>
          <w:szCs w:val="30"/>
          <w:highlight w:val="none"/>
          <w14:textOutline w14:w="5448" w14:cap="flat" w14:cmpd="sng">
            <w14:solidFill>
              <w14:srgbClr w14:val="000000"/>
            </w14:solidFill>
            <w14:prstDash w14:val="solid"/>
            <w14:miter w14:val="0"/>
          </w14:textOutline>
        </w:rPr>
        <w:t>表</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1</w:t>
      </w:r>
      <w:r>
        <w:rPr>
          <w:rFonts w:ascii="黑体" w:hAnsi="黑体" w:eastAsia="黑体" w:cs="黑体"/>
          <w:color w:val="auto"/>
          <w:spacing w:val="-19"/>
          <w:sz w:val="30"/>
          <w:szCs w:val="30"/>
          <w:highlight w:val="none"/>
        </w:rPr>
        <w:t xml:space="preserve"> </w:t>
      </w:r>
      <w:r>
        <w:rPr>
          <w:rFonts w:hint="eastAsia" w:ascii="黑体" w:hAnsi="黑体" w:eastAsia="黑体" w:cs="黑体"/>
          <w:color w:val="auto"/>
          <w:spacing w:val="-19"/>
          <w:sz w:val="30"/>
          <w:szCs w:val="30"/>
          <w:highlight w:val="none"/>
          <w:lang w:val="en-US" w:eastAsia="zh-CN"/>
          <w14:textOutline w14:w="5448" w14:cap="flat" w14:cmpd="sng">
            <w14:solidFill>
              <w14:srgbClr w14:val="000000"/>
            </w14:solidFill>
            <w14:prstDash w14:val="solid"/>
            <w14:miter w14:val="0"/>
          </w14:textOutline>
        </w:rPr>
        <w:t>阿尔阿布海(沃门阿布湖)</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所在县级以上行政区主要经济社会指标</w:t>
      </w:r>
    </w:p>
    <w:p>
      <w:pPr>
        <w:spacing w:line="40" w:lineRule="exact"/>
        <w:rPr>
          <w:color w:val="auto"/>
          <w:highlight w:val="none"/>
        </w:rPr>
      </w:pPr>
    </w:p>
    <w:tbl>
      <w:tblPr>
        <w:tblStyle w:val="13"/>
        <w:tblW w:w="14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4"/>
        <w:gridCol w:w="1579"/>
        <w:gridCol w:w="1568"/>
        <w:gridCol w:w="1599"/>
        <w:gridCol w:w="1568"/>
        <w:gridCol w:w="1579"/>
        <w:gridCol w:w="1569"/>
        <w:gridCol w:w="1569"/>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594" w:type="dxa"/>
            <w:tcBorders>
              <w:top w:val="single" w:color="000000" w:sz="2" w:space="0"/>
              <w:bottom w:val="single" w:color="000000" w:sz="2" w:space="0"/>
            </w:tcBorders>
            <w:vAlign w:val="top"/>
          </w:tcPr>
          <w:p>
            <w:pPr>
              <w:spacing w:line="264" w:lineRule="auto"/>
              <w:rPr>
                <w:rFonts w:ascii="Arial"/>
                <w:color w:val="auto"/>
                <w:sz w:val="21"/>
                <w:highlight w:val="none"/>
              </w:rPr>
            </w:pPr>
          </w:p>
          <w:p>
            <w:pPr>
              <w:spacing w:line="264" w:lineRule="auto"/>
              <w:rPr>
                <w:rFonts w:ascii="Arial"/>
                <w:color w:val="auto"/>
                <w:sz w:val="21"/>
                <w:highlight w:val="none"/>
              </w:rPr>
            </w:pPr>
          </w:p>
          <w:p>
            <w:pPr>
              <w:spacing w:before="68" w:line="221" w:lineRule="auto"/>
              <w:ind w:left="5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序号</w:t>
            </w:r>
          </w:p>
        </w:tc>
        <w:tc>
          <w:tcPr>
            <w:tcW w:w="1579" w:type="dxa"/>
            <w:tcBorders>
              <w:top w:val="single" w:color="000000" w:sz="2" w:space="0"/>
              <w:bottom w:val="single" w:color="000000" w:sz="2" w:space="0"/>
            </w:tcBorders>
            <w:vAlign w:val="top"/>
          </w:tcPr>
          <w:p>
            <w:pPr>
              <w:spacing w:line="263" w:lineRule="auto"/>
              <w:rPr>
                <w:rFonts w:ascii="Arial"/>
                <w:color w:val="auto"/>
                <w:sz w:val="21"/>
                <w:highlight w:val="none"/>
              </w:rPr>
            </w:pPr>
          </w:p>
          <w:p>
            <w:pPr>
              <w:spacing w:line="264" w:lineRule="auto"/>
              <w:rPr>
                <w:rFonts w:ascii="Arial"/>
                <w:color w:val="auto"/>
                <w:sz w:val="21"/>
                <w:highlight w:val="none"/>
              </w:rPr>
            </w:pPr>
          </w:p>
          <w:p>
            <w:pPr>
              <w:spacing w:before="68" w:line="219" w:lineRule="auto"/>
              <w:ind w:left="670"/>
              <w:rPr>
                <w:rFonts w:ascii="宋体" w:hAnsi="宋体" w:eastAsia="宋体" w:cs="宋体"/>
                <w:color w:val="auto"/>
                <w:sz w:val="21"/>
                <w:szCs w:val="21"/>
                <w:highlight w:val="none"/>
              </w:rPr>
            </w:pPr>
            <w:r>
              <w:rPr>
                <w:rFonts w:ascii="宋体" w:hAnsi="宋体" w:eastAsia="宋体" w:cs="宋体"/>
                <w:color w:val="auto"/>
                <w:sz w:val="21"/>
                <w:szCs w:val="21"/>
                <w:highlight w:val="none"/>
              </w:rPr>
              <w:t>省</w:t>
            </w:r>
          </w:p>
        </w:tc>
        <w:tc>
          <w:tcPr>
            <w:tcW w:w="1568" w:type="dxa"/>
            <w:tcBorders>
              <w:top w:val="single" w:color="000000" w:sz="2" w:space="0"/>
              <w:bottom w:val="single" w:color="000000" w:sz="2" w:space="0"/>
            </w:tcBorders>
            <w:vAlign w:val="top"/>
          </w:tcPr>
          <w:p>
            <w:pPr>
              <w:spacing w:line="339" w:lineRule="auto"/>
              <w:rPr>
                <w:rFonts w:ascii="Arial"/>
                <w:color w:val="auto"/>
                <w:sz w:val="21"/>
                <w:highlight w:val="none"/>
              </w:rPr>
            </w:pPr>
          </w:p>
          <w:p>
            <w:pPr>
              <w:spacing w:before="68" w:line="351" w:lineRule="auto"/>
              <w:ind w:left="670" w:right="146" w:hanging="5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市(</w:t>
            </w:r>
            <w:r>
              <w:rPr>
                <w:rFonts w:ascii="宋体" w:hAnsi="宋体" w:eastAsia="宋体" w:cs="宋体"/>
                <w:color w:val="auto"/>
                <w:spacing w:val="1"/>
                <w:sz w:val="21"/>
                <w:szCs w:val="21"/>
                <w:highlight w:val="none"/>
              </w:rPr>
              <w:t>地)级行政</w:t>
            </w:r>
            <w:r>
              <w:rPr>
                <w:rFonts w:ascii="宋体" w:hAnsi="宋体" w:eastAsia="宋体" w:cs="宋体"/>
                <w:color w:val="auto"/>
                <w:sz w:val="21"/>
                <w:szCs w:val="21"/>
                <w:highlight w:val="none"/>
              </w:rPr>
              <w:t>区</w:t>
            </w:r>
          </w:p>
        </w:tc>
        <w:tc>
          <w:tcPr>
            <w:tcW w:w="1599" w:type="dxa"/>
            <w:tcBorders>
              <w:top w:val="single" w:color="000000" w:sz="2" w:space="0"/>
              <w:bottom w:val="single" w:color="000000" w:sz="2" w:space="0"/>
            </w:tcBorders>
            <w:vAlign w:val="top"/>
          </w:tcPr>
          <w:p>
            <w:pPr>
              <w:spacing w:line="300" w:lineRule="auto"/>
              <w:rPr>
                <w:rFonts w:ascii="Arial"/>
                <w:color w:val="auto"/>
                <w:sz w:val="21"/>
                <w:highlight w:val="none"/>
              </w:rPr>
            </w:pPr>
          </w:p>
          <w:p>
            <w:pPr>
              <w:spacing w:before="69" w:line="458" w:lineRule="exact"/>
              <w:ind w:left="583"/>
              <w:rPr>
                <w:rFonts w:ascii="宋体" w:hAnsi="宋体" w:eastAsia="宋体" w:cs="宋体"/>
                <w:color w:val="auto"/>
                <w:sz w:val="21"/>
                <w:szCs w:val="21"/>
                <w:highlight w:val="none"/>
              </w:rPr>
            </w:pPr>
            <w:r>
              <w:rPr>
                <w:rFonts w:ascii="宋体" w:hAnsi="宋体" w:eastAsia="宋体" w:cs="宋体"/>
                <w:color w:val="auto"/>
                <w:spacing w:val="6"/>
                <w:position w:val="19"/>
                <w:sz w:val="21"/>
                <w:szCs w:val="21"/>
                <w:highlight w:val="none"/>
              </w:rPr>
              <w:t>县级</w:t>
            </w:r>
          </w:p>
          <w:p>
            <w:pPr>
              <w:spacing w:line="220" w:lineRule="auto"/>
              <w:ind w:left="47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行政区</w:t>
            </w:r>
          </w:p>
        </w:tc>
        <w:tc>
          <w:tcPr>
            <w:tcW w:w="1568" w:type="dxa"/>
            <w:tcBorders>
              <w:top w:val="single" w:color="000000" w:sz="2" w:space="0"/>
              <w:bottom w:val="single" w:color="000000" w:sz="2" w:space="0"/>
            </w:tcBorders>
            <w:vAlign w:val="top"/>
          </w:tcPr>
          <w:p>
            <w:pPr>
              <w:spacing w:before="158" w:line="443" w:lineRule="exact"/>
              <w:ind w:left="564"/>
              <w:rPr>
                <w:rFonts w:ascii="宋体" w:hAnsi="宋体" w:eastAsia="宋体" w:cs="宋体"/>
                <w:color w:val="auto"/>
                <w:sz w:val="21"/>
                <w:szCs w:val="21"/>
                <w:highlight w:val="none"/>
              </w:rPr>
            </w:pPr>
            <w:r>
              <w:rPr>
                <w:rFonts w:ascii="宋体" w:hAnsi="宋体" w:eastAsia="宋体" w:cs="宋体"/>
                <w:color w:val="auto"/>
                <w:spacing w:val="6"/>
                <w:position w:val="17"/>
                <w:sz w:val="21"/>
                <w:szCs w:val="21"/>
                <w:highlight w:val="none"/>
              </w:rPr>
              <w:t>年</w:t>
            </w:r>
            <w:r>
              <w:rPr>
                <w:rFonts w:ascii="宋体" w:hAnsi="宋体" w:eastAsia="宋体" w:cs="宋体"/>
                <w:color w:val="auto"/>
                <w:spacing w:val="5"/>
                <w:position w:val="17"/>
                <w:sz w:val="21"/>
                <w:szCs w:val="21"/>
                <w:highlight w:val="none"/>
              </w:rPr>
              <w:t>末</w:t>
            </w:r>
          </w:p>
          <w:p>
            <w:pPr>
              <w:spacing w:line="222" w:lineRule="auto"/>
              <w:ind w:left="464"/>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总</w:t>
            </w:r>
            <w:r>
              <w:rPr>
                <w:rFonts w:ascii="宋体" w:hAnsi="宋体" w:eastAsia="宋体" w:cs="宋体"/>
                <w:color w:val="auto"/>
                <w:spacing w:val="10"/>
                <w:sz w:val="21"/>
                <w:szCs w:val="21"/>
                <w:highlight w:val="none"/>
              </w:rPr>
              <w:t>人口</w:t>
            </w:r>
          </w:p>
          <w:p>
            <w:pPr>
              <w:spacing w:before="174" w:line="220" w:lineRule="auto"/>
              <w:ind w:left="4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万人)</w:t>
            </w:r>
          </w:p>
        </w:tc>
        <w:tc>
          <w:tcPr>
            <w:tcW w:w="1579" w:type="dxa"/>
            <w:tcBorders>
              <w:top w:val="single" w:color="000000" w:sz="2" w:space="0"/>
              <w:bottom w:val="single" w:color="000000" w:sz="2" w:space="0"/>
            </w:tcBorders>
            <w:vAlign w:val="top"/>
          </w:tcPr>
          <w:p>
            <w:pPr>
              <w:spacing w:before="148" w:line="440" w:lineRule="exact"/>
              <w:ind w:left="366"/>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年末牲畜</w:t>
            </w:r>
          </w:p>
          <w:p>
            <w:pPr>
              <w:spacing w:line="219" w:lineRule="auto"/>
              <w:ind w:left="46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总头</w:t>
            </w:r>
            <w:r>
              <w:rPr>
                <w:rFonts w:ascii="宋体" w:hAnsi="宋体" w:eastAsia="宋体" w:cs="宋体"/>
                <w:color w:val="auto"/>
                <w:spacing w:val="2"/>
                <w:sz w:val="21"/>
                <w:szCs w:val="21"/>
                <w:highlight w:val="none"/>
              </w:rPr>
              <w:t>数</w:t>
            </w:r>
          </w:p>
          <w:p>
            <w:pPr>
              <w:spacing w:before="190" w:line="219" w:lineRule="auto"/>
              <w:ind w:left="467"/>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万头)</w:t>
            </w:r>
          </w:p>
        </w:tc>
        <w:tc>
          <w:tcPr>
            <w:tcW w:w="1569" w:type="dxa"/>
            <w:tcBorders>
              <w:top w:val="single" w:color="000000" w:sz="2" w:space="0"/>
              <w:bottom w:val="single" w:color="000000" w:sz="2" w:space="0"/>
            </w:tcBorders>
            <w:vAlign w:val="top"/>
          </w:tcPr>
          <w:p>
            <w:pPr>
              <w:spacing w:before="148" w:line="441" w:lineRule="exact"/>
              <w:ind w:left="567"/>
              <w:rPr>
                <w:rFonts w:ascii="宋体" w:hAnsi="宋体" w:eastAsia="宋体" w:cs="宋体"/>
                <w:color w:val="auto"/>
                <w:sz w:val="21"/>
                <w:szCs w:val="21"/>
                <w:highlight w:val="none"/>
              </w:rPr>
            </w:pPr>
            <w:r>
              <w:rPr>
                <w:rFonts w:ascii="宋体" w:hAnsi="宋体" w:eastAsia="宋体" w:cs="宋体"/>
                <w:color w:val="auto"/>
                <w:spacing w:val="-4"/>
                <w:position w:val="17"/>
                <w:sz w:val="21"/>
                <w:szCs w:val="21"/>
                <w:highlight w:val="none"/>
              </w:rPr>
              <w:t>灌</w:t>
            </w:r>
            <w:r>
              <w:rPr>
                <w:rFonts w:ascii="宋体" w:hAnsi="宋体" w:eastAsia="宋体" w:cs="宋体"/>
                <w:color w:val="auto"/>
                <w:spacing w:val="-2"/>
                <w:position w:val="17"/>
                <w:sz w:val="21"/>
                <w:szCs w:val="21"/>
                <w:highlight w:val="none"/>
              </w:rPr>
              <w:t>溉</w:t>
            </w:r>
          </w:p>
          <w:p>
            <w:pPr>
              <w:spacing w:line="220" w:lineRule="auto"/>
              <w:ind w:left="56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面</w:t>
            </w:r>
            <w:r>
              <w:rPr>
                <w:rFonts w:ascii="宋体" w:hAnsi="宋体" w:eastAsia="宋体" w:cs="宋体"/>
                <w:color w:val="auto"/>
                <w:spacing w:val="6"/>
                <w:sz w:val="21"/>
                <w:szCs w:val="21"/>
                <w:highlight w:val="none"/>
              </w:rPr>
              <w:t>积</w:t>
            </w:r>
          </w:p>
          <w:p>
            <w:pPr>
              <w:spacing w:before="189" w:line="220" w:lineRule="auto"/>
              <w:ind w:left="56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(亩)</w:t>
            </w:r>
          </w:p>
        </w:tc>
        <w:tc>
          <w:tcPr>
            <w:tcW w:w="1569" w:type="dxa"/>
            <w:tcBorders>
              <w:top w:val="single" w:color="000000" w:sz="2" w:space="0"/>
              <w:bottom w:val="single" w:color="000000" w:sz="2" w:space="0"/>
            </w:tcBorders>
            <w:vAlign w:val="top"/>
          </w:tcPr>
          <w:p>
            <w:pPr>
              <w:spacing w:line="278" w:lineRule="auto"/>
              <w:rPr>
                <w:rFonts w:ascii="Arial"/>
                <w:color w:val="auto"/>
                <w:sz w:val="21"/>
                <w:highlight w:val="none"/>
              </w:rPr>
            </w:pPr>
          </w:p>
          <w:p>
            <w:pPr>
              <w:spacing w:before="68" w:line="412" w:lineRule="auto"/>
              <w:ind w:left="467" w:right="158" w:hanging="3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地区生</w:t>
            </w:r>
            <w:r>
              <w:rPr>
                <w:rFonts w:ascii="宋体" w:hAnsi="宋体" w:eastAsia="宋体" w:cs="宋体"/>
                <w:color w:val="auto"/>
                <w:spacing w:val="-1"/>
                <w:sz w:val="21"/>
                <w:szCs w:val="21"/>
                <w:highlight w:val="none"/>
              </w:rPr>
              <w:t>产总值</w:t>
            </w: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亿元)</w:t>
            </w:r>
          </w:p>
        </w:tc>
        <w:tc>
          <w:tcPr>
            <w:tcW w:w="1574" w:type="dxa"/>
            <w:tcBorders>
              <w:top w:val="single" w:color="000000" w:sz="2" w:space="0"/>
              <w:bottom w:val="single" w:color="000000" w:sz="2" w:space="0"/>
            </w:tcBorders>
            <w:vAlign w:val="top"/>
          </w:tcPr>
          <w:p>
            <w:pPr>
              <w:spacing w:line="348" w:lineRule="auto"/>
              <w:rPr>
                <w:rFonts w:ascii="Arial"/>
                <w:color w:val="auto"/>
                <w:sz w:val="21"/>
                <w:highlight w:val="none"/>
              </w:rPr>
            </w:pPr>
          </w:p>
          <w:p>
            <w:pPr>
              <w:spacing w:before="68" w:line="331" w:lineRule="auto"/>
              <w:ind w:left="569" w:right="262" w:hanging="3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岸线总长</w:t>
            </w:r>
            <w:r>
              <w:rPr>
                <w:rFonts w:ascii="宋体" w:hAnsi="宋体" w:eastAsia="宋体" w:cs="宋体"/>
                <w:color w:val="auto"/>
                <w:spacing w:val="-1"/>
                <w:sz w:val="21"/>
                <w:szCs w:val="21"/>
                <w:highlight w:val="none"/>
              </w:rPr>
              <w:t>度</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8"/>
                <w:sz w:val="21"/>
                <w:szCs w:val="21"/>
                <w:highlight w:val="none"/>
              </w:rPr>
              <w:t>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94" w:type="dxa"/>
            <w:tcBorders>
              <w:top w:val="single" w:color="000000" w:sz="2" w:space="0"/>
              <w:bottom w:val="single" w:color="000000" w:sz="2" w:space="0"/>
            </w:tcBorders>
            <w:vAlign w:val="top"/>
          </w:tcPr>
          <w:p>
            <w:pPr>
              <w:spacing w:before="227" w:line="187" w:lineRule="auto"/>
              <w:ind w:left="7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579" w:type="dxa"/>
            <w:tcBorders>
              <w:top w:val="single" w:color="000000" w:sz="2" w:space="0"/>
              <w:bottom w:val="single" w:color="000000" w:sz="2" w:space="0"/>
            </w:tcBorders>
            <w:vAlign w:val="top"/>
          </w:tcPr>
          <w:p>
            <w:pPr>
              <w:spacing w:before="174" w:line="219" w:lineRule="auto"/>
              <w:ind w:left="1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内蒙古自治区</w:t>
            </w:r>
          </w:p>
        </w:tc>
        <w:tc>
          <w:tcPr>
            <w:tcW w:w="1568" w:type="dxa"/>
            <w:tcBorders>
              <w:top w:val="single" w:color="000000" w:sz="2" w:space="0"/>
              <w:bottom w:val="single" w:color="000000" w:sz="2" w:space="0"/>
            </w:tcBorders>
            <w:vAlign w:val="top"/>
          </w:tcPr>
          <w:p>
            <w:pPr>
              <w:spacing w:before="173" w:line="219" w:lineRule="auto"/>
              <w:ind w:left="25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巴</w:t>
            </w:r>
            <w:r>
              <w:rPr>
                <w:rFonts w:ascii="宋体" w:hAnsi="宋体" w:eastAsia="宋体" w:cs="宋体"/>
                <w:color w:val="auto"/>
                <w:spacing w:val="2"/>
                <w:sz w:val="21"/>
                <w:szCs w:val="21"/>
                <w:highlight w:val="none"/>
              </w:rPr>
              <w:t>彦淖尔市</w:t>
            </w:r>
          </w:p>
        </w:tc>
        <w:tc>
          <w:tcPr>
            <w:tcW w:w="1599" w:type="dxa"/>
            <w:tcBorders>
              <w:top w:val="single" w:color="000000" w:sz="2" w:space="0"/>
              <w:bottom w:val="single" w:color="000000" w:sz="2" w:space="0"/>
            </w:tcBorders>
            <w:vAlign w:val="top"/>
          </w:tcPr>
          <w:p>
            <w:pPr>
              <w:spacing w:before="179" w:line="224" w:lineRule="auto"/>
              <w:ind w:left="47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磴</w:t>
            </w:r>
            <w:r>
              <w:rPr>
                <w:rFonts w:ascii="宋体" w:hAnsi="宋体" w:eastAsia="宋体" w:cs="宋体"/>
                <w:color w:val="auto"/>
                <w:spacing w:val="-2"/>
                <w:sz w:val="21"/>
                <w:szCs w:val="21"/>
                <w:highlight w:val="none"/>
              </w:rPr>
              <w:t>口县</w:t>
            </w:r>
          </w:p>
        </w:tc>
        <w:tc>
          <w:tcPr>
            <w:tcW w:w="1568" w:type="dxa"/>
            <w:tcBorders>
              <w:top w:val="single" w:color="000000" w:sz="2" w:space="0"/>
              <w:bottom w:val="single" w:color="000000" w:sz="2" w:space="0"/>
            </w:tcBorders>
            <w:vAlign w:val="top"/>
          </w:tcPr>
          <w:p>
            <w:pPr>
              <w:spacing w:before="227" w:line="185" w:lineRule="auto"/>
              <w:ind w:left="51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.75</w:t>
            </w:r>
          </w:p>
        </w:tc>
        <w:tc>
          <w:tcPr>
            <w:tcW w:w="1579" w:type="dxa"/>
            <w:tcBorders>
              <w:top w:val="single" w:color="000000" w:sz="2" w:space="0"/>
              <w:bottom w:val="single" w:color="000000" w:sz="2" w:space="0"/>
            </w:tcBorders>
            <w:vAlign w:val="top"/>
          </w:tcPr>
          <w:p>
            <w:pPr>
              <w:spacing w:before="228" w:line="184" w:lineRule="auto"/>
              <w:ind w:left="5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w:t>
            </w:r>
            <w:r>
              <w:rPr>
                <w:rFonts w:ascii="宋体" w:hAnsi="宋体" w:eastAsia="宋体" w:cs="宋体"/>
                <w:color w:val="auto"/>
                <w:spacing w:val="-1"/>
                <w:sz w:val="21"/>
                <w:szCs w:val="21"/>
                <w:highlight w:val="none"/>
              </w:rPr>
              <w:t>5.97</w:t>
            </w:r>
          </w:p>
        </w:tc>
        <w:tc>
          <w:tcPr>
            <w:tcW w:w="1569" w:type="dxa"/>
            <w:tcBorders>
              <w:top w:val="single" w:color="000000" w:sz="2" w:space="0"/>
              <w:bottom w:val="single" w:color="000000" w:sz="2" w:space="0"/>
            </w:tcBorders>
            <w:vAlign w:val="top"/>
          </w:tcPr>
          <w:p>
            <w:pPr>
              <w:spacing w:before="227" w:line="185" w:lineRule="auto"/>
              <w:ind w:left="46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3"/>
                <w:sz w:val="21"/>
                <w:szCs w:val="21"/>
                <w:highlight w:val="none"/>
              </w:rPr>
              <w:t>20.83</w:t>
            </w:r>
          </w:p>
        </w:tc>
        <w:tc>
          <w:tcPr>
            <w:tcW w:w="1569" w:type="dxa"/>
            <w:tcBorders>
              <w:top w:val="single" w:color="000000" w:sz="2" w:space="0"/>
              <w:bottom w:val="single" w:color="000000" w:sz="2" w:space="0"/>
            </w:tcBorders>
            <w:vAlign w:val="top"/>
          </w:tcPr>
          <w:p>
            <w:pPr>
              <w:spacing w:before="228" w:line="184" w:lineRule="auto"/>
              <w:ind w:left="5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54.90</w:t>
            </w:r>
          </w:p>
        </w:tc>
        <w:tc>
          <w:tcPr>
            <w:tcW w:w="1574" w:type="dxa"/>
            <w:tcBorders>
              <w:top w:val="single" w:color="000000" w:sz="2" w:space="0"/>
              <w:bottom w:val="single" w:color="000000" w:sz="2" w:space="0"/>
            </w:tcBorders>
            <w:vAlign w:val="top"/>
          </w:tcPr>
          <w:p>
            <w:pPr>
              <w:spacing w:before="228" w:line="184" w:lineRule="auto"/>
              <w:ind w:left="519"/>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yellow"/>
                <w:lang w:val="en-US" w:eastAsia="zh-CN"/>
              </w:rPr>
              <w:t>16.032</w:t>
            </w:r>
          </w:p>
        </w:tc>
      </w:tr>
    </w:tbl>
    <w:p>
      <w:pPr>
        <w:rPr>
          <w:rFonts w:ascii="Arial"/>
          <w:color w:val="auto"/>
          <w:sz w:val="21"/>
          <w:highlight w:val="none"/>
        </w:rPr>
      </w:pPr>
    </w:p>
    <w:p>
      <w:pPr>
        <w:rPr>
          <w:color w:val="auto"/>
          <w:highlight w:val="none"/>
        </w:rPr>
        <w:sectPr>
          <w:footerReference r:id="rId20" w:type="default"/>
          <w:pgSz w:w="16850" w:h="11910"/>
          <w:pgMar w:top="1012" w:right="1274" w:bottom="1912" w:left="1365" w:header="680" w:footer="1474" w:gutter="0"/>
          <w:pgNumType w:fmt="decimal"/>
          <w:cols w:space="720" w:num="1"/>
        </w:sectPr>
      </w:pPr>
    </w:p>
    <w:p>
      <w:pPr>
        <w:widowControl w:val="0"/>
        <w:kinsoku/>
        <w:adjustRightInd w:val="0"/>
        <w:snapToGrid/>
        <w:spacing w:line="360" w:lineRule="auto"/>
        <w:ind w:right="80" w:rightChars="38" w:firstLine="420" w:firstLineChars="200"/>
        <w:contextualSpacing/>
        <w:jc w:val="left"/>
        <w:textAlignment w:val="auto"/>
        <w:rPr>
          <w:rFonts w:ascii="Arial"/>
          <w:color w:val="auto"/>
          <w:sz w:val="21"/>
          <w:highlight w:val="yellow"/>
        </w:rPr>
      </w:pPr>
    </w:p>
    <w:p>
      <w:pPr>
        <w:spacing w:before="91" w:line="221" w:lineRule="auto"/>
        <w:ind w:left="5388"/>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w:t>
      </w:r>
      <w:r>
        <w:rPr>
          <w:rFonts w:ascii="黑体" w:hAnsi="黑体" w:eastAsia="黑体" w:cs="黑体"/>
          <w:color w:val="auto"/>
          <w:spacing w:val="-8"/>
          <w:sz w:val="28"/>
          <w:szCs w:val="28"/>
          <w:highlight w:val="yellow"/>
          <w14:textOutline w14:w="5080" w14:cap="flat" w14:cmpd="sng">
            <w14:solidFill>
              <w14:srgbClr w14:val="000000"/>
            </w14:solidFill>
            <w14:prstDash w14:val="solid"/>
            <w14:miter w14:val="0"/>
          </w14:textOutline>
        </w:rPr>
        <w:t>2</w:t>
      </w:r>
      <w:r>
        <w:rPr>
          <w:rFonts w:ascii="黑体" w:hAnsi="黑体" w:eastAsia="黑体" w:cs="黑体"/>
          <w:color w:val="auto"/>
          <w:spacing w:val="-5"/>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沃门阿布</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主要入湖河流基本情况</w:t>
      </w:r>
    </w:p>
    <w:p>
      <w:pPr>
        <w:rPr>
          <w:color w:val="auto"/>
          <w:highlight w:val="yellow"/>
        </w:rPr>
      </w:pPr>
    </w:p>
    <w:p>
      <w:pPr>
        <w:spacing w:line="143" w:lineRule="exact"/>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2073"/>
        <w:gridCol w:w="2795"/>
        <w:gridCol w:w="2597"/>
        <w:gridCol w:w="2065"/>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34" w:type="pct"/>
            <w:tcBorders>
              <w:top w:val="single" w:color="000000" w:sz="2" w:space="0"/>
              <w:bottom w:val="single" w:color="000000" w:sz="2" w:space="0"/>
            </w:tcBorders>
            <w:vAlign w:val="top"/>
          </w:tcPr>
          <w:p>
            <w:pPr>
              <w:spacing w:line="349" w:lineRule="auto"/>
              <w:rPr>
                <w:rFonts w:ascii="Arial"/>
                <w:color w:val="auto"/>
                <w:sz w:val="21"/>
                <w:highlight w:val="yellow"/>
              </w:rPr>
            </w:pPr>
          </w:p>
          <w:p>
            <w:pPr>
              <w:spacing w:before="68" w:line="221" w:lineRule="auto"/>
              <w:ind w:left="66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744"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672"/>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类</w:t>
            </w:r>
            <w:r>
              <w:rPr>
                <w:rFonts w:ascii="宋体" w:hAnsi="宋体" w:eastAsia="宋体" w:cs="宋体"/>
                <w:color w:val="auto"/>
                <w:spacing w:val="8"/>
                <w:sz w:val="21"/>
                <w:szCs w:val="21"/>
                <w:highlight w:val="yellow"/>
              </w:rPr>
              <w:t>别</w:t>
            </w:r>
          </w:p>
        </w:tc>
        <w:tc>
          <w:tcPr>
            <w:tcW w:w="1003"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9" w:line="220" w:lineRule="auto"/>
              <w:ind w:left="463"/>
              <w:rPr>
                <w:rFonts w:ascii="宋体" w:hAnsi="宋体" w:eastAsia="宋体" w:cs="宋体"/>
                <w:color w:val="auto"/>
                <w:sz w:val="21"/>
                <w:szCs w:val="21"/>
                <w:highlight w:val="yellow"/>
              </w:rPr>
            </w:pPr>
            <w:r>
              <w:rPr>
                <w:rFonts w:ascii="宋体" w:hAnsi="宋体" w:eastAsia="宋体" w:cs="宋体"/>
                <w:color w:val="auto"/>
                <w:spacing w:val="-1"/>
                <w:sz w:val="21"/>
                <w:szCs w:val="21"/>
                <w:highlight w:val="yellow"/>
              </w:rPr>
              <w:t>河流(沟道)名</w:t>
            </w:r>
            <w:r>
              <w:rPr>
                <w:rFonts w:ascii="宋体" w:hAnsi="宋体" w:eastAsia="宋体" w:cs="宋体"/>
                <w:color w:val="auto"/>
                <w:sz w:val="21"/>
                <w:szCs w:val="21"/>
                <w:highlight w:val="yellow"/>
              </w:rPr>
              <w:t>称</w:t>
            </w:r>
          </w:p>
        </w:tc>
        <w:tc>
          <w:tcPr>
            <w:tcW w:w="932"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366"/>
              <w:rPr>
                <w:rFonts w:ascii="宋体" w:hAnsi="宋体" w:eastAsia="宋体" w:cs="宋体"/>
                <w:color w:val="auto"/>
                <w:sz w:val="21"/>
                <w:szCs w:val="21"/>
                <w:highlight w:val="yellow"/>
              </w:rPr>
            </w:pPr>
            <w:r>
              <w:rPr>
                <w:rFonts w:ascii="宋体" w:hAnsi="宋体" w:eastAsia="宋体" w:cs="宋体"/>
                <w:color w:val="auto"/>
                <w:spacing w:val="10"/>
                <w:sz w:val="21"/>
                <w:szCs w:val="21"/>
                <w:highlight w:val="yellow"/>
              </w:rPr>
              <w:t>区</w:t>
            </w:r>
            <w:r>
              <w:rPr>
                <w:rFonts w:ascii="宋体" w:hAnsi="宋体" w:eastAsia="宋体" w:cs="宋体"/>
                <w:color w:val="auto"/>
                <w:spacing w:val="7"/>
                <w:sz w:val="21"/>
                <w:szCs w:val="21"/>
                <w:highlight w:val="yellow"/>
              </w:rPr>
              <w:t>内长度(</w:t>
            </w:r>
            <w:r>
              <w:rPr>
                <w:rFonts w:ascii="宋体" w:hAnsi="宋体" w:eastAsia="宋体" w:cs="宋体"/>
                <w:color w:val="auto"/>
                <w:sz w:val="21"/>
                <w:szCs w:val="21"/>
                <w:highlight w:val="yellow"/>
              </w:rPr>
              <w:t>km</w:t>
            </w:r>
            <w:r>
              <w:rPr>
                <w:rFonts w:ascii="宋体" w:hAnsi="宋体" w:eastAsia="宋体" w:cs="宋体"/>
                <w:color w:val="auto"/>
                <w:spacing w:val="7"/>
                <w:sz w:val="21"/>
                <w:szCs w:val="21"/>
                <w:highlight w:val="yellow"/>
              </w:rPr>
              <w:t>)</w:t>
            </w:r>
          </w:p>
        </w:tc>
        <w:tc>
          <w:tcPr>
            <w:tcW w:w="741"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97"/>
              <w:rPr>
                <w:rFonts w:ascii="宋体" w:hAnsi="宋体" w:eastAsia="宋体" w:cs="宋体"/>
                <w:color w:val="auto"/>
                <w:sz w:val="21"/>
                <w:szCs w:val="21"/>
                <w:highlight w:val="yellow"/>
              </w:rPr>
            </w:pPr>
            <w:r>
              <w:rPr>
                <w:rFonts w:ascii="宋体" w:hAnsi="宋体" w:eastAsia="宋体" w:cs="宋体"/>
                <w:color w:val="auto"/>
                <w:spacing w:val="19"/>
                <w:sz w:val="21"/>
                <w:szCs w:val="21"/>
                <w:highlight w:val="yellow"/>
              </w:rPr>
              <w:t>引</w:t>
            </w:r>
            <w:r>
              <w:rPr>
                <w:rFonts w:ascii="宋体" w:hAnsi="宋体" w:eastAsia="宋体" w:cs="宋体"/>
                <w:color w:val="auto"/>
                <w:spacing w:val="18"/>
                <w:sz w:val="21"/>
                <w:szCs w:val="21"/>
                <w:highlight w:val="yellow"/>
              </w:rPr>
              <w:t>水能力(</w:t>
            </w:r>
            <w:r>
              <w:rPr>
                <w:rFonts w:ascii="宋体" w:hAnsi="宋体" w:eastAsia="宋体" w:cs="宋体"/>
                <w:color w:val="auto"/>
                <w:sz w:val="21"/>
                <w:szCs w:val="21"/>
                <w:highlight w:val="yellow"/>
              </w:rPr>
              <w:t>m</w:t>
            </w:r>
            <w:r>
              <w:rPr>
                <w:rFonts w:ascii="宋体" w:hAnsi="宋体" w:eastAsia="宋体" w:cs="宋体"/>
                <w:color w:val="auto"/>
                <w:spacing w:val="18"/>
                <w:sz w:val="21"/>
                <w:szCs w:val="21"/>
                <w:highlight w:val="yellow"/>
              </w:rPr>
              <w:t>³/</w:t>
            </w:r>
            <w:r>
              <w:rPr>
                <w:rFonts w:ascii="宋体" w:hAnsi="宋体" w:eastAsia="宋体" w:cs="宋体"/>
                <w:color w:val="auto"/>
                <w:sz w:val="21"/>
                <w:szCs w:val="21"/>
                <w:highlight w:val="yellow"/>
              </w:rPr>
              <w:t>s</w:t>
            </w:r>
            <w:r>
              <w:rPr>
                <w:rFonts w:ascii="宋体" w:hAnsi="宋体" w:eastAsia="宋体" w:cs="宋体"/>
                <w:color w:val="auto"/>
                <w:spacing w:val="18"/>
                <w:sz w:val="21"/>
                <w:szCs w:val="21"/>
                <w:highlight w:val="yellow"/>
              </w:rPr>
              <w:t>)</w:t>
            </w:r>
          </w:p>
        </w:tc>
        <w:tc>
          <w:tcPr>
            <w:tcW w:w="843" w:type="pct"/>
            <w:tcBorders>
              <w:top w:val="single" w:color="000000" w:sz="2" w:space="0"/>
              <w:bottom w:val="single" w:color="000000" w:sz="2" w:space="0"/>
            </w:tcBorders>
            <w:vAlign w:val="top"/>
          </w:tcPr>
          <w:p>
            <w:pPr>
              <w:spacing w:before="218" w:line="219" w:lineRule="auto"/>
              <w:ind w:left="108"/>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湖面面积/灌排面积</w:t>
            </w:r>
          </w:p>
          <w:p>
            <w:pPr>
              <w:spacing w:before="131" w:line="220" w:lineRule="auto"/>
              <w:ind w:left="688"/>
              <w:rPr>
                <w:rFonts w:ascii="宋体" w:hAnsi="宋体" w:eastAsia="宋体" w:cs="宋体"/>
                <w:color w:val="auto"/>
                <w:sz w:val="21"/>
                <w:szCs w:val="21"/>
                <w:highlight w:val="yellow"/>
              </w:rPr>
            </w:pPr>
            <w:r>
              <w:rPr>
                <w:rFonts w:ascii="宋体" w:hAnsi="宋体" w:eastAsia="宋体" w:cs="宋体"/>
                <w:color w:val="auto"/>
                <w:spacing w:val="12"/>
                <w:sz w:val="21"/>
                <w:szCs w:val="21"/>
                <w:highlight w:val="yellow"/>
              </w:rPr>
              <w:t>(</w:t>
            </w:r>
            <w:r>
              <w:rPr>
                <w:rFonts w:ascii="宋体" w:hAnsi="宋体" w:eastAsia="宋体" w:cs="宋体"/>
                <w:color w:val="auto"/>
                <w:spacing w:val="11"/>
                <w:sz w:val="21"/>
                <w:szCs w:val="21"/>
                <w:highlight w:val="yellow"/>
              </w:rPr>
              <w:t>万亩)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4" w:type="pct"/>
            <w:tcBorders>
              <w:top w:val="single" w:color="000000" w:sz="2" w:space="0"/>
              <w:bottom w:val="single" w:color="000000" w:sz="2" w:space="0"/>
            </w:tcBorders>
            <w:vAlign w:val="top"/>
          </w:tcPr>
          <w:p>
            <w:pPr>
              <w:spacing w:before="229" w:line="187" w:lineRule="auto"/>
              <w:ind w:left="81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744" w:type="pct"/>
            <w:tcBorders>
              <w:top w:val="single" w:color="000000" w:sz="2" w:space="0"/>
              <w:bottom w:val="single" w:color="000000" w:sz="2" w:space="0"/>
            </w:tcBorders>
            <w:vAlign w:val="top"/>
          </w:tcPr>
          <w:p>
            <w:pPr>
              <w:spacing w:before="176" w:line="219" w:lineRule="auto"/>
              <w:ind w:left="57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引</w:t>
            </w:r>
            <w:r>
              <w:rPr>
                <w:rFonts w:ascii="宋体" w:hAnsi="宋体" w:eastAsia="宋体" w:cs="宋体"/>
                <w:color w:val="auto"/>
                <w:spacing w:val="3"/>
                <w:sz w:val="21"/>
                <w:szCs w:val="21"/>
                <w:highlight w:val="yellow"/>
              </w:rPr>
              <w:t>水渠</w:t>
            </w:r>
          </w:p>
        </w:tc>
        <w:tc>
          <w:tcPr>
            <w:tcW w:w="1003" w:type="pct"/>
            <w:tcBorders>
              <w:top w:val="single" w:color="000000" w:sz="2" w:space="0"/>
              <w:bottom w:val="single" w:color="000000" w:sz="2" w:space="0"/>
            </w:tcBorders>
            <w:vAlign w:val="top"/>
          </w:tcPr>
          <w:p>
            <w:pPr>
              <w:spacing w:before="175" w:line="219" w:lineRule="auto"/>
              <w:ind w:left="563"/>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建设</w:t>
            </w:r>
            <w:r>
              <w:rPr>
                <w:rFonts w:hint="eastAsia" w:ascii="宋体" w:hAnsi="宋体" w:eastAsia="宋体" w:cs="宋体"/>
                <w:color w:val="auto"/>
                <w:spacing w:val="2"/>
                <w:sz w:val="21"/>
                <w:szCs w:val="21"/>
                <w:highlight w:val="yellow"/>
                <w:lang w:eastAsia="zh-CN"/>
              </w:rPr>
              <w:t>四</w:t>
            </w:r>
            <w:r>
              <w:rPr>
                <w:rFonts w:ascii="宋体" w:hAnsi="宋体" w:eastAsia="宋体" w:cs="宋体"/>
                <w:color w:val="auto"/>
                <w:spacing w:val="2"/>
                <w:sz w:val="21"/>
                <w:szCs w:val="21"/>
                <w:highlight w:val="yellow"/>
              </w:rPr>
              <w:t>分</w:t>
            </w:r>
            <w:r>
              <w:rPr>
                <w:rFonts w:ascii="宋体" w:hAnsi="宋体" w:eastAsia="宋体" w:cs="宋体"/>
                <w:color w:val="auto"/>
                <w:spacing w:val="1"/>
                <w:sz w:val="21"/>
                <w:szCs w:val="21"/>
                <w:highlight w:val="yellow"/>
              </w:rPr>
              <w:t>干渠</w:t>
            </w:r>
          </w:p>
        </w:tc>
        <w:tc>
          <w:tcPr>
            <w:tcW w:w="932" w:type="pct"/>
            <w:tcBorders>
              <w:top w:val="single" w:color="000000" w:sz="2" w:space="0"/>
              <w:bottom w:val="single" w:color="000000" w:sz="2" w:space="0"/>
            </w:tcBorders>
            <w:vAlign w:val="top"/>
          </w:tcPr>
          <w:p>
            <w:pPr>
              <w:spacing w:before="230" w:line="184" w:lineRule="auto"/>
              <w:ind w:left="955"/>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9.2</w:t>
            </w:r>
          </w:p>
        </w:tc>
        <w:tc>
          <w:tcPr>
            <w:tcW w:w="2065" w:type="dxa"/>
            <w:tcBorders>
              <w:top w:val="single" w:color="000000" w:sz="2" w:space="0"/>
              <w:bottom w:val="single" w:color="000000" w:sz="2" w:space="0"/>
            </w:tcBorders>
            <w:vAlign w:val="top"/>
          </w:tcPr>
          <w:p>
            <w:pPr>
              <w:spacing w:before="230" w:line="185" w:lineRule="auto"/>
              <w:ind w:left="778" w:leftChars="0"/>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9</w:t>
            </w:r>
          </w:p>
        </w:tc>
        <w:tc>
          <w:tcPr>
            <w:tcW w:w="2349" w:type="dxa"/>
            <w:tcBorders>
              <w:top w:val="single" w:color="000000" w:sz="2" w:space="0"/>
              <w:bottom w:val="single" w:color="000000" w:sz="2" w:space="0"/>
            </w:tcBorders>
            <w:vAlign w:val="top"/>
          </w:tcPr>
          <w:p>
            <w:pPr>
              <w:spacing w:before="229" w:line="185" w:lineRule="auto"/>
              <w:ind w:left="798" w:leftChars="0"/>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4.5</w:t>
            </w:r>
          </w:p>
        </w:tc>
      </w:tr>
    </w:tbl>
    <w:p>
      <w:pPr>
        <w:spacing w:before="152" w:line="219" w:lineRule="auto"/>
        <w:ind w:left="220" w:leftChars="0" w:firstLine="0" w:firstLineChars="0"/>
        <w:rPr>
          <w:rFonts w:hint="eastAsia" w:ascii="宋体" w:hAnsi="宋体" w:eastAsia="宋体" w:cs="宋体"/>
          <w:color w:val="auto"/>
          <w:sz w:val="21"/>
          <w:szCs w:val="21"/>
          <w:highlight w:val="red"/>
          <w:lang w:eastAsia="zh-CN"/>
        </w:rPr>
      </w:pPr>
      <w:r>
        <w:rPr>
          <w:rFonts w:ascii="宋体" w:hAnsi="宋体" w:eastAsia="宋体" w:cs="宋体"/>
          <w:color w:val="auto"/>
          <w:spacing w:val="-1"/>
          <w:sz w:val="21"/>
          <w:szCs w:val="21"/>
          <w:highlight w:val="none"/>
        </w:rPr>
        <w:t>入</w:t>
      </w:r>
      <w:r>
        <w:rPr>
          <w:rFonts w:hint="eastAsia" w:ascii="宋体" w:hAnsi="宋体" w:eastAsia="宋体" w:cs="宋体"/>
          <w:color w:val="auto"/>
          <w:spacing w:val="-1"/>
          <w:sz w:val="21"/>
          <w:szCs w:val="21"/>
          <w:highlight w:val="none"/>
          <w:lang w:eastAsia="zh-CN"/>
        </w:rPr>
        <w:t>阿尔阿布海(沃门阿布湖)</w:t>
      </w:r>
      <w:r>
        <w:rPr>
          <w:rFonts w:ascii="宋体" w:hAnsi="宋体" w:eastAsia="宋体" w:cs="宋体"/>
          <w:color w:val="auto"/>
          <w:spacing w:val="-1"/>
          <w:sz w:val="21"/>
          <w:szCs w:val="21"/>
          <w:highlight w:val="none"/>
        </w:rPr>
        <w:t>的渠沟主</w:t>
      </w:r>
      <w:r>
        <w:rPr>
          <w:rFonts w:ascii="宋体" w:hAnsi="宋体" w:eastAsia="宋体" w:cs="宋体"/>
          <w:color w:val="auto"/>
          <w:sz w:val="21"/>
          <w:szCs w:val="21"/>
          <w:highlight w:val="none"/>
        </w:rPr>
        <w:t>要是</w:t>
      </w:r>
      <w:r>
        <w:rPr>
          <w:rFonts w:ascii="宋体" w:hAnsi="宋体" w:eastAsia="宋体" w:cs="宋体"/>
          <w:color w:val="auto"/>
          <w:sz w:val="21"/>
          <w:szCs w:val="21"/>
          <w:highlight w:val="red"/>
        </w:rPr>
        <w:t>建设</w:t>
      </w:r>
      <w:r>
        <w:rPr>
          <w:rFonts w:hint="eastAsia" w:ascii="宋体" w:hAnsi="宋体" w:eastAsia="宋体" w:cs="宋体"/>
          <w:color w:val="auto"/>
          <w:sz w:val="21"/>
          <w:szCs w:val="21"/>
          <w:highlight w:val="red"/>
          <w:lang w:eastAsia="zh-CN"/>
        </w:rPr>
        <w:t>四</w:t>
      </w:r>
      <w:r>
        <w:rPr>
          <w:rFonts w:ascii="宋体" w:hAnsi="宋体" w:eastAsia="宋体" w:cs="宋体"/>
          <w:color w:val="auto"/>
          <w:sz w:val="21"/>
          <w:szCs w:val="21"/>
          <w:highlight w:val="red"/>
        </w:rPr>
        <w:t>分干</w:t>
      </w:r>
      <w:r>
        <w:rPr>
          <w:rFonts w:hint="eastAsia" w:ascii="宋体" w:hAnsi="宋体" w:eastAsia="宋体" w:cs="宋体"/>
          <w:color w:val="auto"/>
          <w:sz w:val="21"/>
          <w:szCs w:val="21"/>
          <w:highlight w:val="red"/>
          <w:lang w:eastAsia="zh-CN"/>
        </w:rPr>
        <w:t>渠。</w:t>
      </w:r>
    </w:p>
    <w:p>
      <w:pPr>
        <w:spacing w:line="305" w:lineRule="auto"/>
        <w:rPr>
          <w:rFonts w:ascii="Arial"/>
          <w:color w:val="auto"/>
          <w:sz w:val="21"/>
          <w:highlight w:val="red"/>
        </w:rPr>
      </w:pPr>
    </w:p>
    <w:p>
      <w:pPr>
        <w:spacing w:before="91" w:line="219" w:lineRule="auto"/>
        <w:ind w:left="5279"/>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表3</w:t>
      </w:r>
      <w:r>
        <w:rPr>
          <w:rFonts w:ascii="黑体" w:hAnsi="黑体" w:eastAsia="黑体" w:cs="黑体"/>
          <w:color w:val="auto"/>
          <w:spacing w:val="-7"/>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沃门阿布</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岸线功能分区成果汇总表</w:t>
      </w:r>
    </w:p>
    <w:p>
      <w:pPr>
        <w:spacing w:line="95" w:lineRule="auto"/>
        <w:rPr>
          <w:rFonts w:ascii="Arial"/>
          <w:color w:val="auto"/>
          <w:sz w:val="2"/>
          <w:highlight w:val="yellow"/>
        </w:rPr>
      </w:pPr>
    </w:p>
    <w:tbl>
      <w:tblPr>
        <w:tblStyle w:val="13"/>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09"/>
        <w:gridCol w:w="640"/>
        <w:gridCol w:w="859"/>
        <w:gridCol w:w="650"/>
        <w:gridCol w:w="849"/>
        <w:gridCol w:w="630"/>
        <w:gridCol w:w="939"/>
        <w:gridCol w:w="819"/>
        <w:gridCol w:w="830"/>
        <w:gridCol w:w="959"/>
        <w:gridCol w:w="1009"/>
        <w:gridCol w:w="1019"/>
        <w:gridCol w:w="939"/>
        <w:gridCol w:w="960"/>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34" w:type="dxa"/>
            <w:vMerge w:val="restart"/>
            <w:tcBorders>
              <w:top w:val="single" w:color="000000" w:sz="2" w:space="0"/>
              <w:bottom w:val="nil"/>
            </w:tcBorders>
            <w:vAlign w:val="top"/>
          </w:tcPr>
          <w:p>
            <w:pPr>
              <w:spacing w:line="317"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21" w:lineRule="auto"/>
              <w:ind w:left="7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1309" w:type="dxa"/>
            <w:vMerge w:val="restart"/>
            <w:tcBorders>
              <w:top w:val="single" w:color="000000" w:sz="2" w:space="0"/>
              <w:bottom w:val="nil"/>
            </w:tcBorders>
            <w:vAlign w:val="top"/>
          </w:tcPr>
          <w:p>
            <w:pPr>
              <w:spacing w:line="316"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19" w:lineRule="auto"/>
              <w:ind w:left="90"/>
              <w:rPr>
                <w:rFonts w:ascii="宋体" w:hAnsi="宋体" w:eastAsia="宋体" w:cs="宋体"/>
                <w:color w:val="auto"/>
                <w:sz w:val="21"/>
                <w:szCs w:val="21"/>
                <w:highlight w:val="yellow"/>
              </w:rPr>
            </w:pPr>
            <w:r>
              <w:rPr>
                <w:rFonts w:ascii="宋体" w:hAnsi="宋体" w:eastAsia="宋体" w:cs="宋体"/>
                <w:color w:val="auto"/>
                <w:spacing w:val="8"/>
                <w:sz w:val="21"/>
                <w:szCs w:val="21"/>
                <w:highlight w:val="yellow"/>
              </w:rPr>
              <w:t>省(市、县)</w:t>
            </w:r>
          </w:p>
        </w:tc>
        <w:tc>
          <w:tcPr>
            <w:tcW w:w="1499" w:type="dxa"/>
            <w:gridSpan w:val="2"/>
            <w:tcBorders>
              <w:top w:val="single" w:color="000000" w:sz="2" w:space="0"/>
              <w:bottom w:val="single" w:color="000000" w:sz="2" w:space="0"/>
            </w:tcBorders>
            <w:vAlign w:val="top"/>
          </w:tcPr>
          <w:p>
            <w:pPr>
              <w:spacing w:before="230" w:line="221" w:lineRule="auto"/>
              <w:ind w:left="41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功能区</w:t>
            </w:r>
          </w:p>
        </w:tc>
        <w:tc>
          <w:tcPr>
            <w:tcW w:w="2129" w:type="dxa"/>
            <w:gridSpan w:val="3"/>
            <w:tcBorders>
              <w:top w:val="single" w:color="000000" w:sz="2" w:space="0"/>
              <w:bottom w:val="single" w:color="000000" w:sz="2" w:space="0"/>
            </w:tcBorders>
            <w:vAlign w:val="top"/>
          </w:tcPr>
          <w:p>
            <w:pPr>
              <w:spacing w:before="229" w:line="220" w:lineRule="auto"/>
              <w:ind w:left="72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保护区</w:t>
            </w:r>
          </w:p>
        </w:tc>
        <w:tc>
          <w:tcPr>
            <w:tcW w:w="2588" w:type="dxa"/>
            <w:gridSpan w:val="3"/>
            <w:tcBorders>
              <w:top w:val="single" w:color="000000" w:sz="2" w:space="0"/>
              <w:bottom w:val="single" w:color="000000" w:sz="2" w:space="0"/>
            </w:tcBorders>
            <w:vAlign w:val="top"/>
          </w:tcPr>
          <w:p>
            <w:pPr>
              <w:spacing w:before="229" w:line="220" w:lineRule="auto"/>
              <w:ind w:left="953"/>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保留区</w:t>
            </w:r>
          </w:p>
        </w:tc>
        <w:tc>
          <w:tcPr>
            <w:tcW w:w="2987" w:type="dxa"/>
            <w:gridSpan w:val="3"/>
            <w:tcBorders>
              <w:top w:val="single" w:color="000000" w:sz="2" w:space="0"/>
              <w:bottom w:val="single" w:color="000000" w:sz="2" w:space="0"/>
            </w:tcBorders>
            <w:vAlign w:val="top"/>
          </w:tcPr>
          <w:p>
            <w:pPr>
              <w:spacing w:before="229" w:line="220" w:lineRule="auto"/>
              <w:ind w:left="936"/>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控</w:t>
            </w:r>
            <w:r>
              <w:rPr>
                <w:rFonts w:ascii="宋体" w:hAnsi="宋体" w:eastAsia="宋体" w:cs="宋体"/>
                <w:color w:val="auto"/>
                <w:spacing w:val="3"/>
                <w:sz w:val="21"/>
                <w:szCs w:val="21"/>
                <w:highlight w:val="yellow"/>
              </w:rPr>
              <w:t>制利用区</w:t>
            </w:r>
          </w:p>
        </w:tc>
        <w:tc>
          <w:tcPr>
            <w:tcW w:w="2753" w:type="dxa"/>
            <w:gridSpan w:val="3"/>
            <w:tcBorders>
              <w:top w:val="single" w:color="000000" w:sz="2" w:space="0"/>
              <w:bottom w:val="single" w:color="000000" w:sz="2" w:space="0"/>
            </w:tcBorders>
            <w:vAlign w:val="top"/>
          </w:tcPr>
          <w:p>
            <w:pPr>
              <w:spacing w:before="229" w:line="220" w:lineRule="auto"/>
              <w:ind w:left="818"/>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开</w:t>
            </w:r>
            <w:r>
              <w:rPr>
                <w:rFonts w:ascii="宋体" w:hAnsi="宋体" w:eastAsia="宋体" w:cs="宋体"/>
                <w:color w:val="auto"/>
                <w:spacing w:val="3"/>
                <w:sz w:val="21"/>
                <w:szCs w:val="21"/>
                <w:highlight w:val="yellow"/>
              </w:rPr>
              <w:t>发利用区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634" w:type="dxa"/>
            <w:vMerge w:val="continue"/>
            <w:tcBorders>
              <w:top w:val="nil"/>
              <w:bottom w:val="single" w:color="000000" w:sz="2" w:space="0"/>
            </w:tcBorders>
            <w:vAlign w:val="top"/>
          </w:tcPr>
          <w:p>
            <w:pPr>
              <w:rPr>
                <w:rFonts w:ascii="Arial"/>
                <w:color w:val="auto"/>
                <w:sz w:val="21"/>
                <w:szCs w:val="21"/>
                <w:highlight w:val="yellow"/>
              </w:rPr>
            </w:pPr>
          </w:p>
        </w:tc>
        <w:tc>
          <w:tcPr>
            <w:tcW w:w="1309" w:type="dxa"/>
            <w:vMerge w:val="continue"/>
            <w:tcBorders>
              <w:top w:val="nil"/>
              <w:bottom w:val="single" w:color="000000" w:sz="2" w:space="0"/>
            </w:tcBorders>
            <w:vAlign w:val="top"/>
          </w:tcPr>
          <w:p>
            <w:pPr>
              <w:rPr>
                <w:rFonts w:ascii="Arial"/>
                <w:color w:val="auto"/>
                <w:sz w:val="21"/>
                <w:szCs w:val="21"/>
                <w:highlight w:val="yellow"/>
              </w:rPr>
            </w:pPr>
          </w:p>
        </w:tc>
        <w:tc>
          <w:tcPr>
            <w:tcW w:w="64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71"/>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59" w:type="dxa"/>
            <w:tcBorders>
              <w:top w:val="single" w:color="000000" w:sz="2" w:space="0"/>
              <w:bottom w:val="single" w:color="000000" w:sz="2" w:space="0"/>
            </w:tcBorders>
            <w:vAlign w:val="top"/>
          </w:tcPr>
          <w:p>
            <w:pPr>
              <w:spacing w:before="145" w:line="453" w:lineRule="exact"/>
              <w:ind w:left="201"/>
              <w:rPr>
                <w:rFonts w:ascii="宋体" w:hAnsi="宋体" w:eastAsia="宋体" w:cs="宋体"/>
                <w:color w:val="auto"/>
                <w:sz w:val="21"/>
                <w:szCs w:val="21"/>
                <w:highlight w:val="yellow"/>
              </w:rPr>
            </w:pPr>
            <w:r>
              <w:rPr>
                <w:rFonts w:ascii="宋体" w:hAnsi="宋体" w:eastAsia="宋体" w:cs="宋体"/>
                <w:color w:val="auto"/>
                <w:spacing w:val="7"/>
                <w:position w:val="17"/>
                <w:sz w:val="21"/>
                <w:szCs w:val="21"/>
                <w:highlight w:val="yellow"/>
              </w:rPr>
              <w:t>长</w:t>
            </w:r>
            <w:r>
              <w:rPr>
                <w:rFonts w:ascii="宋体" w:hAnsi="宋体" w:eastAsia="宋体" w:cs="宋体"/>
                <w:color w:val="auto"/>
                <w:spacing w:val="6"/>
                <w:position w:val="17"/>
                <w:sz w:val="21"/>
                <w:szCs w:val="21"/>
                <w:highlight w:val="yellow"/>
              </w:rPr>
              <w:t>度</w:t>
            </w:r>
          </w:p>
          <w:p>
            <w:pPr>
              <w:spacing w:line="222" w:lineRule="auto"/>
              <w:ind w:left="201"/>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5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9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49" w:type="dxa"/>
            <w:tcBorders>
              <w:top w:val="single" w:color="000000" w:sz="2" w:space="0"/>
              <w:bottom w:val="single" w:color="000000" w:sz="2" w:space="0"/>
            </w:tcBorders>
            <w:vAlign w:val="top"/>
          </w:tcPr>
          <w:p>
            <w:pPr>
              <w:spacing w:before="145" w:line="453" w:lineRule="exact"/>
              <w:ind w:left="193"/>
              <w:rPr>
                <w:rFonts w:ascii="宋体" w:hAnsi="宋体" w:eastAsia="宋体" w:cs="宋体"/>
                <w:color w:val="auto"/>
                <w:sz w:val="21"/>
                <w:szCs w:val="21"/>
                <w:highlight w:val="yellow"/>
              </w:rPr>
            </w:pPr>
            <w:r>
              <w:rPr>
                <w:rFonts w:ascii="宋体" w:hAnsi="宋体" w:eastAsia="宋体" w:cs="宋体"/>
                <w:color w:val="auto"/>
                <w:spacing w:val="6"/>
                <w:position w:val="17"/>
                <w:sz w:val="21"/>
                <w:szCs w:val="21"/>
                <w:highlight w:val="yellow"/>
              </w:rPr>
              <w:t>长度</w:t>
            </w:r>
          </w:p>
          <w:p>
            <w:pPr>
              <w:spacing w:line="222" w:lineRule="auto"/>
              <w:ind w:left="193"/>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83"/>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19" w:type="dxa"/>
            <w:tcBorders>
              <w:top w:val="single" w:color="000000" w:sz="2" w:space="0"/>
              <w:bottom w:val="single" w:color="000000" w:sz="2" w:space="0"/>
            </w:tcBorders>
            <w:vAlign w:val="top"/>
          </w:tcPr>
          <w:p>
            <w:pPr>
              <w:spacing w:before="155" w:line="443" w:lineRule="exact"/>
              <w:ind w:left="184"/>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184"/>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85"/>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5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55"/>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1009" w:type="dxa"/>
            <w:tcBorders>
              <w:top w:val="single" w:color="000000" w:sz="2" w:space="0"/>
              <w:bottom w:val="single" w:color="000000" w:sz="2" w:space="0"/>
            </w:tcBorders>
            <w:vAlign w:val="top"/>
          </w:tcPr>
          <w:p>
            <w:pPr>
              <w:spacing w:before="135" w:line="443" w:lineRule="exact"/>
              <w:ind w:left="276"/>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276"/>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1019"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287"/>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8"/>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960" w:type="dxa"/>
            <w:tcBorders>
              <w:top w:val="single" w:color="000000" w:sz="2" w:space="0"/>
              <w:bottom w:val="single" w:color="000000" w:sz="2" w:space="0"/>
            </w:tcBorders>
            <w:vAlign w:val="top"/>
          </w:tcPr>
          <w:p>
            <w:pPr>
              <w:spacing w:before="155" w:line="463" w:lineRule="exact"/>
              <w:ind w:left="259"/>
              <w:rPr>
                <w:rFonts w:ascii="宋体" w:hAnsi="宋体" w:eastAsia="宋体" w:cs="宋体"/>
                <w:color w:val="auto"/>
                <w:sz w:val="21"/>
                <w:szCs w:val="21"/>
                <w:highlight w:val="yellow"/>
              </w:rPr>
            </w:pPr>
            <w:r>
              <w:rPr>
                <w:rFonts w:ascii="宋体" w:hAnsi="宋体" w:eastAsia="宋体" w:cs="宋体"/>
                <w:color w:val="auto"/>
                <w:spacing w:val="7"/>
                <w:position w:val="18"/>
                <w:sz w:val="21"/>
                <w:szCs w:val="21"/>
                <w:highlight w:val="yellow"/>
              </w:rPr>
              <w:t>长</w:t>
            </w:r>
            <w:r>
              <w:rPr>
                <w:rFonts w:ascii="宋体" w:hAnsi="宋体" w:eastAsia="宋体" w:cs="宋体"/>
                <w:color w:val="auto"/>
                <w:spacing w:val="6"/>
                <w:position w:val="18"/>
                <w:sz w:val="21"/>
                <w:szCs w:val="21"/>
                <w:highlight w:val="yellow"/>
              </w:rPr>
              <w:t>度</w:t>
            </w:r>
          </w:p>
          <w:p>
            <w:pPr>
              <w:spacing w:line="222" w:lineRule="auto"/>
              <w:ind w:left="259"/>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54"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99"/>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34" w:type="dxa"/>
            <w:tcBorders>
              <w:top w:val="single" w:color="000000" w:sz="2" w:space="0"/>
              <w:bottom w:val="single" w:color="000000" w:sz="2" w:space="0"/>
            </w:tcBorders>
            <w:vAlign w:val="top"/>
          </w:tcPr>
          <w:p>
            <w:pPr>
              <w:spacing w:before="211" w:line="187" w:lineRule="auto"/>
              <w:ind w:left="7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1309" w:type="dxa"/>
            <w:tcBorders>
              <w:top w:val="single" w:color="000000" w:sz="2" w:space="0"/>
              <w:bottom w:val="single" w:color="000000" w:sz="2" w:space="0"/>
            </w:tcBorders>
            <w:vAlign w:val="top"/>
          </w:tcPr>
          <w:p>
            <w:pPr>
              <w:spacing w:before="160" w:line="224" w:lineRule="auto"/>
              <w:ind w:left="31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磴</w:t>
            </w:r>
            <w:r>
              <w:rPr>
                <w:rFonts w:ascii="宋体" w:hAnsi="宋体" w:eastAsia="宋体" w:cs="宋体"/>
                <w:color w:val="auto"/>
                <w:spacing w:val="3"/>
                <w:sz w:val="21"/>
                <w:szCs w:val="21"/>
                <w:highlight w:val="yellow"/>
              </w:rPr>
              <w:t>口县</w:t>
            </w:r>
          </w:p>
        </w:tc>
        <w:tc>
          <w:tcPr>
            <w:tcW w:w="640" w:type="dxa"/>
            <w:tcBorders>
              <w:top w:val="single" w:color="000000" w:sz="2" w:space="0"/>
              <w:bottom w:val="single" w:color="000000" w:sz="2" w:space="0"/>
            </w:tcBorders>
            <w:vAlign w:val="top"/>
          </w:tcPr>
          <w:p>
            <w:pPr>
              <w:spacing w:before="199" w:line="187" w:lineRule="auto"/>
              <w:ind w:left="71"/>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59" w:type="dxa"/>
            <w:tcBorders>
              <w:top w:val="single" w:color="000000" w:sz="2" w:space="0"/>
              <w:bottom w:val="single" w:color="000000" w:sz="2" w:space="0"/>
            </w:tcBorders>
            <w:vAlign w:val="top"/>
          </w:tcPr>
          <w:p>
            <w:pPr>
              <w:spacing w:before="212" w:line="184" w:lineRule="auto"/>
              <w:ind w:left="141"/>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16.032</w:t>
            </w:r>
          </w:p>
        </w:tc>
        <w:tc>
          <w:tcPr>
            <w:tcW w:w="650" w:type="dxa"/>
            <w:tcBorders>
              <w:top w:val="single" w:color="000000" w:sz="2" w:space="0"/>
              <w:bottom w:val="single" w:color="000000" w:sz="2" w:space="0"/>
            </w:tcBorders>
            <w:vAlign w:val="top"/>
          </w:tcPr>
          <w:p>
            <w:pPr>
              <w:spacing w:before="200" w:line="185" w:lineRule="auto"/>
              <w:ind w:left="2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49" w:type="dxa"/>
            <w:tcBorders>
              <w:top w:val="single" w:color="000000" w:sz="2" w:space="0"/>
              <w:bottom w:val="single" w:color="000000" w:sz="2" w:space="0"/>
            </w:tcBorders>
            <w:vAlign w:val="top"/>
          </w:tcPr>
          <w:p>
            <w:pPr>
              <w:spacing w:before="200" w:line="185" w:lineRule="auto"/>
              <w:ind w:left="3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630" w:type="dxa"/>
            <w:tcBorders>
              <w:top w:val="single" w:color="000000" w:sz="2" w:space="0"/>
              <w:bottom w:val="single" w:color="000000" w:sz="2" w:space="0"/>
            </w:tcBorders>
            <w:vAlign w:val="top"/>
          </w:tcPr>
          <w:p>
            <w:pPr>
              <w:spacing w:before="212" w:line="185" w:lineRule="auto"/>
              <w:ind w:left="193"/>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0</w:t>
            </w:r>
            <w:r>
              <w:rPr>
                <w:rFonts w:ascii="宋体" w:hAnsi="宋体" w:eastAsia="宋体" w:cs="宋体"/>
                <w:color w:val="auto"/>
                <w:spacing w:val="-2"/>
                <w:sz w:val="21"/>
                <w:szCs w:val="21"/>
                <w:highlight w:val="yellow"/>
              </w:rPr>
              <w:t>%</w:t>
            </w:r>
          </w:p>
        </w:tc>
        <w:tc>
          <w:tcPr>
            <w:tcW w:w="939" w:type="dxa"/>
            <w:tcBorders>
              <w:top w:val="single" w:color="000000" w:sz="2" w:space="0"/>
              <w:bottom w:val="single" w:color="000000" w:sz="2" w:space="0"/>
            </w:tcBorders>
            <w:vAlign w:val="top"/>
          </w:tcPr>
          <w:p>
            <w:pPr>
              <w:spacing w:before="211" w:line="187" w:lineRule="auto"/>
              <w:ind w:left="403"/>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19" w:type="dxa"/>
            <w:tcBorders>
              <w:top w:val="single" w:color="000000" w:sz="2" w:space="0"/>
              <w:bottom w:val="single" w:color="000000" w:sz="2" w:space="0"/>
            </w:tcBorders>
            <w:vAlign w:val="top"/>
          </w:tcPr>
          <w:p>
            <w:pPr>
              <w:spacing w:before="212" w:line="184" w:lineRule="auto"/>
              <w:ind w:left="124"/>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16.032</w:t>
            </w:r>
          </w:p>
        </w:tc>
        <w:tc>
          <w:tcPr>
            <w:tcW w:w="830" w:type="dxa"/>
            <w:tcBorders>
              <w:top w:val="single" w:color="000000" w:sz="2" w:space="0"/>
              <w:bottom w:val="single" w:color="000000" w:sz="2" w:space="0"/>
            </w:tcBorders>
            <w:vAlign w:val="top"/>
          </w:tcPr>
          <w:p>
            <w:pPr>
              <w:spacing w:before="212" w:line="185" w:lineRule="auto"/>
              <w:ind w:left="185"/>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1</w:t>
            </w:r>
            <w:r>
              <w:rPr>
                <w:rFonts w:ascii="宋体" w:hAnsi="宋体" w:eastAsia="宋体" w:cs="宋体"/>
                <w:color w:val="auto"/>
                <w:spacing w:val="-4"/>
                <w:sz w:val="21"/>
                <w:szCs w:val="21"/>
                <w:highlight w:val="yellow"/>
              </w:rPr>
              <w:t>00%</w:t>
            </w:r>
          </w:p>
        </w:tc>
        <w:tc>
          <w:tcPr>
            <w:tcW w:w="959" w:type="dxa"/>
            <w:tcBorders>
              <w:top w:val="single" w:color="000000" w:sz="2" w:space="0"/>
              <w:bottom w:val="single" w:color="000000" w:sz="2" w:space="0"/>
            </w:tcBorders>
            <w:vAlign w:val="top"/>
          </w:tcPr>
          <w:p>
            <w:pPr>
              <w:spacing w:before="200" w:line="185" w:lineRule="auto"/>
              <w:ind w:left="405"/>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09" w:type="dxa"/>
            <w:tcBorders>
              <w:top w:val="single" w:color="000000" w:sz="2" w:space="0"/>
              <w:bottom w:val="single" w:color="000000" w:sz="2" w:space="0"/>
            </w:tcBorders>
            <w:vAlign w:val="top"/>
          </w:tcPr>
          <w:p>
            <w:pPr>
              <w:spacing w:before="212" w:line="185" w:lineRule="auto"/>
              <w:ind w:left="446"/>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19" w:type="dxa"/>
            <w:tcBorders>
              <w:top w:val="single" w:color="000000" w:sz="2" w:space="0"/>
              <w:bottom w:val="single" w:color="000000" w:sz="2" w:space="0"/>
            </w:tcBorders>
            <w:vAlign w:val="top"/>
          </w:tcPr>
          <w:p>
            <w:pPr>
              <w:spacing w:before="200" w:line="185" w:lineRule="auto"/>
              <w:ind w:left="43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39" w:type="dxa"/>
            <w:tcBorders>
              <w:top w:val="single" w:color="000000" w:sz="2" w:space="0"/>
              <w:bottom w:val="single" w:color="000000" w:sz="2" w:space="0"/>
            </w:tcBorders>
            <w:vAlign w:val="top"/>
          </w:tcPr>
          <w:p>
            <w:pPr>
              <w:spacing w:before="200" w:line="185" w:lineRule="auto"/>
              <w:ind w:left="39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60" w:type="dxa"/>
            <w:tcBorders>
              <w:top w:val="single" w:color="000000" w:sz="2" w:space="0"/>
              <w:bottom w:val="single" w:color="000000" w:sz="2" w:space="0"/>
            </w:tcBorders>
            <w:vAlign w:val="top"/>
          </w:tcPr>
          <w:p>
            <w:pPr>
              <w:spacing w:before="200" w:line="185" w:lineRule="auto"/>
              <w:ind w:left="410"/>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54" w:type="dxa"/>
            <w:tcBorders>
              <w:top w:val="single" w:color="000000" w:sz="2" w:space="0"/>
              <w:bottom w:val="single" w:color="000000" w:sz="2" w:space="0"/>
            </w:tcBorders>
            <w:vAlign w:val="top"/>
          </w:tcPr>
          <w:p>
            <w:pPr>
              <w:spacing w:before="200" w:line="185" w:lineRule="auto"/>
              <w:ind w:left="349"/>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r>
    </w:tbl>
    <w:p>
      <w:pPr>
        <w:spacing w:line="203" w:lineRule="exact"/>
        <w:rPr>
          <w:rFonts w:ascii="Arial"/>
          <w:color w:val="auto"/>
          <w:sz w:val="17"/>
          <w:highlight w:val="none"/>
        </w:rPr>
      </w:pPr>
    </w:p>
    <w:p>
      <w:pPr>
        <w:rPr>
          <w:color w:val="auto"/>
          <w:highlight w:val="none"/>
        </w:rPr>
        <w:sectPr>
          <w:footerReference r:id="rId21" w:type="default"/>
          <w:pgSz w:w="16850" w:h="11910"/>
          <w:pgMar w:top="1012" w:right="1545" w:bottom="1851" w:left="1395" w:header="624" w:footer="1361" w:gutter="0"/>
          <w:pgNumType w:fmt="decimal"/>
          <w:cols w:space="720" w:num="1"/>
        </w:sectPr>
      </w:pPr>
    </w:p>
    <w:p>
      <w:pPr>
        <w:widowControl/>
        <w:jc w:val="left"/>
        <w:rPr>
          <w:rFonts w:hint="eastAsia" w:ascii="宋体" w:hAnsi="宋体" w:cs="宋体"/>
          <w:b/>
          <w:bCs/>
          <w:color w:val="auto"/>
          <w:kern w:val="0"/>
          <w:sz w:val="28"/>
          <w:szCs w:val="28"/>
          <w:highlight w:val="none"/>
          <w:lang w:bidi="bo-CN"/>
        </w:rPr>
      </w:pPr>
      <w:bookmarkStart w:id="140" w:name="_Toc14364"/>
      <w:bookmarkStart w:id="141" w:name="_Toc26252"/>
      <w:bookmarkStart w:id="142" w:name="_Toc18030"/>
      <w:r>
        <w:rPr>
          <w:rFonts w:hint="eastAsia" w:ascii="宋体" w:hAnsi="宋体" w:cs="宋体"/>
          <w:b/>
          <w:bCs/>
          <w:color w:val="auto"/>
          <w:kern w:val="0"/>
          <w:sz w:val="28"/>
          <w:szCs w:val="28"/>
          <w:highlight w:val="none"/>
          <w:lang w:bidi="bo-CN"/>
        </w:rPr>
        <w:t xml:space="preserve">附表4 </w:t>
      </w:r>
      <w:bookmarkEnd w:id="140"/>
      <w:bookmarkEnd w:id="141"/>
      <w:bookmarkEnd w:id="142"/>
      <w:r>
        <w:rPr>
          <w:rFonts w:hint="eastAsia" w:ascii="宋体" w:hAnsi="宋体" w:cs="宋体"/>
          <w:b/>
          <w:bCs/>
          <w:color w:val="auto"/>
          <w:kern w:val="0"/>
          <w:sz w:val="28"/>
          <w:szCs w:val="28"/>
          <w:highlight w:val="none"/>
          <w:lang w:val="en-US" w:eastAsia="zh-CN" w:bidi="bo-CN"/>
        </w:rPr>
        <w:t>阿尔阿布海(沃门阿布湖)外缘边界</w:t>
      </w:r>
      <w:r>
        <w:rPr>
          <w:rFonts w:hint="eastAsia" w:ascii="宋体" w:hAnsi="宋体" w:cs="宋体"/>
          <w:b/>
          <w:bCs/>
          <w:color w:val="auto"/>
          <w:kern w:val="0"/>
          <w:sz w:val="28"/>
          <w:szCs w:val="28"/>
          <w:highlight w:val="none"/>
          <w:lang w:bidi="bo-CN"/>
        </w:rPr>
        <w:t>线转角点坐标</w:t>
      </w:r>
    </w:p>
    <w:p>
      <w:pPr>
        <w:pStyle w:val="2"/>
        <w:rPr>
          <w:rFonts w:hint="eastAsia"/>
          <w:color w:val="auto"/>
          <w:highlight w:val="none"/>
        </w:rPr>
      </w:pPr>
    </w:p>
    <w:tbl>
      <w:tblPr>
        <w:tblStyle w:val="11"/>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5"/>
        <w:gridCol w:w="2035"/>
        <w:gridCol w:w="2857"/>
        <w:gridCol w:w="26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 w:hRule="atLeast"/>
          <w:tblHeader/>
        </w:trPr>
        <w:tc>
          <w:tcPr>
            <w:tcW w:w="10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序号</w:t>
            </w:r>
          </w:p>
        </w:tc>
        <w:tc>
          <w:tcPr>
            <w:tcW w:w="1067"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拐角点号</w:t>
            </w:r>
          </w:p>
        </w:tc>
        <w:tc>
          <w:tcPr>
            <w:tcW w:w="1498"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X</w:t>
            </w:r>
          </w:p>
        </w:tc>
        <w:tc>
          <w:tcPr>
            <w:tcW w:w="1365" w:type="pct"/>
            <w:tcBorders>
              <w:top w:val="single" w:color="000000" w:sz="8" w:space="0"/>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36372623.16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4490638.08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36372682.76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4490740.17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36372856.56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4490995.66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36372862.7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4491000.01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36372870.32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4490999.47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36373144.31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4490871.71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36373150.04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4490871.42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36373153.52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4490874.89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36373210.44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4491022.6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36373213.54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4491025.41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36373219.33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4491023.71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36373387.33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4490903.63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36373558.78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4490786.95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36373566.19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4490784.57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36373573.86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4490783.25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36373582.56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4490779.89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36373670.17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4490721.6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36373795.05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4490636.93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36373804.84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4490630.32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36373807.22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4490621.85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36373798.76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4490561.26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36373781.82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4490461.51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36373762.82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4490337.23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36373892.99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4490292.77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36373909.35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4490280.27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36373991.11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4490195.34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36374004.87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4490182.38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36374019.62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4490172.72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36374221.05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4490047.73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36374232.96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4490035.83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36374236.93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4490021.54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36374261.08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4489774.33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36374268.68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4489759.07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36374282.73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4489746.67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36374472.93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4489623.08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36374643.33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4489469.88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36374698.89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4489427.55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36375234.75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4489025.56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36375496.15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4488835.55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36375657.23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4488714.69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36375821.69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4488588.96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36376030.82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4488451.8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36376084.07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4488395.85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36376398.92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4488218.58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36376483.44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4488150.05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36376493.53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4488138.74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36376501.78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4488123.71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36376546.44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4488019.59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J49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36376591.15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4487931.48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36376651.34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4487824.83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36376863.8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4487890.66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36376877.77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4487899.87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36376892.7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4487902.57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36376931.59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4487913.68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36376968.1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4487923.68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36376992.87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4487926.22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36377050.99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4487945.47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36377059.22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4487949.88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59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J59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36377064.46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4487954.64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36377072.72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4487958.93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36377081.45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4487964.48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36377090.82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36377095.42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36377104.31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4487976.23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36377110.24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4487975.55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36377129.09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4487982.5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36377168.75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4487808.48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36377169.09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4487798.75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69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J69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36377169.43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4487795.44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36377171.29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4487792.33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36377174.78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4487791.35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36377178.55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4487792.35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36377218.94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4487819.15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36377224.34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4487818.12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36377231.64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4487812.94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36377239.79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4487806.27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36377260</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4487796.85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36377291.25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4487788.38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79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J79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36377320.05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4487785.49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36377440.3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4487784.94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36377445.4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4487780.54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36377445.06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4487771.45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36377443.28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4487758.53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36377437.12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4487750.28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36377430.58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4487736.52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36377417.67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4487721.28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36377412.17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4487715.98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36377408.79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89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J89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36377402.85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4487630.47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36377404.34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4487610.04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36377322.42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4487576.28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36377321.01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36377330.28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4487545.98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36377332.92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4487538.17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36377335.04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4487530.76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36377335.17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4487518.59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36377335.04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4487503.91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36377332.92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4487494.12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99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J99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36377330.26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4487485.68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36377323.93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4487462.37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36377317.84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4487440.94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4487434.45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36377309.11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4487426.91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36377302.63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4487418.84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36377298.79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4487411.83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36377297.33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4487405.22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36377297.25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36377286.62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4487368.44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109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J109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36377284.45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4487358.31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36377284.73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4487343.09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36377289.69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4487322.27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36377306.68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4487289.38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36377311.75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4487279.25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36377312.87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4487265.76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36377309.85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4487236.55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36377309.06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4487225.12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36377307.94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4487212.42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36377302.07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4487197.49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119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J119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36377277.78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4487114.15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36377276.19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4487103.99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36377278.58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4487098.59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36377298.42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4487077.95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36377306.44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4487062.35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36377313.82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4487030.28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36377315.72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4487012.07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36377314.45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4486995.77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36377315.57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4486958.53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36377316.84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4486933.76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129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J129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36377315.54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4486909.57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36377312.05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4486896.53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36377312.08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36377313.27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4486886.97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36377315.92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4486883.39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36377321.08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4486880.48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36377327.43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4486877.97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36377333.25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4486875.72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36377340.66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4486873.34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36377347.8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4486869.77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139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J139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36377353.75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4486867.78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36377360.76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4486865.53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36377368.04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4486864.21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36377372.27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4486861.7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36377374.13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4486857.46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36377375.18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4486853.1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36377376.11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4486848.6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36377376.08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4486843.68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36377375.98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36377375.29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4486826.75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149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J149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36377374.71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4486819.87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36377374.23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4486812.72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36377377.41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4486807.17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36377384.02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4486804.26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36377396.99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4486802.14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36377410.74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4486800.02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36377422.12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4486797.38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36377433.5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4486795.79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36377446.46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4486793.67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36377460.22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4486791.03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159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J159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36377471.6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4486787.85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36377482.71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4486784.41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36377489.85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4486778.59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36377495.67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4486773.56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36377502.82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4486767.48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36377511.55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4486761.13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36377517.9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4486755.84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36377523.19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4486750.02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36377528.22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4486742.63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36377532.98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4486733.51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169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J169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36377544.56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4486723.52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36377553.82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4486715.91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36377559.77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4486707.31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36377567.71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4486698.38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36377577.3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4486688.46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36377588.87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4486677.88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36377596.22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4486677.37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36377598.14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4486671.59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36377594.36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4486657.31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36377586.03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179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J179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36377576.9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4486610.87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36377564.31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4486578.57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36377553.68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4486539.99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36377550.82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4486537.45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36377547.01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4486541.26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36377542.09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4486544.91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36377535.9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4486549.36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36377531.77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4486553.01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36377524.52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4486558.51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36377517.01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4486565.87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189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J189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36377509.7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4486573.06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36377502.56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4486578.88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36377494.09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4486583.12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36377484.04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4486585.76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36377471.34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4486589.47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36377455.99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4486592.64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36377434.56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4486600.58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36377415.78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4486608.25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36377394.87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4486618.31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36377372.12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4486629.68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199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J199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36377358.36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4486636.83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36377338.25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4486641.85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36377320.01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4486653.52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36377283.02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4486667.12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36377245.32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36377204.97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4486698.54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36377194.51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4486693.28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36377188.15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4486696.28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36377183.6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4486704.19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36377175.85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4486704.88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209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J209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36377162.62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4486710.57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36377149.26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4486717.31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36377134.18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4486723.53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36377119.36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4486729.48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36377104.76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4486732.93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36377078.9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4486739.56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36377011.58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4486783.55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36377002.32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4486769.66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36376993.72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4486765.03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36376932.54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4486800.09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219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J219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36376892.34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4486828.41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36376820.11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36376809.75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4486866.65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36376807.94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36376808.42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4486875.71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36376803.5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4486876.66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36376799.47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4486870.47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36376794.61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4486867.13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36376785.08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4486873.64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36376780.95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4486877.35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229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J229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36376778.1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4486888.41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36376778.71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4486897.83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36376779.22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4486909.29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36376779.88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4486916.31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36376778.16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4486920.67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36376772.11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4486923.62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36376740.06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36376719.98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4486960.34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36376712.14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4486971.87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36376697.33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4486992.9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239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J239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36376684.36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4487010.76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36376679.31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4487015.1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36376674.37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4487016.87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36376647.67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4487026.41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36376638.87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4487029.56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36376630.18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4487036.45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36376586.55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4487074.15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36376574.32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4487082.72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36376564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4487089.7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36376550.96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4487090.66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249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J249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36376544.44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4487091.45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36376538.8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4487096.35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36376529.32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4487104.58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36376522.79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4487110.25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36376519.9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36376516.83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4487125.22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36376515.43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4487134.47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36376512.89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4487139.87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36376508.12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4487145.11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36376502.25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4487150.82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259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J259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36376491.18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4487158.23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36376483.36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36376474.47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4487177.02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36376465.74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4487193.53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36376461.45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4487208.93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36376464.47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4487225.76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36376472.09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4487237.82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36376471.85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4487249.49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36376470.5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4487268.93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36376395.89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4487254.96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269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J269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36376385.25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4487255.6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36376377.95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4487262.9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36376224.97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4487422.97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36376202.51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4487439.4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36376042.57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4487522.34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36375970.17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4487552.09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36375894.55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4487576.21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36375866.12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4487594.04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36375840.9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4487617.8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36375768.88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4487699.08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279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J279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36375757.76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4487714.69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36375752.03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4487726.45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36375527.05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4488008.64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36375494.88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4488050.02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36375487.18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4488061.46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36375475.06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4488070.06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36375293.29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4488175.63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36375208.78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4488250.92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36375175.28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4488280.67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36375167.08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4488283.58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289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J289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36375157.74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4488286.65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36375098.72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4488327.96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36375086.86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4488334.53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36375074.59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4488335.58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36375054.83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4488332.35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36375029.71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4488324.29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36375016.06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4488323.45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36375000.5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4488326.31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36374983.51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4488339.01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36374969.39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4488358.82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299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J299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36374957.08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4488382.63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36374946.42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4488407.82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36374943.18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4488429.78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36374941.4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4488469.72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36374938.37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4488509.36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36374900.38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4488555.06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36374801.16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4488651.9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36374694.4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4488765.01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36374641.6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4488818.04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36374632.27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4488825.15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309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J309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36374618.81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4488831.04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36374552.16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4488838.64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36374503.87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4488852.86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36374461.2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4488867.41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36374424.16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4488884.61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36374386.59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4488908.02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36374240</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4489005.59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36374198.47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4489036.61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36374146.88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4489082.25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36374089.1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4489149.92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319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J319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36374073.06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4489171.95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36374074.9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4489197.67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36374128.79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4489343.06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36374137.62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4489374.49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36374126.37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4489384.41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36374111.16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4489403.92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36374099.58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4489425.09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36374092.97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4489447.58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36374089.96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4489466.66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4489486.98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329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J329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36374090.62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4489495.05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36374088.06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4489502.86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36374083.83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36374078.02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4489513.45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36374076.43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4489519.01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36374075.8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4489523.61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36374071.35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4489528.53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36374063.73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4489534.25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36374053.73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4489542.98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36374039.6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4489553.14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339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J339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36374028.49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4489562.34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36374011.03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4489577.74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36373982.91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4489602.49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36373977.91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4489604.79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36373967.24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36373959.99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4489603.6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36373951.69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4489599.42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36373945.34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4489594.02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36373886.23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4489525.82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36373878.08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4489524.41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349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J349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36373869.96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4489527.4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36373841.78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4489546.45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36373808.05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4489569.28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36373781.86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4489582.17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36373760.03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4489587.73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36373686.21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4489593.68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36373679.28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4489592.21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36373673.24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4489587.61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36373664.33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4489572.98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36373660.41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4489569.28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359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J359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36373655.31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4489570.46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36373568.95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4489645.07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36373560.21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4489648.41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36373552.91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4489649.52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36373548.36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4489649.15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36373544.52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4489651.89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36373493.38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4489683.92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36373467.98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4489703.23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36373451.34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4489725.21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36373338.16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4489771.28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J369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36373111.06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4489886.69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36373104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4489894.31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36373101.13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4489903.72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36373107.18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4489953.84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36372915.43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4490046.04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36372902.86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36372825.86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4490054.61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36372808.69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4490059.64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36372793.87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4490060.43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36372781.7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4490058.58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379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J379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36372776.68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4490048.79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36372776.94</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4490033.71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36372759.21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4489999.58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36372753.73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4489994.34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36372745.45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4489997.46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36372727.46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4490006.99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36372666.87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4490046.41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36372627.45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4490064.93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36372560.25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4490086.1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36372574.8</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4490127.37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389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J389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36372563.69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4490137.16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390</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J390</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36372504.95</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4490173.15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391</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J391</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36372482.46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4490208.07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392</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J392</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36372494.63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4490255.17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393</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J393</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36372499.92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4490288.24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394</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J394</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36372487.22</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4490296.71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395</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J395</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36372477.17</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4490301.47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396</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J396</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36372488.01</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4490324.22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397</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J397</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36372435.36</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4490361.79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398</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J398</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36372575.93</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4490547.59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67" w:type="pct"/>
            <w:tcBorders>
              <w:top w:val="nil"/>
              <w:left w:val="single" w:color="000000" w:sz="8"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399</w:t>
            </w:r>
          </w:p>
        </w:tc>
        <w:tc>
          <w:tcPr>
            <w:tcW w:w="1067"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J399</w:t>
            </w:r>
          </w:p>
        </w:tc>
        <w:tc>
          <w:tcPr>
            <w:tcW w:w="1498"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36372579.9</w:t>
            </w:r>
          </w:p>
        </w:tc>
        <w:tc>
          <w:tcPr>
            <w:tcW w:w="1365" w:type="pct"/>
            <w:tcBorders>
              <w:top w:val="nil"/>
              <w:left w:val="nil"/>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snapToGrid w:val="0"/>
                <w:color w:val="000000"/>
                <w:kern w:val="0"/>
                <w:sz w:val="22"/>
                <w:szCs w:val="22"/>
                <w:u w:val="none"/>
                <w:lang w:val="en-US" w:eastAsia="zh-CN" w:bidi="ar"/>
              </w:rPr>
              <w:t>4490561.08</w:t>
            </w:r>
          </w:p>
        </w:tc>
      </w:tr>
    </w:tbl>
    <w:p>
      <w:pPr>
        <w:rPr>
          <w:rFonts w:ascii="Arial"/>
          <w:color w:val="auto"/>
          <w:sz w:val="21"/>
          <w:highlight w:val="none"/>
        </w:rPr>
      </w:pPr>
    </w:p>
    <w:sectPr>
      <w:footerReference r:id="rId22" w:type="default"/>
      <w:pgSz w:w="11910" w:h="16850"/>
      <w:pgMar w:top="1715" w:right="1580" w:bottom="1545" w:left="1012" w:header="1247" w:footer="10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文星仿宋..嬀.">
    <w:altName w:val="仿宋"/>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1552" behindDoc="0" locked="0" layoutInCell="1" allowOverlap="1">
              <wp:simplePos x="0" y="0"/>
              <wp:positionH relativeFrom="margin">
                <wp:posOffset>2635885</wp:posOffset>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55pt;margin-top:0pt;height:144pt;width:144pt;mso-position-horizontal-relative:margin;mso-wrap-style:none;z-index:251671552;mso-width-relative:page;mso-height-relative:page;" filled="f" stroked="f" coordsize="21600,21600" o:gfxdata="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g0lhmlU&#10;/PT92+nHr9PPrwRnEKhxYYa4B4fI2L61LdpmOA84TLzbyuv0BSMCP+Q9XuQVbSQ8XZpOptMcLg7f&#10;sAF+9njd+RDfCatJMgrqUb9OVnbYhNiHDiEpm7FrqVRXQ2VIU9Dr11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pOOl1QAAAAgBAAAPAAAAAAAAAAEAIAAAACIAAABkcnMvZG93bnJldi54bWxQ&#10;SwECFAAUAAAACACHTuJAbI0kZjMCAABjBAAADgAAAAAAAAABACAAAAAk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jc w:val="both"/>
      <w:rPr>
        <w:rFonts w:ascii="宋体" w:hAnsi="宋体" w:eastAsia="宋体" w:cs="宋体"/>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posOffset>2700655</wp:posOffset>
              </wp:positionH>
              <wp:positionV relativeFrom="paragraph">
                <wp:posOffset>16510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2.65pt;margin-top:1.3pt;height:144pt;width:144pt;mso-position-horizontal-relative:margin;mso-wrap-style:none;z-index:251674624;mso-width-relative:page;mso-height-relative:page;" filled="f" stroked="f" coordsize="21600,21600" o:gfxdata="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3kwpMUyj&#10;4pfv3y4/fl1+fiU4g0C1C3PE7RwiY/PWNmib4TzgMPFuSq/TF4wI/JD3fJVXNJHwdGk2nc3GcHH4&#10;hg3ws8frzof4TlhNkpFTj/q1srLTNsQudAhJ2YzdSKXaGipDapB4/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JTLp1gAAAAkBAAAPAAAAAAAAAAEAIAAAACIAAABkcnMvZG93bnJldi54bWxQ&#10;SwECFAAUAAAACACHTuJAgvej7zICAABjBAAADgAAAAAAAAABACAAAAAl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4"/>
        <w:szCs w:val="14"/>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仿宋" w:hAnsi="仿宋" w:eastAsia="仿宋" w:cs="仿宋"/>
        <w:sz w:val="23"/>
        <w:szCs w:val="23"/>
      </w:rPr>
    </w:pPr>
    <w:r>
      <w:rPr>
        <w:rFonts w:hint="eastAsia" w:ascii="宋体" w:hAnsi="宋体" w:eastAsia="宋体" w:cs="宋体"/>
        <w:sz w:val="18"/>
        <w:szCs w:val="18"/>
        <w:lang w:eastAsia="zh-CN"/>
      </w:rPr>
      <w:t>巴彦淖尔市鑫宇水利水电勘察设计有限公司</w:t>
    </w:r>
    <w:r>
      <w:rPr>
        <w:sz w:val="2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9"/>
        <w:szCs w:val="9"/>
      </w:rPr>
    </w:pPr>
    <w:r>
      <w:rPr>
        <w:rFonts w:hint="eastAsia" w:ascii="宋体" w:hAnsi="宋体" w:eastAsia="宋体" w:cs="宋体"/>
        <w:sz w:val="18"/>
        <w:szCs w:val="18"/>
        <w:lang w:eastAsia="zh-CN"/>
      </w:rPr>
      <w:t>巴彦淖尔市鑫宇水利水电勘察设计有限公司</w:t>
    </w:r>
    <w:r>
      <w:rPr>
        <w:sz w:val="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eastAsia="宋体"/>
        <w:lang w:val="en-US" w:eastAsia="zh-CN"/>
      </w:rPr>
    </w:pPr>
    <w:r>
      <w:rPr>
        <w:rFonts w:hint="eastAsia" w:eastAsia="宋体"/>
        <w:lang w:val="en-US" w:eastAsia="zh-CN"/>
      </w:rPr>
      <w:t>磴口县阿尔阿布海(沃门阿布湖)岸线保护与利用规划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AwZThiMDg4OWMxOTE4NGQzNjBlMDJlZGQyNmU4YjEifQ=="/>
  </w:docVars>
  <w:rsids>
    <w:rsidRoot w:val="00000000"/>
    <w:rsid w:val="00266690"/>
    <w:rsid w:val="00C90AC8"/>
    <w:rsid w:val="00E559CB"/>
    <w:rsid w:val="018A3AB7"/>
    <w:rsid w:val="023D7C56"/>
    <w:rsid w:val="027E0641"/>
    <w:rsid w:val="02EC316B"/>
    <w:rsid w:val="02EE5C92"/>
    <w:rsid w:val="0373171E"/>
    <w:rsid w:val="03D10F30"/>
    <w:rsid w:val="03D1534C"/>
    <w:rsid w:val="03E41468"/>
    <w:rsid w:val="041175C6"/>
    <w:rsid w:val="04D1736D"/>
    <w:rsid w:val="04D6687F"/>
    <w:rsid w:val="05EA59F4"/>
    <w:rsid w:val="05F64197"/>
    <w:rsid w:val="07331E0B"/>
    <w:rsid w:val="0A081A83"/>
    <w:rsid w:val="0A146CB2"/>
    <w:rsid w:val="0A27015B"/>
    <w:rsid w:val="0B867103"/>
    <w:rsid w:val="0C015B39"/>
    <w:rsid w:val="0C0E70CD"/>
    <w:rsid w:val="0C370F4A"/>
    <w:rsid w:val="0C3A227F"/>
    <w:rsid w:val="0CB40621"/>
    <w:rsid w:val="0CF2306A"/>
    <w:rsid w:val="0CF77756"/>
    <w:rsid w:val="0DA722D1"/>
    <w:rsid w:val="0EAD2BF9"/>
    <w:rsid w:val="0EEE1954"/>
    <w:rsid w:val="0F443B8E"/>
    <w:rsid w:val="0F6A6292"/>
    <w:rsid w:val="0FC376EC"/>
    <w:rsid w:val="1038450C"/>
    <w:rsid w:val="109C7993"/>
    <w:rsid w:val="11361DC0"/>
    <w:rsid w:val="115A7068"/>
    <w:rsid w:val="11AA5F65"/>
    <w:rsid w:val="120930BA"/>
    <w:rsid w:val="136C4E31"/>
    <w:rsid w:val="143924FE"/>
    <w:rsid w:val="153E1E76"/>
    <w:rsid w:val="15EE5FD1"/>
    <w:rsid w:val="17CD1C16"/>
    <w:rsid w:val="18100E6C"/>
    <w:rsid w:val="195F0A81"/>
    <w:rsid w:val="198F7ACB"/>
    <w:rsid w:val="19E75211"/>
    <w:rsid w:val="1A915156"/>
    <w:rsid w:val="1AB20E88"/>
    <w:rsid w:val="1C250273"/>
    <w:rsid w:val="1CF34931"/>
    <w:rsid w:val="1E16258F"/>
    <w:rsid w:val="20C95808"/>
    <w:rsid w:val="20EE50D7"/>
    <w:rsid w:val="21254E4D"/>
    <w:rsid w:val="21563AC5"/>
    <w:rsid w:val="22195AB6"/>
    <w:rsid w:val="255414A6"/>
    <w:rsid w:val="25C40AFC"/>
    <w:rsid w:val="26025181"/>
    <w:rsid w:val="2638728C"/>
    <w:rsid w:val="27306D81"/>
    <w:rsid w:val="279B6C4A"/>
    <w:rsid w:val="283E110F"/>
    <w:rsid w:val="28C976A4"/>
    <w:rsid w:val="2916166F"/>
    <w:rsid w:val="29233D8C"/>
    <w:rsid w:val="2A65449A"/>
    <w:rsid w:val="2AF5113A"/>
    <w:rsid w:val="2BA727BF"/>
    <w:rsid w:val="2BE80165"/>
    <w:rsid w:val="2C215CF7"/>
    <w:rsid w:val="2C723060"/>
    <w:rsid w:val="2D095047"/>
    <w:rsid w:val="2D1F12BC"/>
    <w:rsid w:val="2D271B5E"/>
    <w:rsid w:val="2D5F33CE"/>
    <w:rsid w:val="2E02330F"/>
    <w:rsid w:val="2E953036"/>
    <w:rsid w:val="2EBC05C2"/>
    <w:rsid w:val="2EE0630D"/>
    <w:rsid w:val="2EE82927"/>
    <w:rsid w:val="2F8F7953"/>
    <w:rsid w:val="2FCE35C6"/>
    <w:rsid w:val="2FDA06A4"/>
    <w:rsid w:val="3195090E"/>
    <w:rsid w:val="325A1783"/>
    <w:rsid w:val="32C4038E"/>
    <w:rsid w:val="32F9288C"/>
    <w:rsid w:val="330662B0"/>
    <w:rsid w:val="33B30E42"/>
    <w:rsid w:val="33D97E69"/>
    <w:rsid w:val="343B4219"/>
    <w:rsid w:val="34AF3DA0"/>
    <w:rsid w:val="365E6403"/>
    <w:rsid w:val="36767BF1"/>
    <w:rsid w:val="36EC1C61"/>
    <w:rsid w:val="379100B2"/>
    <w:rsid w:val="37E159F7"/>
    <w:rsid w:val="38264283"/>
    <w:rsid w:val="385B6B7F"/>
    <w:rsid w:val="38B736E1"/>
    <w:rsid w:val="395E321B"/>
    <w:rsid w:val="39FA4695"/>
    <w:rsid w:val="3A2E7B1F"/>
    <w:rsid w:val="3A3C74E1"/>
    <w:rsid w:val="3B533939"/>
    <w:rsid w:val="3B691AD2"/>
    <w:rsid w:val="3CD21CE7"/>
    <w:rsid w:val="3CD64F45"/>
    <w:rsid w:val="3CFA03A0"/>
    <w:rsid w:val="3D01695E"/>
    <w:rsid w:val="3D02645D"/>
    <w:rsid w:val="3D5A7043"/>
    <w:rsid w:val="3DB50FFF"/>
    <w:rsid w:val="3DBB4AF6"/>
    <w:rsid w:val="3E110C94"/>
    <w:rsid w:val="3EBE693D"/>
    <w:rsid w:val="3EEB49B0"/>
    <w:rsid w:val="3F28267B"/>
    <w:rsid w:val="3FCD5865"/>
    <w:rsid w:val="3FDA2F9E"/>
    <w:rsid w:val="40955117"/>
    <w:rsid w:val="40E65FE7"/>
    <w:rsid w:val="40EF2A79"/>
    <w:rsid w:val="41042973"/>
    <w:rsid w:val="41617A27"/>
    <w:rsid w:val="41B31CF9"/>
    <w:rsid w:val="4218422B"/>
    <w:rsid w:val="42242044"/>
    <w:rsid w:val="430A3B9B"/>
    <w:rsid w:val="43821950"/>
    <w:rsid w:val="43D407CA"/>
    <w:rsid w:val="4436276D"/>
    <w:rsid w:val="451D1058"/>
    <w:rsid w:val="45A034C7"/>
    <w:rsid w:val="45ED00D2"/>
    <w:rsid w:val="46B8390E"/>
    <w:rsid w:val="473E69DD"/>
    <w:rsid w:val="47D52A63"/>
    <w:rsid w:val="480B44F2"/>
    <w:rsid w:val="481B1EC8"/>
    <w:rsid w:val="48BB1493"/>
    <w:rsid w:val="498E47B9"/>
    <w:rsid w:val="49FB2C9D"/>
    <w:rsid w:val="4A8E485A"/>
    <w:rsid w:val="4B802765"/>
    <w:rsid w:val="4BD859E7"/>
    <w:rsid w:val="4C5C4B7A"/>
    <w:rsid w:val="4D6A1FD1"/>
    <w:rsid w:val="4DD14002"/>
    <w:rsid w:val="4F517E50"/>
    <w:rsid w:val="4FC733C8"/>
    <w:rsid w:val="50FB61C1"/>
    <w:rsid w:val="51082E43"/>
    <w:rsid w:val="5113499D"/>
    <w:rsid w:val="519A426F"/>
    <w:rsid w:val="51FC39E3"/>
    <w:rsid w:val="526876A7"/>
    <w:rsid w:val="52A75BA8"/>
    <w:rsid w:val="53D52883"/>
    <w:rsid w:val="555E1B24"/>
    <w:rsid w:val="55A21A11"/>
    <w:rsid w:val="560B0AE4"/>
    <w:rsid w:val="563B5670"/>
    <w:rsid w:val="56C41E5B"/>
    <w:rsid w:val="56F313CD"/>
    <w:rsid w:val="575E5E0B"/>
    <w:rsid w:val="59A71CEC"/>
    <w:rsid w:val="59E53235"/>
    <w:rsid w:val="5A0E13B8"/>
    <w:rsid w:val="5A5534F6"/>
    <w:rsid w:val="5AAF4DF5"/>
    <w:rsid w:val="5AEF2551"/>
    <w:rsid w:val="5CCC3817"/>
    <w:rsid w:val="5D6A73D9"/>
    <w:rsid w:val="5E6865F5"/>
    <w:rsid w:val="5EB127F1"/>
    <w:rsid w:val="5ED2032C"/>
    <w:rsid w:val="5FED1C0E"/>
    <w:rsid w:val="611F660B"/>
    <w:rsid w:val="618532D1"/>
    <w:rsid w:val="62BD1A79"/>
    <w:rsid w:val="63980E16"/>
    <w:rsid w:val="63BA0A55"/>
    <w:rsid w:val="64024B66"/>
    <w:rsid w:val="64B35027"/>
    <w:rsid w:val="654E3963"/>
    <w:rsid w:val="65E81D63"/>
    <w:rsid w:val="66127FAC"/>
    <w:rsid w:val="66372649"/>
    <w:rsid w:val="665516C6"/>
    <w:rsid w:val="665E7BD6"/>
    <w:rsid w:val="6678677C"/>
    <w:rsid w:val="66C01DA1"/>
    <w:rsid w:val="66DF0602"/>
    <w:rsid w:val="67226E55"/>
    <w:rsid w:val="687C2595"/>
    <w:rsid w:val="697B284D"/>
    <w:rsid w:val="699935AF"/>
    <w:rsid w:val="69A96778"/>
    <w:rsid w:val="69B47AE6"/>
    <w:rsid w:val="69BC305A"/>
    <w:rsid w:val="69CC12FA"/>
    <w:rsid w:val="6A15504C"/>
    <w:rsid w:val="6A1A44A6"/>
    <w:rsid w:val="6AC124E1"/>
    <w:rsid w:val="6B5D0FDE"/>
    <w:rsid w:val="6B5F7556"/>
    <w:rsid w:val="6B79100E"/>
    <w:rsid w:val="6C2B055A"/>
    <w:rsid w:val="6C382C77"/>
    <w:rsid w:val="6C6A0C99"/>
    <w:rsid w:val="6CAA47AC"/>
    <w:rsid w:val="6CF420AB"/>
    <w:rsid w:val="6DC26C9C"/>
    <w:rsid w:val="6DF21148"/>
    <w:rsid w:val="6F1572A0"/>
    <w:rsid w:val="70054610"/>
    <w:rsid w:val="71504E07"/>
    <w:rsid w:val="71746FBE"/>
    <w:rsid w:val="717604C9"/>
    <w:rsid w:val="71EF202A"/>
    <w:rsid w:val="72CB6A27"/>
    <w:rsid w:val="733A3320"/>
    <w:rsid w:val="73A55074"/>
    <w:rsid w:val="73BC418E"/>
    <w:rsid w:val="73FE5E13"/>
    <w:rsid w:val="740D0747"/>
    <w:rsid w:val="74CB28DA"/>
    <w:rsid w:val="74FC0C2B"/>
    <w:rsid w:val="75CF1D8A"/>
    <w:rsid w:val="75F33DF9"/>
    <w:rsid w:val="77F95315"/>
    <w:rsid w:val="781A4E5C"/>
    <w:rsid w:val="79402441"/>
    <w:rsid w:val="798706BD"/>
    <w:rsid w:val="799E6AF3"/>
    <w:rsid w:val="7A0B3779"/>
    <w:rsid w:val="7A7E3F4B"/>
    <w:rsid w:val="7AD73D87"/>
    <w:rsid w:val="7B486307"/>
    <w:rsid w:val="7BB44B13"/>
    <w:rsid w:val="7CA5208A"/>
    <w:rsid w:val="7D586E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customStyle="1" w:styleId="2">
    <w:name w:val="A样式 小四 行距: 1.5 倍行距 首行缩进:  2 字符"/>
    <w:basedOn w:val="1"/>
    <w:autoRedefine/>
    <w:qFormat/>
    <w:uiPriority w:val="0"/>
    <w:pPr>
      <w:ind w:firstLine="480"/>
      <w:jc w:val="both"/>
    </w:pPr>
    <w:rPr>
      <w:rFonts w:ascii="Calibri" w:hAnsi="Calibri" w:eastAsia="华文仿宋" w:cs="宋体"/>
      <w:sz w:val="30"/>
      <w:szCs w:val="22"/>
    </w:rPr>
  </w:style>
  <w:style w:type="paragraph" w:styleId="4">
    <w:name w:val="Body Text"/>
    <w:basedOn w:val="1"/>
    <w:next w:val="5"/>
    <w:autoRedefine/>
    <w:qFormat/>
    <w:uiPriority w:val="0"/>
    <w:pPr>
      <w:jc w:val="center"/>
    </w:pPr>
    <w:rPr>
      <w:sz w:val="24"/>
    </w:rPr>
  </w:style>
  <w:style w:type="paragraph" w:customStyle="1" w:styleId="5">
    <w:name w:val="Default"/>
    <w:autoRedefine/>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Body Text First Indent"/>
    <w:basedOn w:val="4"/>
    <w:autoRedefine/>
    <w:qFormat/>
    <w:uiPriority w:val="0"/>
    <w:pPr>
      <w:ind w:firstLine="482"/>
    </w:pPr>
    <w:rPr>
      <w:rFonts w:ascii="Times New Roman" w:hAnsi="Times New Roman" w:eastAsia="Arial Unicode MS" w:cs="Times New Roman"/>
      <w:sz w:val="24"/>
      <w:szCs w:val="20"/>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WPSOffice手动目录 1"/>
    <w:autoRedefine/>
    <w:qFormat/>
    <w:uiPriority w:val="0"/>
    <w:pPr>
      <w:ind w:leftChars="0"/>
    </w:pPr>
    <w:rPr>
      <w:rFonts w:ascii="Times New Roman" w:hAnsi="Times New Roman" w:eastAsia="宋体" w:cs="Times New Roman"/>
      <w:sz w:val="20"/>
      <w:szCs w:val="20"/>
    </w:rPr>
  </w:style>
  <w:style w:type="paragraph" w:customStyle="1" w:styleId="15">
    <w:name w:val="WPSOffice手动目录 2"/>
    <w:autoRedefine/>
    <w:qFormat/>
    <w:uiPriority w:val="0"/>
    <w:pPr>
      <w:ind w:leftChars="200"/>
    </w:pPr>
    <w:rPr>
      <w:rFonts w:ascii="Times New Roman" w:hAnsi="Times New Roman" w:eastAsia="宋体" w:cs="Times New Roman"/>
      <w:sz w:val="20"/>
      <w:szCs w:val="20"/>
    </w:rPr>
  </w:style>
  <w:style w:type="paragraph" w:customStyle="1" w:styleId="16">
    <w:name w:val="WPSOffice手动目录 3"/>
    <w:autoRedefine/>
    <w:qFormat/>
    <w:uiPriority w:val="0"/>
    <w:pPr>
      <w:ind w:leftChars="400"/>
    </w:pPr>
    <w:rPr>
      <w:rFonts w:ascii="Times New Roman" w:hAnsi="Times New Roman" w:eastAsia="宋体" w:cs="Times New Roman"/>
      <w:sz w:val="20"/>
      <w:szCs w:val="20"/>
    </w:rPr>
  </w:style>
  <w:style w:type="paragraph" w:customStyle="1" w:styleId="17">
    <w:name w:val="样式1"/>
    <w:basedOn w:val="1"/>
    <w:autoRedefine/>
    <w:qFormat/>
    <w:uiPriority w:val="0"/>
    <w:pPr>
      <w:spacing w:line="500" w:lineRule="atLeast"/>
      <w:ind w:firstLine="200" w:firstLineChars="200"/>
    </w:pPr>
    <w:rPr>
      <w:sz w:val="28"/>
      <w:szCs w:val="24"/>
    </w:rPr>
  </w:style>
  <w:style w:type="character" w:customStyle="1" w:styleId="18">
    <w:name w:val="font11"/>
    <w:basedOn w:val="12"/>
    <w:autoRedefine/>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GIF"/><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65</Pages>
  <Words>25617</Words>
  <Characters>32486</Characters>
  <TotalTime>0</TotalTime>
  <ScaleCrop>false</ScaleCrop>
  <LinksUpToDate>false</LinksUpToDate>
  <CharactersWithSpaces>32847</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2022-08-24T09:21:00Z</dcterms:created>
  <dc:creator>Kingsoft-PDF</dc:creator>
  <cp:keywords>63057cf7435cc200155ced07</cp:keywords>
  <cp:lastModifiedBy>覆水难收</cp:lastModifiedBy>
  <dcterms:modified xsi:type="dcterms:W3CDTF">2024-03-11T08:23:23Z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2022-08-24T09:22:18Z</vt:filetime>
  </property>
  <property fmtid="{D5CDD505-2E9C-101B-9397-08002B2CF9AE}" pid="4" name="KSOProductBuildVer">
    <vt:lpwstr>2052-12.1.0.16388</vt:lpwstr>
  </property>
  <property fmtid="{D5CDD505-2E9C-101B-9397-08002B2CF9AE}" pid="5" name="ICV">
    <vt:lpwstr>580CF0C69F3D4E4F8E3537A937A2C66B_13</vt:lpwstr>
  </property>
</Properties>
</file>