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点力素海子</w:t>
      </w: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val="en-US"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磴口县点力素海子岸线保护与利用规划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点力素海子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25986"/>
      <w:bookmarkStart w:id="1" w:name="_Toc5665"/>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32076"/>
      <w:bookmarkStart w:id="3" w:name="_Toc96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618"/>
      <w:bookmarkStart w:id="5" w:name="_Toc2617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点力素海子位于哈腾套海农场境内，地理坐标：东经106°57′28″，北纬40°34′4″。湖泊面积：2220亩。</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点力素海子周边交通便利，陕哈线穿湖而过，西侧紧邻沙金套海苏木点力素海子总水域面积1.486</w:t>
      </w:r>
      <w:r>
        <w:rPr>
          <w:rFonts w:hint="eastAsia" w:ascii="宋体" w:hAnsi="宋体" w:eastAsia="宋体" w:cs="宋体"/>
          <w:snapToGrid/>
          <w:color w:val="auto"/>
          <w:kern w:val="0"/>
          <w:sz w:val="28"/>
          <w:szCs w:val="28"/>
          <w:highlight w:val="none"/>
          <w:lang w:val="zh-CN" w:eastAsia="zh-CN" w:bidi="ar-SA"/>
        </w:rPr>
        <w:t>m2</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p>
    <w:p>
      <w:pPr>
        <w:pStyle w:val="17"/>
        <w:adjustRightInd w:val="0"/>
        <w:snapToGrid w:val="0"/>
        <w:ind w:firstLine="56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3512820</wp:posOffset>
                </wp:positionH>
                <wp:positionV relativeFrom="paragraph">
                  <wp:posOffset>1615440</wp:posOffset>
                </wp:positionV>
                <wp:extent cx="728345" cy="523240"/>
                <wp:effectExtent l="4445" t="13335" r="10160" b="15875"/>
                <wp:wrapNone/>
                <wp:docPr id="5" name="右箭头 5"/>
                <wp:cNvGraphicFramePr/>
                <a:graphic xmlns:a="http://schemas.openxmlformats.org/drawingml/2006/main">
                  <a:graphicData uri="http://schemas.microsoft.com/office/word/2010/wordprocessingShape">
                    <wps:wsp>
                      <wps:cNvSpPr/>
                      <wps:spPr>
                        <a:xfrm>
                          <a:off x="0" y="0"/>
                          <a:ext cx="728345" cy="523240"/>
                        </a:xfrm>
                        <a:prstGeom prst="rightArrow">
                          <a:avLst>
                            <a:gd name="adj1" fmla="val 50000"/>
                            <a:gd name="adj2" fmla="val 4034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eastAsia="宋体"/>
                                <w:lang w:eastAsia="zh-CN"/>
                              </w:rPr>
                              <w:t>点力素子</w:t>
                            </w:r>
                          </w:p>
                        </w:txbxContent>
                      </wps:txbx>
                      <wps:bodyPr upright="1"/>
                    </wps:wsp>
                  </a:graphicData>
                </a:graphic>
              </wp:anchor>
            </w:drawing>
          </mc:Choice>
          <mc:Fallback>
            <w:pict>
              <v:shape id="_x0000_s1026" o:spid="_x0000_s1026" o:spt="13" type="#_x0000_t13" style="position:absolute;left:0pt;margin-left:276.6pt;margin-top:127.2pt;height:41.2pt;width:57.35pt;z-index:251676672;mso-width-relative:page;mso-height-relative:page;" fillcolor="#FFFFFF" filled="t" stroked="t" coordsize="21600,21600" o:gfxdata="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UPKC3aAAAACwEAAA8AAAAAAAAAAQAgAAAAIgAAAGRycy9kb3ducmV2LnhtbFBLAQIU&#10;ABQAAAAIAIdO4kAgkDtZKgIAAIIEAAAOAAAAAAAAAAEAIAAAACkBAABkcnMvZTJvRG9jLnhtbFBL&#10;BQYAAAAABgAGAFkBAADFBQAAAAA=&#10;" adj="15341,5400">
                <v:fill on="t" focussize="0,0"/>
                <v:stroke color="#000000" joinstyle="miter"/>
                <v:imagedata o:title=""/>
                <o:lock v:ext="edit" aspectratio="f"/>
                <v:textbox>
                  <w:txbxContent>
                    <w:p>
                      <w:r>
                        <w:rPr>
                          <w:rFonts w:hint="eastAsia" w:eastAsia="宋体"/>
                          <w:lang w:eastAsia="zh-CN"/>
                        </w:rPr>
                        <w:t>点力素子</w:t>
                      </w:r>
                    </w:p>
                  </w:txbxContent>
                </v:textbox>
              </v:shape>
            </w:pict>
          </mc:Fallback>
        </mc:AlternateContent>
      </w:r>
      <w:r>
        <w:drawing>
          <wp:inline distT="0" distB="0" distL="114300" distR="114300">
            <wp:extent cx="4942840" cy="3679190"/>
            <wp:effectExtent l="0" t="0" r="1016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4942840" cy="3679190"/>
                    </a:xfrm>
                    <a:prstGeom prst="rect">
                      <a:avLst/>
                    </a:prstGeom>
                    <a:noFill/>
                    <a:ln>
                      <a:noFill/>
                    </a:ln>
                  </pic:spPr>
                </pic:pic>
              </a:graphicData>
            </a:graphic>
          </wp:inline>
        </w:drawing>
      </w: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点力素海子</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31825"/>
      <w:bookmarkStart w:id="7" w:name="_Toc479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bookmarkStart w:id="8" w:name="_Toc3901"/>
      <w:bookmarkStart w:id="9" w:name="_Toc714"/>
      <w:r>
        <w:rPr>
          <w:rFonts w:hint="eastAsia" w:ascii="宋体" w:hAnsi="宋体" w:eastAsia="宋体" w:cs="宋体"/>
          <w:snapToGrid/>
          <w:color w:val="auto"/>
          <w:kern w:val="0"/>
          <w:sz w:val="28"/>
          <w:szCs w:val="28"/>
          <w:highlight w:val="none"/>
          <w:lang w:val="en-US" w:eastAsia="zh-CN" w:bidi="ar-SA"/>
        </w:rPr>
        <w:t>磴口县属于温带大陆型气候，光照充足，热量丰富，昼夜温差大，无霜期短。</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光能资源</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全年日照时数3209.5小时，光能资源丰富。其中作物生育期4～9月份日照总时数1758.2小时，六月份最多，达319.3小时。全年太阳总辐射15369千卡/厘米2，全年有效光合辐射为75.29千卡/厘米2。其中4～9月份有效光辐射达47.71千卡/厘米。</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6～8月，农作物和林草生长正值旺盛期，所需日照、热量、水份相应增加。这个时期，本县口照时数属全年最丰富时期，温度大于15度，积温2200C以上，降雨也集中。该时期降雨量占全年的80%，有效性高。</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热量资源</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热量充分、日照时间长，昼夜温差大、无霜期天数较多本县日照总时数3209.5小时，年平均气温7.6℃，≥10℃的积温3222℃，无霜期年平均136天.作物生育期4～9月份平均14.5℃，这使本县在发展某些作物上有着明显的优势。光热资源丰富无霜期长，有利于林木生长。日照时间长、昼夜温差大，有利于农作物干物质和糖份的积累，适宜发展果树甜菜、华菜士、蜜瓜、向日葵、酒花等。</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降水和蒸发</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历年平均降水143.9毫米，平均蒸发量2327毫米为降水的16.5倍。降雨集中，年际变化大，本县年降雨量一般集中在6～8月份，且年际变化大。最多年降雨量261.6毫米(1967年)，最少年降雨量59.4毫米(1957年)。丰年是欠年的4.4倍，这对衣业生产影响很大。</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风能资源</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县位于亚州大陆中部。由于距海遥远，夏季受海洋季风影响时间短、势力弱。巴彦高勒地区年平均降雨量为143.9毫米，年蒸发量2327毫米，是降雨量的16.5倍。年平均湿润系数0.094小于0.15，套区基本属干부区，沙区则属于极干旱区。冬春季节受蒙古高压控制，季风影响时间长，势力强。强劲的西南风从贺兰山和阴山之间的缺口而入，磴口县首当其冲。年平均风速为3米/秒，全年扬沙日数79.6天，沙暴日20天。愈往西部愈加尉烈。地质构造下部巨厚的松散物，提供了丰富的沙源。古老的黄河冲积平原的粘土表层日遭风力剥蚀，就形成沙漠。风沙给农业生产造成了一系列的灾害。</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地下水根据调查和有关水文资料介绍，地下水总量较套内其它旗县少，其水质大部分地区较好，地下水无论数量还是质量分地区都有定的规律。套区和沙区除洪积扇外，从东向西，水位越来越深，矿化度越来越高，单井涌水量越来越小。</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山前洪积扇地下水较为丰富。一般埋深在3～30米以下，矿化度0.5～2.5克/升，单井涌水量100～140吨/时。套区和沿黄河的沙区边缘因补给量大，地下水埋深一般在0.5～3米之间，矿化度0.7～2克/升，单井涌水量50～100吨/时。乌兰布和沙区中部地下水埋深一般在1～10米以下，矿化度3克/升左右，单井涌水量40～80吨/时。到洪积扇前沿洼地矿化度増高，达4～7克/升。</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bookmarkStart w:id="10" w:name="_Toc26718"/>
      <w:bookmarkStart w:id="11" w:name="_Toc11223"/>
      <w:r>
        <w:rPr>
          <w:rFonts w:hint="eastAsia" w:ascii="宋体" w:hAnsi="宋体" w:eastAsia="宋体" w:cs="宋体"/>
          <w:snapToGrid/>
          <w:color w:val="auto"/>
          <w:kern w:val="0"/>
          <w:sz w:val="28"/>
          <w:szCs w:val="28"/>
          <w:highlight w:val="none"/>
          <w:lang w:val="en-US" w:eastAsia="zh-CN" w:bidi="ar-SA"/>
        </w:rPr>
        <w:t>点力素海子位于巴彦淖尔市磴口县哈腾套海农场，哈腾套海农场 蒙语意为"黄湖之湾"，地处乌兰布和沙漠东北边缘，场部地理座标东经107°01′，北纬40°35′，位于磴口县境内，隶属于巴彦淖尔农垦管理局。场部距离巴彦淖尔市42公里，距磴口县38公里，距</w:t>
      </w:r>
      <w:r>
        <w:rPr>
          <w:rFonts w:hint="eastAsia" w:ascii="宋体" w:hAnsi="宋体" w:eastAsia="宋体" w:cs="宋体"/>
          <w:snapToGrid/>
          <w:color w:val="auto"/>
          <w:kern w:val="0"/>
          <w:sz w:val="28"/>
          <w:szCs w:val="28"/>
          <w:highlight w:val="none"/>
          <w:lang w:val="en-US" w:eastAsia="zh-CN" w:bidi="ar-SA"/>
        </w:rPr>
        <w:fldChar w:fldCharType="begin"/>
      </w:r>
      <w:r>
        <w:rPr>
          <w:rFonts w:hint="eastAsia" w:ascii="宋体" w:hAnsi="宋体" w:eastAsia="宋体" w:cs="宋体"/>
          <w:snapToGrid/>
          <w:color w:val="auto"/>
          <w:kern w:val="0"/>
          <w:sz w:val="28"/>
          <w:szCs w:val="28"/>
          <w:highlight w:val="none"/>
          <w:lang w:val="en-US" w:eastAsia="zh-CN" w:bidi="ar-SA"/>
        </w:rPr>
        <w:instrText xml:space="preserve"> HYPERLINK "https://baike.so.com/doc/6455960-6669646.html" \t "_blank" </w:instrText>
      </w:r>
      <w:r>
        <w:rPr>
          <w:rFonts w:hint="eastAsia" w:ascii="宋体" w:hAnsi="宋体" w:eastAsia="宋体" w:cs="宋体"/>
          <w:snapToGrid/>
          <w:color w:val="auto"/>
          <w:kern w:val="0"/>
          <w:sz w:val="28"/>
          <w:szCs w:val="28"/>
          <w:highlight w:val="none"/>
          <w:lang w:val="en-US" w:eastAsia="zh-CN" w:bidi="ar-SA"/>
        </w:rPr>
        <w:fldChar w:fldCharType="separate"/>
      </w:r>
      <w:r>
        <w:rPr>
          <w:rFonts w:hint="eastAsia" w:ascii="宋体" w:hAnsi="宋体" w:eastAsia="宋体" w:cs="宋体"/>
          <w:snapToGrid/>
          <w:color w:val="auto"/>
          <w:kern w:val="0"/>
          <w:sz w:val="28"/>
          <w:szCs w:val="28"/>
          <w:highlight w:val="none"/>
          <w:lang w:val="en-US" w:eastAsia="zh-CN" w:bidi="ar-SA"/>
        </w:rPr>
        <w:t>包兰铁路</w:t>
      </w:r>
      <w:r>
        <w:rPr>
          <w:rFonts w:hint="eastAsia" w:ascii="宋体" w:hAnsi="宋体" w:eastAsia="宋体" w:cs="宋体"/>
          <w:snapToGrid/>
          <w:color w:val="auto"/>
          <w:kern w:val="0"/>
          <w:sz w:val="28"/>
          <w:szCs w:val="28"/>
          <w:highlight w:val="none"/>
          <w:lang w:val="en-US" w:eastAsia="zh-CN" w:bidi="ar-SA"/>
        </w:rPr>
        <w:fldChar w:fldCharType="end"/>
      </w:r>
      <w:r>
        <w:rPr>
          <w:rFonts w:hint="eastAsia" w:ascii="宋体" w:hAnsi="宋体" w:eastAsia="宋体" w:cs="宋体"/>
          <w:snapToGrid/>
          <w:color w:val="auto"/>
          <w:kern w:val="0"/>
          <w:sz w:val="28"/>
          <w:szCs w:val="28"/>
          <w:highlight w:val="none"/>
          <w:lang w:val="en-US" w:eastAsia="zh-CN" w:bidi="ar-SA"/>
        </w:rPr>
        <w:t>头道桥火车站货运场12公里，110国道、</w:t>
      </w:r>
      <w:r>
        <w:rPr>
          <w:rFonts w:hint="eastAsia" w:ascii="宋体" w:hAnsi="宋体" w:eastAsia="宋体" w:cs="宋体"/>
          <w:snapToGrid/>
          <w:color w:val="auto"/>
          <w:kern w:val="0"/>
          <w:sz w:val="28"/>
          <w:szCs w:val="28"/>
          <w:highlight w:val="none"/>
          <w:lang w:val="en-US" w:eastAsia="zh-CN" w:bidi="ar-SA"/>
        </w:rPr>
        <w:fldChar w:fldCharType="begin"/>
      </w:r>
      <w:r>
        <w:rPr>
          <w:rFonts w:hint="eastAsia" w:ascii="宋体" w:hAnsi="宋体" w:eastAsia="宋体" w:cs="宋体"/>
          <w:snapToGrid/>
          <w:color w:val="auto"/>
          <w:kern w:val="0"/>
          <w:sz w:val="28"/>
          <w:szCs w:val="28"/>
          <w:highlight w:val="none"/>
          <w:lang w:val="en-US" w:eastAsia="zh-CN" w:bidi="ar-SA"/>
        </w:rPr>
        <w:instrText xml:space="preserve"> HYPERLINK "https://baike.so.com/doc/6452477-6666162.html" \t "_blank" </w:instrText>
      </w:r>
      <w:r>
        <w:rPr>
          <w:rFonts w:hint="eastAsia" w:ascii="宋体" w:hAnsi="宋体" w:eastAsia="宋体" w:cs="宋体"/>
          <w:snapToGrid/>
          <w:color w:val="auto"/>
          <w:kern w:val="0"/>
          <w:sz w:val="28"/>
          <w:szCs w:val="28"/>
          <w:highlight w:val="none"/>
          <w:lang w:val="en-US" w:eastAsia="zh-CN" w:bidi="ar-SA"/>
        </w:rPr>
        <w:fldChar w:fldCharType="separate"/>
      </w:r>
      <w:r>
        <w:rPr>
          <w:rFonts w:hint="eastAsia" w:ascii="宋体" w:hAnsi="宋体" w:eastAsia="宋体" w:cs="宋体"/>
          <w:snapToGrid/>
          <w:color w:val="auto"/>
          <w:kern w:val="0"/>
          <w:sz w:val="28"/>
          <w:szCs w:val="28"/>
          <w:highlight w:val="none"/>
          <w:lang w:val="en-US" w:eastAsia="zh-CN" w:bidi="ar-SA"/>
        </w:rPr>
        <w:t>京藏高速公路</w:t>
      </w:r>
      <w:r>
        <w:rPr>
          <w:rFonts w:hint="eastAsia" w:ascii="宋体" w:hAnsi="宋体" w:eastAsia="宋体" w:cs="宋体"/>
          <w:snapToGrid/>
          <w:color w:val="auto"/>
          <w:kern w:val="0"/>
          <w:sz w:val="28"/>
          <w:szCs w:val="28"/>
          <w:highlight w:val="none"/>
          <w:lang w:val="en-US" w:eastAsia="zh-CN" w:bidi="ar-SA"/>
        </w:rPr>
        <w:fldChar w:fldCharType="end"/>
      </w:r>
      <w:r>
        <w:rPr>
          <w:rFonts w:hint="eastAsia" w:ascii="宋体" w:hAnsi="宋体" w:eastAsia="宋体" w:cs="宋体"/>
          <w:snapToGrid/>
          <w:color w:val="auto"/>
          <w:kern w:val="0"/>
          <w:sz w:val="28"/>
          <w:szCs w:val="28"/>
          <w:highlight w:val="none"/>
          <w:lang w:val="en-US" w:eastAsia="zh-CN" w:bidi="ar-SA"/>
        </w:rPr>
        <w:t>擦场而过并与农场油路相连，场内建有35×2千伏高压变电站以及移动、联通电信塔和自来水供给设备，交通运输方便、电力供应充足、信息传递快捷，基础设施十分完善。农场下设11个农业分场，有学校一所(包括初中)，总人口3995人。农场总面积147平方公里(22万亩)，其中耕地3万亩、林地2万亩、水面0.6万亩，可开发宜农荒地2.5万亩。</w:t>
      </w:r>
      <w:bookmarkStart w:id="12" w:name="10032799-10380808-2"/>
      <w:bookmarkEnd w:id="12"/>
      <w:r>
        <w:rPr>
          <w:rFonts w:hint="eastAsia" w:ascii="宋体" w:hAnsi="宋体" w:eastAsia="宋体" w:cs="宋体"/>
          <w:snapToGrid/>
          <w:color w:val="auto"/>
          <w:kern w:val="0"/>
          <w:sz w:val="28"/>
          <w:szCs w:val="28"/>
          <w:highlight w:val="none"/>
          <w:lang w:val="en-US" w:eastAsia="zh-CN" w:bidi="ar-SA"/>
        </w:rPr>
        <w:t>光照充足、昼夜温差大，属温带大陆性气候，全年无霜期136-144天，利于各类农作物干物质和糖份的积累;以黄灌为主、井灌为辅，非常适宜各种农作物种植和生长。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3" w:name="_Toc4887"/>
      <w:bookmarkStart w:id="14" w:name="_Toc1802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点力素海子的总湖长由沙金套海苏木苏木达、党委副书记担任、沿湖各村段的湖长由各村支部书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3"/>
      <w:bookmarkEnd w:id="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5" w:name="_Toc29047"/>
      <w:bookmarkStart w:id="16" w:name="_Toc2797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5"/>
      <w:bookmarkEnd w:id="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点力素海子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点力素海子已设立湖长责任制，明确了其相应职责。点力素海子目前尚未编制岸线保护与利用规划。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目前点力素海子湖长组织体系已经初步建立，根据各级河(湖)长制文件要求，各部门负责分工基本明确。但仍需要进一步完善河湖建设项目监管、占用水域补偿、河流日常巡查制度等制度体系。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7" w:name="_Toc23593"/>
      <w:bookmarkStart w:id="18" w:name="_Toc188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7"/>
      <w:bookmarkEnd w:id="18"/>
    </w:p>
    <w:p>
      <w:pPr>
        <w:bidi w:val="0"/>
        <w:spacing w:line="360" w:lineRule="auto"/>
        <w:rPr>
          <w:rFonts w:hint="eastAsia" w:ascii="宋体" w:hAnsi="宋体" w:eastAsia="宋体" w:cs="宋体"/>
          <w:b/>
          <w:bCs/>
          <w:color w:val="auto"/>
          <w:sz w:val="28"/>
          <w:szCs w:val="28"/>
          <w:highlight w:val="none"/>
        </w:rPr>
      </w:pPr>
      <w:bookmarkStart w:id="19" w:name="_Toc17869"/>
      <w:r>
        <w:rPr>
          <w:rFonts w:hint="eastAsia" w:ascii="宋体" w:hAnsi="宋体" w:eastAsia="宋体" w:cs="宋体"/>
          <w:b/>
          <w:bCs/>
          <w:color w:val="auto"/>
          <w:sz w:val="28"/>
          <w:szCs w:val="28"/>
          <w:highlight w:val="none"/>
        </w:rPr>
        <w:t>1.8.1 组织形式</w:t>
      </w:r>
      <w:bookmarkEnd w:id="19"/>
    </w:p>
    <w:p>
      <w:pPr>
        <w:widowControl w:val="0"/>
        <w:kinsoku/>
        <w:adjustRightInd w:val="0"/>
        <w:snapToGrid/>
        <w:spacing w:line="360" w:lineRule="auto"/>
        <w:ind w:right="80" w:rightChars="38" w:firstLine="560" w:firstLineChars="200"/>
        <w:contextualSpacing/>
        <w:jc w:val="left"/>
        <w:textAlignment w:val="auto"/>
        <w:rPr>
          <w:rFonts w:ascii="Arial"/>
          <w:color w:val="auto"/>
          <w:sz w:val="21"/>
          <w:highlight w:val="none"/>
        </w:rPr>
      </w:pPr>
      <w:r>
        <w:rPr>
          <w:rFonts w:hint="eastAsia" w:ascii="宋体" w:hAnsi="宋体" w:eastAsia="宋体" w:cs="宋体"/>
          <w:snapToGrid/>
          <w:color w:val="auto"/>
          <w:kern w:val="0"/>
          <w:sz w:val="28"/>
          <w:szCs w:val="28"/>
          <w:highlight w:val="yellow"/>
          <w:lang w:val="en-US" w:eastAsia="zh-CN" w:bidi="ar-SA"/>
        </w:rPr>
        <w:t>磴口县设立由哈腾套海农场公司党委书记担任总河长。点力素海子湖长由哈腾套海农场公司镇（场）级河湖长担任，分场级湖长由所在分场的支部主任担任。</w:t>
      </w:r>
    </w:p>
    <w:p>
      <w:pPr>
        <w:bidi w:val="0"/>
        <w:spacing w:line="360" w:lineRule="auto"/>
        <w:rPr>
          <w:rFonts w:hint="eastAsia" w:ascii="宋体" w:hAnsi="宋体" w:eastAsia="宋体" w:cs="宋体"/>
          <w:b/>
          <w:bCs/>
          <w:color w:val="auto"/>
          <w:sz w:val="28"/>
          <w:szCs w:val="28"/>
          <w:highlight w:val="none"/>
        </w:rPr>
      </w:pPr>
      <w:bookmarkStart w:id="20" w:name="_Toc26295"/>
      <w:r>
        <w:rPr>
          <w:rFonts w:hint="eastAsia" w:ascii="宋体" w:hAnsi="宋体" w:eastAsia="宋体" w:cs="宋体"/>
          <w:b/>
          <w:bCs/>
          <w:color w:val="auto"/>
          <w:sz w:val="28"/>
          <w:szCs w:val="28"/>
          <w:highlight w:val="none"/>
        </w:rPr>
        <w:t>1.8.2 河长职责</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点力素海子的管理保护负总责，统筹协调湖泊与入湖河流的管理保护工作，协调解决点力素海子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点力素海子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苏木木乡镇级湖长(1)对点力素海子的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嘎查村级湖长具体落实本辖区内的点力素海子</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1" w:name="_Toc10201"/>
      <w:r>
        <w:rPr>
          <w:rFonts w:hint="eastAsia" w:ascii="宋体" w:hAnsi="宋体" w:eastAsia="宋体" w:cs="宋体"/>
          <w:b/>
          <w:bCs/>
          <w:color w:val="auto"/>
          <w:sz w:val="28"/>
          <w:szCs w:val="28"/>
          <w:highlight w:val="none"/>
        </w:rPr>
        <w:t>1.8.3 河长办公室</w:t>
      </w:r>
      <w:bookmarkEnd w:id="2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2" w:name="_Toc3522"/>
      <w:bookmarkStart w:id="23" w:name="_Toc1030"/>
      <w:r>
        <w:rPr>
          <w:rFonts w:hint="eastAsia" w:ascii="宋体" w:hAnsi="宋体" w:eastAsia="宋体" w:cs="宋体"/>
          <w:color w:val="auto"/>
          <w:sz w:val="32"/>
          <w:szCs w:val="32"/>
          <w:highlight w:val="none"/>
          <w:lang w:val="en-US" w:eastAsia="zh-CN"/>
        </w:rPr>
        <w:t>2 岸线保护和利用形势分析</w:t>
      </w:r>
      <w:bookmarkEnd w:id="22"/>
      <w:bookmarkEnd w:id="2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4" w:name="_Toc24909"/>
      <w:bookmarkStart w:id="25" w:name="_Toc46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4"/>
      <w:bookmarkEnd w:id="25"/>
    </w:p>
    <w:p>
      <w:pPr>
        <w:bidi w:val="0"/>
        <w:spacing w:line="360" w:lineRule="auto"/>
        <w:rPr>
          <w:rFonts w:hint="eastAsia" w:ascii="宋体" w:hAnsi="宋体" w:eastAsia="宋体" w:cs="宋体"/>
          <w:b/>
          <w:bCs/>
          <w:color w:val="auto"/>
          <w:sz w:val="28"/>
          <w:szCs w:val="28"/>
          <w:highlight w:val="none"/>
        </w:rPr>
      </w:pPr>
      <w:bookmarkStart w:id="26" w:name="_Toc4942"/>
      <w:r>
        <w:rPr>
          <w:rFonts w:hint="eastAsia" w:ascii="宋体" w:hAnsi="宋体" w:eastAsia="宋体" w:cs="宋体"/>
          <w:b/>
          <w:bCs/>
          <w:color w:val="auto"/>
          <w:sz w:val="28"/>
          <w:szCs w:val="28"/>
          <w:highlight w:val="none"/>
        </w:rPr>
        <w:t>2.1.1 岸线评价的一般原则</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7" w:name="_Toc528"/>
      <w:r>
        <w:rPr>
          <w:rFonts w:hint="eastAsia" w:ascii="宋体" w:hAnsi="宋体" w:eastAsia="宋体" w:cs="宋体"/>
          <w:b/>
          <w:bCs/>
          <w:color w:val="auto"/>
          <w:sz w:val="28"/>
          <w:szCs w:val="28"/>
          <w:highlight w:val="none"/>
        </w:rPr>
        <w:t>2.1.2 岸线评价的一般程序</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8" w:name="_Toc18276"/>
      <w:r>
        <w:rPr>
          <w:rFonts w:hint="eastAsia" w:ascii="宋体" w:hAnsi="宋体" w:eastAsia="宋体" w:cs="宋体"/>
          <w:b/>
          <w:bCs/>
          <w:color w:val="auto"/>
          <w:sz w:val="28"/>
          <w:szCs w:val="28"/>
          <w:highlight w:val="none"/>
        </w:rPr>
        <w:t>2.1.3 岸线评价的结论</w:t>
      </w:r>
      <w:bookmarkEnd w:id="2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点力素海子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点力素海子岸线基本利用率为零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9" w:name="_Toc8906"/>
      <w:bookmarkStart w:id="30" w:name="_Toc2380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9"/>
      <w:bookmarkEnd w:id="3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点力素海子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点力素海子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1" w:name="_Toc11750"/>
      <w:bookmarkStart w:id="32" w:name="_Toc183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1"/>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3" w:name="_Toc5725"/>
      <w:r>
        <w:rPr>
          <w:rFonts w:hint="eastAsia" w:ascii="宋体" w:hAnsi="宋体" w:eastAsia="宋体" w:cs="宋体"/>
          <w:b/>
          <w:bCs/>
          <w:color w:val="auto"/>
          <w:sz w:val="28"/>
          <w:szCs w:val="28"/>
          <w:highlight w:val="none"/>
        </w:rPr>
        <w:t>2.3.1 岸线保护需求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点力素海子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4"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5" w:name="_Toc1150"/>
      <w:bookmarkStart w:id="36" w:name="_Toc259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5"/>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5537"/>
      <w:r>
        <w:rPr>
          <w:rFonts w:hint="eastAsia" w:ascii="宋体" w:hAnsi="宋体" w:eastAsia="宋体" w:cs="宋体"/>
          <w:b w:val="0"/>
          <w:bCs w:val="0"/>
          <w:color w:val="auto"/>
          <w:sz w:val="28"/>
          <w:szCs w:val="28"/>
          <w:highlight w:val="none"/>
          <w:lang w:val="en-US" w:eastAsia="zh-CN"/>
        </w:rPr>
        <w:t>1、保障防洪安全</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7649"/>
      <w:r>
        <w:rPr>
          <w:rFonts w:hint="eastAsia" w:ascii="宋体" w:hAnsi="宋体" w:eastAsia="宋体" w:cs="宋体"/>
          <w:b w:val="0"/>
          <w:bCs w:val="0"/>
          <w:color w:val="auto"/>
          <w:sz w:val="28"/>
          <w:szCs w:val="28"/>
          <w:highlight w:val="none"/>
          <w:lang w:val="en-US" w:eastAsia="zh-CN"/>
        </w:rPr>
        <w:t>2、保护水资源与水环境</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9"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40" w:name="_Toc24259"/>
      <w:bookmarkStart w:id="41" w:name="_Toc30559"/>
      <w:r>
        <w:rPr>
          <w:rFonts w:hint="eastAsia" w:ascii="宋体" w:hAnsi="宋体" w:eastAsia="宋体" w:cs="宋体"/>
          <w:color w:val="auto"/>
          <w:sz w:val="32"/>
          <w:szCs w:val="32"/>
          <w:highlight w:val="none"/>
          <w:lang w:val="en-US" w:eastAsia="zh-CN"/>
        </w:rPr>
        <w:t>3 编制依据</w:t>
      </w:r>
      <w:bookmarkEnd w:id="40"/>
      <w:bookmarkEnd w:id="4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2" w:name="_Toc24645"/>
      <w:bookmarkStart w:id="43" w:name="_Toc1280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2"/>
      <w:bookmarkEnd w:id="4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4" w:name="_bookmark26"/>
      <w:bookmarkEnd w:id="44"/>
      <w:bookmarkStart w:id="45" w:name="_Toc15074"/>
      <w:bookmarkStart w:id="46" w:name="_Toc232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5"/>
      <w:bookmarkEnd w:id="4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7" w:name="_Toc6215"/>
      <w:bookmarkStart w:id="48" w:name="_Toc2830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7"/>
      <w:bookmarkEnd w:id="4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9" w:name="_bookmark27"/>
      <w:bookmarkEnd w:id="49"/>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0" w:name="_Toc13452"/>
      <w:bookmarkStart w:id="51" w:name="_Toc976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50"/>
      <w:bookmarkEnd w:id="5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2" w:name="_Toc11650"/>
      <w:bookmarkStart w:id="53" w:name="_Toc286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2"/>
      <w:bookmarkEnd w:id="5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4" w:name="_bookmark29"/>
      <w:bookmarkEnd w:id="54"/>
      <w:bookmarkStart w:id="55" w:name="_bookmark30"/>
      <w:bookmarkEnd w:id="55"/>
      <w:bookmarkStart w:id="56" w:name="_bookmark28"/>
      <w:bookmarkEnd w:id="56"/>
      <w:bookmarkStart w:id="57" w:name="_Toc12929"/>
      <w:bookmarkStart w:id="58" w:name="_Toc1829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7"/>
      <w:bookmarkEnd w:id="5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9" w:name="_bookmark31"/>
      <w:bookmarkEnd w:id="59"/>
      <w:bookmarkStart w:id="60" w:name="_Toc2125"/>
      <w:bookmarkStart w:id="61" w:name="_Toc19953"/>
      <w:r>
        <w:rPr>
          <w:rFonts w:hint="eastAsia" w:ascii="宋体" w:hAnsi="宋体" w:eastAsia="宋体" w:cs="宋体"/>
          <w:color w:val="auto"/>
          <w:sz w:val="32"/>
          <w:szCs w:val="32"/>
          <w:highlight w:val="none"/>
          <w:lang w:val="en-US" w:eastAsia="zh-CN"/>
        </w:rPr>
        <w:t>4 指导思想与原则</w:t>
      </w:r>
      <w:bookmarkEnd w:id="60"/>
      <w:bookmarkEnd w:id="6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2" w:name="_Toc20412"/>
      <w:bookmarkStart w:id="63" w:name="_Toc315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2"/>
      <w:bookmarkEnd w:id="6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4" w:name="_Toc7517"/>
      <w:bookmarkStart w:id="65" w:name="_Toc570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4"/>
      <w:bookmarkEnd w:id="6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6" w:name="_bookmark32"/>
      <w:bookmarkEnd w:id="66"/>
      <w:bookmarkStart w:id="67" w:name="_Toc31890"/>
      <w:bookmarkStart w:id="68" w:name="_Toc323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7"/>
      <w:bookmarkEnd w:id="68"/>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点力素海子</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9" w:name="_Toc7337"/>
      <w:bookmarkStart w:id="70" w:name="_Toc73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9"/>
      <w:bookmarkEnd w:id="70"/>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点力素海子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点力素海子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1" w:name="_bookmark33"/>
      <w:bookmarkEnd w:id="71"/>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2" w:name="_Toc26733"/>
      <w:bookmarkStart w:id="73" w:name="_Toc30596"/>
      <w:r>
        <w:rPr>
          <w:rFonts w:hint="eastAsia" w:ascii="宋体" w:hAnsi="宋体" w:eastAsia="宋体" w:cs="宋体"/>
          <w:color w:val="auto"/>
          <w:sz w:val="32"/>
          <w:szCs w:val="32"/>
          <w:highlight w:val="none"/>
          <w:lang w:val="en-US" w:eastAsia="zh-CN"/>
        </w:rPr>
        <w:t>5 岸线控制线确定</w:t>
      </w:r>
      <w:bookmarkEnd w:id="72"/>
      <w:bookmarkEnd w:id="7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4" w:name="_Toc6332"/>
      <w:bookmarkStart w:id="75" w:name="_Toc12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4"/>
      <w:bookmarkEnd w:id="7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6" w:name="_Toc3310"/>
      <w:bookmarkStart w:id="77" w:name="_Toc2634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6"/>
      <w:bookmarkEnd w:id="7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点力素海子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8" w:name="_bookmark35"/>
      <w:bookmarkEnd w:id="78"/>
      <w:bookmarkStart w:id="79" w:name="_bookmark36"/>
      <w:bookmarkEnd w:id="79"/>
      <w:bookmarkStart w:id="80" w:name="_bookmark34"/>
      <w:bookmarkEnd w:id="80"/>
      <w:bookmarkStart w:id="81" w:name="_bookmark37"/>
      <w:bookmarkEnd w:id="81"/>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2" w:name="_Toc20801"/>
      <w:bookmarkStart w:id="83" w:name="_Toc2617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2"/>
      <w:bookmarkEnd w:id="8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4" w:name="_Toc5179"/>
      <w:bookmarkStart w:id="85" w:name="_Toc104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4"/>
      <w:bookmarkEnd w:id="8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点力素海子湖岸均属于自然坡型式，水域外围无堤防，管理范围划定工作已进行。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采用点力素海子湖泊多年平均水位线。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点力素海子外缘控制线已在《点力素海子管理范围划定方案》中划定。划定成果见附表4。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6" w:name="_Toc857"/>
      <w:bookmarkStart w:id="87" w:name="_Toc13437"/>
      <w:r>
        <w:rPr>
          <w:rFonts w:hint="eastAsia" w:ascii="宋体" w:hAnsi="宋体" w:eastAsia="宋体" w:cs="宋体"/>
          <w:color w:val="auto"/>
          <w:sz w:val="32"/>
          <w:szCs w:val="32"/>
          <w:highlight w:val="none"/>
          <w:lang w:val="en-US" w:eastAsia="zh-CN"/>
        </w:rPr>
        <w:t>6 岸线功能区划分</w:t>
      </w:r>
      <w:bookmarkEnd w:id="86"/>
      <w:bookmarkEnd w:id="87"/>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8" w:name="_Toc11891"/>
      <w:bookmarkStart w:id="89" w:name="_Toc513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8"/>
      <w:bookmarkEnd w:id="8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0" w:name="_Toc30011"/>
      <w:bookmarkStart w:id="91" w:name="_Toc270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90"/>
      <w:bookmarkEnd w:id="9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2" w:name="_Toc20355"/>
      <w:bookmarkStart w:id="93" w:name="_Toc160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2"/>
      <w:bookmarkEnd w:id="93"/>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4" w:name="_bookmark40"/>
      <w:bookmarkEnd w:id="94"/>
      <w:bookmarkStart w:id="95" w:name="_bookmark39"/>
      <w:bookmarkEnd w:id="95"/>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6" w:name="_Toc24615"/>
      <w:bookmarkStart w:id="97" w:name="_Toc2544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6"/>
      <w:bookmarkEnd w:id="9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点力素海子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8" w:name="_bookmark41"/>
      <w:bookmarkEnd w:id="98"/>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点力素海子</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10.515</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8.58</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rPr>
              <w:t>0.</w:t>
            </w:r>
            <w:r>
              <w:rPr>
                <w:rFonts w:hint="eastAsia" w:ascii="楷体" w:hAnsi="楷体" w:eastAsia="楷体" w:cs="楷体"/>
                <w:color w:val="auto"/>
                <w:spacing w:val="-2"/>
                <w:sz w:val="21"/>
                <w:szCs w:val="21"/>
                <w:highlight w:val="yellow"/>
                <w:lang w:val="en-US" w:eastAsia="zh-CN"/>
              </w:rPr>
              <w:t>279</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9" w:name="_bookmark43"/>
      <w:bookmarkEnd w:id="99"/>
      <w:bookmarkStart w:id="100" w:name="_bookmark42"/>
      <w:bookmarkEnd w:id="100"/>
    </w:p>
    <w:p>
      <w:pPr>
        <w:spacing w:line="360" w:lineRule="auto"/>
        <w:ind w:left="0" w:leftChars="0" w:firstLine="0" w:firstLineChars="0"/>
        <w:textAlignment w:val="center"/>
        <w:rPr>
          <w:color w:val="auto"/>
          <w:highlight w:val="none"/>
        </w:rPr>
      </w:pPr>
      <w:r>
        <w:drawing>
          <wp:inline distT="0" distB="0" distL="114300" distR="114300">
            <wp:extent cx="5290820" cy="3615055"/>
            <wp:effectExtent l="0" t="0" r="508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5290820" cy="3615055"/>
                    </a:xfrm>
                    <a:prstGeom prst="rect">
                      <a:avLst/>
                    </a:prstGeom>
                    <a:noFill/>
                    <a:ln>
                      <a:noFill/>
                    </a:ln>
                  </pic:spPr>
                </pic:pic>
              </a:graphicData>
            </a:graphic>
          </wp:inline>
        </w:drawing>
      </w: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磴口县点力素海子岸线功能区分区图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1" w:name="_bookmark44"/>
      <w:bookmarkEnd w:id="101"/>
      <w:bookmarkStart w:id="102" w:name="_bookmark45"/>
      <w:bookmarkEnd w:id="102"/>
      <w:bookmarkStart w:id="103" w:name="_Toc17655"/>
      <w:bookmarkStart w:id="104" w:name="_Toc9174"/>
      <w:r>
        <w:rPr>
          <w:rFonts w:hint="eastAsia" w:ascii="宋体" w:hAnsi="宋体" w:eastAsia="宋体" w:cs="宋体"/>
          <w:color w:val="auto"/>
          <w:sz w:val="32"/>
          <w:szCs w:val="32"/>
          <w:highlight w:val="none"/>
          <w:lang w:val="en-US" w:eastAsia="zh-CN"/>
        </w:rPr>
        <w:t>7 岸线保护与管控</w:t>
      </w:r>
      <w:bookmarkEnd w:id="103"/>
      <w:bookmarkEnd w:id="104"/>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5" w:name="_Toc12991"/>
      <w:bookmarkStart w:id="106" w:name="_Toc1990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5"/>
      <w:bookmarkEnd w:id="106"/>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4" w:name="_GoBack"/>
      <w:bookmarkEnd w:id="144"/>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对于此次点力素海子，并未列入生态敏感区及生态保护红线范围，故本次不设置岸线保护区。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7" w:name="_bookmark46"/>
      <w:bookmarkEnd w:id="107"/>
      <w:bookmarkStart w:id="108" w:name="_bookmark47"/>
      <w:bookmarkEnd w:id="108"/>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对于本次点力素海子未纳入生态保护红线范围内，故应划为岸线保留区。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9" w:name="_Toc26575"/>
      <w:bookmarkStart w:id="110" w:name="_Toc1316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9"/>
      <w:bookmarkEnd w:id="11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lang w:val="en-US" w:eastAsia="zh-CN"/>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1" w:name="_bookmark48"/>
      <w:bookmarkEnd w:id="111"/>
      <w:bookmarkStart w:id="112" w:name="_bookmark49"/>
      <w:bookmarkEnd w:id="112"/>
      <w:bookmarkStart w:id="113" w:name="_bookmark50"/>
      <w:bookmarkEnd w:id="113"/>
      <w:bookmarkStart w:id="114" w:name="_Toc1317"/>
      <w:bookmarkStart w:id="115" w:name="_Toc1413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4"/>
      <w:bookmarkEnd w:id="1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6" w:name="_Toc11915"/>
      <w:bookmarkStart w:id="117" w:name="_Toc456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6"/>
      <w:bookmarkEnd w:id="11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8" w:name="_bookmark51"/>
      <w:bookmarkEnd w:id="118"/>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9" w:name="_bookmark52"/>
      <w:bookmarkEnd w:id="119"/>
      <w:bookmarkStart w:id="120" w:name="_Toc2092"/>
      <w:bookmarkStart w:id="121" w:name="_Toc17406"/>
      <w:r>
        <w:rPr>
          <w:rFonts w:hint="eastAsia" w:ascii="宋体" w:hAnsi="宋体" w:eastAsia="宋体" w:cs="宋体"/>
          <w:color w:val="auto"/>
          <w:sz w:val="32"/>
          <w:szCs w:val="32"/>
          <w:highlight w:val="none"/>
          <w:lang w:val="en-US" w:eastAsia="zh-CN"/>
        </w:rPr>
        <w:t>8 环境影响评价</w:t>
      </w:r>
      <w:bookmarkEnd w:id="120"/>
      <w:bookmarkEnd w:id="12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2" w:name="_Toc12461"/>
      <w:bookmarkStart w:id="123" w:name="_Toc1817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2"/>
      <w:bookmarkEnd w:id="12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点力素海子水体功能区监测覆盖率达100%,2023-2025年点力素海子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持续做好点力素海子生态补水工作，理顺生态补水机制，连通生态补水工程，争取每年在黄河凌汛期给点力素海子补水100万m3,维持湿地正常水面面积。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4" w:name="_bookmark53"/>
      <w:bookmarkEnd w:id="124"/>
      <w:bookmarkStart w:id="125" w:name="_Toc12909"/>
      <w:bookmarkStart w:id="126" w:name="_Toc482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5"/>
      <w:bookmarkEnd w:id="1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7" w:name="_Toc5094"/>
      <w:bookmarkStart w:id="128" w:name="_Toc859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7"/>
      <w:bookmarkEnd w:id="12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点力素海子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点力素海子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9" w:name="_Toc1121"/>
      <w:bookmarkStart w:id="130" w:name="_Toc31091"/>
      <w:r>
        <w:rPr>
          <w:rFonts w:hint="eastAsia" w:ascii="宋体" w:hAnsi="宋体" w:eastAsia="宋体" w:cs="宋体"/>
          <w:color w:val="auto"/>
          <w:sz w:val="32"/>
          <w:szCs w:val="32"/>
          <w:highlight w:val="none"/>
          <w:lang w:val="en-US" w:eastAsia="zh-CN"/>
        </w:rPr>
        <w:t>9 保障措施</w:t>
      </w:r>
      <w:bookmarkEnd w:id="129"/>
      <w:bookmarkEnd w:id="13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1" w:name="_Toc25314"/>
      <w:bookmarkStart w:id="132" w:name="_Toc29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1"/>
      <w:bookmarkEnd w:id="1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3" w:name="_Toc22530"/>
      <w:bookmarkStart w:id="134" w:name="_Toc111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3"/>
      <w:bookmarkEnd w:id="13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5" w:name="_Toc31258"/>
      <w:bookmarkStart w:id="136" w:name="_Toc197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5"/>
      <w:bookmarkEnd w:id="1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7" w:name="_Toc21809"/>
      <w:bookmarkStart w:id="138" w:name="_Toc3005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7"/>
      <w:bookmarkEnd w:id="1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9" w:name="_Toc22812"/>
      <w:bookmarkStart w:id="140" w:name="_Toc28299"/>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9"/>
      <w:bookmarkEnd w:id="140"/>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点力素海子</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10.515</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点力素海子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hint="eastAsia" w:ascii="宋体" w:hAnsi="宋体" w:eastAsia="宋体" w:cs="宋体"/>
                <w:color w:val="auto"/>
                <w:sz w:val="21"/>
                <w:szCs w:val="21"/>
                <w:highlight w:val="yellow"/>
                <w:lang w:eastAsia="zh-CN"/>
              </w:rPr>
            </w:pPr>
            <w:r>
              <w:rPr>
                <w:rFonts w:hint="eastAsia" w:ascii="宋体" w:hAnsi="宋体" w:eastAsia="宋体" w:cs="宋体"/>
                <w:color w:val="auto"/>
                <w:spacing w:val="2"/>
                <w:sz w:val="21"/>
                <w:szCs w:val="21"/>
                <w:highlight w:val="yellow"/>
                <w:lang w:eastAsia="zh-CN"/>
              </w:rPr>
              <w:t>七分场退水渠</w:t>
            </w:r>
          </w:p>
        </w:tc>
        <w:tc>
          <w:tcPr>
            <w:tcW w:w="932" w:type="pct"/>
            <w:tcBorders>
              <w:top w:val="single" w:color="000000" w:sz="2" w:space="0"/>
              <w:bottom w:val="single" w:color="000000" w:sz="2" w:space="0"/>
            </w:tcBorders>
            <w:vAlign w:val="top"/>
          </w:tcPr>
          <w:p>
            <w:pPr>
              <w:spacing w:before="230" w:line="184" w:lineRule="auto"/>
              <w:ind w:left="95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2</w:t>
            </w:r>
          </w:p>
        </w:tc>
        <w:tc>
          <w:tcPr>
            <w:tcW w:w="741" w:type="pct"/>
            <w:tcBorders>
              <w:top w:val="single" w:color="000000" w:sz="2" w:space="0"/>
              <w:bottom w:val="single" w:color="000000" w:sz="2" w:space="0"/>
            </w:tcBorders>
            <w:vAlign w:val="top"/>
          </w:tcPr>
          <w:p>
            <w:pPr>
              <w:spacing w:before="230" w:line="185" w:lineRule="auto"/>
              <w:ind w:left="77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1.5</w:t>
            </w:r>
          </w:p>
        </w:tc>
        <w:tc>
          <w:tcPr>
            <w:tcW w:w="843" w:type="pct"/>
            <w:tcBorders>
              <w:top w:val="single" w:color="000000" w:sz="2" w:space="0"/>
              <w:bottom w:val="single" w:color="000000" w:sz="2" w:space="0"/>
            </w:tcBorders>
            <w:vAlign w:val="top"/>
          </w:tcPr>
          <w:p>
            <w:pPr>
              <w:spacing w:before="229" w:line="185" w:lineRule="auto"/>
              <w:ind w:left="79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0.15</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点力素海子</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hint="eastAsia" w:ascii="宋体" w:hAnsi="宋体" w:eastAsia="宋体" w:cs="宋体"/>
          <w:color w:val="auto"/>
          <w:spacing w:val="2"/>
          <w:sz w:val="21"/>
          <w:szCs w:val="21"/>
          <w:highlight w:val="yellow"/>
          <w:lang w:eastAsia="zh-CN"/>
        </w:rPr>
        <w:t>七分场退水渠</w:t>
      </w:r>
      <w:r>
        <w:rPr>
          <w:rFonts w:hint="eastAsia" w:ascii="宋体" w:hAnsi="宋体" w:eastAsia="宋体" w:cs="宋体"/>
          <w:color w:val="auto"/>
          <w:sz w:val="21"/>
          <w:szCs w:val="21"/>
          <w:highlight w:val="red"/>
          <w:lang w:eastAsia="zh-CN"/>
        </w:rPr>
        <w:t>。</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点力素海子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10.515</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10.515</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1" w:name="_Toc18030"/>
      <w:bookmarkStart w:id="142" w:name="_Toc26252"/>
      <w:bookmarkStart w:id="143" w:name="_Toc14364"/>
      <w:r>
        <w:rPr>
          <w:rFonts w:hint="eastAsia" w:ascii="宋体" w:hAnsi="宋体" w:cs="宋体"/>
          <w:b/>
          <w:bCs/>
          <w:color w:val="auto"/>
          <w:kern w:val="0"/>
          <w:sz w:val="28"/>
          <w:szCs w:val="28"/>
          <w:highlight w:val="none"/>
          <w:lang w:bidi="bo-CN"/>
        </w:rPr>
        <w:t xml:space="preserve">附表4 </w:t>
      </w:r>
      <w:bookmarkEnd w:id="141"/>
      <w:bookmarkEnd w:id="142"/>
      <w:bookmarkEnd w:id="143"/>
      <w:r>
        <w:rPr>
          <w:rFonts w:hint="eastAsia" w:ascii="宋体" w:hAnsi="宋体" w:cs="宋体"/>
          <w:b/>
          <w:bCs/>
          <w:color w:val="auto"/>
          <w:kern w:val="0"/>
          <w:sz w:val="28"/>
          <w:szCs w:val="28"/>
          <w:highlight w:val="none"/>
          <w:lang w:val="en-US" w:eastAsia="zh-CN" w:bidi="bo-CN"/>
        </w:rPr>
        <w:t>点力素海子外缘边界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7"/>
        <w:gridCol w:w="3456"/>
        <w:gridCol w:w="34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37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DH</w:t>
            </w:r>
          </w:p>
        </w:tc>
        <w:tc>
          <w:tcPr>
            <w:tcW w:w="1813"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X</w:t>
            </w:r>
          </w:p>
        </w:tc>
        <w:tc>
          <w:tcPr>
            <w:tcW w:w="1813"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36413823.79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4492925.66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36413813.87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4492920.368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36413807.26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4492900.524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36413769.55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4492828.425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36413752.36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4492835.701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36413731.19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4492843.639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36413713.99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4492850.253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36413708.7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4492850.253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36413691.5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4492846.946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36413681.58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4492833.055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36413669.01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4492825.118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36413653.8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4492819.164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36413637.26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4492817.18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4492807.92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36413614.11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4492797.336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36413602.87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4492792.706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36413580.38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4492788.076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36413565.83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4492788.076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36413556.3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4492790.171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36413543.6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4492808.162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36413528.52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4492829.594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36413512.64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4492839.648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36413491.48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36413468.46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36413452.85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36413436.18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4492844.939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36413423.48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4492843.109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36413413.23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4492834.51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36413403.97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4492816.982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36413400.33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4492803.091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36413394.71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4492803.752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36413390.08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4492807.391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36413392.72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4492818.305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36413405.62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4492847.078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36413411.57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4492857.661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36413425.46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4492864.276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36413441.34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4492870.891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36413453.91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4492871.883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36413462.84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4492868.576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36413475.4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4492862.622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36413480.7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4492861.299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36413487.31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4492863.945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36413492.27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4492868.576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36413496.57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4492870.229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36413507.48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4492864.938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36413513.11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4492860.638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36413520.71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4492858.984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36413522.37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4492861.63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36413524.35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4492872.875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36413521.04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4492883.128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36413518.73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4492890.734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36413517.74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4492902.641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36413518.73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4492912.232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36413519.39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36413519.06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4492938.69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36413519.72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4492946.297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36413518.07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4492950.927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36413513.44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4492951.589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36413511.12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4492958.865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36413506.49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4492965.81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36413500.87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4492971.763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36413500.87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4492978.378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36413505.83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4492980.693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36413508.48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4492987.308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36413500.87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4492997.56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36413485.33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4493010.459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36413475.4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4493018.727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36413456.88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4493049.485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36413436.38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4493067.013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36413420.17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4493084.542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36413395.7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4493098.102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36413364.94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4493116.193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36413354.36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4493149.001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36413335.31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4493186.043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36413307.79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4493224.143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36413274.98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4493284.468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36413264.93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4493295.581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36413243.23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4493313.043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36413231.06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4493346.381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36413218.89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4493354.318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36413209.36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4493372.839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36413177.61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4493410.939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36413132.64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4493447.452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36413068.08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4493488.727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36413005.63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4493528.944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36412940.55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4493555.931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36412900.86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4493568.631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36412855.35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4493587.681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36412826.25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4493584.506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36412827.31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4493577.627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36412828.36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4493559.636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36412841.59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4493518.89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36412841.59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4493508.306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36412807.2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4493513.598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36412791.32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4493526.298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36412772.27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4493543.231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36412762.75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4493557.519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36412743.7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4493562.811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36412702.42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36412626.75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4493570.748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36412607.7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4493567.573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36412602.94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4493561.752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36412597.12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4493560.694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36412566.43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4493561.223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36412505.04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4493565.986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36412452.13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4493574.452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36412409.79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4493599.323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36412381.22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36412361.64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36412347.35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4493603.556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36412339.94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4493594.031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36412341.53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4493579.744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36412344.18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4493570.219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36412357.93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4493558.577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36412374.87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36412401.33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4493543.231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36412426.2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4493537.41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36412473.82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4493533.177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36412521.45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4493528.415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36412577.01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4493521.535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36412617.23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4493513.598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36412633.63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4493503.015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36412634.16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4493482.377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36412629.4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4493460.681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36412628.87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4493442.689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36412598.18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4493423.639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36412563.25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4493417.819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36412545.26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4493410.939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36412542.08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4493401.414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36412552.67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4493388.185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36412567.48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4493374.427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36412582.3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4493361.727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36412591.83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4493355.377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36412591.3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4493340.031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36412589.71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4493327.86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36412571.19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4493316.748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36412536.79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4493293.464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36412511.92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4493281.293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36412490.23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4493281.293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36412454.77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4493283.939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36412402.91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4493290.289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36412358.46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4493302.989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36412272.74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4493327.331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36412235.17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4493330.506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36412187.54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4493336.327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36412173.68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4493328.742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36412148.28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4493324.509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36412111.24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36412096.42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4493340.384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36412062.02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4493345.675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36412003.29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4493350.967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36411946.14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4493354.671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36411917.56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4493359.963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36411900.49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4493379.833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36411886.21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4493392.93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36411869.14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4493414.361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36411851.28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4493431.427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36411827.87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4493453.652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36411806.44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4493467.543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36411793.73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4493481.036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36411783.42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4493483.815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36411754.05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4493488.577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36411734.2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4493495.721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36411736.19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4493500.483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36411746.51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4493506.437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36411762.38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4493513.183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36411771.11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4493524.296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36411762.78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4493538.583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36411738.57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4493567.555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36411708.01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36411699.68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4493613.196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36411689.36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4493633.437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36411665.81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4493661.483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36411653.9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4493684.634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36411649.93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4493711.092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36411649.27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4493741.519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36411657.87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4493777.238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36411671.76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4493813.618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36411689.62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4493850.66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36411692.93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4493855.704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36411698.88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4493860.995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36411707.81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4493863.972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36411720.05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4493864.633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36411731.62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4493868.271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36411744.52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4493875.548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36411758.74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4493894.399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36411769.99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4493918.212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36411778.92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4493947.316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36411785.6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4493993.883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36411794.59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4494019.283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36411822.64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4494055.266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36411840.1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4494065.32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36411875.03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4494078.55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36411960.75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4494108.712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36412016.32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4494127.762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36412035.9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4494130.937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36412066.59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4494133.583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36412095.69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4494138.875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36412121.62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4494139.933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36412150.72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4494146.812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36412174.01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4494154.75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36412196.23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4494158.983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36412227.45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4494160.571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36412255.5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4494162.158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36412317.68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4494169.302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36412354.98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4494169.302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36412391.1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4494166.921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36412406.18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4494168.508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36412430.79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4494176.446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36412453.41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4494177.636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36412514.92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4494181.208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36412588.74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4494185.177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36412582.8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4494195.518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36412608.6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4494206.762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36412616.54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4494222.637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36412594.05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4494231.898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36412559.65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4494229.914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36412537.82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4494229.914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36412532.53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4494247.111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36412508.06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4494262.987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36412482.26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36412469.03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4494290.768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36412482.26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4494294.737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36412524.59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4494283.492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36412544.44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4494268.94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36412578.17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4494262.325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36412622.49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4494261.002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36412654.57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4494263.979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36412661.85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4494257.695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36412682.02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4494243.473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36412692.93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4494236.197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36412719.39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4494238.512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36412730.97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4494241.82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36412765.03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4494239.835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36412789.51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4494229.583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36412804.06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4494220.984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36412807.37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4494217.015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36412793.81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4494215.361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36412768.67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4494215.361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36412762.72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4494211.723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36412760.73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4494205.109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36412765.03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4494199.817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36412775.95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4494198.825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36412790.83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4494197.502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36412815.3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4494194.525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36412858.63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4494182.95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36412897.33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4494167.075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36412931.06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4494154.176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36412995.17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4494147.617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36413013.69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4494146.294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36413020.96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4494142.987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36413055.36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4494123.804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36413116.87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4494069.565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36413153.92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4494033.846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36413168.47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4494004.742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36413194.27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4493955.794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36413212.12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4493932.643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36413212.46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4493923.713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36413211.13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4493917.429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36413186.33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4493916.106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36413154.58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4493915.445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36413136.72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4493913.129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36413130.1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36413132.09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4493888.655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36413140.69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4493876.418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36413160.86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4493868.15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36413193.93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4493853.598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36413218.74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4493844.338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36413231.97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4493843.015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36413259.09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4493846.653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36413285.55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4493847.645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36413301.09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4493843.015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36413322.92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4493837.062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36413348.39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4493833.754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36413372.53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4493821.848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36413402.29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4493809.942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36413433.05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4493799.358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36413459.84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4493788.114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36413492.25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4493771.908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36413523.34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4493762.647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36413559.39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4493756.033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36413606.69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4493748.095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36413643.07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4493741.15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36413664.56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4493730.897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36413682.83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4493720.182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36413698.71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4493698.486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36413703.47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4493683.14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36413696.59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4493668.323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36413673.84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4493651.39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36413654.26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4493634.986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36413648.97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4493616.994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36413643.15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4493599.002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36413645.79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4493583.127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36413655.85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4493567.781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36413673.84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4493551.377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36413698.18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4493552.436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36413732.57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4493556.669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36413772.79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4493563.019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36413786.55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4493572.544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36413818.3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4493578.894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36413835.76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4493580.481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36413854.28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4493580.481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36413886.56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4493583.127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36413922.02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4493586.302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36413957.37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4493599.002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36414028.48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4493616.531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36414083.38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4493632.406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36414108.85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4493641.666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36414145.23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4493661.841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36414197.48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4493677.716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36414247.42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4493690.284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36414265.28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4493703.513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36414273.22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36414274.21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4493722.034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36414288.9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4493747.932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36414292.07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4493761.69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36414307.95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4493782.857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36414338.11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4493814.078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36414358.75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4493824.661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36414387.85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4493831.541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36414417.49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36414461.41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36414483.1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4493890.807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36414503.74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4493901.92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36414528.61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4493909.857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36414557.19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4493909.328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36414587.35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4493898.216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36414585.23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4493879.166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36414578.35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4493866.466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36414551.37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4493856.941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36414550.31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4493848.474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36414555.07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4493838.949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36414569.36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4493822.545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36414576.77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4493816.724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36414586.29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4493806.141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36414587.88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4493795.557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36414584.7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4493783.916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36414574.65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4493776.507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36414557.72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4493766.982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36414545.55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4493750.049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36414525.44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4493731.528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36414508.5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4493706.128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36414499.51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4493682.315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36414494.22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4493660.619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36414496.86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4493649.507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36414508.5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4493639.453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36414503.74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4493627.282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36414490.51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4493618.286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36414476.75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4493608.761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36414469.88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4493606.909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36414466.44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4493602.94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36414470.93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4493599.501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36414484.96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4493596.855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36414492.1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4493594.738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36414491.84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4493587.859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36414488.66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4493582.303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36414479.66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4493573.307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36414468.29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4493565.369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36414451.09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4493557.961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36414431.25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4493554.521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36414401.72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36414373.67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4493576.623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36414349.33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4493586.148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36414322.34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36414294.83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4493595.144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36414283.18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4493599.906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36414271.01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4493602.552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36414268.37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4493598.848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36414284.77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4493587.206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36414280.01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4493579.269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36414275.25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4493573.448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36414265.19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4493573.448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36414249.85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36414232.38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4493585.619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36414219.16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4493591.969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36414207.51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4493596.202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36414196.93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4493596.202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36414182.64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4493596.202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36414170.47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4493590.381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36414161.48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4493586.148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36414160.95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4493581.385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36414172.06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4493579.269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36414182.11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4493577.152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36414187.41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4493572.919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36414178.41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4493567.627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36414175.76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4493561.277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36414183.17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4493555.456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36414175.76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4493548.048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36414173.65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4493535.877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36414177.35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4493524.764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36414183.7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4493513.123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36414188.46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4493503.598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36414188.46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4493492.485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36414174.18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4493489.839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36414158.3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4493491.427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36414140.84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4493494.073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36414121.26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4493494.602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36414107.5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4493490.898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36414090.57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4493488.252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36414076.28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4493490.369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36414033.95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4493503.069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36414013.84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4493506.244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36413999.55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4493493.544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36413995.32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4493479.785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36413996.9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4493464.969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36414009.08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4493454.914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36414035.01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4493439.039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36414094.89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4493398.117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36414091.58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4493387.534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36414075.71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4493355.122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36414040.65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4493277.731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36414027.42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4493238.705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36414006.25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4493210.262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36413987.73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4493195.71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36413891.16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4493120.965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36413848.16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4493083.924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36413815.75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4493063.418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36413798.56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4493054.158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36413786.65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4493031.668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J420</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36413786.65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4493015.793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36413785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4493008.187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J422</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36413795.58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4493003.556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J423</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36413804.18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4492997.934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J424</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36413811.45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4492989.666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J425</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36413820.71</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4492979.413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36413824.68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4492965.522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J427</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36413823.69</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4492951.962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7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J428</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36413823.36</w:t>
            </w:r>
          </w:p>
        </w:tc>
        <w:tc>
          <w:tcPr>
            <w:tcW w:w="1813"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4492936.087</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磴口县点力素海子岸线保护与利用规划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C90AC8"/>
    <w:rsid w:val="00E559CB"/>
    <w:rsid w:val="018A3AB7"/>
    <w:rsid w:val="023D7C56"/>
    <w:rsid w:val="027E0641"/>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C015B39"/>
    <w:rsid w:val="0C0E70CD"/>
    <w:rsid w:val="0C370F4A"/>
    <w:rsid w:val="0C3A227F"/>
    <w:rsid w:val="0CB40621"/>
    <w:rsid w:val="0CF77756"/>
    <w:rsid w:val="0DA722D1"/>
    <w:rsid w:val="0E4806A0"/>
    <w:rsid w:val="0EAD2BF9"/>
    <w:rsid w:val="0EEE1954"/>
    <w:rsid w:val="0F443B8E"/>
    <w:rsid w:val="0F507194"/>
    <w:rsid w:val="0F6A6292"/>
    <w:rsid w:val="0FC376EC"/>
    <w:rsid w:val="1038450C"/>
    <w:rsid w:val="109C7993"/>
    <w:rsid w:val="11361DC0"/>
    <w:rsid w:val="115A7068"/>
    <w:rsid w:val="11AA5F65"/>
    <w:rsid w:val="120930BA"/>
    <w:rsid w:val="12406DA8"/>
    <w:rsid w:val="136C4E31"/>
    <w:rsid w:val="143924FE"/>
    <w:rsid w:val="153E1E76"/>
    <w:rsid w:val="15EE5FD1"/>
    <w:rsid w:val="17CD1C16"/>
    <w:rsid w:val="18100E6C"/>
    <w:rsid w:val="195F0A81"/>
    <w:rsid w:val="198F7ACB"/>
    <w:rsid w:val="19E75211"/>
    <w:rsid w:val="1A915156"/>
    <w:rsid w:val="1AB20E88"/>
    <w:rsid w:val="1C250273"/>
    <w:rsid w:val="1CF34931"/>
    <w:rsid w:val="1E16258F"/>
    <w:rsid w:val="20C95808"/>
    <w:rsid w:val="20EE50D7"/>
    <w:rsid w:val="21254E4D"/>
    <w:rsid w:val="21563AC5"/>
    <w:rsid w:val="22195AB6"/>
    <w:rsid w:val="255414A6"/>
    <w:rsid w:val="25C40AFC"/>
    <w:rsid w:val="26025181"/>
    <w:rsid w:val="2638728C"/>
    <w:rsid w:val="27306D81"/>
    <w:rsid w:val="279B6C4A"/>
    <w:rsid w:val="283E110F"/>
    <w:rsid w:val="28C976A4"/>
    <w:rsid w:val="2916166F"/>
    <w:rsid w:val="29233D8C"/>
    <w:rsid w:val="2A65449A"/>
    <w:rsid w:val="2AF5113A"/>
    <w:rsid w:val="2BA727BF"/>
    <w:rsid w:val="2C215CF7"/>
    <w:rsid w:val="2C723060"/>
    <w:rsid w:val="2CFD6FEB"/>
    <w:rsid w:val="2D095047"/>
    <w:rsid w:val="2D1F12BC"/>
    <w:rsid w:val="2D271B5E"/>
    <w:rsid w:val="2D5F33CE"/>
    <w:rsid w:val="2E02330F"/>
    <w:rsid w:val="2E953036"/>
    <w:rsid w:val="2EBC05C2"/>
    <w:rsid w:val="2EE0630D"/>
    <w:rsid w:val="2EE82927"/>
    <w:rsid w:val="2F8F7953"/>
    <w:rsid w:val="2FCE35C6"/>
    <w:rsid w:val="2FDA06A4"/>
    <w:rsid w:val="3195090E"/>
    <w:rsid w:val="325A1783"/>
    <w:rsid w:val="32C4038E"/>
    <w:rsid w:val="32F9288C"/>
    <w:rsid w:val="330662B0"/>
    <w:rsid w:val="33B30E42"/>
    <w:rsid w:val="33D97E69"/>
    <w:rsid w:val="343B4219"/>
    <w:rsid w:val="343C382B"/>
    <w:rsid w:val="34AF3DA0"/>
    <w:rsid w:val="365E6403"/>
    <w:rsid w:val="36767BF1"/>
    <w:rsid w:val="36EC1C61"/>
    <w:rsid w:val="37E159F7"/>
    <w:rsid w:val="38264283"/>
    <w:rsid w:val="385B6B7F"/>
    <w:rsid w:val="395E321B"/>
    <w:rsid w:val="39FA4695"/>
    <w:rsid w:val="3A2E7B1F"/>
    <w:rsid w:val="3A3C74E1"/>
    <w:rsid w:val="3B533939"/>
    <w:rsid w:val="3B691AD2"/>
    <w:rsid w:val="3CA8662A"/>
    <w:rsid w:val="3CD21CE7"/>
    <w:rsid w:val="3CD64F45"/>
    <w:rsid w:val="3CFA03A0"/>
    <w:rsid w:val="3D01695E"/>
    <w:rsid w:val="3D02645D"/>
    <w:rsid w:val="3D5A7043"/>
    <w:rsid w:val="3DB50FFF"/>
    <w:rsid w:val="3DBB4AF6"/>
    <w:rsid w:val="3E110C94"/>
    <w:rsid w:val="3EBE693D"/>
    <w:rsid w:val="3EEB49B0"/>
    <w:rsid w:val="3F28267B"/>
    <w:rsid w:val="3FCD5865"/>
    <w:rsid w:val="3FDA2F9E"/>
    <w:rsid w:val="40955117"/>
    <w:rsid w:val="40E65FE7"/>
    <w:rsid w:val="40EF2A79"/>
    <w:rsid w:val="41042973"/>
    <w:rsid w:val="41617A27"/>
    <w:rsid w:val="41B31CF9"/>
    <w:rsid w:val="4218422B"/>
    <w:rsid w:val="42242044"/>
    <w:rsid w:val="430A3B9B"/>
    <w:rsid w:val="43821950"/>
    <w:rsid w:val="43D407CA"/>
    <w:rsid w:val="4436276D"/>
    <w:rsid w:val="451D1058"/>
    <w:rsid w:val="45A034C7"/>
    <w:rsid w:val="45E95DE9"/>
    <w:rsid w:val="45ED00D2"/>
    <w:rsid w:val="46965745"/>
    <w:rsid w:val="46B8390E"/>
    <w:rsid w:val="473E69DD"/>
    <w:rsid w:val="47D52A63"/>
    <w:rsid w:val="480B44F2"/>
    <w:rsid w:val="481B1EC8"/>
    <w:rsid w:val="48345216"/>
    <w:rsid w:val="48BB1493"/>
    <w:rsid w:val="498E47B9"/>
    <w:rsid w:val="4A31323B"/>
    <w:rsid w:val="4A8E485A"/>
    <w:rsid w:val="4B802765"/>
    <w:rsid w:val="4BD859E7"/>
    <w:rsid w:val="4C5C4B7A"/>
    <w:rsid w:val="4D6A1FD1"/>
    <w:rsid w:val="4DD14002"/>
    <w:rsid w:val="4F517E50"/>
    <w:rsid w:val="4FC733C8"/>
    <w:rsid w:val="50FB61C1"/>
    <w:rsid w:val="51082E43"/>
    <w:rsid w:val="5113499D"/>
    <w:rsid w:val="519A426F"/>
    <w:rsid w:val="51FC39E3"/>
    <w:rsid w:val="526876A7"/>
    <w:rsid w:val="52A75BA8"/>
    <w:rsid w:val="555E1B24"/>
    <w:rsid w:val="55A21A11"/>
    <w:rsid w:val="560B0AE4"/>
    <w:rsid w:val="563B5670"/>
    <w:rsid w:val="56C41E5B"/>
    <w:rsid w:val="575E5E0B"/>
    <w:rsid w:val="59A71CEC"/>
    <w:rsid w:val="59E53235"/>
    <w:rsid w:val="5A0E13B8"/>
    <w:rsid w:val="5AAF4DF5"/>
    <w:rsid w:val="5AEF2551"/>
    <w:rsid w:val="5CCC3817"/>
    <w:rsid w:val="5D9F39EB"/>
    <w:rsid w:val="5E6865F5"/>
    <w:rsid w:val="5EB127F1"/>
    <w:rsid w:val="5ED2032C"/>
    <w:rsid w:val="5FE73FBC"/>
    <w:rsid w:val="5FED1C0E"/>
    <w:rsid w:val="611F660B"/>
    <w:rsid w:val="618532D1"/>
    <w:rsid w:val="61D908F6"/>
    <w:rsid w:val="61E648E1"/>
    <w:rsid w:val="62285994"/>
    <w:rsid w:val="62BD1A79"/>
    <w:rsid w:val="63980E16"/>
    <w:rsid w:val="63BA0A55"/>
    <w:rsid w:val="64024B66"/>
    <w:rsid w:val="64B35027"/>
    <w:rsid w:val="654E3963"/>
    <w:rsid w:val="65E81D63"/>
    <w:rsid w:val="66127FAC"/>
    <w:rsid w:val="66372649"/>
    <w:rsid w:val="665E7BD6"/>
    <w:rsid w:val="6678677C"/>
    <w:rsid w:val="66C01DA1"/>
    <w:rsid w:val="66DF0602"/>
    <w:rsid w:val="67226E55"/>
    <w:rsid w:val="687C2595"/>
    <w:rsid w:val="697B284D"/>
    <w:rsid w:val="699935AF"/>
    <w:rsid w:val="69A96778"/>
    <w:rsid w:val="69BC305A"/>
    <w:rsid w:val="69CC12FA"/>
    <w:rsid w:val="6A15504C"/>
    <w:rsid w:val="6A1A44A6"/>
    <w:rsid w:val="6AC124E1"/>
    <w:rsid w:val="6B5D0FDE"/>
    <w:rsid w:val="6B5F7556"/>
    <w:rsid w:val="6B79100E"/>
    <w:rsid w:val="6C2B055A"/>
    <w:rsid w:val="6C382C77"/>
    <w:rsid w:val="6C6A0C99"/>
    <w:rsid w:val="6CAA47AC"/>
    <w:rsid w:val="6DC26C9C"/>
    <w:rsid w:val="6F1572A0"/>
    <w:rsid w:val="6FF34BBB"/>
    <w:rsid w:val="70054610"/>
    <w:rsid w:val="71504E07"/>
    <w:rsid w:val="71746FBE"/>
    <w:rsid w:val="717604C9"/>
    <w:rsid w:val="71EF202A"/>
    <w:rsid w:val="72CB6A27"/>
    <w:rsid w:val="733A3320"/>
    <w:rsid w:val="73A55074"/>
    <w:rsid w:val="73BC418E"/>
    <w:rsid w:val="73FE5E13"/>
    <w:rsid w:val="74CB28DA"/>
    <w:rsid w:val="74FC0C2B"/>
    <w:rsid w:val="75CF1D8A"/>
    <w:rsid w:val="75F33DF9"/>
    <w:rsid w:val="776E2369"/>
    <w:rsid w:val="77F95315"/>
    <w:rsid w:val="781A4E5C"/>
    <w:rsid w:val="791F54A6"/>
    <w:rsid w:val="79402441"/>
    <w:rsid w:val="798706BD"/>
    <w:rsid w:val="79CD5A5B"/>
    <w:rsid w:val="7A0B3779"/>
    <w:rsid w:val="7A7E3F4B"/>
    <w:rsid w:val="7AD73D87"/>
    <w:rsid w:val="7B486307"/>
    <w:rsid w:val="7BB44B13"/>
    <w:rsid w:val="7D586EFA"/>
    <w:rsid w:val="7FF404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qFormat/>
    <w:uiPriority w:val="0"/>
    <w:pPr>
      <w:ind w:firstLine="480"/>
      <w:jc w:val="both"/>
    </w:pPr>
    <w:rPr>
      <w:rFonts w:ascii="Calibri" w:hAnsi="Calibri" w:eastAsia="华文仿宋" w:cs="宋体"/>
      <w:sz w:val="30"/>
      <w:szCs w:val="22"/>
    </w:rPr>
  </w:style>
  <w:style w:type="paragraph" w:styleId="4">
    <w:name w:val="Body Text"/>
    <w:basedOn w:val="1"/>
    <w:next w:val="5"/>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Body Text First Indent"/>
    <w:basedOn w:val="4"/>
    <w:autoRedefine/>
    <w:qFormat/>
    <w:uiPriority w:val="0"/>
    <w:pPr>
      <w:ind w:firstLine="482"/>
    </w:pPr>
    <w:rPr>
      <w:rFonts w:ascii="Times New Roman" w:hAnsi="Times New Roman" w:eastAsia="Arial Unicode MS" w:cs="Times New Roman"/>
      <w:sz w:val="24"/>
      <w:szCs w:val="20"/>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paragraph" w:customStyle="1" w:styleId="16">
    <w:name w:val="WPSOffice手动目录 3"/>
    <w:autoRedefine/>
    <w:qFormat/>
    <w:uiPriority w:val="0"/>
    <w:pPr>
      <w:ind w:leftChars="400"/>
    </w:pPr>
    <w:rPr>
      <w:rFonts w:ascii="Times New Roman" w:hAnsi="Times New Roman" w:eastAsia="宋体" w:cs="Times New Roman"/>
      <w:sz w:val="20"/>
      <w:szCs w:val="20"/>
    </w:rPr>
  </w:style>
  <w:style w:type="paragraph" w:customStyle="1" w:styleId="17">
    <w:name w:val="样式1"/>
    <w:basedOn w:val="1"/>
    <w:autoRedefine/>
    <w:qFormat/>
    <w:uiPriority w:val="0"/>
    <w:pPr>
      <w:spacing w:line="500" w:lineRule="atLeast"/>
      <w:ind w:firstLine="200" w:firstLineChars="200"/>
    </w:pPr>
    <w:rPr>
      <w:sz w:val="28"/>
      <w:szCs w:val="24"/>
    </w:rPr>
  </w:style>
  <w:style w:type="character" w:customStyle="1" w:styleId="18">
    <w:name w:val="font1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26573</Words>
  <Characters>37407</Characters>
  <TotalTime>0</TotalTime>
  <ScaleCrop>false</ScaleCrop>
  <LinksUpToDate>false</LinksUpToDate>
  <CharactersWithSpaces>37758</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2024-03-11T08:23:51Z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