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sz w:val="44"/>
          <w:szCs w:val="44"/>
        </w:rPr>
      </w:pPr>
      <w:r>
        <w:rPr>
          <w:rFonts w:hint="eastAsia" w:ascii="方正小标宋简体" w:hAnsi="方正小标宋简体" w:eastAsia="方正小标宋简体" w:cs="方正小标宋简体"/>
          <w:b w:val="0"/>
          <w:bCs/>
          <w:color w:val="000000"/>
          <w:sz w:val="44"/>
          <w:szCs w:val="44"/>
          <w:highlight w:val="none"/>
          <w:lang w:val="en-US" w:eastAsia="zh-CN"/>
        </w:rPr>
        <w:t>巴彦淖尔市水利局</w:t>
      </w:r>
      <w:r>
        <w:rPr>
          <w:rFonts w:hint="eastAsia" w:ascii="方正小标宋简体" w:hAnsi="方正小标宋简体" w:eastAsia="方正小标宋简体" w:cs="方正小标宋简体"/>
          <w:b w:val="0"/>
          <w:bCs/>
          <w:color w:val="000000"/>
          <w:sz w:val="44"/>
          <w:szCs w:val="44"/>
          <w:highlight w:val="none"/>
        </w:rPr>
        <w:t>关于</w:t>
      </w:r>
      <w:r>
        <w:rPr>
          <w:rFonts w:hint="eastAsia" w:ascii="方正小标宋简体" w:hAnsi="方正小标宋简体" w:eastAsia="方正小标宋简体" w:cs="方正小标宋简体"/>
          <w:b w:val="0"/>
          <w:bCs/>
          <w:color w:val="000000"/>
          <w:sz w:val="44"/>
          <w:szCs w:val="44"/>
          <w:highlight w:val="none"/>
          <w:lang w:val="en-US" w:eastAsia="zh-CN"/>
        </w:rPr>
        <w:t xml:space="preserve">“临河区黄河滩区违规建设简易板房和围挡进行养殖”问题   </w:t>
      </w:r>
      <w:r>
        <w:rPr>
          <w:rFonts w:hint="eastAsia" w:ascii="方正小标宋简体" w:hAnsi="方正小标宋简体" w:eastAsia="方正小标宋简体" w:cs="方正小标宋简体"/>
          <w:b w:val="0"/>
          <w:bCs/>
          <w:color w:val="000000"/>
          <w:sz w:val="44"/>
          <w:szCs w:val="44"/>
          <w:highlight w:val="none"/>
        </w:rPr>
        <w:t>整改任务的自评报告</w:t>
      </w:r>
    </w:p>
    <w:p>
      <w:pPr>
        <w:keepNext w:val="0"/>
        <w:keepLines w:val="0"/>
        <w:pageBreakBefore w:val="0"/>
        <w:widowControl/>
        <w:kinsoku/>
        <w:wordWrap/>
        <w:overflowPunct/>
        <w:topLinePunct w:val="0"/>
        <w:autoSpaceDE/>
        <w:autoSpaceDN/>
        <w:bidi w:val="0"/>
        <w:adjustRightInd/>
        <w:snapToGrid/>
        <w:spacing w:line="560" w:lineRule="exact"/>
        <w:ind w:firstLine="720" w:firstLineChars="225"/>
        <w:jc w:val="left"/>
        <w:rPr>
          <w:rFonts w:hint="eastAsia" w:ascii="方正仿宋_GBK" w:hAnsi="方正仿宋_GBK" w:eastAsia="方正仿宋_GBK" w:cs="方正仿宋_GBK"/>
          <w:kern w:val="0"/>
          <w:sz w:val="32"/>
          <w:szCs w:val="20"/>
          <w:lang w:val="en-US" w:eastAsia="zh-CN"/>
        </w:rPr>
      </w:pP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第二轮自治区环境保护督察整改任务中，涉及临河区“</w:t>
      </w:r>
      <w:r>
        <w:rPr>
          <w:rFonts w:hint="eastAsia" w:ascii="仿宋" w:hAnsi="仿宋" w:eastAsia="仿宋" w:cs="仿宋"/>
          <w:sz w:val="32"/>
          <w:szCs w:val="32"/>
          <w:lang w:eastAsia="zh-CN"/>
        </w:rPr>
        <w:t>双河镇进步五组沿黄S315公路以南黄河滩区违规建设简易板房和围挡进行养殖</w:t>
      </w:r>
      <w:r>
        <w:rPr>
          <w:rFonts w:hint="eastAsia" w:ascii="仿宋_GB2312" w:hAnsi="仿宋_GB2312" w:eastAsia="仿宋_GB2312" w:cs="仿宋_GB2312"/>
          <w:sz w:val="32"/>
          <w:szCs w:val="32"/>
          <w:highlight w:val="none"/>
          <w:lang w:val="en-US" w:eastAsia="zh-CN"/>
        </w:rPr>
        <w:t>”问题，按照《巴彦淖尔市贯彻落实第二轮自治区生态环境保护督察报告整改方案或2023年自治区黄河流域生态环境警示片涉及巴彦淖尔市问题整改方案》《关于做好第二轮自治区生态环境保护督察报告和2023年度自治区黄河流域生态环境警示片反馈整改任务销号工作的通知》要求，我局督促临河区政府在时限内完成了此问题的整改工作。临河区政府于2024年12月6日向市整改办报送了验收销号申请并抄送我局，我局在收到文件后于12月9号组织相关人员进行现场核验。通过实地检查和资料查阅，相关整改措施全部完成，达到了整改目标要求，并按照销号程序向临河区政府出具了验收意见。</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一、整改措施落实情况</w:t>
      </w:r>
    </w:p>
    <w:p>
      <w:pPr>
        <w:keepNext w:val="0"/>
        <w:keepLines w:val="0"/>
        <w:pageBreakBefore w:val="0"/>
        <w:widowControl/>
        <w:kinsoku/>
        <w:wordWrap/>
        <w:overflowPunct/>
        <w:topLinePunct w:val="0"/>
        <w:autoSpaceDE/>
        <w:autoSpaceDN/>
        <w:bidi w:val="0"/>
        <w:adjustRightInd/>
        <w:snapToGrid/>
        <w:spacing w:line="540" w:lineRule="exact"/>
        <w:ind w:firstLine="723" w:firstLineChars="225"/>
        <w:jc w:val="both"/>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（一）整改措施：</w:t>
      </w:r>
      <w:r>
        <w:rPr>
          <w:rFonts w:hint="eastAsia" w:ascii="仿宋_GB2312" w:hAnsi="仿宋_GB2312" w:eastAsia="仿宋_GB2312" w:cs="仿宋_GB2312"/>
          <w:b w:val="0"/>
          <w:bCs w:val="0"/>
          <w:color w:val="000000"/>
          <w:sz w:val="32"/>
          <w:szCs w:val="32"/>
          <w:lang w:val="en-US" w:eastAsia="zh-CN"/>
        </w:rPr>
        <w:t>完成滩区违规建设的简易板房和围挡清理工作，并恢复原状。</w:t>
      </w:r>
    </w:p>
    <w:p>
      <w:pPr>
        <w:keepNext w:val="0"/>
        <w:keepLines w:val="0"/>
        <w:pageBreakBefore w:val="0"/>
        <w:widowControl/>
        <w:kinsoku/>
        <w:wordWrap/>
        <w:overflowPunct/>
        <w:topLinePunct w:val="0"/>
        <w:autoSpaceDE/>
        <w:autoSpaceDN/>
        <w:bidi w:val="0"/>
        <w:adjustRightInd/>
        <w:snapToGrid/>
        <w:spacing w:line="540" w:lineRule="exact"/>
        <w:ind w:firstLine="723" w:firstLineChars="225"/>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000000"/>
          <w:sz w:val="32"/>
          <w:szCs w:val="32"/>
          <w:lang w:val="en-US" w:eastAsia="zh-CN"/>
        </w:rPr>
        <w:t>整改情况：</w:t>
      </w:r>
      <w:r>
        <w:rPr>
          <w:rFonts w:hint="eastAsia" w:ascii="仿宋_GB2312" w:hAnsi="仿宋_GB2312" w:eastAsia="仿宋_GB2312" w:cs="仿宋_GB2312"/>
          <w:color w:val="000000"/>
          <w:sz w:val="32"/>
          <w:szCs w:val="32"/>
          <w:lang w:val="en-US" w:eastAsia="zh-CN"/>
        </w:rPr>
        <w:t>临河区已于2023年11月23日清理完成了违规建设的简易板房和围挡，恢复了原状。</w:t>
      </w:r>
    </w:p>
    <w:p>
      <w:pPr>
        <w:keepNext w:val="0"/>
        <w:keepLines w:val="0"/>
        <w:pageBreakBefore w:val="0"/>
        <w:widowControl/>
        <w:kinsoku/>
        <w:wordWrap/>
        <w:overflowPunct/>
        <w:topLinePunct w:val="0"/>
        <w:autoSpaceDE/>
        <w:autoSpaceDN/>
        <w:bidi w:val="0"/>
        <w:adjustRightInd/>
        <w:snapToGrid/>
        <w:spacing w:line="540" w:lineRule="exact"/>
        <w:ind w:firstLine="723" w:firstLineChars="225"/>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val="en-US" w:eastAsia="zh-CN"/>
        </w:rPr>
        <w:t>（二）整改措施：进一步压紧压实各级河湖长和职能部门责任，强化滩区管理，确保河道行洪畅通。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leftChars="0" w:right="0" w:rightChars="0" w:firstLine="643"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000000"/>
          <w:sz w:val="32"/>
          <w:szCs w:val="32"/>
          <w:lang w:val="en-US" w:eastAsia="zh-CN"/>
        </w:rPr>
        <w:t>整改情况：</w:t>
      </w:r>
      <w:r>
        <w:rPr>
          <w:rFonts w:hint="eastAsia" w:ascii="仿宋_GB2312" w:hAnsi="仿宋_GB2312" w:eastAsia="仿宋_GB2312" w:cs="仿宋_GB2312"/>
          <w:b w:val="0"/>
          <w:bCs w:val="0"/>
          <w:color w:val="000000"/>
          <w:sz w:val="32"/>
          <w:szCs w:val="32"/>
          <w:lang w:val="en-US" w:eastAsia="zh-CN"/>
        </w:rPr>
        <w:t>临河区压紧压实各级河湖长和职能部门责任，加强黄河滩区日常巡查，持续加强河湖“清四乱”行动的监督检查，引导放牧者远离黄河滩区和堤防工程，维护黄河堤防管理秩序稳定，确保河道行洪畅通和生命财产安全。</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二、整改目标完成情况</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《整改方案》要求，</w:t>
      </w:r>
      <w:r>
        <w:rPr>
          <w:rFonts w:hint="eastAsia" w:ascii="仿宋_GB2312" w:hAnsi="仿宋_GB2312" w:eastAsia="仿宋_GB2312" w:cs="仿宋_GB2312"/>
          <w:color w:val="000000"/>
          <w:sz w:val="32"/>
          <w:szCs w:val="32"/>
          <w:lang w:val="en-US" w:eastAsia="zh-CN"/>
        </w:rPr>
        <w:t>限期完成滩区违规建设简易板房和围挡清理，恢复原状。进一步压紧压实各级河湖长和职能部门责任，强化滩区管理，确保河道行洪畅通。现已</w:t>
      </w:r>
      <w:r>
        <w:rPr>
          <w:rFonts w:hint="eastAsia" w:ascii="仿宋_GB2312" w:hAnsi="仿宋_GB2312" w:eastAsia="仿宋_GB2312" w:cs="仿宋_GB2312"/>
          <w:color w:val="000000"/>
          <w:sz w:val="32"/>
          <w:szCs w:val="32"/>
        </w:rPr>
        <w:t>达到了整改目标要求。</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黑体" w:hAnsi="黑体" w:eastAsia="黑体" w:cs="黑体"/>
          <w:color w:val="000000"/>
          <w:sz w:val="32"/>
          <w:szCs w:val="32"/>
        </w:rPr>
      </w:pPr>
      <w:r>
        <w:rPr>
          <w:rFonts w:hint="eastAsia" w:ascii="黑体" w:hAnsi="黑体" w:eastAsia="黑体" w:cs="黑体"/>
          <w:b w:val="0"/>
          <w:bCs w:val="0"/>
          <w:color w:val="000000"/>
          <w:sz w:val="32"/>
          <w:szCs w:val="32"/>
        </w:rPr>
        <w:t>三、相关制度机制建设情况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i w:val="0"/>
          <w:caps w:val="0"/>
          <w:color w:val="auto"/>
          <w:spacing w:val="6"/>
          <w:sz w:val="32"/>
          <w:szCs w:val="32"/>
          <w:shd w:val="clear" w:fill="FFFFFF"/>
          <w:lang w:eastAsia="zh-CN"/>
        </w:rPr>
      </w:pPr>
      <w:r>
        <w:rPr>
          <w:rFonts w:hint="eastAsia" w:ascii="仿宋_GB2312" w:hAnsi="仿宋_GB2312" w:eastAsia="仿宋_GB2312" w:cs="仿宋_GB2312"/>
          <w:color w:val="000000"/>
          <w:sz w:val="32"/>
          <w:szCs w:val="32"/>
          <w:lang w:val="en-US" w:eastAsia="zh-CN"/>
        </w:rPr>
        <w:t>全面</w:t>
      </w:r>
      <w:r>
        <w:rPr>
          <w:rFonts w:hint="eastAsia" w:ascii="仿宋_GB2312" w:hAnsi="仿宋_GB2312" w:eastAsia="仿宋_GB2312" w:cs="仿宋_GB2312"/>
          <w:color w:val="000000"/>
          <w:sz w:val="32"/>
          <w:szCs w:val="32"/>
        </w:rPr>
        <w:t>落实“整改一个问题、规范一个领域”的工作要求，</w:t>
      </w:r>
      <w:r>
        <w:rPr>
          <w:rFonts w:hint="eastAsia" w:ascii="仿宋_GB2312" w:hAnsi="仿宋_GB2312" w:eastAsia="仿宋_GB2312" w:cs="仿宋_GB2312"/>
          <w:color w:val="000000"/>
          <w:sz w:val="32"/>
          <w:szCs w:val="32"/>
          <w:lang w:val="en-US" w:eastAsia="zh-CN"/>
        </w:rPr>
        <w:t>进一步加强</w:t>
      </w:r>
      <w:r>
        <w:rPr>
          <w:rFonts w:hint="eastAsia" w:ascii="仿宋_GB2312" w:hAnsi="仿宋_GB2312" w:eastAsia="仿宋_GB2312" w:cs="仿宋_GB2312"/>
          <w:b w:val="0"/>
          <w:bCs w:val="0"/>
          <w:color w:val="000000"/>
          <w:sz w:val="32"/>
          <w:szCs w:val="32"/>
          <w:lang w:val="en-US" w:eastAsia="zh-CN"/>
        </w:rPr>
        <w:t>黄河滩区</w:t>
      </w:r>
      <w:r>
        <w:rPr>
          <w:rFonts w:hint="eastAsia" w:ascii="仿宋_GB2312" w:hAnsi="仿宋_GB2312" w:eastAsia="仿宋_GB2312" w:cs="仿宋_GB2312"/>
          <w:color w:val="000000"/>
          <w:sz w:val="32"/>
          <w:szCs w:val="32"/>
          <w:lang w:val="en-US" w:eastAsia="zh-CN"/>
        </w:rPr>
        <w:t>管控</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市水利局建议</w:t>
      </w:r>
      <w:r>
        <w:rPr>
          <w:rFonts w:hint="eastAsia" w:ascii="仿宋" w:hAnsi="仿宋" w:eastAsia="仿宋" w:cs="仿宋"/>
          <w:sz w:val="32"/>
          <w:szCs w:val="32"/>
          <w:lang w:val="en-US" w:eastAsia="zh-CN"/>
        </w:rPr>
        <w:t>临河区政府</w:t>
      </w:r>
      <w:r>
        <w:rPr>
          <w:rFonts w:hint="eastAsia" w:ascii="仿宋" w:hAnsi="仿宋" w:eastAsia="仿宋" w:cs="仿宋"/>
          <w:sz w:val="32"/>
          <w:szCs w:val="32"/>
        </w:rPr>
        <w:t>要</w:t>
      </w:r>
      <w:r>
        <w:rPr>
          <w:rFonts w:hint="eastAsia" w:ascii="仿宋" w:hAnsi="仿宋" w:eastAsia="仿宋" w:cs="仿宋"/>
          <w:sz w:val="32"/>
          <w:szCs w:val="32"/>
          <w:lang w:val="en-US" w:eastAsia="zh-CN"/>
        </w:rPr>
        <w:t>认真</w:t>
      </w:r>
      <w:r>
        <w:rPr>
          <w:rFonts w:hint="eastAsia" w:ascii="仿宋" w:hAnsi="仿宋" w:eastAsia="仿宋" w:cs="仿宋"/>
          <w:sz w:val="32"/>
          <w:szCs w:val="32"/>
        </w:rPr>
        <w:t>落实</w:t>
      </w:r>
      <w:r>
        <w:rPr>
          <w:rFonts w:hint="eastAsia" w:ascii="仿宋" w:hAnsi="仿宋" w:eastAsia="仿宋" w:cs="仿宋"/>
          <w:sz w:val="32"/>
          <w:szCs w:val="32"/>
          <w:lang w:val="en-US" w:eastAsia="zh-CN"/>
        </w:rPr>
        <w:t>河湖长制工作机制</w:t>
      </w:r>
      <w:r>
        <w:rPr>
          <w:rFonts w:hint="eastAsia" w:ascii="仿宋" w:hAnsi="仿宋" w:eastAsia="仿宋" w:cs="仿宋"/>
          <w:sz w:val="32"/>
          <w:szCs w:val="32"/>
        </w:rPr>
        <w:t>，加大相关区域的监督检查工作力度，持续巩固</w:t>
      </w:r>
      <w:r>
        <w:rPr>
          <w:rFonts w:hint="eastAsia" w:ascii="仿宋" w:hAnsi="仿宋" w:eastAsia="仿宋" w:cs="仿宋"/>
          <w:sz w:val="32"/>
          <w:szCs w:val="32"/>
          <w:lang w:val="en-US" w:eastAsia="zh-CN"/>
        </w:rPr>
        <w:t>滩区管控</w:t>
      </w:r>
      <w:r>
        <w:rPr>
          <w:rFonts w:hint="eastAsia" w:ascii="仿宋_GB2312" w:hAnsi="仿宋_GB2312" w:eastAsia="仿宋_GB2312" w:cs="仿宋_GB2312"/>
          <w:color w:val="000000"/>
          <w:kern w:val="2"/>
          <w:sz w:val="32"/>
          <w:szCs w:val="32"/>
          <w:lang w:val="en-US" w:eastAsia="zh-CN" w:bidi="ar-SA"/>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BE356A"/>
    <w:rsid w:val="03D623C1"/>
    <w:rsid w:val="05171FEF"/>
    <w:rsid w:val="07837CD2"/>
    <w:rsid w:val="08325108"/>
    <w:rsid w:val="099F2931"/>
    <w:rsid w:val="0D2C5A58"/>
    <w:rsid w:val="0E1B2CF4"/>
    <w:rsid w:val="1357365D"/>
    <w:rsid w:val="13B2294E"/>
    <w:rsid w:val="13B43148"/>
    <w:rsid w:val="15E464DF"/>
    <w:rsid w:val="1ABE356A"/>
    <w:rsid w:val="1E86449D"/>
    <w:rsid w:val="1EEA026B"/>
    <w:rsid w:val="1F944EBC"/>
    <w:rsid w:val="24BC170F"/>
    <w:rsid w:val="265A4DC3"/>
    <w:rsid w:val="28721C4F"/>
    <w:rsid w:val="29FB60FD"/>
    <w:rsid w:val="2CF85C20"/>
    <w:rsid w:val="2D5C1A81"/>
    <w:rsid w:val="30196DE4"/>
    <w:rsid w:val="37C54EC6"/>
    <w:rsid w:val="3960277A"/>
    <w:rsid w:val="3A8B16AF"/>
    <w:rsid w:val="3C19004B"/>
    <w:rsid w:val="457765EF"/>
    <w:rsid w:val="461E78A3"/>
    <w:rsid w:val="4EA43821"/>
    <w:rsid w:val="507E1337"/>
    <w:rsid w:val="50BA070E"/>
    <w:rsid w:val="553D1FC1"/>
    <w:rsid w:val="556D34DF"/>
    <w:rsid w:val="5D42657A"/>
    <w:rsid w:val="62F55387"/>
    <w:rsid w:val="6A1275E3"/>
    <w:rsid w:val="6ACD1766"/>
    <w:rsid w:val="6DA44408"/>
    <w:rsid w:val="746A0B8F"/>
    <w:rsid w:val="746E696C"/>
    <w:rsid w:val="75436181"/>
    <w:rsid w:val="75C667FE"/>
    <w:rsid w:val="786A26C2"/>
    <w:rsid w:val="7BC77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783</Words>
  <Characters>802</Characters>
  <Lines>0</Lines>
  <Paragraphs>0</Paragraphs>
  <TotalTime>3</TotalTime>
  <ScaleCrop>false</ScaleCrop>
  <LinksUpToDate>false</LinksUpToDate>
  <CharactersWithSpaces>805</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2024-12-05T03:28:00Z</dcterms:created>
  <dc:creator>i</dc:creator>
  <cp:lastModifiedBy>Administrator</cp:lastModifiedBy>
  <dcterms:modified xsi:type="dcterms:W3CDTF">2024-12-17T07:10:25Z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1839E5D421BC4E7BB0FECA154BCAAAB5</vt:lpwstr>
  </property>
</Properties>
</file>