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巴彦淖尔市林业和草原局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关于“市林草部门对全市禁牧休牧工作推动不力，对各旗县禁牧区划定指导不够，对禁牧区面积缩水问题听之任之。督察组进驻期间调阅的相关材料提供不及时，质量不高、内容不全”整改任务的自评报告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按照《巴彦淖尔市贯彻落实第二轮自治区生态环境保护督察报告整改方案》《关于做好第二轮自治区生态环境保护督察报告和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2023年度自治区黄河流域生态环境警示片反馈整改任务销号工作的通知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》要求，市林草局组织相关地区完成了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“市林草部门对全市禁牧休牧工作推动不力，对各旗县禁牧区划定指导不够，对禁牧区面积缩水问题听之任之。督察组进驻期间调阅的相关材料提供不及时，质量不高、内容不全。”。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问题的整改工作，相关整改措施全部完成，达到了整改目标要求，现申请履行销号程序。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firstLine="700" w:firstLineChars="219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强化组织领导</w:t>
      </w:r>
      <w:r>
        <w:rPr>
          <w:rFonts w:hint="eastAsia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市林草局召开党组会议，认真学习《中央生态环境保护督察工作规定》和草原保护有关文件精神，进一步提高思想认识，加强业务人员教育管理，提升工作质效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成立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个工作专班包联指导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个涉牧旗县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做好牲畜核减、禁牧区和草畜平衡区优化调整、草原网格化监管等工作。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市林草局督促并指导相关旗县完成禁牧区优化调整，确保应禁尽禁，同步建立禁牧区和草畜平衡区矢量数据库。建立问题清单，及时调度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解相关工作情况。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firstLine="700" w:firstLineChars="219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是</w:t>
      </w: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u w:val="none"/>
          <w:lang w:val="en-US" w:eastAsia="zh-CN" w:bidi="ar-SA"/>
        </w:rPr>
        <w:t>强化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u w:val="none"/>
          <w:lang w:val="en-US" w:eastAsia="zh-CN"/>
        </w:rPr>
        <w:t>生态修复。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严格落实草畜平衡制度，结合“双重”和“三北”六期项目加快草原修复，采取封育休养、飞播种草、人工种草、免耕补播等措施，今年已完成退化草原修复296.07万亩</w:t>
      </w: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u w:val="none"/>
          <w:lang w:val="en-US" w:eastAsia="zh-CN" w:bidi="ar-SA"/>
        </w:rPr>
        <w:t>（其中草原围栏88.41万亩、飞播种草103.96万亩、人工种草71.01万亩、草原改良24.14万亩、草原生态修复治理8.55万亩）</w:t>
      </w:r>
      <w:r>
        <w:rPr>
          <w:rFonts w:hint="eastAsia" w:ascii="Times New Roman" w:hAnsi="Times New Roman" w:eastAsia="楷体_GB2312" w:cs="Times New Roman"/>
          <w:b w:val="0"/>
          <w:bCs w:val="0"/>
          <w:kern w:val="2"/>
          <w:sz w:val="32"/>
          <w:szCs w:val="32"/>
          <w:u w:val="none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完成任务量292.76万亩的101.1%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强化设施配套。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多方筹措资金，加强牧区养殖设施建设，今年新改扩建设施畜牧业养殖园区13个，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累计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建成各类牲畜托养所36个、秸秆收储中心6处、秸秆收储站点28处，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建成标准化暖棚12241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个、258.35万平方米，储草棚4277个、35.43万平方米，青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窖680个、38.10万立方米。全市饲草种植面积68.92万亩，优质青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（贮）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干草产量稳定在400万吨以上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firstLine="704" w:firstLineChars="219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强化模式创新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在自治区农牧厅和林草局的指导下，总结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推出“三个模式、十种办法”，实现少养精养，减畜不减收。三个模式，即采取“冷季现代游牧异地舍饲、联户经营智慧牧场、季节性草原畜牧业”模式，实现草原生态保护和牧民增收双赢；十种办法，即通过“就地舍饲、就地托养、异地舍饲、人工种草、秸秆利用、饲草储运、良种提升、精深加工、品牌营销、社会化服务”，推动草原畜牧业转型升级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firstLine="704" w:firstLineChars="219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强化巡查监管。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科学划定草原管护网格，聘用草原网格员779人</w:t>
      </w: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32"/>
          <w:u w:val="none"/>
          <w:cs w:val="0"/>
          <w:lang w:val="en-US" w:eastAsia="zh-CN" w:bidi="ar-SA"/>
        </w:rPr>
        <w:t>（乌拉特中旗为解决部分牧民禁牧后的生计问题，按照5万亩设置1个网格，全旗2616万亩补奖面积共设置和聘用523名网格员）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，切实提升草原监督管理水平。出台《巴彦淖尔市护林员网格化管理办法》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《全市草畜平衡和禁牧休牧巡查工作制度》，向社会发布禁牧休牧公告，并公开举报电话，加强社会监督。依法查处违法违规行为，今年以来，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警告78起，行政处罚23起、处罚金额48740元，正在调查核实132起。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firstLine="704" w:firstLineChars="219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是强化培训宣</w:t>
      </w: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传。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充分利用各类媒体和发放宣传资料、设立禁牧标识等多种形式，全方位加大禁牧休牧和草畜平衡制度、草原保护政策培训宣传力度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cs w:val="0"/>
          <w:lang w:val="en-US" w:eastAsia="zh-CN" w:bidi="ar-SA"/>
        </w:rPr>
        <w:t>，今年以来累计发布短视频35条、发放宣传资料1.5万份、设立禁牧区标识牌88块，培训农牧民9.7万余人次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《整改方案》要求“提高思想认识和政治站位，深刻认识生态环境保护督察和草原保护的重要意义，指导相关地区完成禁牧区优化调整工作。”市林草局于2024年5月24日召开党组会议，专题学习《中央生态环境保护督察工作规定》及草原保护相关文件，进一步提高了思想认识。已指导4个涉牧旗县完成了禁牧区优化调整工作。市林草局制定了《自治区第一生态环境保护督察组反馈问题整改方案》，逐项建立问题整改清单，明确责任单位和责任人，落实了整改措施和完成时限，定期调度整改落实情况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三、相关制度机制建设情况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市林草局制定了《自治区第一生态环境保护督察组反馈问题整改方案》</w:t>
      </w:r>
      <w:r>
        <w:rPr>
          <w:rFonts w:hint="eastAsia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cs="仿宋_GB2312"/>
          <w:color w:val="auto"/>
          <w:sz w:val="32"/>
          <w:szCs w:val="32"/>
          <w:lang w:val="en-US" w:eastAsia="zh-CN"/>
        </w:rPr>
        <w:t xml:space="preserve">              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04"/>
      </w:pPr>
      <w:r>
        <w:separator/>
      </w:r>
    </w:p>
  </w:endnote>
  <w:endnote w:type="continuationSeparator" w:id="1">
    <w:p>
      <w:pPr>
        <w:spacing w:line="240" w:lineRule="auto"/>
        <w:ind w:firstLine="70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704"/>
      </w:pPr>
      <w:r>
        <w:separator/>
      </w:r>
    </w:p>
  </w:footnote>
  <w:footnote w:type="continuationSeparator" w:id="1">
    <w:p>
      <w:pPr>
        <w:spacing w:before="0" w:after="0" w:line="240" w:lineRule="auto"/>
        <w:ind w:firstLine="70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3481F"/>
    <w:rsid w:val="0F0B01BA"/>
    <w:rsid w:val="10E7084B"/>
    <w:rsid w:val="210437B9"/>
    <w:rsid w:val="339077A6"/>
    <w:rsid w:val="35DB18E9"/>
    <w:rsid w:val="3EB41591"/>
    <w:rsid w:val="52316BE6"/>
    <w:rsid w:val="55E0750A"/>
    <w:rsid w:val="6D944A3D"/>
    <w:rsid w:val="6F843FBE"/>
    <w:rsid w:val="727D441A"/>
    <w:rsid w:val="75E14D7E"/>
    <w:rsid w:val="7DDF93FF"/>
    <w:rsid w:val="7E8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kinsoku/>
      <w:wordWrap/>
      <w:overflowPunct/>
      <w:topLinePunct w:val="0"/>
      <w:autoSpaceDE/>
      <w:autoSpaceDN/>
      <w:bidi w:val="0"/>
      <w:adjustRightInd/>
      <w:snapToGrid/>
      <w:spacing w:beforeAutospacing="0" w:afterAutospacing="0" w:line="640" w:lineRule="exact"/>
      <w:ind w:firstLine="704" w:firstLineChars="219"/>
      <w:jc w:val="both"/>
      <w:textAlignment w:val="auto"/>
    </w:pPr>
    <w:rPr>
      <w:rFonts w:ascii="仿宋_GB2312" w:hAnsi="仿宋_GB2312" w:eastAsia="仿宋_GB2312" w:cs="仿宋_GB2312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4</Pages>
  <Words>1610</Words>
  <Characters>1704</Characters>
  <Lines>0</Lines>
  <Paragraphs>0</Paragraphs>
  <TotalTime>4</TotalTime>
  <ScaleCrop>false</ScaleCrop>
  <LinksUpToDate>false</LinksUpToDate>
  <CharactersWithSpaces>1718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2024-12-13T17:51:00Z</dcterms:created>
  <dc:creator>zqssef</dc:creator>
  <cp:lastModifiedBy>Administrator</cp:lastModifiedBy>
  <cp:lastPrinted>2024-12-16T18:20:00Z</cp:lastPrinted>
  <dcterms:modified xsi:type="dcterms:W3CDTF">2024-12-17T07:18:52Z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3573F140055346A083EE29DB6A80814C_13</vt:lpwstr>
  </property>
</Properties>
</file>