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  <w:t>2022阶段性缓缴职工基本医保新政策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2" w:lineRule="atLeast"/>
        <w:ind w:left="0" w:firstLine="384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shd w:val="clear" w:fill="FFFFFF"/>
        </w:rPr>
        <w:t>根据《转发&lt;转发国家医保局 国家发展改革委 财政部 国家税务总局关于阶段性缓缴职工基本医疗保险单位缴费的通知&gt;的通知》（巴医保发〔2022〕39号）文件要求，自2022年7月起在我县实施为期3个月的阶段性缓缴职工基本医疗保险单位缴费政策，助力企业纾困稳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　　一、自2022年7月起，对中小微企业、以单位方式参保的个体工商户缓缴3个月职工医保（含生育保险）单位缴费，缓缴期间免收滞纳金。社会团体、基金会，社会服务机构，律师事务所、会计师事务所等社会组织参照执行。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2" w:lineRule="atLeast"/>
        <w:ind w:lef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shd w:val="clear" w:fill="FFFFFF"/>
        </w:rPr>
        <w:t>　　二、加强部门协同，全面推行“免申即享”经办服务模式，确保缓缴期间参保人待遇应享尽享。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TcxNjY4ZTI4NjhkODc1NzUwNjkwOGQzMzUxYzgifQ=="/>
  </w:docVars>
  <w:rsids>
    <w:rsidRoot w:val="04AA6633"/>
    <w:rsid w:val="04A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2022-12-27T07:36:00Z</dcterms:created>
  <dc:creator>玉</dc:creator>
  <cp:lastModifiedBy>玉</cp:lastModifiedBy>
  <dcterms:modified xsi:type="dcterms:W3CDTF">2022-12-27T07:37:17Z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9D4FB87362C94F768B3930293379993F</vt:lpwstr>
  </property>
</Properties>
</file>