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（政府投资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市政线性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(一)建设工程规划许可证(市政类)（新办）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2.建设工程设计方案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3.使用土地的有关证明文件（需要时提供）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7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7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139" w:line="229" w:lineRule="auto"/>
              <w:ind w:left="565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138" w:line="231" w:lineRule="auto"/>
              <w:ind w:left="119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政府投资项目初步设计审批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139" w:line="231" w:lineRule="auto"/>
              <w:ind w:left="572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139" w:line="230" w:lineRule="auto"/>
              <w:ind w:left="124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发改部门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140" w:line="231" w:lineRule="auto"/>
              <w:ind w:left="572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140" w:line="229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65" w:line="229" w:lineRule="auto"/>
              <w:ind w:firstLine="412" w:firstLineChars="200"/>
              <w:jc w:val="both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firstLine="412" w:firstLineChars="20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（一）政府投资项目初步设计审批（新办）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1.项目初步设计报告审批申请文件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2.项目初步设计文本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3.涉及举债融资的项目，需提供项目现金流和收益情况评估报告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（二）政府投资项目初步设计审批（变更）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1.项目初步设计报告审批变更申请文件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2.变更后的项目初步设计文本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3.涉及举债融资的项目，需提供项目现金流和收益情况评估报告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（三）政府投资项目初步设计审批（延期）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1.项目延期的申请文件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0577AC6"/>
    <w:rsid w:val="139546B9"/>
    <w:rsid w:val="28F519C1"/>
    <w:rsid w:val="30125EC0"/>
    <w:rsid w:val="5DF32905"/>
    <w:rsid w:val="6FFFB6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8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3</TotalTime>
  <ScaleCrop>false</ScaleCrop>
  <LinksUpToDate>false</LinksUpToDate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2022-10-30T03:27:00Z</dcterms:created>
  <dc:creator>HP</dc:creator>
  <cp:lastModifiedBy>zjj123</cp:lastModifiedBy>
  <dcterms:modified xsi:type="dcterms:W3CDTF">2024-05-15T16:24:35Z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2052-11.8.2.10422</vt:lpwstr>
  </property>
  <property fmtid="{D5CDD505-2E9C-101B-9397-08002B2CF9AE}" pid="5" name="ICV">
    <vt:lpwstr>0CF223C3AC534685B05DCA487E2C5A66_13</vt:lpwstr>
  </property>
</Properties>
</file>