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A3778A">
      <w:bookmarkStart w:id="0" w:name="_GoBack"/>
      <w:bookmarkEnd w:id="0"/>
    </w:p>
    <w:tbl>
      <w:tblPr>
        <w:tblStyle w:val="2"/>
        <w:tblpPr w:leftFromText="180" w:rightFromText="180" w:vertAnchor="text" w:horzAnchor="page" w:tblpX="1800" w:tblpY="998"/>
        <w:tblOverlap w:val="never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7"/>
        <w:gridCol w:w="6553"/>
        <w:gridCol w:w="1082"/>
      </w:tblGrid>
      <w:tr w14:paraId="72ECAB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2" w:hRule="atLeast"/>
        </w:trPr>
        <w:tc>
          <w:tcPr>
            <w:tcW w:w="7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84C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事故</w:t>
            </w:r>
          </w:p>
          <w:p w14:paraId="3EEF43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级别</w:t>
            </w:r>
          </w:p>
        </w:tc>
        <w:tc>
          <w:tcPr>
            <w:tcW w:w="65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711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分    级    标    准</w:t>
            </w:r>
          </w:p>
        </w:tc>
        <w:tc>
          <w:tcPr>
            <w:tcW w:w="1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622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响应</w:t>
            </w:r>
          </w:p>
          <w:p w14:paraId="6CACA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级别</w:t>
            </w:r>
          </w:p>
        </w:tc>
      </w:tr>
      <w:tr w14:paraId="1D6BBE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31" w:hRule="atLeast"/>
        </w:trPr>
        <w:tc>
          <w:tcPr>
            <w:tcW w:w="72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C32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特别</w:t>
            </w:r>
          </w:p>
          <w:p w14:paraId="7FBFE8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重大</w:t>
            </w:r>
          </w:p>
          <w:p w14:paraId="1D49A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食品</w:t>
            </w:r>
          </w:p>
          <w:p w14:paraId="37C178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安全</w:t>
            </w:r>
          </w:p>
          <w:p w14:paraId="7B4A6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事故</w:t>
            </w:r>
          </w:p>
        </w:tc>
        <w:tc>
          <w:tcPr>
            <w:tcW w:w="65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2A3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（1）事故危害特别严重，对2个以上省份造成严重威胁，并有进一步扩散趋势的；</w:t>
            </w:r>
          </w:p>
          <w:p w14:paraId="3DD2E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（2）超出事发地省级人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人民政府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处置能力的；</w:t>
            </w:r>
          </w:p>
          <w:p w14:paraId="259897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（3）发生跨境（包括港澳台地区）食品安全事故，造成特别严重社会影响的；</w:t>
            </w:r>
          </w:p>
          <w:p w14:paraId="5E16DB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（4）国务院认为需要由国务院或国务院授权有关部门负责处置的。</w:t>
            </w:r>
          </w:p>
        </w:tc>
        <w:tc>
          <w:tcPr>
            <w:tcW w:w="10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EFF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国务院</w:t>
            </w:r>
          </w:p>
          <w:p w14:paraId="05B9C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启动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I</w:t>
            </w:r>
          </w:p>
          <w:p w14:paraId="214CD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级响应</w:t>
            </w:r>
          </w:p>
        </w:tc>
      </w:tr>
      <w:tr w14:paraId="1AA4DE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64" w:hRule="atLeast"/>
        </w:trPr>
        <w:tc>
          <w:tcPr>
            <w:tcW w:w="72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3F8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重大食品</w:t>
            </w:r>
          </w:p>
          <w:p w14:paraId="54ACC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安全事故</w:t>
            </w:r>
          </w:p>
        </w:tc>
        <w:tc>
          <w:tcPr>
            <w:tcW w:w="65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2AB2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（1）事故危害严重，影响范围涉及省内2个以上设区市级行政区域的；</w:t>
            </w:r>
          </w:p>
          <w:p w14:paraId="50C90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（2）1起食物中毒事故中毒人数100人以上，并出现死亡病例的；</w:t>
            </w:r>
          </w:p>
          <w:p w14:paraId="147FE6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（3）1起食物中毒事故造成10例以上死亡病例的；</w:t>
            </w:r>
          </w:p>
          <w:p w14:paraId="176532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（4）省人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人民政府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认定的重大食品安全事故。</w:t>
            </w:r>
          </w:p>
        </w:tc>
        <w:tc>
          <w:tcPr>
            <w:tcW w:w="10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99B6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自治区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级人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人民政府</w:t>
            </w:r>
          </w:p>
          <w:p w14:paraId="216B02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启动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Ⅱ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级响应</w:t>
            </w:r>
          </w:p>
        </w:tc>
      </w:tr>
      <w:tr w14:paraId="6C02B3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76" w:hRule="atLeast"/>
        </w:trPr>
        <w:tc>
          <w:tcPr>
            <w:tcW w:w="72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7DD8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较大食品</w:t>
            </w:r>
          </w:p>
          <w:p w14:paraId="6A8B8D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安全事故</w:t>
            </w:r>
          </w:p>
        </w:tc>
        <w:tc>
          <w:tcPr>
            <w:tcW w:w="65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D395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（1）事故影响范围涉及2个以上县级行政区域，给人民群众饮食安全带来严重危害的；</w:t>
            </w:r>
          </w:p>
          <w:p w14:paraId="04B385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（2）1起食物中毒事故中毒人数在100人以上；或出现1例以上死亡病例的；</w:t>
            </w:r>
          </w:p>
          <w:p w14:paraId="0CA8F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（3）设区市级以上人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人民政府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认定的其他较大食品安全事故。</w:t>
            </w:r>
          </w:p>
        </w:tc>
        <w:tc>
          <w:tcPr>
            <w:tcW w:w="10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D940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设区市级人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人民政府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启动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Ⅲ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级响应</w:t>
            </w:r>
          </w:p>
        </w:tc>
      </w:tr>
      <w:tr w14:paraId="79332F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89" w:hRule="atLeast"/>
        </w:trPr>
        <w:tc>
          <w:tcPr>
            <w:tcW w:w="72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ACEA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一般食品</w:t>
            </w:r>
          </w:p>
          <w:p w14:paraId="11DC99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安全事故</w:t>
            </w:r>
          </w:p>
        </w:tc>
        <w:tc>
          <w:tcPr>
            <w:tcW w:w="65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AE0C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（1）食品污染已造成严重健康损害后果的；</w:t>
            </w:r>
          </w:p>
          <w:p w14:paraId="6B20E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（2）1起食品安全事故发生人数在30人以上100人以下，且未出现死亡病例的；</w:t>
            </w:r>
          </w:p>
          <w:p w14:paraId="315E18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（3）县级以上人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人民政府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认定的其他一般食品安全事故。</w:t>
            </w:r>
          </w:p>
        </w:tc>
        <w:tc>
          <w:tcPr>
            <w:tcW w:w="1082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C6CF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县级人</w:t>
            </w:r>
          </w:p>
          <w:p w14:paraId="58739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人民政府</w:t>
            </w:r>
          </w:p>
          <w:p w14:paraId="6F1F98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启动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Ⅳ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级响应</w:t>
            </w:r>
          </w:p>
        </w:tc>
      </w:tr>
    </w:tbl>
    <w:p w14:paraId="374857CF"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黑体" w:hAnsi="黑体" w:eastAsia="黑体" w:cs="宋体"/>
          <w:color w:val="333333"/>
          <w:kern w:val="0"/>
          <w:sz w:val="32"/>
          <w:szCs w:val="32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enk Qagan Tig - GB">
    <w:panose1 w:val="00000500000000000000"/>
    <w:charset w:val="00"/>
    <w:family w:val="auto"/>
    <w:pitch w:val="default"/>
    <w:sig w:usb0="00000007" w:usb1="12010410" w:usb2="00020002" w:usb3="00000000" w:csb0="00000001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kMDQ3OTUwYTY5Y2Y3ZGUyNWVjMDhlMjVmMDkzYjkifQ=="/>
  </w:docVars>
  <w:rsids>
    <w:rsidRoot w:val="2DAB6A01"/>
    <w:rsid w:val="2DAB6A01"/>
    <w:rsid w:val="B8FC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2023-07-21T16:11:00Z</dcterms:created>
  <dc:creator>白SIR</dc:creator>
  <cp:lastModifiedBy>Lenovo</cp:lastModifiedBy>
  <dcterms:modified xsi:type="dcterms:W3CDTF">2026-09-14T16:14:49Z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3F7662D139D3F30DF9ACA76A586FC5CA_43</vt:lpwstr>
  </property>
</Properties>
</file>