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8A7F7D">
      <w:pPr>
        <w:jc w:val="center"/>
        <w:rPr>
          <w:rFonts w:ascii="Times New Roman" w:hAnsi="Times New Roman" w:eastAsia="宋体" w:cs="Times New Roman"/>
          <w:color w:val="auto"/>
          <w:sz w:val="44"/>
          <w:szCs w:val="44"/>
        </w:rPr>
      </w:pPr>
      <w:bookmarkStart w:id="1" w:name="_GoBack"/>
      <w:bookmarkEnd w:id="1"/>
    </w:p>
    <w:p w14:paraId="5F44684D">
      <w:pPr>
        <w:jc w:val="both"/>
        <w:rPr>
          <w:rFonts w:ascii="Times New Roman" w:hAnsi="Times New Roman" w:eastAsia="宋体" w:cs="Times New Roman"/>
          <w:color w:val="auto"/>
          <w:sz w:val="44"/>
          <w:szCs w:val="44"/>
        </w:rPr>
      </w:pPr>
    </w:p>
    <w:p w14:paraId="63ABE255">
      <w:pPr>
        <w:jc w:val="center"/>
        <w:rPr>
          <w:rFonts w:ascii="Times New Roman" w:hAnsi="Times New Roman" w:eastAsia="宋体" w:cs="Times New Roman"/>
          <w:color w:val="auto"/>
          <w:sz w:val="44"/>
          <w:szCs w:val="44"/>
        </w:rPr>
      </w:pPr>
    </w:p>
    <w:p w14:paraId="51F87FC3">
      <w:pPr>
        <w:jc w:val="center"/>
        <w:rPr>
          <w:rFonts w:ascii="Times New Roman" w:hAnsi="Times New Roman" w:eastAsia="宋体" w:cs="Times New Roman"/>
          <w:b/>
          <w:color w:val="auto"/>
          <w:sz w:val="72"/>
          <w:szCs w:val="72"/>
        </w:rPr>
      </w:pPr>
      <w:r>
        <w:rPr>
          <w:rFonts w:ascii="Times New Roman" w:hAnsi="Times New Roman" w:eastAsia="宋体" w:cs="Times New Roman"/>
          <w:b/>
          <w:color w:val="auto"/>
          <w:sz w:val="72"/>
          <w:szCs w:val="72"/>
        </w:rPr>
        <w:t>建设项目环境影响报告表</w:t>
      </w:r>
    </w:p>
    <w:p w14:paraId="728942E0">
      <w:pPr>
        <w:jc w:val="center"/>
        <w:rPr>
          <w:rFonts w:ascii="Times New Roman" w:hAnsi="Times New Roman" w:eastAsia="宋体" w:cs="Times New Roman"/>
          <w:b/>
          <w:color w:val="auto"/>
          <w:sz w:val="48"/>
          <w:szCs w:val="48"/>
        </w:rPr>
      </w:pPr>
    </w:p>
    <w:p w14:paraId="6F4BA6FE">
      <w:pPr>
        <w:jc w:val="center"/>
        <w:rPr>
          <w:rFonts w:ascii="Times New Roman" w:hAnsi="Times New Roman" w:eastAsia="宋体" w:cs="Times New Roman"/>
          <w:b/>
          <w:color w:val="auto"/>
          <w:sz w:val="48"/>
          <w:szCs w:val="48"/>
        </w:rPr>
      </w:pPr>
      <w:r>
        <w:rPr>
          <w:rFonts w:ascii="Times New Roman" w:hAnsi="Times New Roman" w:eastAsia="宋体" w:cs="Times New Roman"/>
          <w:b/>
          <w:color w:val="auto"/>
          <w:sz w:val="48"/>
          <w:szCs w:val="48"/>
        </w:rPr>
        <w:t>（污染影响类）</w:t>
      </w:r>
    </w:p>
    <w:p w14:paraId="28CB8850">
      <w:pPr>
        <w:jc w:val="center"/>
        <w:rPr>
          <w:rFonts w:ascii="Times New Roman" w:hAnsi="Times New Roman" w:eastAsia="宋体" w:cs="Times New Roman"/>
          <w:color w:val="auto"/>
          <w:sz w:val="28"/>
          <w:szCs w:val="28"/>
        </w:rPr>
      </w:pPr>
    </w:p>
    <w:p w14:paraId="5AB5B3C6">
      <w:pPr>
        <w:jc w:val="center"/>
        <w:rPr>
          <w:rFonts w:ascii="Times New Roman" w:hAnsi="Times New Roman" w:eastAsia="宋体" w:cs="Times New Roman"/>
          <w:color w:val="auto"/>
          <w:sz w:val="28"/>
          <w:szCs w:val="28"/>
        </w:rPr>
      </w:pPr>
    </w:p>
    <w:p w14:paraId="6F926F1F">
      <w:pPr>
        <w:jc w:val="both"/>
        <w:rPr>
          <w:rFonts w:ascii="Times New Roman" w:hAnsi="Times New Roman" w:eastAsia="宋体" w:cs="Times New Roman"/>
          <w:color w:val="auto"/>
          <w:sz w:val="28"/>
          <w:szCs w:val="28"/>
        </w:rPr>
      </w:pPr>
    </w:p>
    <w:p w14:paraId="5E47D378">
      <w:pPr>
        <w:jc w:val="center"/>
        <w:rPr>
          <w:rFonts w:ascii="Times New Roman" w:hAnsi="Times New Roman" w:eastAsia="宋体" w:cs="Times New Roman"/>
          <w:color w:val="auto"/>
          <w:sz w:val="28"/>
          <w:szCs w:val="28"/>
        </w:rPr>
      </w:pPr>
    </w:p>
    <w:p w14:paraId="0A3BC7A0">
      <w:pPr>
        <w:jc w:val="center"/>
        <w:rPr>
          <w:rFonts w:ascii="Times New Roman" w:hAnsi="Times New Roman" w:eastAsia="宋体" w:cs="Times New Roman"/>
          <w:color w:val="auto"/>
          <w:sz w:val="28"/>
          <w:szCs w:val="28"/>
        </w:rPr>
      </w:pPr>
    </w:p>
    <w:p w14:paraId="47B1C24F">
      <w:pPr>
        <w:jc w:val="center"/>
        <w:rPr>
          <w:rFonts w:ascii="Times New Roman" w:hAnsi="Times New Roman" w:eastAsia="宋体" w:cs="Times New Roman"/>
          <w:color w:val="auto"/>
          <w:sz w:val="28"/>
          <w:szCs w:val="28"/>
        </w:rPr>
      </w:pPr>
    </w:p>
    <w:p w14:paraId="46763B07">
      <w:pPr>
        <w:jc w:val="center"/>
        <w:rPr>
          <w:rFonts w:ascii="Times New Roman" w:hAnsi="Times New Roman" w:eastAsia="宋体" w:cs="Times New Roman"/>
          <w:color w:val="auto"/>
          <w:sz w:val="28"/>
          <w:szCs w:val="28"/>
        </w:rPr>
      </w:pPr>
    </w:p>
    <w:p w14:paraId="41BCBD39">
      <w:pPr>
        <w:ind w:left="1405" w:hanging="1405" w:hangingChars="500"/>
        <w:rPr>
          <w:rFonts w:ascii="Times New Roman" w:hAnsi="Times New Roman" w:eastAsia="宋体" w:cs="Times New Roman"/>
          <w:b/>
          <w:color w:val="auto"/>
          <w:sz w:val="28"/>
          <w:szCs w:val="28"/>
          <w:u w:val="thick"/>
        </w:rPr>
      </w:pPr>
      <w:r>
        <w:rPr>
          <w:rFonts w:ascii="Times New Roman" w:hAnsi="Times New Roman" w:eastAsia="宋体" w:cs="Times New Roman"/>
          <w:b/>
          <w:color w:val="auto"/>
          <w:sz w:val="28"/>
          <w:szCs w:val="28"/>
        </w:rPr>
        <w:t>项目名称：</w:t>
      </w:r>
      <w:r>
        <w:rPr>
          <w:rFonts w:hint="eastAsia" w:ascii="Times New Roman" w:hAnsi="Times New Roman" w:eastAsia="宋体" w:cs="Times New Roman"/>
          <w:b/>
          <w:color w:val="auto"/>
          <w:sz w:val="28"/>
          <w:szCs w:val="28"/>
          <w:u w:val="single"/>
        </w:rPr>
        <w:t>巴彦淖尔华油天然气有限责任公司新增液氮储罐安全技改项目</w:t>
      </w:r>
    </w:p>
    <w:p w14:paraId="1E3250B1">
      <w:pPr>
        <w:rPr>
          <w:rFonts w:ascii="Times New Roman" w:hAnsi="Times New Roman" w:eastAsia="宋体" w:cs="Times New Roman"/>
          <w:b/>
          <w:color w:val="auto"/>
          <w:sz w:val="28"/>
          <w:szCs w:val="28"/>
          <w:u w:val="thick"/>
        </w:rPr>
      </w:pPr>
      <w:r>
        <w:rPr>
          <w:rFonts w:ascii="Times New Roman" w:hAnsi="Times New Roman" w:eastAsia="宋体" w:cs="Times New Roman"/>
          <w:b/>
          <w:color w:val="auto"/>
          <w:sz w:val="28"/>
          <w:szCs w:val="28"/>
        </w:rPr>
        <w:t>建设单位：</w:t>
      </w:r>
      <w:r>
        <w:rPr>
          <w:rFonts w:hint="eastAsia" w:ascii="Times New Roman" w:hAnsi="Times New Roman" w:eastAsia="宋体" w:cs="Times New Roman"/>
          <w:b/>
          <w:color w:val="auto"/>
          <w:sz w:val="28"/>
          <w:szCs w:val="28"/>
          <w:u w:val="single"/>
        </w:rPr>
        <w:t>巴彦淖尔华油天然气有限责任公司</w:t>
      </w:r>
      <w:r>
        <w:rPr>
          <w:rFonts w:ascii="Times New Roman" w:hAnsi="Times New Roman" w:eastAsia="宋体" w:cs="Times New Roman"/>
          <w:b/>
          <w:color w:val="auto"/>
          <w:sz w:val="28"/>
          <w:szCs w:val="28"/>
          <w:u w:val="single"/>
        </w:rPr>
        <w:t>（盖章）</w:t>
      </w:r>
    </w:p>
    <w:p w14:paraId="770850B2">
      <w:pPr>
        <w:jc w:val="center"/>
        <w:rPr>
          <w:rFonts w:ascii="Times New Roman" w:hAnsi="Times New Roman" w:eastAsia="宋体" w:cs="Times New Roman"/>
          <w:b/>
          <w:color w:val="auto"/>
          <w:sz w:val="28"/>
          <w:szCs w:val="28"/>
        </w:rPr>
      </w:pPr>
    </w:p>
    <w:p w14:paraId="7EF99ADB">
      <w:pPr>
        <w:jc w:val="center"/>
        <w:rPr>
          <w:rFonts w:ascii="Times New Roman" w:hAnsi="Times New Roman" w:eastAsia="宋体" w:cs="Times New Roman"/>
          <w:b/>
          <w:color w:val="auto"/>
          <w:sz w:val="28"/>
          <w:szCs w:val="28"/>
          <w:u w:val="none"/>
        </w:rPr>
      </w:pPr>
      <w:r>
        <w:rPr>
          <w:rFonts w:ascii="Times New Roman" w:hAnsi="Times New Roman" w:eastAsia="宋体" w:cs="Times New Roman"/>
          <w:b/>
          <w:color w:val="auto"/>
          <w:sz w:val="28"/>
          <w:szCs w:val="28"/>
        </w:rPr>
        <w:t>编制日期：</w:t>
      </w:r>
      <w:r>
        <w:rPr>
          <w:rFonts w:ascii="Times New Roman" w:hAnsi="Times New Roman" w:eastAsia="宋体" w:cs="Times New Roman"/>
          <w:b/>
          <w:color w:val="auto"/>
          <w:sz w:val="28"/>
          <w:szCs w:val="28"/>
          <w:u w:val="none"/>
        </w:rPr>
        <w:t>202</w:t>
      </w:r>
      <w:r>
        <w:rPr>
          <w:rFonts w:hint="eastAsia" w:ascii="Times New Roman" w:hAnsi="Times New Roman" w:eastAsia="宋体" w:cs="Times New Roman"/>
          <w:b/>
          <w:color w:val="auto"/>
          <w:sz w:val="28"/>
          <w:szCs w:val="28"/>
          <w:u w:val="none"/>
          <w:lang w:val="en-US" w:eastAsia="zh-CN"/>
        </w:rPr>
        <w:t>5</w:t>
      </w:r>
      <w:r>
        <w:rPr>
          <w:rFonts w:ascii="Times New Roman" w:hAnsi="Times New Roman" w:eastAsia="宋体" w:cs="Times New Roman"/>
          <w:b/>
          <w:color w:val="auto"/>
          <w:sz w:val="28"/>
          <w:szCs w:val="28"/>
          <w:u w:val="none"/>
        </w:rPr>
        <w:t>年</w:t>
      </w:r>
      <w:r>
        <w:rPr>
          <w:rFonts w:hint="eastAsia" w:ascii="Times New Roman" w:hAnsi="Times New Roman" w:eastAsia="宋体" w:cs="Times New Roman"/>
          <w:b/>
          <w:color w:val="auto"/>
          <w:sz w:val="28"/>
          <w:szCs w:val="28"/>
          <w:u w:val="none"/>
          <w:lang w:val="en-US" w:eastAsia="zh-CN"/>
        </w:rPr>
        <w:t>4</w:t>
      </w:r>
      <w:r>
        <w:rPr>
          <w:rFonts w:ascii="Times New Roman" w:hAnsi="Times New Roman" w:eastAsia="宋体" w:cs="Times New Roman"/>
          <w:b/>
          <w:color w:val="auto"/>
          <w:sz w:val="28"/>
          <w:szCs w:val="28"/>
          <w:u w:val="none"/>
        </w:rPr>
        <w:t>月</w:t>
      </w:r>
    </w:p>
    <w:p w14:paraId="0F1959E9">
      <w:pPr>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中华人民共和国生态环境部制</w:t>
      </w:r>
    </w:p>
    <w:p w14:paraId="3231F53B">
      <w:pPr>
        <w:jc w:val="center"/>
        <w:rPr>
          <w:rFonts w:ascii="Times New Roman" w:hAnsi="Times New Roman" w:eastAsia="宋体" w:cs="Times New Roman"/>
          <w:b/>
          <w:color w:val="auto"/>
          <w:sz w:val="28"/>
          <w:szCs w:val="28"/>
        </w:rPr>
      </w:pPr>
    </w:p>
    <w:p w14:paraId="7E004D7A">
      <w:pPr>
        <w:jc w:val="center"/>
        <w:rPr>
          <w:rFonts w:ascii="Times New Roman" w:hAnsi="Times New Roman" w:eastAsia="宋体" w:cs="Times New Roman"/>
          <w:b/>
          <w:color w:val="auto"/>
          <w:sz w:val="28"/>
          <w:szCs w:val="28"/>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p>
    <w:p w14:paraId="73AA5E0A">
      <w:pPr>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一、建设项目基本情况</w:t>
      </w:r>
    </w:p>
    <w:tbl>
      <w:tblPr>
        <w:tblStyle w:val="18"/>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2558"/>
        <w:gridCol w:w="1984"/>
        <w:gridCol w:w="3544"/>
      </w:tblGrid>
      <w:tr w14:paraId="61F03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vAlign w:val="center"/>
          </w:tcPr>
          <w:p w14:paraId="0E59F481">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建设项目名称</w:t>
            </w:r>
          </w:p>
        </w:tc>
        <w:tc>
          <w:tcPr>
            <w:tcW w:w="8086" w:type="dxa"/>
            <w:gridSpan w:val="3"/>
            <w:vAlign w:val="center"/>
          </w:tcPr>
          <w:p w14:paraId="72219809">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巴彦淖尔华油天然气有限责任公司新增液氮储罐安全技改项目</w:t>
            </w:r>
          </w:p>
        </w:tc>
      </w:tr>
      <w:tr w14:paraId="2C2F9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vAlign w:val="center"/>
          </w:tcPr>
          <w:p w14:paraId="42BBDB18">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项目代码</w:t>
            </w:r>
          </w:p>
        </w:tc>
        <w:tc>
          <w:tcPr>
            <w:tcW w:w="8086" w:type="dxa"/>
            <w:gridSpan w:val="3"/>
            <w:vAlign w:val="center"/>
          </w:tcPr>
          <w:p w14:paraId="4408CDB1">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2407-150822-07-02-206802</w:t>
            </w:r>
          </w:p>
        </w:tc>
      </w:tr>
      <w:tr w14:paraId="6CDD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vAlign w:val="center"/>
          </w:tcPr>
          <w:p w14:paraId="4E89FDC2">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建设单位</w:t>
            </w:r>
          </w:p>
          <w:p w14:paraId="0BE9851D">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联系人</w:t>
            </w:r>
          </w:p>
        </w:tc>
        <w:tc>
          <w:tcPr>
            <w:tcW w:w="2558" w:type="dxa"/>
            <w:vAlign w:val="center"/>
          </w:tcPr>
          <w:p w14:paraId="1005331F">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c>
          <w:tcPr>
            <w:tcW w:w="1984" w:type="dxa"/>
            <w:vAlign w:val="center"/>
          </w:tcPr>
          <w:p w14:paraId="539A43AB">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联系方式</w:t>
            </w:r>
          </w:p>
        </w:tc>
        <w:tc>
          <w:tcPr>
            <w:tcW w:w="3544" w:type="dxa"/>
            <w:vAlign w:val="center"/>
          </w:tcPr>
          <w:p w14:paraId="0E967CCF">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r>
      <w:tr w14:paraId="7B0C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vAlign w:val="center"/>
          </w:tcPr>
          <w:p w14:paraId="2FD5BD8D">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建设地点</w:t>
            </w:r>
          </w:p>
        </w:tc>
        <w:tc>
          <w:tcPr>
            <w:tcW w:w="8086" w:type="dxa"/>
            <w:gridSpan w:val="3"/>
            <w:vAlign w:val="center"/>
          </w:tcPr>
          <w:p w14:paraId="707D4A10">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巴彦淖尔市磴口县巴彦淖尔华油天然气有限责任公司产区内</w:t>
            </w:r>
            <w:r>
              <w:rPr>
                <w:rFonts w:hint="eastAsia" w:ascii="Times New Roman" w:hAnsi="Times New Roman" w:eastAsia="宋体" w:cs="Times New Roman"/>
                <w:color w:val="auto"/>
                <w:sz w:val="24"/>
                <w:szCs w:val="24"/>
                <w:lang w:val="en-US" w:eastAsia="zh-CN"/>
              </w:rPr>
              <w:t>液氮储罐西侧</w:t>
            </w:r>
          </w:p>
        </w:tc>
      </w:tr>
      <w:tr w14:paraId="179F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vAlign w:val="center"/>
          </w:tcPr>
          <w:p w14:paraId="4F7B1535">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地理坐标</w:t>
            </w:r>
          </w:p>
        </w:tc>
        <w:tc>
          <w:tcPr>
            <w:tcW w:w="8086" w:type="dxa"/>
            <w:gridSpan w:val="3"/>
            <w:vAlign w:val="center"/>
          </w:tcPr>
          <w:p w14:paraId="1CBA6685">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 10</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17.061</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N 4</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8.191</w:t>
            </w:r>
            <w:r>
              <w:rPr>
                <w:rFonts w:hint="default" w:ascii="Times New Roman" w:hAnsi="Times New Roman" w:eastAsia="宋体" w:cs="Times New Roman"/>
                <w:color w:val="auto"/>
                <w:sz w:val="24"/>
                <w:szCs w:val="24"/>
              </w:rPr>
              <w:t>"</w:t>
            </w:r>
          </w:p>
        </w:tc>
      </w:tr>
      <w:tr w14:paraId="159A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832" w:type="dxa"/>
            <w:vAlign w:val="center"/>
          </w:tcPr>
          <w:p w14:paraId="0F8F865B">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国民经济</w:t>
            </w:r>
          </w:p>
          <w:p w14:paraId="6BD68ADE">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行业类别</w:t>
            </w:r>
          </w:p>
        </w:tc>
        <w:tc>
          <w:tcPr>
            <w:tcW w:w="2558" w:type="dxa"/>
            <w:vAlign w:val="center"/>
          </w:tcPr>
          <w:p w14:paraId="3A352F4F">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G5942</w:t>
            </w:r>
          </w:p>
          <w:p w14:paraId="45231A76">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危险化学品仓储</w:t>
            </w:r>
          </w:p>
        </w:tc>
        <w:tc>
          <w:tcPr>
            <w:tcW w:w="1984" w:type="dxa"/>
            <w:vAlign w:val="center"/>
          </w:tcPr>
          <w:p w14:paraId="07BF70DC">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建设项目</w:t>
            </w:r>
          </w:p>
          <w:p w14:paraId="3976C5FB">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行业类别</w:t>
            </w:r>
          </w:p>
        </w:tc>
        <w:tc>
          <w:tcPr>
            <w:tcW w:w="3544" w:type="dxa"/>
            <w:vAlign w:val="center"/>
          </w:tcPr>
          <w:p w14:paraId="24A0E175">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五十三、装卸搬运和仓储业149危险品仓储594（不含加油站的油库；不含加气站的气库）—其他（含有毒、有害、危险品的仓储；含液化天然气库）</w:t>
            </w:r>
          </w:p>
        </w:tc>
      </w:tr>
      <w:tr w14:paraId="2B12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vAlign w:val="center"/>
          </w:tcPr>
          <w:p w14:paraId="3B3DF9A0">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建设性质</w:t>
            </w:r>
          </w:p>
        </w:tc>
        <w:tc>
          <w:tcPr>
            <w:tcW w:w="2558" w:type="dxa"/>
            <w:vAlign w:val="center"/>
          </w:tcPr>
          <w:p w14:paraId="7210AAA9">
            <w:pPr>
              <w:keepNext w:val="0"/>
              <w:keepLines w:val="0"/>
              <w:suppressLineNumbers w:val="0"/>
              <w:spacing w:before="0" w:beforeAutospacing="0" w:after="0" w:afterAutospacing="0" w:line="440" w:lineRule="exact"/>
              <w:ind w:left="0" w:right="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新建（迁建）</w:t>
            </w:r>
          </w:p>
          <w:p w14:paraId="09C5F811">
            <w:pPr>
              <w:keepNext w:val="0"/>
              <w:keepLines w:val="0"/>
              <w:suppressLineNumbers w:val="0"/>
              <w:spacing w:before="0" w:beforeAutospacing="0" w:after="0" w:afterAutospacing="0" w:line="440" w:lineRule="exact"/>
              <w:ind w:left="0" w:right="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改建</w:t>
            </w:r>
          </w:p>
          <w:p w14:paraId="1B73D29F">
            <w:pPr>
              <w:keepNext w:val="0"/>
              <w:keepLines w:val="0"/>
              <w:suppressLineNumbers w:val="0"/>
              <w:spacing w:before="0" w:beforeAutospacing="0" w:after="0" w:afterAutospacing="0" w:line="440" w:lineRule="exact"/>
              <w:ind w:left="0" w:right="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扩建</w:t>
            </w:r>
          </w:p>
          <w:p w14:paraId="03EEF229">
            <w:pPr>
              <w:keepNext w:val="0"/>
              <w:keepLines w:val="0"/>
              <w:suppressLineNumbers w:val="0"/>
              <w:spacing w:before="0" w:beforeAutospacing="0" w:after="0" w:afterAutospacing="0" w:line="440" w:lineRule="exact"/>
              <w:ind w:left="0" w:right="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技术改造</w:t>
            </w:r>
          </w:p>
        </w:tc>
        <w:tc>
          <w:tcPr>
            <w:tcW w:w="1984" w:type="dxa"/>
            <w:vAlign w:val="center"/>
          </w:tcPr>
          <w:p w14:paraId="081F657E">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建设项目申报情况</w:t>
            </w:r>
          </w:p>
        </w:tc>
        <w:tc>
          <w:tcPr>
            <w:tcW w:w="3544" w:type="dxa"/>
            <w:vAlign w:val="center"/>
          </w:tcPr>
          <w:p w14:paraId="3F4B4EEE">
            <w:pPr>
              <w:keepNext w:val="0"/>
              <w:keepLines w:val="0"/>
              <w:suppressLineNumbers w:val="0"/>
              <w:spacing w:before="0" w:beforeAutospacing="0" w:after="0" w:afterAutospacing="0" w:line="440" w:lineRule="exact"/>
              <w:ind w:left="0" w:right="0"/>
              <w:jc w:val="left"/>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首次申报项目</w:t>
            </w:r>
          </w:p>
          <w:p w14:paraId="70667ADF">
            <w:pPr>
              <w:keepNext w:val="0"/>
              <w:keepLines w:val="0"/>
              <w:suppressLineNumbers w:val="0"/>
              <w:spacing w:before="0" w:beforeAutospacing="0" w:after="0" w:afterAutospacing="0" w:line="440" w:lineRule="exact"/>
              <w:ind w:left="0" w:right="0"/>
              <w:jc w:val="left"/>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不予批准后再次申报项目</w:t>
            </w:r>
          </w:p>
          <w:p w14:paraId="2D1769B0">
            <w:pPr>
              <w:keepNext w:val="0"/>
              <w:keepLines w:val="0"/>
              <w:suppressLineNumbers w:val="0"/>
              <w:spacing w:before="0" w:beforeAutospacing="0" w:after="0" w:afterAutospacing="0" w:line="440" w:lineRule="exact"/>
              <w:ind w:left="0" w:right="0"/>
              <w:jc w:val="left"/>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超五年重新审批项目</w:t>
            </w:r>
          </w:p>
          <w:p w14:paraId="10DB1E3A">
            <w:pPr>
              <w:keepNext w:val="0"/>
              <w:keepLines w:val="0"/>
              <w:suppressLineNumbers w:val="0"/>
              <w:spacing w:before="0" w:beforeAutospacing="0" w:after="0" w:afterAutospacing="0" w:line="440" w:lineRule="exact"/>
              <w:ind w:left="0" w:right="0"/>
              <w:jc w:val="left"/>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重大变动重新报批项目</w:t>
            </w:r>
          </w:p>
        </w:tc>
      </w:tr>
      <w:tr w14:paraId="3DD8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vAlign w:val="center"/>
          </w:tcPr>
          <w:p w14:paraId="11F6587F">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项目审批（核准/备案）部门</w:t>
            </w:r>
          </w:p>
        </w:tc>
        <w:tc>
          <w:tcPr>
            <w:tcW w:w="2558" w:type="dxa"/>
            <w:vAlign w:val="center"/>
          </w:tcPr>
          <w:p w14:paraId="74EB6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磴口县工业和信息化局</w:t>
            </w:r>
          </w:p>
        </w:tc>
        <w:tc>
          <w:tcPr>
            <w:tcW w:w="1984" w:type="dxa"/>
            <w:vAlign w:val="center"/>
          </w:tcPr>
          <w:p w14:paraId="339A457A">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项目审批（核准/备案）文号</w:t>
            </w:r>
          </w:p>
        </w:tc>
        <w:tc>
          <w:tcPr>
            <w:tcW w:w="3544" w:type="dxa"/>
            <w:vAlign w:val="center"/>
          </w:tcPr>
          <w:p w14:paraId="3391F3DF">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2407-150822-07-02-206802</w:t>
            </w:r>
          </w:p>
        </w:tc>
      </w:tr>
      <w:tr w14:paraId="42AD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vAlign w:val="center"/>
          </w:tcPr>
          <w:p w14:paraId="3A010209">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总投资（万元）</w:t>
            </w:r>
          </w:p>
        </w:tc>
        <w:tc>
          <w:tcPr>
            <w:tcW w:w="2558" w:type="dxa"/>
            <w:vAlign w:val="center"/>
          </w:tcPr>
          <w:p w14:paraId="242BC4B2">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75</w:t>
            </w:r>
          </w:p>
        </w:tc>
        <w:tc>
          <w:tcPr>
            <w:tcW w:w="1984" w:type="dxa"/>
            <w:vAlign w:val="center"/>
          </w:tcPr>
          <w:p w14:paraId="5D38D0EF">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环保投资（万元）</w:t>
            </w:r>
          </w:p>
        </w:tc>
        <w:tc>
          <w:tcPr>
            <w:tcW w:w="3544" w:type="dxa"/>
            <w:vAlign w:val="center"/>
          </w:tcPr>
          <w:p w14:paraId="3F4A321F">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1</w:t>
            </w:r>
          </w:p>
        </w:tc>
      </w:tr>
      <w:tr w14:paraId="1555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vAlign w:val="center"/>
          </w:tcPr>
          <w:p w14:paraId="4CDC1439">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环保投资占比（%）</w:t>
            </w:r>
          </w:p>
        </w:tc>
        <w:tc>
          <w:tcPr>
            <w:tcW w:w="2558" w:type="dxa"/>
            <w:vAlign w:val="center"/>
          </w:tcPr>
          <w:p w14:paraId="57B055EB">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1.34%</w:t>
            </w:r>
          </w:p>
        </w:tc>
        <w:tc>
          <w:tcPr>
            <w:tcW w:w="1984" w:type="dxa"/>
            <w:vAlign w:val="center"/>
          </w:tcPr>
          <w:p w14:paraId="18AFDE90">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施工工期</w:t>
            </w:r>
          </w:p>
        </w:tc>
        <w:tc>
          <w:tcPr>
            <w:tcW w:w="3544" w:type="dxa"/>
            <w:vAlign w:val="center"/>
          </w:tcPr>
          <w:p w14:paraId="16C685BE">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rPr>
              <w:t>个月</w:t>
            </w:r>
          </w:p>
        </w:tc>
      </w:tr>
      <w:tr w14:paraId="16E9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vAlign w:val="center"/>
          </w:tcPr>
          <w:p w14:paraId="18F6008C">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highlight w:val="none"/>
              </w:rPr>
              <w:t>是否开工建设</w:t>
            </w:r>
          </w:p>
        </w:tc>
        <w:tc>
          <w:tcPr>
            <w:tcW w:w="2558" w:type="dxa"/>
            <w:vAlign w:val="center"/>
          </w:tcPr>
          <w:p w14:paraId="2D9D680A">
            <w:pPr>
              <w:keepNext w:val="0"/>
              <w:keepLines w:val="0"/>
              <w:suppressLineNumbers w:val="0"/>
              <w:spacing w:before="0" w:beforeAutospacing="0" w:after="0" w:afterAutospacing="0" w:line="440" w:lineRule="exact"/>
              <w:ind w:left="0" w:right="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否</w:t>
            </w:r>
          </w:p>
          <w:p w14:paraId="231A17E0">
            <w:pPr>
              <w:keepNext w:val="0"/>
              <w:keepLines w:val="0"/>
              <w:suppressLineNumbers w:val="0"/>
              <w:spacing w:before="0" w:beforeAutospacing="0" w:after="0" w:afterAutospacing="0" w:line="440" w:lineRule="exact"/>
              <w:ind w:left="0" w:right="0"/>
              <w:rPr>
                <w:rFonts w:hint="default" w:ascii="Times New Roman" w:hAnsi="Times New Roman" w:eastAsia="宋体" w:cs="Times New Roman"/>
                <w:color w:val="auto"/>
                <w:sz w:val="24"/>
                <w:szCs w:val="24"/>
                <w:u w:val="single"/>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是：</w:t>
            </w:r>
            <w:r>
              <w:rPr>
                <w:rFonts w:hint="eastAsia"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u w:val="single"/>
              </w:rPr>
              <w:t xml:space="preserve">        </w:t>
            </w:r>
          </w:p>
        </w:tc>
        <w:tc>
          <w:tcPr>
            <w:tcW w:w="1984" w:type="dxa"/>
            <w:vAlign w:val="center"/>
          </w:tcPr>
          <w:p w14:paraId="39DE1841">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用地（用海）</w:t>
            </w:r>
          </w:p>
          <w:p w14:paraId="5728B176">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面积m</w:t>
            </w:r>
            <w:r>
              <w:rPr>
                <w:rFonts w:hint="default" w:ascii="Times New Roman" w:hAnsi="Times New Roman" w:eastAsia="宋体" w:cs="Times New Roman"/>
                <w:b/>
                <w:color w:val="auto"/>
                <w:sz w:val="24"/>
                <w:szCs w:val="24"/>
                <w:vertAlign w:val="superscript"/>
              </w:rPr>
              <w:t>2</w:t>
            </w:r>
          </w:p>
        </w:tc>
        <w:tc>
          <w:tcPr>
            <w:tcW w:w="3544" w:type="dxa"/>
            <w:vAlign w:val="center"/>
          </w:tcPr>
          <w:p w14:paraId="40B4F430">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17.556</w:t>
            </w:r>
          </w:p>
        </w:tc>
      </w:tr>
      <w:tr w14:paraId="436C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832" w:type="dxa"/>
            <w:vAlign w:val="center"/>
          </w:tcPr>
          <w:p w14:paraId="646006CB">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专项评价设置情况</w:t>
            </w:r>
          </w:p>
        </w:tc>
        <w:tc>
          <w:tcPr>
            <w:tcW w:w="8086" w:type="dxa"/>
            <w:gridSpan w:val="3"/>
            <w:vAlign w:val="center"/>
          </w:tcPr>
          <w:p w14:paraId="781CFD58">
            <w:pPr>
              <w:pStyle w:val="74"/>
              <w:keepNext w:val="0"/>
              <w:keepLines/>
              <w:pageBreakBefore w:val="0"/>
              <w:widowControl w:val="0"/>
              <w:suppressLineNumbers w:val="0"/>
              <w:kinsoku/>
              <w:wordWrap/>
              <w:overflowPunct/>
              <w:topLinePunct w:val="0"/>
              <w:autoSpaceDE/>
              <w:autoSpaceDN w:val="0"/>
              <w:bidi w:val="0"/>
              <w:adjustRightInd/>
              <w:snapToGrid/>
              <w:spacing w:before="0" w:beforeAutospacing="0" w:after="0" w:afterAutospacing="0" w:line="520" w:lineRule="exact"/>
              <w:ind w:left="0" w:right="0" w:firstLine="480" w:firstLineChars="200"/>
              <w:jc w:val="both"/>
              <w:textAlignment w:val="auto"/>
              <w:rPr>
                <w:rFonts w:hint="default" w:ascii="Times New Roman" w:hAnsi="Times New Roman" w:eastAsia="宋体" w:cs="Times New Roman"/>
                <w:color w:val="auto"/>
                <w:sz w:val="24"/>
                <w:szCs w:val="24"/>
                <w:vertAlign w:val="baseline"/>
                <w:lang w:eastAsia="zh-CN"/>
              </w:rPr>
            </w:pPr>
            <w:r>
              <w:rPr>
                <w:rFonts w:hint="eastAsia" w:ascii="Times New Roman" w:hAnsi="Times New Roman" w:eastAsia="宋体" w:cs="Times New Roman"/>
                <w:color w:val="auto"/>
                <w:sz w:val="24"/>
                <w:szCs w:val="24"/>
                <w:vertAlign w:val="baseline"/>
                <w:lang w:eastAsia="zh-CN"/>
              </w:rPr>
              <w:t>根据建设项目环境影响报告表编制技术指南（污染影响类），本项目不开展专项评价。</w:t>
            </w:r>
          </w:p>
          <w:p w14:paraId="0ADA7358">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 </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ab/>
            </w:r>
            <w:r>
              <w:rPr>
                <w:rFonts w:hint="default" w:ascii="Times New Roman" w:hAnsi="Times New Roman" w:eastAsia="宋体" w:cs="Times New Roman"/>
                <w:b/>
                <w:bCs/>
                <w:color w:val="auto"/>
                <w:sz w:val="21"/>
                <w:szCs w:val="21"/>
                <w:lang w:val="en-US" w:eastAsia="zh-CN"/>
              </w:rPr>
              <w:t>项目</w:t>
            </w:r>
            <w:r>
              <w:rPr>
                <w:rFonts w:hint="eastAsia" w:ascii="Times New Roman" w:hAnsi="Times New Roman" w:eastAsia="宋体" w:cs="Times New Roman"/>
                <w:b/>
                <w:bCs/>
                <w:color w:val="auto"/>
                <w:sz w:val="21"/>
                <w:szCs w:val="21"/>
                <w:lang w:val="en-US" w:eastAsia="zh-CN"/>
              </w:rPr>
              <w:t>专项评价设置情况判定表</w:t>
            </w:r>
          </w:p>
          <w:tbl>
            <w:tblPr>
              <w:tblStyle w:val="18"/>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57"/>
              <w:gridCol w:w="4015"/>
              <w:gridCol w:w="2766"/>
            </w:tblGrid>
            <w:tr w14:paraId="3DF5C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74" w:type="pct"/>
                  <w:tcBorders>
                    <w:tl2br w:val="nil"/>
                    <w:tr2bl w:val="nil"/>
                  </w:tcBorders>
                  <w:vAlign w:val="center"/>
                </w:tcPr>
                <w:p w14:paraId="531C13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专项评价的类别</w:t>
                  </w:r>
                </w:p>
              </w:tc>
              <w:tc>
                <w:tcPr>
                  <w:tcW w:w="2560" w:type="pct"/>
                  <w:tcBorders>
                    <w:tl2br w:val="nil"/>
                    <w:tr2bl w:val="nil"/>
                  </w:tcBorders>
                  <w:vAlign w:val="center"/>
                </w:tcPr>
                <w:p w14:paraId="12B616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设置原则</w:t>
                  </w:r>
                </w:p>
              </w:tc>
              <w:tc>
                <w:tcPr>
                  <w:tcW w:w="1764" w:type="pct"/>
                  <w:tcBorders>
                    <w:tl2br w:val="nil"/>
                    <w:tr2bl w:val="nil"/>
                  </w:tcBorders>
                  <w:vAlign w:val="center"/>
                </w:tcPr>
                <w:p w14:paraId="6A3B22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本项目</w:t>
                  </w:r>
                </w:p>
              </w:tc>
            </w:tr>
            <w:tr w14:paraId="40F1C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4" w:type="pct"/>
                  <w:tcBorders>
                    <w:tl2br w:val="nil"/>
                    <w:tr2bl w:val="nil"/>
                  </w:tcBorders>
                  <w:vAlign w:val="center"/>
                </w:tcPr>
                <w:p w14:paraId="65DF77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大气</w:t>
                  </w:r>
                </w:p>
              </w:tc>
              <w:tc>
                <w:tcPr>
                  <w:tcW w:w="2560" w:type="pct"/>
                  <w:tcBorders>
                    <w:tl2br w:val="nil"/>
                    <w:tr2bl w:val="nil"/>
                  </w:tcBorders>
                  <w:vAlign w:val="center"/>
                </w:tcPr>
                <w:p w14:paraId="5D8A25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排放废气含有毒有害污染物、二噁英、苯并[a]芘、氰化物、氯气且厂界外500米范围内有环境空气保护目标的建设项目</w:t>
                  </w:r>
                </w:p>
              </w:tc>
              <w:tc>
                <w:tcPr>
                  <w:tcW w:w="1764" w:type="pct"/>
                  <w:tcBorders>
                    <w:tl2br w:val="nil"/>
                    <w:tr2bl w:val="nil"/>
                  </w:tcBorders>
                  <w:vAlign w:val="center"/>
                </w:tcPr>
                <w:p w14:paraId="6CA19B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本项目排放废气不含有毒有害污染物、二噁英、苯并[a]芘、氰化物、氯气</w:t>
                  </w:r>
                </w:p>
              </w:tc>
            </w:tr>
            <w:tr w14:paraId="74B40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4" w:type="pct"/>
                  <w:tcBorders>
                    <w:tl2br w:val="nil"/>
                    <w:tr2bl w:val="nil"/>
                  </w:tcBorders>
                  <w:vAlign w:val="center"/>
                </w:tcPr>
                <w:p w14:paraId="068A3F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地表水</w:t>
                  </w:r>
                </w:p>
              </w:tc>
              <w:tc>
                <w:tcPr>
                  <w:tcW w:w="2560" w:type="pct"/>
                  <w:tcBorders>
                    <w:tl2br w:val="nil"/>
                    <w:tr2bl w:val="nil"/>
                  </w:tcBorders>
                  <w:vAlign w:val="center"/>
                </w:tcPr>
                <w:p w14:paraId="36DCBB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新增工业废水直排建设项目（槽罐车外送污水处理厂的除外）；新增废水</w:t>
                  </w:r>
                  <w:r>
                    <w:rPr>
                      <w:rFonts w:hint="eastAsia" w:ascii="宋体" w:hAnsi="宋体" w:eastAsia="宋体" w:cs="宋体"/>
                      <w:color w:val="auto"/>
                      <w:sz w:val="21"/>
                      <w:szCs w:val="21"/>
                      <w:highlight w:val="none"/>
                      <w:lang w:val="en-US" w:eastAsia="zh-CN"/>
                    </w:rPr>
                    <w:t>重复利用剩余的</w:t>
                  </w:r>
                  <w:r>
                    <w:rPr>
                      <w:rFonts w:hint="eastAsia" w:ascii="宋体" w:hAnsi="宋体" w:eastAsia="宋体" w:cs="宋体"/>
                      <w:color w:val="auto"/>
                      <w:sz w:val="21"/>
                      <w:szCs w:val="21"/>
                      <w:highlight w:val="none"/>
                      <w:lang w:eastAsia="zh-CN"/>
                    </w:rPr>
                    <w:t>直排的污水集中处理</w:t>
                  </w:r>
                  <w:r>
                    <w:rPr>
                      <w:rFonts w:hint="eastAsia" w:ascii="宋体" w:hAnsi="宋体" w:eastAsia="宋体" w:cs="宋体"/>
                      <w:color w:val="auto"/>
                      <w:sz w:val="21"/>
                      <w:szCs w:val="21"/>
                      <w:highlight w:val="none"/>
                      <w:lang w:val="en-US" w:eastAsia="zh-CN"/>
                    </w:rPr>
                    <w:t>站</w:t>
                  </w:r>
                </w:p>
              </w:tc>
              <w:tc>
                <w:tcPr>
                  <w:tcW w:w="1764" w:type="pct"/>
                  <w:tcBorders>
                    <w:tl2br w:val="nil"/>
                    <w:tr2bl w:val="nil"/>
                  </w:tcBorders>
                  <w:vAlign w:val="center"/>
                </w:tcPr>
                <w:p w14:paraId="6EF9B1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本项目不属于新增工业废水直排建设项目</w:t>
                  </w:r>
                </w:p>
              </w:tc>
            </w:tr>
            <w:tr w14:paraId="7040B6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4" w:type="pct"/>
                  <w:tcBorders>
                    <w:tl2br w:val="nil"/>
                    <w:tr2bl w:val="nil"/>
                  </w:tcBorders>
                  <w:vAlign w:val="center"/>
                </w:tcPr>
                <w:p w14:paraId="65E553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环境</w:t>
                  </w:r>
                </w:p>
                <w:p w14:paraId="206070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风险</w:t>
                  </w:r>
                </w:p>
              </w:tc>
              <w:tc>
                <w:tcPr>
                  <w:tcW w:w="2560" w:type="pct"/>
                  <w:tcBorders>
                    <w:tl2br w:val="nil"/>
                    <w:tr2bl w:val="nil"/>
                  </w:tcBorders>
                  <w:vAlign w:val="center"/>
                </w:tcPr>
                <w:p w14:paraId="60F3C2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eastAsia="zh-CN"/>
                    </w:rPr>
                    <w:t>有毒有害和易燃易爆危险物质存储量超过临界量的建设项目</w:t>
                  </w:r>
                </w:p>
              </w:tc>
              <w:tc>
                <w:tcPr>
                  <w:tcW w:w="1764" w:type="pct"/>
                  <w:tcBorders>
                    <w:tl2br w:val="nil"/>
                    <w:tr2bl w:val="nil"/>
                  </w:tcBorders>
                  <w:vAlign w:val="center"/>
                </w:tcPr>
                <w:p w14:paraId="270CDF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hAnsi="宋体" w:cs="宋体" w:eastAsiaTheme="minorEastAsia"/>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根据《常用危险化学品的分类及标志》（GB 13690-1992）液氮属于“3.1.2第二类压缩气体和液化气体中，a临界温度低于50℃，或在50℃时，其蒸气压大于294kPa的压缩或液化气，”液氮的饱和蒸气压在-173℃时为1026.42kPa。且根据《</w:t>
                  </w:r>
                  <w:r>
                    <w:rPr>
                      <w:rFonts w:hint="eastAsia" w:ascii="宋体" w:hAnsi="宋体" w:eastAsia="宋体" w:cs="宋体"/>
                      <w:color w:val="auto"/>
                      <w:sz w:val="21"/>
                      <w:szCs w:val="21"/>
                      <w:highlight w:val="none"/>
                      <w:lang w:eastAsia="zh-CN"/>
                    </w:rPr>
                    <w:t>危险化学品目录（2022 调整版）</w:t>
                  </w:r>
                  <w:r>
                    <w:rPr>
                      <w:rFonts w:hint="eastAsia" w:ascii="宋体" w:hAnsi="宋体" w:eastAsia="宋体" w:cs="宋体"/>
                      <w:color w:val="auto"/>
                      <w:sz w:val="21"/>
                      <w:szCs w:val="21"/>
                      <w:highlight w:val="none"/>
                      <w:lang w:val="en-US" w:eastAsia="zh-CN"/>
                    </w:rPr>
                    <w:t>》“172氮[压缩的或液化的]CAS7727-37-9”，因此液氮属于危险化学品。但是，根据《常用危险化学品的分类及标志》（GB 13690-1992）可知，液氮属于A2.2不燃气体（包括助燃气体），因此不属于易燃易爆物质。</w:t>
                  </w:r>
                  <w:r>
                    <w:rPr>
                      <w:rFonts w:hint="eastAsia"/>
                      <w:color w:val="auto"/>
                      <w:highlight w:val="none"/>
                      <w:lang w:val="en-US" w:eastAsia="zh-CN"/>
                    </w:rPr>
                    <w:t>根据《有毒有害大气污染物名录（2018年）》的公告（公告 2019年 第4号），液氮不属于有毒有害物质。</w:t>
                  </w:r>
                </w:p>
                <w:p w14:paraId="7057B8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val="en-US" w:eastAsia="zh-CN"/>
                    </w:rPr>
                  </w:pPr>
                  <w:r>
                    <w:rPr>
                      <w:rFonts w:hint="default" w:ascii="Arial" w:hAnsi="Arial" w:eastAsia="宋体" w:cs="Arial"/>
                      <w:i w:val="0"/>
                      <w:iCs w:val="0"/>
                      <w:caps w:val="0"/>
                      <w:color w:val="auto"/>
                      <w:spacing w:val="0"/>
                      <w:sz w:val="21"/>
                      <w:szCs w:val="21"/>
                      <w:highlight w:val="none"/>
                      <w:shd w:val="clear" w:fill="FFFFFF"/>
                    </w:rPr>
                    <w:t>液氮本身是无毒的，但是因为它的温度非常的低，所以在使用的时候一定要小心操作，不能让液氮大量</w:t>
                  </w:r>
                  <w:r>
                    <w:rPr>
                      <w:rFonts w:hint="eastAsia" w:ascii="Arial" w:hAnsi="Arial" w:eastAsia="宋体" w:cs="Arial"/>
                      <w:i w:val="0"/>
                      <w:iCs w:val="0"/>
                      <w:caps w:val="0"/>
                      <w:color w:val="auto"/>
                      <w:spacing w:val="0"/>
                      <w:sz w:val="21"/>
                      <w:szCs w:val="21"/>
                      <w:highlight w:val="none"/>
                      <w:shd w:val="clear" w:fill="FFFFFF"/>
                      <w:lang w:eastAsia="zh-CN"/>
                    </w:rPr>
                    <w:t>地</w:t>
                  </w:r>
                  <w:r>
                    <w:rPr>
                      <w:rFonts w:hint="default" w:ascii="Arial" w:hAnsi="Arial" w:eastAsia="宋体" w:cs="Arial"/>
                      <w:i w:val="0"/>
                      <w:iCs w:val="0"/>
                      <w:caps w:val="0"/>
                      <w:color w:val="auto"/>
                      <w:spacing w:val="0"/>
                      <w:sz w:val="21"/>
                      <w:szCs w:val="21"/>
                      <w:highlight w:val="none"/>
                      <w:shd w:val="clear" w:fill="FFFFFF"/>
                    </w:rPr>
                    <w:t>释放出来，就会造成冻伤的危险</w:t>
                  </w:r>
                  <w:r>
                    <w:rPr>
                      <w:rFonts w:hint="eastAsia" w:ascii="Arial" w:hAnsi="Arial" w:eastAsia="宋体" w:cs="Arial"/>
                      <w:i w:val="0"/>
                      <w:iCs w:val="0"/>
                      <w:caps w:val="0"/>
                      <w:color w:val="auto"/>
                      <w:spacing w:val="0"/>
                      <w:sz w:val="21"/>
                      <w:szCs w:val="21"/>
                      <w:highlight w:val="none"/>
                      <w:shd w:val="clear" w:fill="FFFFFF"/>
                      <w:lang w:eastAsia="zh-CN"/>
                    </w:rPr>
                    <w:t>。</w:t>
                  </w:r>
                </w:p>
                <w:p w14:paraId="012AFF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综上所述，液氮属于危险化学品，但是液氮不属于有毒有害，易燃易爆物质</w:t>
                  </w:r>
                </w:p>
              </w:tc>
            </w:tr>
            <w:tr w14:paraId="4F01A8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4" w:type="pct"/>
                  <w:tcBorders>
                    <w:tl2br w:val="nil"/>
                    <w:tr2bl w:val="nil"/>
                  </w:tcBorders>
                  <w:vAlign w:val="center"/>
                </w:tcPr>
                <w:p w14:paraId="13EA2C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生态</w:t>
                  </w:r>
                </w:p>
              </w:tc>
              <w:tc>
                <w:tcPr>
                  <w:tcW w:w="2560" w:type="pct"/>
                  <w:tcBorders>
                    <w:tl2br w:val="nil"/>
                    <w:tr2bl w:val="nil"/>
                  </w:tcBorders>
                  <w:vAlign w:val="center"/>
                </w:tcPr>
                <w:p w14:paraId="58577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eastAsia="zh-CN"/>
                    </w:rPr>
                    <w:t>取水口下游500米范围内有重要水生生物的自然产卵场、索饵场、越冬场和洄游通道的新增河道取水的污染类建设项目</w:t>
                  </w:r>
                </w:p>
              </w:tc>
              <w:tc>
                <w:tcPr>
                  <w:tcW w:w="1764" w:type="pct"/>
                  <w:tcBorders>
                    <w:tl2br w:val="nil"/>
                    <w:tr2bl w:val="nil"/>
                  </w:tcBorders>
                  <w:vAlign w:val="center"/>
                </w:tcPr>
                <w:p w14:paraId="65CD5B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本项目无河道</w:t>
                  </w:r>
                </w:p>
                <w:p w14:paraId="2F7DC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取水口</w:t>
                  </w:r>
                </w:p>
              </w:tc>
            </w:tr>
            <w:tr w14:paraId="1E7D0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74" w:type="pct"/>
                  <w:tcBorders>
                    <w:tl2br w:val="nil"/>
                    <w:tr2bl w:val="nil"/>
                  </w:tcBorders>
                  <w:vAlign w:val="center"/>
                </w:tcPr>
                <w:p w14:paraId="1C41D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海洋</w:t>
                  </w:r>
                </w:p>
              </w:tc>
              <w:tc>
                <w:tcPr>
                  <w:tcW w:w="2560" w:type="pct"/>
                  <w:tcBorders>
                    <w:tl2br w:val="nil"/>
                    <w:tr2bl w:val="nil"/>
                  </w:tcBorders>
                  <w:vAlign w:val="center"/>
                </w:tcPr>
                <w:p w14:paraId="4E1CBB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直接向海排放污染物的海洋工程建设项目</w:t>
                  </w:r>
                </w:p>
              </w:tc>
              <w:tc>
                <w:tcPr>
                  <w:tcW w:w="1764" w:type="pct"/>
                  <w:tcBorders>
                    <w:tl2br w:val="nil"/>
                    <w:tr2bl w:val="nil"/>
                  </w:tcBorders>
                  <w:vAlign w:val="center"/>
                </w:tcPr>
                <w:p w14:paraId="2F6BFE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本项目不属于海洋工程建设项目</w:t>
                  </w:r>
                </w:p>
              </w:tc>
            </w:tr>
          </w:tbl>
          <w:p w14:paraId="5F423239">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color w:val="auto"/>
                <w:sz w:val="24"/>
                <w:szCs w:val="24"/>
              </w:rPr>
            </w:pPr>
          </w:p>
        </w:tc>
      </w:tr>
      <w:tr w14:paraId="51ED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2" w:type="dxa"/>
            <w:vAlign w:val="center"/>
          </w:tcPr>
          <w:p w14:paraId="396F6066">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规划情况</w:t>
            </w:r>
          </w:p>
        </w:tc>
        <w:tc>
          <w:tcPr>
            <w:tcW w:w="8086" w:type="dxa"/>
            <w:gridSpan w:val="3"/>
            <w:vAlign w:val="center"/>
          </w:tcPr>
          <w:p w14:paraId="2E280F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无</w:t>
            </w:r>
          </w:p>
        </w:tc>
      </w:tr>
      <w:tr w14:paraId="67F3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1832" w:type="dxa"/>
            <w:vAlign w:val="center"/>
          </w:tcPr>
          <w:p w14:paraId="5854D0FD">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规划环境影响评价情况</w:t>
            </w:r>
          </w:p>
        </w:tc>
        <w:tc>
          <w:tcPr>
            <w:tcW w:w="8086" w:type="dxa"/>
            <w:gridSpan w:val="3"/>
            <w:vAlign w:val="center"/>
          </w:tcPr>
          <w:p w14:paraId="2C039D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无</w:t>
            </w:r>
          </w:p>
        </w:tc>
      </w:tr>
      <w:tr w14:paraId="3E87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32" w:type="dxa"/>
            <w:vAlign w:val="center"/>
          </w:tcPr>
          <w:p w14:paraId="38CB7BB5">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规划及规划环境影响评价符合性分析</w:t>
            </w:r>
          </w:p>
        </w:tc>
        <w:tc>
          <w:tcPr>
            <w:tcW w:w="8086" w:type="dxa"/>
            <w:gridSpan w:val="3"/>
            <w:vAlign w:val="center"/>
          </w:tcPr>
          <w:p w14:paraId="43BD4D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无</w:t>
            </w:r>
          </w:p>
        </w:tc>
      </w:tr>
      <w:tr w14:paraId="1832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832" w:type="dxa"/>
            <w:vAlign w:val="center"/>
          </w:tcPr>
          <w:p w14:paraId="0BA035BC">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highlight w:val="yellow"/>
              </w:rPr>
            </w:pPr>
            <w:r>
              <w:rPr>
                <w:rFonts w:hint="default" w:ascii="Times New Roman" w:hAnsi="Times New Roman" w:eastAsia="宋体" w:cs="Times New Roman"/>
                <w:b/>
                <w:color w:val="auto"/>
                <w:sz w:val="24"/>
                <w:szCs w:val="24"/>
              </w:rPr>
              <w:t>其他符合性分析</w:t>
            </w:r>
          </w:p>
        </w:tc>
        <w:tc>
          <w:tcPr>
            <w:tcW w:w="8086" w:type="dxa"/>
            <w:gridSpan w:val="3"/>
            <w:vAlign w:val="center"/>
          </w:tcPr>
          <w:p w14:paraId="410ADC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w:t>
            </w:r>
            <w:r>
              <w:rPr>
                <w:rFonts w:hint="eastAsia" w:ascii="Times New Roman" w:hAnsi="Times New Roman" w:eastAsia="宋体" w:cs="Times New Roman"/>
                <w:b/>
                <w:color w:val="auto"/>
                <w:sz w:val="24"/>
                <w:szCs w:val="24"/>
              </w:rPr>
              <w:t>、产业政策符合性分析</w:t>
            </w:r>
          </w:p>
          <w:p w14:paraId="13883A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本项目属于《国民经济行业分类》（</w:t>
            </w:r>
            <w:r>
              <w:rPr>
                <w:rFonts w:hint="default" w:ascii="Times New Roman" w:hAnsi="Times New Roman" w:eastAsia="宋体" w:cs="Times New Roman"/>
                <w:color w:val="auto"/>
                <w:sz w:val="24"/>
                <w:szCs w:val="24"/>
              </w:rPr>
              <w:t>GB/T4754-2017</w:t>
            </w:r>
            <w:r>
              <w:rPr>
                <w:rFonts w:hint="eastAsia" w:ascii="Times New Roman" w:hAnsi="Times New Roman" w:eastAsia="宋体" w:cs="Times New Roman"/>
                <w:color w:val="auto"/>
                <w:sz w:val="24"/>
                <w:szCs w:val="24"/>
              </w:rPr>
              <w:t>）中</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G5942危险化学品仓储</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，对照国家发展和改革委员会颁布的《产业结构调整指导目录（</w:t>
            </w:r>
            <w:r>
              <w:rPr>
                <w:rFonts w:hint="default" w:ascii="Times New Roman" w:hAnsi="Times New Roman" w:eastAsia="宋体" w:cs="Times New Roman"/>
                <w:color w:val="auto"/>
                <w:sz w:val="24"/>
                <w:szCs w:val="24"/>
              </w:rPr>
              <w:t>2024</w:t>
            </w:r>
            <w:r>
              <w:rPr>
                <w:rFonts w:hint="eastAsia" w:ascii="Times New Roman" w:hAnsi="Times New Roman" w:eastAsia="宋体" w:cs="Times New Roman"/>
                <w:color w:val="auto"/>
                <w:sz w:val="24"/>
                <w:szCs w:val="24"/>
              </w:rPr>
              <w:t>年本）》，项目不属于其中的鼓励类、限制类、淘汰类，项目建设</w:t>
            </w:r>
            <w:r>
              <w:rPr>
                <w:rFonts w:hint="eastAsia" w:ascii="Times New Roman" w:hAnsi="Times New Roman" w:eastAsia="宋体" w:cs="Times New Roman"/>
                <w:color w:val="auto"/>
                <w:sz w:val="24"/>
                <w:szCs w:val="24"/>
                <w:lang w:val="en-US" w:eastAsia="zh-CN"/>
              </w:rPr>
              <w:t>属于允许类，</w:t>
            </w:r>
            <w:r>
              <w:rPr>
                <w:rFonts w:hint="eastAsia" w:ascii="Times New Roman" w:hAnsi="Times New Roman" w:eastAsia="宋体" w:cs="Times New Roman"/>
                <w:color w:val="auto"/>
                <w:sz w:val="24"/>
                <w:szCs w:val="24"/>
              </w:rPr>
              <w:t>符合国家产业政策。</w:t>
            </w:r>
          </w:p>
          <w:p w14:paraId="3D2D7E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本项目已于2024年7月15日取得磴口县工业和信息化局项目备案告知书，项目代码 2407-150822-07-02-206802，备案文件见附件 2。</w:t>
            </w:r>
          </w:p>
          <w:p w14:paraId="36B4F7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w:t>
            </w:r>
            <w:r>
              <w:rPr>
                <w:rFonts w:hint="eastAsia" w:ascii="Times New Roman" w:hAnsi="Times New Roman" w:eastAsia="宋体" w:cs="Times New Roman"/>
                <w:b/>
                <w:color w:val="auto"/>
                <w:sz w:val="24"/>
                <w:szCs w:val="24"/>
              </w:rPr>
              <w:t>、选址合理性分析</w:t>
            </w:r>
          </w:p>
          <w:p w14:paraId="5D26B6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本项目选址位于</w:t>
            </w:r>
            <w:r>
              <w:rPr>
                <w:rFonts w:hint="eastAsia" w:ascii="Times New Roman" w:hAnsi="Times New Roman" w:eastAsia="宋体" w:cs="Times New Roman"/>
                <w:color w:val="auto"/>
                <w:sz w:val="24"/>
                <w:szCs w:val="24"/>
                <w:lang w:val="en-US" w:eastAsia="zh-CN"/>
              </w:rPr>
              <w:t>巴彦淖尔市磴口县巴彦淖尔华油天然气有限责任公司生产区现有液氮储罐西侧，</w:t>
            </w:r>
            <w:r>
              <w:rPr>
                <w:rFonts w:hint="eastAsia" w:ascii="Times New Roman" w:hAnsi="Times New Roman" w:eastAsia="宋体" w:cs="Times New Roman"/>
                <w:color w:val="auto"/>
                <w:sz w:val="24"/>
                <w:szCs w:val="24"/>
              </w:rPr>
              <w:t>用地性质属于工业用地，不占用永久基本农田，项目周边无自然保护区、水源地保护区、风景名胜区及其他需要特殊保护的区域，且不在当地生态红线范围内。运营期在采取本次评价提出的各项污染防治、风险防范措施的情况下，各污染物均能实现达标排放，对区域环境影响较小。</w:t>
            </w:r>
          </w:p>
          <w:p w14:paraId="6DEAE9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b/>
                <w:color w:val="auto"/>
                <w:sz w:val="24"/>
                <w:szCs w:val="24"/>
              </w:rPr>
            </w:pPr>
            <w:r>
              <w:rPr>
                <w:rFonts w:hint="eastAsia" w:ascii="Times New Roman" w:hAnsi="Times New Roman" w:eastAsia="宋体" w:cs="Times New Roman"/>
                <w:color w:val="auto"/>
                <w:sz w:val="24"/>
                <w:szCs w:val="24"/>
              </w:rPr>
              <w:t>综上所述，项目的选址基本合理。</w:t>
            </w:r>
          </w:p>
          <w:p w14:paraId="6286AA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3、</w:t>
            </w:r>
            <w:r>
              <w:rPr>
                <w:rFonts w:hint="eastAsia" w:ascii="Times New Roman" w:hAnsi="Times New Roman" w:eastAsia="宋体" w:cs="Times New Roman"/>
                <w:b/>
                <w:color w:val="auto"/>
                <w:sz w:val="24"/>
                <w:szCs w:val="24"/>
              </w:rPr>
              <w:t>“三线一单”符合性分析</w:t>
            </w:r>
          </w:p>
          <w:p w14:paraId="554BFB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（1）生态保护红线</w:t>
            </w:r>
          </w:p>
          <w:p w14:paraId="333D7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根据《巴彦淖尔市人民政府办公室关于巴彦淖尔市</w:t>
            </w:r>
            <w:r>
              <w:rPr>
                <w:rFonts w:hint="default" w:ascii="Times New Roman" w:hAnsi="Times New Roman" w:eastAsia="宋体" w:cs="Times New Roman"/>
                <w:color w:val="auto"/>
                <w:sz w:val="24"/>
                <w:szCs w:val="24"/>
              </w:rPr>
              <w:t>2023年生态环境分区管控成果动态更新的通知》（巴政办字[2023]106号）</w:t>
            </w:r>
            <w:r>
              <w:rPr>
                <w:rFonts w:hint="eastAsia" w:ascii="Times New Roman" w:hAnsi="Times New Roman" w:eastAsia="宋体" w:cs="Times New Roman"/>
                <w:color w:val="auto"/>
                <w:sz w:val="24"/>
                <w:szCs w:val="24"/>
              </w:rPr>
              <w:t>，同时查询内蒙古自治区“三线一单”数据应用平台，项目位置不在当地生态保护红线范围内。</w:t>
            </w:r>
          </w:p>
          <w:p w14:paraId="7F1CB1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（2）环境质量底线</w:t>
            </w:r>
          </w:p>
          <w:p w14:paraId="3730A0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default"/>
                <w:color w:val="auto"/>
                <w:sz w:val="24"/>
                <w:szCs w:val="24"/>
              </w:rPr>
              <w:t>①</w:t>
            </w:r>
            <w:r>
              <w:rPr>
                <w:rFonts w:hint="eastAsia" w:ascii="Times New Roman" w:hAnsi="Times New Roman" w:eastAsia="宋体" w:cs="Times New Roman"/>
                <w:color w:val="auto"/>
                <w:sz w:val="24"/>
                <w:szCs w:val="24"/>
              </w:rPr>
              <w:t>环境空气质量底线</w:t>
            </w:r>
          </w:p>
          <w:p w14:paraId="2ED8FA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根据《巴彦淖尔市人民政府办公室关于巴彦淖尔市</w:t>
            </w:r>
            <w:r>
              <w:rPr>
                <w:rFonts w:hint="default" w:ascii="Times New Roman" w:hAnsi="Times New Roman" w:eastAsia="宋体" w:cs="Times New Roman"/>
                <w:color w:val="auto"/>
                <w:sz w:val="24"/>
                <w:szCs w:val="24"/>
              </w:rPr>
              <w:t>2023年生态环境分区管控成果动态更新的通知》（巴政办字</w:t>
            </w:r>
            <w:r>
              <w:rPr>
                <w:rFonts w:hint="eastAsia" w:ascii="Times New Roman" w:hAnsi="Times New Roman" w:eastAsia="宋体" w:cs="Times New Roman"/>
                <w:color w:val="auto"/>
                <w:sz w:val="24"/>
                <w:szCs w:val="24"/>
                <w:lang w:eastAsia="zh-CN"/>
              </w:rPr>
              <w:t>〔2023〕106号</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，项目所在区域属于大气环境受体敏感重点管控区。</w:t>
            </w:r>
          </w:p>
          <w:p w14:paraId="5AB9AF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根据《巴彦淖尔市生态环境质量状况公报》（2</w:t>
            </w:r>
            <w:r>
              <w:rPr>
                <w:rFonts w:hint="default" w:ascii="Times New Roman" w:hAnsi="Times New Roman" w:eastAsia="宋体" w:cs="Times New Roman"/>
                <w:color w:val="auto"/>
                <w:sz w:val="24"/>
                <w:szCs w:val="24"/>
              </w:rPr>
              <w:t>023</w:t>
            </w:r>
            <w:r>
              <w:rPr>
                <w:rFonts w:hint="eastAsia"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磴口县</w:t>
            </w:r>
            <w:r>
              <w:rPr>
                <w:rFonts w:hint="eastAsia" w:ascii="Times New Roman" w:hAnsi="Times New Roman" w:eastAsia="宋体" w:cs="Times New Roman"/>
                <w:color w:val="auto"/>
                <w:sz w:val="24"/>
                <w:szCs w:val="24"/>
              </w:rPr>
              <w:t>属于达标区；区域环境空气质量现状满足《环境空气质量标准》（</w:t>
            </w:r>
            <w:r>
              <w:rPr>
                <w:rFonts w:hint="default" w:ascii="Times New Roman" w:hAnsi="Times New Roman" w:eastAsia="宋体" w:cs="Times New Roman"/>
                <w:color w:val="auto"/>
                <w:sz w:val="24"/>
                <w:szCs w:val="24"/>
              </w:rPr>
              <w:t>GB3095-2012</w:t>
            </w:r>
            <w:r>
              <w:rPr>
                <w:rFonts w:hint="eastAsia" w:ascii="Times New Roman" w:hAnsi="Times New Roman" w:eastAsia="宋体" w:cs="Times New Roman"/>
                <w:color w:val="auto"/>
                <w:sz w:val="24"/>
                <w:szCs w:val="24"/>
              </w:rPr>
              <w:t>）二级限值要求，区域环境空气质量良好。</w:t>
            </w:r>
          </w:p>
          <w:p w14:paraId="3DBAC7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本次</w:t>
            </w:r>
            <w:r>
              <w:rPr>
                <w:rFonts w:hint="eastAsia" w:ascii="Times New Roman" w:hAnsi="Times New Roman" w:eastAsia="宋体" w:cs="Times New Roman"/>
                <w:color w:val="auto"/>
                <w:sz w:val="24"/>
                <w:szCs w:val="24"/>
                <w:lang w:val="en-US" w:eastAsia="zh-CN"/>
              </w:rPr>
              <w:t>运营期不涉及废气排放</w:t>
            </w:r>
            <w:r>
              <w:rPr>
                <w:rFonts w:hint="eastAsia" w:ascii="Times New Roman" w:hAnsi="Times New Roman" w:eastAsia="宋体" w:cs="Times New Roman"/>
                <w:color w:val="auto"/>
                <w:sz w:val="24"/>
                <w:szCs w:val="24"/>
              </w:rPr>
              <w:t>，对环境影响较小，</w:t>
            </w:r>
            <w:r>
              <w:rPr>
                <w:rFonts w:hint="default" w:ascii="Times New Roman" w:hAnsi="Times New Roman" w:eastAsia="宋体" w:cs="Times New Roman"/>
                <w:color w:val="auto"/>
                <w:sz w:val="24"/>
                <w:szCs w:val="24"/>
              </w:rPr>
              <w:t>不会突破当地</w:t>
            </w:r>
            <w:r>
              <w:rPr>
                <w:rFonts w:hint="eastAsia" w:ascii="Times New Roman" w:hAnsi="Times New Roman" w:eastAsia="宋体" w:cs="Times New Roman"/>
                <w:color w:val="auto"/>
                <w:sz w:val="24"/>
                <w:szCs w:val="24"/>
              </w:rPr>
              <w:t>大气</w:t>
            </w:r>
            <w:r>
              <w:rPr>
                <w:rFonts w:hint="default" w:ascii="Times New Roman" w:hAnsi="Times New Roman" w:eastAsia="宋体" w:cs="Times New Roman"/>
                <w:color w:val="auto"/>
                <w:sz w:val="24"/>
                <w:szCs w:val="24"/>
              </w:rPr>
              <w:t>环境质量底线。</w:t>
            </w:r>
          </w:p>
          <w:p w14:paraId="4A246F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w:t>
            </w:r>
            <w:r>
              <w:rPr>
                <w:rFonts w:hint="default" w:ascii="Times New Roman" w:hAnsi="Times New Roman" w:eastAsia="宋体" w:cs="Times New Roman"/>
                <w:color w:val="auto"/>
                <w:sz w:val="24"/>
                <w:szCs w:val="24"/>
              </w:rPr>
              <w:t>水环境质量底线</w:t>
            </w:r>
          </w:p>
          <w:p w14:paraId="73C0F4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根据《巴彦淖尔市人民政府办公室关于巴彦淖尔市</w:t>
            </w:r>
            <w:r>
              <w:rPr>
                <w:rFonts w:hint="default" w:ascii="Times New Roman" w:hAnsi="Times New Roman" w:eastAsia="宋体" w:cs="Times New Roman"/>
                <w:color w:val="auto"/>
                <w:sz w:val="24"/>
                <w:szCs w:val="24"/>
              </w:rPr>
              <w:t>2023年生态环境分区管控成果动态更新的通知》（巴政办字</w:t>
            </w:r>
            <w:r>
              <w:rPr>
                <w:rFonts w:hint="eastAsia" w:ascii="Times New Roman" w:hAnsi="Times New Roman" w:eastAsia="宋体" w:cs="Times New Roman"/>
                <w:color w:val="auto"/>
                <w:sz w:val="24"/>
                <w:szCs w:val="24"/>
                <w:lang w:eastAsia="zh-CN"/>
              </w:rPr>
              <w:t>〔2023〕106号</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，项目所在区域属于水环境农业污染重点管控区。</w:t>
            </w:r>
          </w:p>
          <w:p w14:paraId="32795B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本次</w:t>
            </w:r>
            <w:r>
              <w:rPr>
                <w:rFonts w:hint="eastAsia" w:ascii="Times New Roman" w:hAnsi="Times New Roman" w:eastAsia="宋体" w:cs="Times New Roman"/>
                <w:color w:val="auto"/>
                <w:sz w:val="24"/>
                <w:szCs w:val="24"/>
                <w:lang w:eastAsia="zh-CN"/>
              </w:rPr>
              <w:t>扩建项目</w:t>
            </w:r>
            <w:r>
              <w:rPr>
                <w:rFonts w:hint="eastAsia" w:ascii="Times New Roman" w:hAnsi="Times New Roman" w:eastAsia="宋体" w:cs="Times New Roman"/>
                <w:color w:val="auto"/>
                <w:sz w:val="24"/>
                <w:szCs w:val="24"/>
              </w:rPr>
              <w:t>不新增生产废水排放，不新增劳动定员，无生活污水新增，不会突破水环境质量底线。</w:t>
            </w:r>
          </w:p>
          <w:p w14:paraId="53CA90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default"/>
                <w:color w:val="auto"/>
                <w:sz w:val="24"/>
                <w:szCs w:val="24"/>
              </w:rPr>
              <w:t>③</w:t>
            </w:r>
            <w:r>
              <w:rPr>
                <w:rFonts w:hint="eastAsia" w:ascii="Times New Roman" w:hAnsi="Times New Roman" w:eastAsia="宋体" w:cs="Times New Roman"/>
                <w:color w:val="auto"/>
                <w:sz w:val="24"/>
                <w:szCs w:val="24"/>
              </w:rPr>
              <w:t>土壤环境质量底线</w:t>
            </w:r>
          </w:p>
          <w:p w14:paraId="56F0C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根据《巴彦淖尔市人民政府办公室关于巴彦淖尔市</w:t>
            </w:r>
            <w:r>
              <w:rPr>
                <w:rFonts w:hint="default" w:ascii="Times New Roman" w:hAnsi="Times New Roman" w:eastAsia="宋体" w:cs="Times New Roman"/>
                <w:color w:val="auto"/>
                <w:sz w:val="24"/>
                <w:szCs w:val="24"/>
              </w:rPr>
              <w:t>2023年生态环境分区管控成果动态更新的通知》（巴政办字</w:t>
            </w:r>
            <w:r>
              <w:rPr>
                <w:rFonts w:hint="eastAsia" w:ascii="Times New Roman" w:hAnsi="Times New Roman" w:eastAsia="宋体" w:cs="Times New Roman"/>
                <w:color w:val="auto"/>
                <w:sz w:val="24"/>
                <w:szCs w:val="24"/>
                <w:lang w:eastAsia="zh-CN"/>
              </w:rPr>
              <w:t>〔2023〕106号</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highlight w:val="none"/>
              </w:rPr>
              <w:t>项目所在区域</w:t>
            </w:r>
            <w:r>
              <w:rPr>
                <w:rFonts w:hint="eastAsia" w:ascii="Times New Roman" w:hAnsi="Times New Roman" w:eastAsia="宋体" w:cs="Times New Roman"/>
                <w:color w:val="auto"/>
                <w:sz w:val="24"/>
                <w:szCs w:val="24"/>
                <w:highlight w:val="none"/>
                <w:lang w:val="en-US" w:eastAsia="zh-CN"/>
              </w:rPr>
              <w:t>不</w:t>
            </w:r>
            <w:r>
              <w:rPr>
                <w:rFonts w:hint="eastAsia" w:ascii="Times New Roman" w:hAnsi="Times New Roman" w:eastAsia="宋体" w:cs="Times New Roman"/>
                <w:color w:val="auto"/>
                <w:sz w:val="24"/>
                <w:szCs w:val="24"/>
                <w:highlight w:val="none"/>
              </w:rPr>
              <w:t>属于</w:t>
            </w:r>
            <w:r>
              <w:rPr>
                <w:rFonts w:hint="eastAsia" w:ascii="Times New Roman" w:hAnsi="Times New Roman" w:eastAsia="宋体" w:cs="Times New Roman"/>
                <w:color w:val="auto"/>
                <w:sz w:val="24"/>
                <w:szCs w:val="24"/>
                <w:highlight w:val="none"/>
                <w:lang w:val="en-US" w:eastAsia="zh-CN"/>
              </w:rPr>
              <w:t>土地资源重点管控区</w:t>
            </w:r>
            <w:r>
              <w:rPr>
                <w:rFonts w:hint="eastAsia" w:ascii="Times New Roman" w:hAnsi="Times New Roman" w:eastAsia="宋体" w:cs="Times New Roman"/>
                <w:color w:val="auto"/>
                <w:sz w:val="24"/>
                <w:szCs w:val="24"/>
              </w:rPr>
              <w:t>。</w:t>
            </w:r>
          </w:p>
          <w:p w14:paraId="6BCCE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项目运营期在采取本次评价提出的各项污染防治、风险防范措施的情况下，不会对区域土壤环境</w:t>
            </w:r>
            <w:r>
              <w:rPr>
                <w:rFonts w:hint="eastAsia" w:ascii="Times New Roman" w:hAnsi="Times New Roman" w:eastAsia="宋体" w:cs="Times New Roman"/>
                <w:color w:val="auto"/>
                <w:sz w:val="24"/>
                <w:szCs w:val="24"/>
                <w:lang w:eastAsia="zh-CN"/>
              </w:rPr>
              <w:t>造成</w:t>
            </w:r>
            <w:r>
              <w:rPr>
                <w:rFonts w:hint="eastAsia" w:ascii="Times New Roman" w:hAnsi="Times New Roman" w:eastAsia="宋体" w:cs="Times New Roman"/>
                <w:color w:val="auto"/>
                <w:sz w:val="24"/>
                <w:szCs w:val="24"/>
              </w:rPr>
              <w:t>大的影响，不会突破当地土壤环境质量底线。</w:t>
            </w:r>
          </w:p>
          <w:p w14:paraId="378AE4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（3）资源利用上线</w:t>
            </w:r>
          </w:p>
          <w:p w14:paraId="42120D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default"/>
                <w:color w:val="auto"/>
                <w:sz w:val="24"/>
                <w:szCs w:val="24"/>
              </w:rPr>
              <w:t>①</w:t>
            </w:r>
            <w:r>
              <w:rPr>
                <w:rFonts w:hint="eastAsia" w:ascii="Times New Roman" w:hAnsi="Times New Roman" w:eastAsia="宋体" w:cs="Times New Roman"/>
                <w:color w:val="auto"/>
                <w:sz w:val="24"/>
                <w:szCs w:val="24"/>
              </w:rPr>
              <w:t>水资源利用上线</w:t>
            </w:r>
          </w:p>
          <w:p w14:paraId="540E36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根据《巴彦淖尔市人民政府办公室关于巴彦淖尔市</w:t>
            </w:r>
            <w:r>
              <w:rPr>
                <w:rFonts w:hint="default" w:ascii="Times New Roman" w:hAnsi="Times New Roman" w:eastAsia="宋体" w:cs="Times New Roman"/>
                <w:color w:val="auto"/>
                <w:sz w:val="24"/>
                <w:szCs w:val="24"/>
              </w:rPr>
              <w:t>2023年生态环境分区管控成果动态更新的通知》（巴政办字[2023]106号）</w:t>
            </w:r>
            <w:r>
              <w:rPr>
                <w:rFonts w:hint="eastAsia" w:ascii="Times New Roman" w:hAnsi="Times New Roman" w:eastAsia="宋体" w:cs="Times New Roman"/>
                <w:color w:val="auto"/>
                <w:sz w:val="24"/>
                <w:szCs w:val="24"/>
              </w:rPr>
              <w:t>，项目所在区域属于生态用水补给区。</w:t>
            </w:r>
          </w:p>
          <w:p w14:paraId="1D05D7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项目运营期</w:t>
            </w:r>
            <w:r>
              <w:rPr>
                <w:rFonts w:hint="eastAsia" w:ascii="Times New Roman" w:hAnsi="Times New Roman" w:eastAsia="宋体" w:cs="Times New Roman"/>
                <w:color w:val="auto"/>
                <w:sz w:val="24"/>
                <w:szCs w:val="24"/>
                <w:lang w:val="en-US" w:eastAsia="zh-CN"/>
              </w:rPr>
              <w:t>无新增生产生活用水</w:t>
            </w:r>
            <w:r>
              <w:rPr>
                <w:rFonts w:hint="eastAsia" w:ascii="Times New Roman" w:hAnsi="Times New Roman" w:eastAsia="宋体" w:cs="Times New Roman"/>
                <w:color w:val="auto"/>
                <w:sz w:val="24"/>
                <w:szCs w:val="24"/>
              </w:rPr>
              <w:t>，不会突破当地水资源利用上线。</w:t>
            </w:r>
          </w:p>
          <w:p w14:paraId="358F02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default"/>
                <w:color w:val="auto"/>
                <w:sz w:val="24"/>
                <w:szCs w:val="24"/>
              </w:rPr>
              <w:t>②</w:t>
            </w:r>
            <w:r>
              <w:rPr>
                <w:rFonts w:hint="eastAsia" w:ascii="Times New Roman" w:hAnsi="Times New Roman" w:eastAsia="宋体" w:cs="Times New Roman"/>
                <w:color w:val="auto"/>
                <w:sz w:val="24"/>
                <w:szCs w:val="24"/>
              </w:rPr>
              <w:t>土地资源利用上线</w:t>
            </w:r>
          </w:p>
          <w:p w14:paraId="5C2487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根据《巴彦淖尔市人民政府办公室关于巴彦淖尔市</w:t>
            </w:r>
            <w:r>
              <w:rPr>
                <w:rFonts w:hint="default" w:ascii="Times New Roman" w:hAnsi="Times New Roman" w:eastAsia="宋体" w:cs="Times New Roman"/>
                <w:color w:val="auto"/>
                <w:sz w:val="24"/>
                <w:szCs w:val="24"/>
              </w:rPr>
              <w:t>2023年生态环境分区管控成果动态更新的通知》（巴政办字</w:t>
            </w:r>
            <w:r>
              <w:rPr>
                <w:rFonts w:hint="eastAsia" w:ascii="Times New Roman" w:hAnsi="Times New Roman" w:eastAsia="宋体" w:cs="Times New Roman"/>
                <w:color w:val="auto"/>
                <w:sz w:val="24"/>
                <w:szCs w:val="24"/>
                <w:lang w:eastAsia="zh-CN"/>
              </w:rPr>
              <w:t>〔2023〕106号</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，项目所在区域属于土地资源重点管控区。</w:t>
            </w:r>
          </w:p>
          <w:p w14:paraId="0D09C4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本次</w:t>
            </w:r>
            <w:r>
              <w:rPr>
                <w:rFonts w:hint="eastAsia" w:ascii="Times New Roman" w:hAnsi="Times New Roman" w:eastAsia="宋体" w:cs="Times New Roman"/>
                <w:color w:val="auto"/>
                <w:sz w:val="24"/>
                <w:szCs w:val="24"/>
                <w:lang w:eastAsia="zh-CN"/>
              </w:rPr>
              <w:t>扩建</w:t>
            </w:r>
            <w:r>
              <w:rPr>
                <w:rFonts w:hint="eastAsia" w:ascii="Times New Roman" w:hAnsi="Times New Roman" w:eastAsia="宋体" w:cs="Times New Roman"/>
                <w:color w:val="auto"/>
                <w:sz w:val="24"/>
                <w:szCs w:val="24"/>
              </w:rPr>
              <w:t>不新增生产废水排放，不新增劳动定员，无生活污水新增，不会突破水环境质量底线。</w:t>
            </w:r>
          </w:p>
          <w:p w14:paraId="4BD71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default"/>
                <w:color w:val="auto"/>
                <w:sz w:val="24"/>
                <w:szCs w:val="24"/>
              </w:rPr>
              <w:t>③</w:t>
            </w:r>
            <w:r>
              <w:rPr>
                <w:rFonts w:hint="eastAsia" w:ascii="Times New Roman" w:hAnsi="Times New Roman" w:eastAsia="宋体" w:cs="Times New Roman"/>
                <w:color w:val="auto"/>
                <w:sz w:val="24"/>
                <w:szCs w:val="24"/>
              </w:rPr>
              <w:t>能源利用上线</w:t>
            </w:r>
          </w:p>
          <w:p w14:paraId="1D6833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根据《巴彦淖尔市人民政府办公室关于巴彦淖尔市</w:t>
            </w:r>
            <w:r>
              <w:rPr>
                <w:rFonts w:hint="default" w:ascii="Times New Roman" w:hAnsi="Times New Roman" w:eastAsia="宋体" w:cs="Times New Roman"/>
                <w:color w:val="auto"/>
                <w:sz w:val="24"/>
                <w:szCs w:val="24"/>
              </w:rPr>
              <w:t>2023年生态环境分区管控成果动态更新的通知》（巴政办字</w:t>
            </w:r>
            <w:r>
              <w:rPr>
                <w:rFonts w:hint="eastAsia" w:ascii="Times New Roman" w:hAnsi="Times New Roman" w:eastAsia="宋体" w:cs="Times New Roman"/>
                <w:color w:val="auto"/>
                <w:sz w:val="24"/>
                <w:szCs w:val="24"/>
                <w:lang w:eastAsia="zh-CN"/>
              </w:rPr>
              <w:t>〔2023〕106号</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，项目所在区域不在大气环境高排放重点管控区范围内。</w:t>
            </w:r>
          </w:p>
          <w:p w14:paraId="14D33A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本次</w:t>
            </w:r>
            <w:r>
              <w:rPr>
                <w:rFonts w:hint="eastAsia" w:ascii="Times New Roman" w:hAnsi="Times New Roman" w:eastAsia="宋体" w:cs="Times New Roman"/>
                <w:color w:val="auto"/>
                <w:sz w:val="24"/>
                <w:szCs w:val="24"/>
                <w:lang w:eastAsia="zh-CN"/>
              </w:rPr>
              <w:t>扩建</w:t>
            </w:r>
            <w:r>
              <w:rPr>
                <w:rFonts w:hint="eastAsia" w:ascii="Times New Roman" w:hAnsi="Times New Roman" w:eastAsia="宋体" w:cs="Times New Roman"/>
                <w:color w:val="auto"/>
                <w:sz w:val="24"/>
                <w:szCs w:val="24"/>
                <w:lang w:val="en-US" w:eastAsia="zh-CN"/>
              </w:rPr>
              <w:t>项目运营期不涉及燃料供热</w:t>
            </w:r>
            <w:r>
              <w:rPr>
                <w:rFonts w:hint="eastAsia" w:ascii="Times New Roman" w:hAnsi="Times New Roman" w:eastAsia="宋体" w:cs="Times New Roman"/>
                <w:color w:val="auto"/>
                <w:sz w:val="24"/>
                <w:szCs w:val="24"/>
              </w:rPr>
              <w:t>，不会突破当地能源利用上线。</w:t>
            </w:r>
          </w:p>
          <w:p w14:paraId="2052BC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（3）生态环境准入清单</w:t>
            </w:r>
          </w:p>
          <w:p w14:paraId="366BFC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根据《巴彦淖尔市人民政府办公室关于巴彦淖尔市</w:t>
            </w:r>
            <w:r>
              <w:rPr>
                <w:rFonts w:hint="default" w:ascii="Times New Roman" w:hAnsi="Times New Roman" w:eastAsia="宋体" w:cs="Times New Roman"/>
                <w:color w:val="auto"/>
                <w:sz w:val="24"/>
                <w:szCs w:val="24"/>
              </w:rPr>
              <w:t>2023年生态环境分区管控成果动态更新的通知》（巴政办字</w:t>
            </w:r>
            <w:r>
              <w:rPr>
                <w:rFonts w:hint="eastAsia" w:ascii="Times New Roman" w:hAnsi="Times New Roman" w:eastAsia="宋体" w:cs="Times New Roman"/>
                <w:color w:val="auto"/>
                <w:sz w:val="24"/>
                <w:szCs w:val="24"/>
                <w:lang w:eastAsia="zh-CN"/>
              </w:rPr>
              <w:t>〔2023〕106号</w:t>
            </w:r>
            <w:r>
              <w:rPr>
                <w:rFonts w:hint="default" w:ascii="Times New Roman" w:hAnsi="Times New Roman" w:eastAsia="宋体" w:cs="Times New Roman"/>
                <w:color w:val="auto"/>
                <w:sz w:val="24"/>
                <w:szCs w:val="24"/>
              </w:rPr>
              <w:t>），巴彦淖尔市全市共划定环境管控单元256个，包括优先保护单元、重点管控单元、一般管控单元三类。</w:t>
            </w:r>
          </w:p>
          <w:p w14:paraId="7B37EB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本项目与巴彦淖尔市总体准入要求符合性分析如下。</w:t>
            </w:r>
          </w:p>
          <w:p w14:paraId="41566BCF">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lang w:val="en-US" w:eastAsia="zh-CN"/>
              </w:rPr>
            </w:pPr>
          </w:p>
          <w:p w14:paraId="0180F89E">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表1</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项目与巴彦淖尔市总体准入要求符合性分析一览表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4732"/>
              <w:gridCol w:w="1539"/>
              <w:gridCol w:w="898"/>
            </w:tblGrid>
            <w:tr w14:paraId="02FB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91" w:type="dxa"/>
                  <w:vAlign w:val="center"/>
                </w:tcPr>
                <w:p w14:paraId="4DA3B635">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管控类型</w:t>
                  </w:r>
                </w:p>
              </w:tc>
              <w:tc>
                <w:tcPr>
                  <w:tcW w:w="4732" w:type="dxa"/>
                  <w:vAlign w:val="center"/>
                </w:tcPr>
                <w:p w14:paraId="3FC7D077">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管控要求</w:t>
                  </w:r>
                </w:p>
              </w:tc>
              <w:tc>
                <w:tcPr>
                  <w:tcW w:w="1539" w:type="dxa"/>
                  <w:vAlign w:val="center"/>
                </w:tcPr>
                <w:p w14:paraId="5D6768BE">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本项目情况</w:t>
                  </w:r>
                </w:p>
              </w:tc>
              <w:tc>
                <w:tcPr>
                  <w:tcW w:w="898" w:type="dxa"/>
                  <w:vAlign w:val="center"/>
                </w:tcPr>
                <w:p w14:paraId="13DA8808">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符合性</w:t>
                  </w:r>
                </w:p>
              </w:tc>
            </w:tr>
            <w:tr w14:paraId="6391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Align w:val="center"/>
                </w:tcPr>
                <w:p w14:paraId="6C96F7A0">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总体要求</w:t>
                  </w:r>
                </w:p>
              </w:tc>
              <w:tc>
                <w:tcPr>
                  <w:tcW w:w="4732" w:type="dxa"/>
                  <w:vAlign w:val="center"/>
                </w:tcPr>
                <w:p w14:paraId="1FFDA145">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禁止农作物秸秆等生物质及其他废弃物违规露天焚烧，加大农业源氨的排放控制力度，减少化肥农药使用量，增加有机肥使用量，实现化肥农药使用量零增长。禁止煤炭经营单位销售不符合规定标准的散煤或者固硫型煤。学校、医院、居民居住区等人口集中区域和其他依法需要特殊保护的区域及其周边，禁止新建、改建、扩建排放恶臭污染物的建设项目，或者从事其他产生恶臭气体的生产经营活动:已建成的，应当逐步搬迁或者升级改造。未经市人民政府林业或者农牧业行政主管部门批准，任何单位和个人禁止在巴彦淖尔市乌梁素海自治区级湿地水禽自然保护区范围内从事放生活动。禁止任何单位和个人擅自在各级渠沟道上引水、阳水、拦截水或者以其他方式影响水利工程的正常运行。禁止在渠沟道早台进行植树、种草以外的其他耕作行为。</w:t>
                  </w:r>
                </w:p>
                <w:p w14:paraId="387F7A3D">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电力、钢铁、水泥、焦化、有色金属冶炼、铁合金制造热力供应等重点行业企业生产过程中排放大气污染物的应当采用清洁生产工艺，配套建设除尘、脱硫、脱硝等治污装置，或者采取技术改造等其他措施控制大气污染物排放。现有向大气排放恶臭污染物的化工、制药、制革、肥料加工、畜禽养殖、屠宰等行业的排污单位，应当按照大气环境质量改善要求采用先进的技术、工艺和设备，减少恶臭污染物排放，达到国家标准。巴彦淖尔市SO</w:t>
                  </w:r>
                  <w:r>
                    <w:rPr>
                      <w:rFonts w:hint="eastAsia" w:ascii="Times New Roman" w:hAnsi="Times New Roman" w:eastAsia="宋体" w:cs="Times New Roman"/>
                      <w:color w:val="auto"/>
                      <w:szCs w:val="21"/>
                      <w:vertAlign w:val="subscript"/>
                      <w:lang w:val="en-US" w:eastAsia="zh-CN"/>
                    </w:rPr>
                    <w:t>2</w:t>
                  </w:r>
                  <w:r>
                    <w:rPr>
                      <w:rFonts w:hint="eastAsia" w:ascii="Times New Roman" w:hAnsi="Times New Roman" w:eastAsia="宋体" w:cs="Times New Roman"/>
                      <w:color w:val="auto"/>
                      <w:szCs w:val="21"/>
                      <w:lang w:val="en-US" w:eastAsia="zh-CN"/>
                    </w:rPr>
                    <w:t xml:space="preserve"> 排放总量较 2015 年减少 15%，NOx 排放总量较 2015 年减少11%</w:t>
                  </w:r>
                  <w:r>
                    <w:rPr>
                      <w:rFonts w:hint="default" w:ascii="Times New Roman" w:hAnsi="Times New Roman" w:eastAsia="宋体" w:cs="Times New Roman"/>
                      <w:color w:val="auto"/>
                      <w:szCs w:val="21"/>
                    </w:rPr>
                    <w:t>。</w:t>
                  </w:r>
                </w:p>
                <w:p w14:paraId="61C33045">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、到 2020 年，巴彦淖尔市用水总量控制目标为 49.52 亿立方米。到 2030 年，巴彦淖尔市用水总量控制目标为52.46 亿立方米。</w:t>
                  </w:r>
                </w:p>
              </w:tc>
              <w:tc>
                <w:tcPr>
                  <w:tcW w:w="1539" w:type="dxa"/>
                  <w:vAlign w:val="center"/>
                </w:tcPr>
                <w:p w14:paraId="75497051">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1、本项目选址位于</w:t>
                  </w:r>
                  <w:r>
                    <w:rPr>
                      <w:rFonts w:hint="eastAsia" w:ascii="Times New Roman" w:hAnsi="Times New Roman" w:eastAsia="宋体" w:cs="Times New Roman"/>
                      <w:color w:val="auto"/>
                      <w:szCs w:val="21"/>
                      <w:lang w:val="en-US" w:eastAsia="zh-CN"/>
                    </w:rPr>
                    <w:t>巴彦淖尔市磴口县工业园区</w:t>
                  </w:r>
                  <w:r>
                    <w:rPr>
                      <w:rFonts w:hint="eastAsia" w:ascii="Times New Roman" w:hAnsi="Times New Roman" w:eastAsia="宋体" w:cs="Times New Roman"/>
                      <w:color w:val="auto"/>
                      <w:szCs w:val="21"/>
                    </w:rPr>
                    <w:t>，用地性质属于工业用地</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rPr>
                    <w:t>本次</w:t>
                  </w:r>
                  <w:r>
                    <w:rPr>
                      <w:rFonts w:hint="eastAsia" w:ascii="Times New Roman" w:hAnsi="Times New Roman" w:eastAsia="宋体" w:cs="Times New Roman"/>
                      <w:color w:val="auto"/>
                      <w:szCs w:val="21"/>
                      <w:lang w:eastAsia="zh-CN"/>
                    </w:rPr>
                    <w:t>扩建项目</w:t>
                  </w:r>
                  <w:r>
                    <w:rPr>
                      <w:rFonts w:hint="eastAsia" w:ascii="Times New Roman" w:hAnsi="Times New Roman" w:eastAsia="宋体" w:cs="Times New Roman"/>
                      <w:color w:val="auto"/>
                      <w:szCs w:val="21"/>
                      <w:lang w:val="en-US" w:eastAsia="zh-CN"/>
                    </w:rPr>
                    <w:t>为安全提升项目，</w:t>
                  </w:r>
                  <w:r>
                    <w:rPr>
                      <w:rFonts w:hint="eastAsia" w:ascii="Times New Roman" w:hAnsi="Times New Roman" w:eastAsia="宋体" w:cs="Times New Roman"/>
                      <w:color w:val="auto"/>
                      <w:szCs w:val="21"/>
                    </w:rPr>
                    <w:t>在现有厂区内进行；</w:t>
                  </w:r>
                </w:p>
                <w:p w14:paraId="434A645E">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2、本项目不属于“</w:t>
                  </w:r>
                  <w:r>
                    <w:rPr>
                      <w:rFonts w:hint="eastAsia" w:ascii="Times New Roman" w:hAnsi="Times New Roman" w:eastAsia="宋体" w:cs="Times New Roman"/>
                      <w:color w:val="auto"/>
                      <w:szCs w:val="21"/>
                      <w:lang w:val="en-US" w:eastAsia="zh-CN"/>
                    </w:rPr>
                    <w:t>电力、钢铁、水泥、焦化、有色金属冶炼、铁合金制造和热力供应行业，项目为液氮储罐建设，运营期间不产生废气</w:t>
                  </w:r>
                  <w:r>
                    <w:rPr>
                      <w:rFonts w:hint="eastAsia" w:ascii="Times New Roman" w:hAnsi="Times New Roman" w:eastAsia="宋体" w:cs="Times New Roman"/>
                      <w:color w:val="auto"/>
                      <w:szCs w:val="21"/>
                    </w:rPr>
                    <w:t>；</w:t>
                  </w:r>
                </w:p>
                <w:p w14:paraId="29B4D5BB">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3、</w:t>
                  </w:r>
                  <w:r>
                    <w:rPr>
                      <w:rFonts w:hint="eastAsia" w:ascii="Times New Roman" w:hAnsi="Times New Roman" w:eastAsia="宋体" w:cs="Times New Roman"/>
                      <w:color w:val="auto"/>
                      <w:szCs w:val="21"/>
                      <w:lang w:val="en-US" w:eastAsia="zh-CN"/>
                    </w:rPr>
                    <w:t>项目为液氮储罐建设，项目无生产用水。</w:t>
                  </w:r>
                </w:p>
              </w:tc>
              <w:tc>
                <w:tcPr>
                  <w:tcW w:w="898" w:type="dxa"/>
                  <w:vAlign w:val="center"/>
                </w:tcPr>
                <w:p w14:paraId="42E9CE01">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bl>
          <w:p w14:paraId="0C630D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综上，项目建设符合巴彦淖尔市总体准入要求的相关规定。</w:t>
            </w:r>
          </w:p>
          <w:p w14:paraId="6A5004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经查询内蒙古自治区“三线一单”数据应用平台</w:t>
            </w:r>
            <w:r>
              <w:rPr>
                <w:rFonts w:hint="default" w:ascii="Times New Roman" w:hAnsi="Times New Roman" w:eastAsia="宋体" w:cs="Times New Roman"/>
                <w:color w:val="auto"/>
                <w:sz w:val="24"/>
                <w:szCs w:val="24"/>
              </w:rPr>
              <w:t>，本项目位于</w:t>
            </w:r>
            <w:r>
              <w:rPr>
                <w:rFonts w:hint="eastAsia" w:ascii="Times New Roman" w:hAnsi="Times New Roman" w:eastAsia="宋体" w:cs="Times New Roman"/>
                <w:color w:val="auto"/>
                <w:sz w:val="24"/>
                <w:szCs w:val="24"/>
              </w:rPr>
              <w:t>“ZH15082220003”控制单元（属于重点管控单元，环境管控单元代码：ZH15082220003）。</w:t>
            </w:r>
          </w:p>
          <w:p w14:paraId="6EA2E671">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表1</w:t>
            </w:r>
            <w:r>
              <w:rPr>
                <w:rFonts w:hint="default" w:ascii="Times New Roman" w:hAnsi="Times New Roman" w:eastAsia="宋体" w:cs="Times New Roman"/>
                <w:b/>
                <w:bCs/>
                <w:color w:val="auto"/>
                <w:sz w:val="21"/>
                <w:szCs w:val="21"/>
                <w:lang w:val="en-US" w:eastAsia="zh-CN"/>
              </w:rPr>
              <w:t>-</w:t>
            </w:r>
            <w:r>
              <w:rPr>
                <w:rFonts w:hint="eastAsia"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en-US" w:eastAsia="zh-CN"/>
              </w:rPr>
              <w:t>项目建设与磴口县城镇空间控制单元符合性分析一览表</w:t>
            </w:r>
          </w:p>
          <w:tbl>
            <w:tblPr>
              <w:tblStyle w:val="17"/>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54"/>
              <w:gridCol w:w="4027"/>
              <w:gridCol w:w="2399"/>
              <w:gridCol w:w="780"/>
            </w:tblGrid>
            <w:tr w14:paraId="65D42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977" w:type="pct"/>
                  <w:gridSpan w:val="2"/>
                  <w:shd w:val="clear" w:color="auto" w:fill="auto"/>
                  <w:vAlign w:val="center"/>
                </w:tcPr>
                <w:p w14:paraId="49474276">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管控要求</w:t>
                  </w:r>
                </w:p>
              </w:tc>
              <w:tc>
                <w:tcPr>
                  <w:tcW w:w="1526" w:type="pct"/>
                  <w:shd w:val="clear" w:color="auto" w:fill="auto"/>
                  <w:vAlign w:val="center"/>
                </w:tcPr>
                <w:p w14:paraId="1696DD87">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本项目情况</w:t>
                  </w:r>
                </w:p>
              </w:tc>
              <w:tc>
                <w:tcPr>
                  <w:tcW w:w="496" w:type="pct"/>
                  <w:shd w:val="clear" w:color="auto" w:fill="auto"/>
                  <w:vAlign w:val="center"/>
                </w:tcPr>
                <w:p w14:paraId="4B5BE9DC">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w:t>
                  </w:r>
                  <w:r>
                    <w:rPr>
                      <w:rFonts w:hint="eastAsia" w:ascii="Times New Roman" w:hAnsi="Times New Roman" w:eastAsia="宋体" w:cs="Times New Roman"/>
                      <w:b/>
                      <w:bCs/>
                      <w:color w:val="auto"/>
                      <w:szCs w:val="21"/>
                    </w:rPr>
                    <w:t>性</w:t>
                  </w:r>
                </w:p>
              </w:tc>
            </w:tr>
            <w:tr w14:paraId="50BF3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416" w:type="pct"/>
                  <w:shd w:val="clear" w:color="auto" w:fill="auto"/>
                  <w:vAlign w:val="center"/>
                </w:tcPr>
                <w:p w14:paraId="524A392E">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空间布局约束</w:t>
                  </w:r>
                </w:p>
              </w:tc>
              <w:tc>
                <w:tcPr>
                  <w:tcW w:w="2561" w:type="pct"/>
                  <w:shd w:val="clear" w:color="auto" w:fill="auto"/>
                  <w:vAlign w:val="center"/>
                </w:tcPr>
                <w:p w14:paraId="1B6DA931">
                  <w:pPr>
                    <w:keepNext w:val="0"/>
                    <w:keepLines w:val="0"/>
                    <w:numPr>
                      <w:ilvl w:val="0"/>
                      <w:numId w:val="5"/>
                    </w:numPr>
                    <w:suppressLineNumbers w:val="0"/>
                    <w:adjustRightInd w:val="0"/>
                    <w:snapToGrid w:val="0"/>
                    <w:spacing w:before="0" w:beforeAutospacing="0" w:after="0" w:afterAutospacing="0" w:line="360" w:lineRule="exact"/>
                    <w:ind w:left="0" w:right="0"/>
                    <w:jc w:val="left"/>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严禁新建、扩建重污染企业，现有重污染企业根据区域环境质量目标倒逼其转型升级或搬迁转移。</w:t>
                  </w:r>
                </w:p>
                <w:p w14:paraId="7BC97019">
                  <w:pPr>
                    <w:keepNext w:val="0"/>
                    <w:keepLines w:val="0"/>
                    <w:numPr>
                      <w:ilvl w:val="0"/>
                      <w:numId w:val="5"/>
                    </w:numPr>
                    <w:suppressLineNumbers w:val="0"/>
                    <w:adjustRightInd w:val="0"/>
                    <w:snapToGrid w:val="0"/>
                    <w:spacing w:before="0" w:beforeAutospacing="0" w:after="0" w:afterAutospacing="0" w:line="360" w:lineRule="exact"/>
                    <w:ind w:left="0" w:leftChars="0" w:right="0" w:rightChars="0" w:firstLine="0" w:firstLineChars="0"/>
                    <w:jc w:val="left"/>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推进城市建成区重污染企业退城入园，对位于城市建成区范围内污染严重企业，由本地区人民政府制定计划，限期完成搬迁、改造，逾期不退城的依法予以停产。</w:t>
                  </w:r>
                </w:p>
                <w:p w14:paraId="2A0E4023">
                  <w:pPr>
                    <w:keepNext w:val="0"/>
                    <w:keepLines w:val="0"/>
                    <w:numPr>
                      <w:ilvl w:val="0"/>
                      <w:numId w:val="5"/>
                    </w:numPr>
                    <w:suppressLineNumbers w:val="0"/>
                    <w:adjustRightInd w:val="0"/>
                    <w:snapToGrid w:val="0"/>
                    <w:spacing w:before="0" w:beforeAutospacing="0" w:after="0" w:afterAutospacing="0" w:line="360" w:lineRule="exact"/>
                    <w:ind w:left="0" w:leftChars="0" w:right="0" w:rightChars="0" w:firstLine="0" w:firstLineChars="0"/>
                    <w:jc w:val="left"/>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严格控制缺水地区、水污染严重地区和敏感区域发展高耗水、高污染行业，严禁地下水超采区新建高耗水、高污染项目，已建项目要采用先进节水技术，提高用水水平。 </w:t>
                  </w:r>
                </w:p>
                <w:p w14:paraId="7E9089DE">
                  <w:pPr>
                    <w:keepNext w:val="0"/>
                    <w:keepLines w:val="0"/>
                    <w:numPr>
                      <w:ilvl w:val="0"/>
                      <w:numId w:val="5"/>
                    </w:numPr>
                    <w:suppressLineNumbers w:val="0"/>
                    <w:adjustRightInd w:val="0"/>
                    <w:snapToGrid w:val="0"/>
                    <w:spacing w:before="0" w:beforeAutospacing="0" w:after="0" w:afterAutospacing="0" w:line="360" w:lineRule="exact"/>
                    <w:ind w:left="0" w:leftChars="0" w:right="0" w:rightChars="0" w:firstLine="0" w:firstLineChars="0"/>
                    <w:jc w:val="left"/>
                    <w:textAlignment w:val="baseline"/>
                    <w:rPr>
                      <w:rFonts w:hint="default"/>
                      <w:color w:val="auto"/>
                    </w:rPr>
                  </w:pPr>
                  <w:r>
                    <w:rPr>
                      <w:rFonts w:hint="default" w:ascii="Times New Roman" w:hAnsi="Times New Roman" w:eastAsia="宋体" w:cs="Times New Roman"/>
                      <w:color w:val="auto"/>
                      <w:szCs w:val="21"/>
                    </w:rPr>
                    <w:t>禁止侵占永久基本农田的生产经营活动</w:t>
                  </w:r>
                  <w:r>
                    <w:rPr>
                      <w:rFonts w:hint="eastAsia" w:ascii="Times New Roman" w:hAnsi="Times New Roman" w:eastAsia="宋体" w:cs="Times New Roman"/>
                      <w:color w:val="auto"/>
                      <w:szCs w:val="21"/>
                      <w:lang w:eastAsia="zh-CN"/>
                    </w:rPr>
                    <w:t>；</w:t>
                  </w:r>
                </w:p>
                <w:p w14:paraId="57BB1628">
                  <w:pPr>
                    <w:keepNext w:val="0"/>
                    <w:keepLines w:val="0"/>
                    <w:numPr>
                      <w:ilvl w:val="0"/>
                      <w:numId w:val="5"/>
                    </w:numPr>
                    <w:suppressLineNumbers w:val="0"/>
                    <w:adjustRightInd w:val="0"/>
                    <w:snapToGrid w:val="0"/>
                    <w:spacing w:before="0" w:beforeAutospacing="0" w:after="0" w:afterAutospacing="0" w:line="360" w:lineRule="exact"/>
                    <w:ind w:left="0" w:leftChars="0" w:right="0" w:rightChars="0" w:firstLine="0" w:firstLineChars="0"/>
                    <w:jc w:val="left"/>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严禁在禁养区内新建、改建、扩建规模化畜禽养殖项目，现有项目限期关闭或搬迁。 </w:t>
                  </w:r>
                </w:p>
                <w:p w14:paraId="28EB7F14">
                  <w:pPr>
                    <w:keepNext w:val="0"/>
                    <w:keepLines w:val="0"/>
                    <w:numPr>
                      <w:ilvl w:val="0"/>
                      <w:numId w:val="0"/>
                    </w:numPr>
                    <w:suppressLineNumbers w:val="0"/>
                    <w:adjustRightInd w:val="0"/>
                    <w:snapToGrid w:val="0"/>
                    <w:spacing w:before="0" w:beforeAutospacing="0" w:after="0" w:afterAutospacing="0" w:line="360" w:lineRule="exact"/>
                    <w:ind w:left="0" w:leftChars="0" w:right="0" w:rightChars="0"/>
                    <w:jc w:val="left"/>
                    <w:textAlignment w:val="baseline"/>
                    <w:rPr>
                      <w:rFonts w:hint="default"/>
                      <w:color w:val="auto"/>
                    </w:rPr>
                  </w:pPr>
                  <w:r>
                    <w:rPr>
                      <w:rFonts w:hint="default" w:ascii="Times New Roman" w:hAnsi="Times New Roman" w:eastAsia="宋体" w:cs="Times New Roman"/>
                      <w:color w:val="auto"/>
                      <w:szCs w:val="21"/>
                    </w:rPr>
                    <w:t>6、规范病死畜禽无害化处理。集中无害化处理体系健全的地区，在做好动物疫病防控的前提下，原则上养殖场户的病死畜禽应委托专业无害化处理场进行集中处理。山区、牧区、边远地区等暂时不具备集中处理条件的地区自行处理的，要配备与养殖规模相适应的无害化处理设施设备，严格按照相关技术规范进行处理，逐步减少深埋、化尸窖、堆肥等处理方式，确保有效杀灭病原体，清洁安全，不污染环境。</w:t>
                  </w:r>
                </w:p>
              </w:tc>
              <w:tc>
                <w:tcPr>
                  <w:tcW w:w="1526" w:type="pct"/>
                  <w:shd w:val="clear" w:color="auto" w:fill="auto"/>
                  <w:vAlign w:val="center"/>
                </w:tcPr>
                <w:p w14:paraId="283FCA15">
                  <w:pPr>
                    <w:keepNext w:val="0"/>
                    <w:keepLines w:val="0"/>
                    <w:suppressLineNumbers w:val="0"/>
                    <w:adjustRightInd w:val="0"/>
                    <w:snapToGrid w:val="0"/>
                    <w:spacing w:before="0" w:beforeAutospacing="0" w:after="0" w:afterAutospacing="0" w:line="360" w:lineRule="exact"/>
                    <w:ind w:left="0" w:right="0"/>
                    <w:jc w:val="left"/>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hint="eastAsia" w:ascii="Times New Roman" w:hAnsi="Times New Roman" w:eastAsia="宋体" w:cs="Times New Roman"/>
                      <w:color w:val="auto"/>
                      <w:szCs w:val="21"/>
                      <w:lang w:val="en-US" w:eastAsia="zh-CN"/>
                    </w:rPr>
                    <w:t>本项目属于现有工程的安全提升项目，本次建设的液氮储罐不产生废气、废水、固废、噪声，对周边环境影响较小</w:t>
                  </w:r>
                  <w:r>
                    <w:rPr>
                      <w:rFonts w:hint="eastAsia" w:ascii="Times New Roman" w:hAnsi="Times New Roman" w:eastAsia="宋体" w:cs="Times New Roman"/>
                      <w:color w:val="auto"/>
                      <w:szCs w:val="21"/>
                    </w:rPr>
                    <w:t>；</w:t>
                  </w:r>
                </w:p>
                <w:p w14:paraId="6387FBE1">
                  <w:pPr>
                    <w:keepNext w:val="0"/>
                    <w:keepLines w:val="0"/>
                    <w:suppressLineNumbers w:val="0"/>
                    <w:adjustRightInd w:val="0"/>
                    <w:snapToGrid w:val="0"/>
                    <w:spacing w:before="0" w:beforeAutospacing="0" w:after="0" w:afterAutospacing="0" w:line="360" w:lineRule="exact"/>
                    <w:ind w:left="0" w:right="0"/>
                    <w:jc w:val="left"/>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2、巴彦淖尔华油天然气有限责任公司</w:t>
                  </w:r>
                  <w:r>
                    <w:rPr>
                      <w:rFonts w:hint="eastAsia" w:ascii="Times New Roman" w:hAnsi="Times New Roman" w:eastAsia="宋体" w:cs="Times New Roman"/>
                      <w:color w:val="auto"/>
                      <w:szCs w:val="21"/>
                      <w:lang w:eastAsia="zh-CN"/>
                    </w:rPr>
                    <w:t>现有</w:t>
                  </w:r>
                  <w:r>
                    <w:rPr>
                      <w:rFonts w:hint="eastAsia" w:ascii="Times New Roman" w:hAnsi="Times New Roman" w:eastAsia="宋体" w:cs="Times New Roman"/>
                      <w:color w:val="auto"/>
                      <w:szCs w:val="21"/>
                      <w:lang w:val="en-US" w:eastAsia="zh-CN"/>
                    </w:rPr>
                    <w:t>项目属于燃气供应单位，未被政府列入</w:t>
                  </w:r>
                  <w:r>
                    <w:rPr>
                      <w:rFonts w:hint="default" w:ascii="Times New Roman" w:hAnsi="Times New Roman" w:eastAsia="宋体" w:cs="Times New Roman"/>
                      <w:color w:val="auto"/>
                      <w:szCs w:val="21"/>
                    </w:rPr>
                    <w:t>限期完成搬迁、改造</w:t>
                  </w:r>
                  <w:r>
                    <w:rPr>
                      <w:rFonts w:hint="eastAsia" w:ascii="Times New Roman" w:hAnsi="Times New Roman" w:eastAsia="宋体" w:cs="Times New Roman"/>
                      <w:color w:val="auto"/>
                      <w:szCs w:val="21"/>
                      <w:lang w:val="en-US" w:eastAsia="zh-CN"/>
                    </w:rPr>
                    <w:t>项目名单</w:t>
                  </w:r>
                  <w:r>
                    <w:rPr>
                      <w:rFonts w:hint="eastAsia" w:ascii="Times New Roman" w:hAnsi="Times New Roman" w:eastAsia="宋体" w:cs="Times New Roman"/>
                      <w:color w:val="auto"/>
                      <w:szCs w:val="21"/>
                    </w:rPr>
                    <w:t>；</w:t>
                  </w:r>
                </w:p>
                <w:p w14:paraId="3813A818">
                  <w:pPr>
                    <w:keepNext w:val="0"/>
                    <w:keepLines w:val="0"/>
                    <w:suppressLineNumbers w:val="0"/>
                    <w:adjustRightInd w:val="0"/>
                    <w:snapToGrid w:val="0"/>
                    <w:spacing w:before="0" w:beforeAutospacing="0" w:after="0" w:afterAutospacing="0" w:line="360" w:lineRule="exact"/>
                    <w:ind w:left="0" w:right="0"/>
                    <w:jc w:val="left"/>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hint="eastAsia" w:ascii="Times New Roman" w:hAnsi="Times New Roman" w:eastAsia="宋体" w:cs="Times New Roman"/>
                      <w:color w:val="auto"/>
                      <w:szCs w:val="21"/>
                      <w:lang w:val="en-US" w:eastAsia="zh-CN"/>
                    </w:rPr>
                    <w:t>本次建设的液氮储罐无生产用水，不新增劳动人员，无新增生活用水</w:t>
                  </w:r>
                  <w:r>
                    <w:rPr>
                      <w:rFonts w:hint="eastAsia" w:ascii="Times New Roman" w:hAnsi="Times New Roman" w:eastAsia="宋体" w:cs="Times New Roman"/>
                      <w:color w:val="auto"/>
                      <w:szCs w:val="21"/>
                    </w:rPr>
                    <w:t>；</w:t>
                  </w:r>
                </w:p>
                <w:p w14:paraId="4A2F2E59">
                  <w:pPr>
                    <w:keepNext w:val="0"/>
                    <w:keepLines w:val="0"/>
                    <w:suppressLineNumbers w:val="0"/>
                    <w:adjustRightInd w:val="0"/>
                    <w:snapToGrid w:val="0"/>
                    <w:spacing w:before="0" w:beforeAutospacing="0" w:after="0" w:afterAutospacing="0" w:line="360" w:lineRule="exact"/>
                    <w:ind w:left="0" w:right="0"/>
                    <w:jc w:val="left"/>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4、本项目</w:t>
                  </w:r>
                  <w:r>
                    <w:rPr>
                      <w:rFonts w:hint="eastAsia" w:ascii="Times New Roman" w:hAnsi="Times New Roman" w:eastAsia="宋体" w:cs="Times New Roman"/>
                      <w:color w:val="auto"/>
                      <w:szCs w:val="21"/>
                      <w:lang w:val="en-US" w:eastAsia="zh-CN"/>
                    </w:rPr>
                    <w:t>在巴彦淖尔华油天然气有限责任公司现有厂区内建设，不新增用地</w:t>
                  </w:r>
                  <w:r>
                    <w:rPr>
                      <w:rFonts w:hint="eastAsia" w:ascii="Times New Roman" w:hAnsi="Times New Roman" w:eastAsia="宋体" w:cs="Times New Roman"/>
                      <w:color w:val="auto"/>
                      <w:szCs w:val="21"/>
                    </w:rPr>
                    <w:t>；</w:t>
                  </w:r>
                </w:p>
                <w:p w14:paraId="6E592B76">
                  <w:pPr>
                    <w:keepNext w:val="0"/>
                    <w:keepLines w:val="0"/>
                    <w:suppressLineNumbers w:val="0"/>
                    <w:adjustRightInd w:val="0"/>
                    <w:snapToGrid w:val="0"/>
                    <w:spacing w:before="0" w:beforeAutospacing="0" w:after="0" w:afterAutospacing="0" w:line="360" w:lineRule="exact"/>
                    <w:ind w:left="0" w:right="0"/>
                    <w:jc w:val="left"/>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5、</w:t>
                  </w:r>
                  <w:r>
                    <w:rPr>
                      <w:rFonts w:hint="eastAsia" w:ascii="Times New Roman" w:hAnsi="Times New Roman" w:eastAsia="宋体" w:cs="Times New Roman"/>
                      <w:color w:val="auto"/>
                      <w:szCs w:val="21"/>
                      <w:lang w:val="en-US" w:eastAsia="zh-CN"/>
                    </w:rPr>
                    <w:t>本项目不属于</w:t>
                  </w:r>
                  <w:r>
                    <w:rPr>
                      <w:rFonts w:hint="default" w:ascii="Times New Roman" w:hAnsi="Times New Roman" w:eastAsia="宋体" w:cs="Times New Roman"/>
                      <w:color w:val="auto"/>
                      <w:szCs w:val="21"/>
                    </w:rPr>
                    <w:t>畜禽养殖项目</w:t>
                  </w:r>
                  <w:r>
                    <w:rPr>
                      <w:rFonts w:hint="eastAsia" w:ascii="Times New Roman" w:hAnsi="Times New Roman" w:eastAsia="宋体" w:cs="Times New Roman"/>
                      <w:color w:val="auto"/>
                      <w:szCs w:val="21"/>
                      <w:lang w:eastAsia="zh-CN"/>
                    </w:rPr>
                    <w:t>；</w:t>
                  </w:r>
                </w:p>
                <w:p w14:paraId="7A483C74">
                  <w:pPr>
                    <w:keepNext w:val="0"/>
                    <w:keepLines w:val="0"/>
                    <w:suppressLineNumbers w:val="0"/>
                    <w:adjustRightInd w:val="0"/>
                    <w:snapToGrid w:val="0"/>
                    <w:spacing w:before="0" w:beforeAutospacing="0" w:after="0" w:afterAutospacing="0" w:line="360" w:lineRule="exact"/>
                    <w:ind w:left="0" w:right="0"/>
                    <w:jc w:val="left"/>
                    <w:textAlignment w:val="baseline"/>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6、本项目不属于</w:t>
                  </w:r>
                  <w:r>
                    <w:rPr>
                      <w:rFonts w:hint="default" w:ascii="Times New Roman" w:hAnsi="Times New Roman" w:eastAsia="宋体" w:cs="Times New Roman"/>
                      <w:color w:val="auto"/>
                      <w:szCs w:val="21"/>
                    </w:rPr>
                    <w:t>畜禽养殖项目</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无</w:t>
                  </w:r>
                  <w:r>
                    <w:rPr>
                      <w:rFonts w:hint="default" w:ascii="Times New Roman" w:hAnsi="Times New Roman" w:eastAsia="宋体" w:cs="Times New Roman"/>
                      <w:color w:val="auto"/>
                      <w:szCs w:val="21"/>
                    </w:rPr>
                    <w:t>病死畜禽</w:t>
                  </w:r>
                  <w:r>
                    <w:rPr>
                      <w:rFonts w:hint="eastAsia" w:ascii="Times New Roman" w:hAnsi="Times New Roman" w:eastAsia="宋体" w:cs="Times New Roman"/>
                      <w:color w:val="auto"/>
                      <w:szCs w:val="21"/>
                      <w:lang w:eastAsia="zh-CN"/>
                    </w:rPr>
                    <w:t>。</w:t>
                  </w:r>
                </w:p>
              </w:tc>
              <w:tc>
                <w:tcPr>
                  <w:tcW w:w="496" w:type="pct"/>
                  <w:shd w:val="clear" w:color="auto" w:fill="auto"/>
                  <w:vAlign w:val="center"/>
                </w:tcPr>
                <w:p w14:paraId="1CADEF34">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14:paraId="5B2C1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416" w:type="pct"/>
                  <w:shd w:val="clear" w:color="auto" w:fill="auto"/>
                  <w:vAlign w:val="center"/>
                </w:tcPr>
                <w:p w14:paraId="43BE5586">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污染物排放管控</w:t>
                  </w:r>
                </w:p>
              </w:tc>
              <w:tc>
                <w:tcPr>
                  <w:tcW w:w="2561" w:type="pct"/>
                  <w:shd w:val="clear" w:color="auto" w:fill="auto"/>
                  <w:vAlign w:val="center"/>
                </w:tcPr>
                <w:p w14:paraId="44537562">
                  <w:pPr>
                    <w:keepNext w:val="0"/>
                    <w:keepLines w:val="0"/>
                    <w:numPr>
                      <w:ilvl w:val="0"/>
                      <w:numId w:val="6"/>
                    </w:numPr>
                    <w:suppressLineNumbers w:val="0"/>
                    <w:adjustRightInd w:val="0"/>
                    <w:snapToGrid w:val="0"/>
                    <w:spacing w:before="0" w:beforeAutospacing="0" w:after="0" w:afterAutospacing="0" w:line="360" w:lineRule="exact"/>
                    <w:ind w:left="0" w:right="0"/>
                    <w:jc w:val="left"/>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深入推进扬尘污染综合防治。加快城镇污水处理设施及配套管网建设与改造。加强机动车辆环保管理。提高城市生活垃圾处理减量化、资源化和无害化水平，实现城镇垃圾处理设施全覆盖。 </w:t>
                  </w:r>
                </w:p>
                <w:p w14:paraId="23741A03">
                  <w:pPr>
                    <w:keepNext w:val="0"/>
                    <w:keepLines w:val="0"/>
                    <w:numPr>
                      <w:ilvl w:val="0"/>
                      <w:numId w:val="6"/>
                    </w:numPr>
                    <w:suppressLineNumbers w:val="0"/>
                    <w:adjustRightInd w:val="0"/>
                    <w:snapToGrid w:val="0"/>
                    <w:spacing w:before="0" w:beforeAutospacing="0" w:after="0" w:afterAutospacing="0" w:line="360" w:lineRule="exact"/>
                    <w:ind w:left="0" w:leftChars="0" w:right="0" w:rightChars="0" w:firstLine="0" w:firstLineChars="0"/>
                    <w:jc w:val="left"/>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进一步加大燃煤小锅炉淘汰力度，城市建成区</w:t>
                  </w:r>
                  <w:r>
                    <w:rPr>
                      <w:rFonts w:hint="eastAsia" w:ascii="Times New Roman" w:hAnsi="Times New Roman" w:eastAsia="宋体" w:cs="Times New Roman"/>
                      <w:color w:val="auto"/>
                      <w:szCs w:val="21"/>
                      <w:lang w:eastAsia="zh-CN"/>
                    </w:rPr>
                    <w:t>淘汰</w:t>
                  </w:r>
                  <w:r>
                    <w:rPr>
                      <w:rFonts w:hint="default" w:ascii="Times New Roman" w:hAnsi="Times New Roman" w:eastAsia="宋体" w:cs="Times New Roman"/>
                      <w:color w:val="auto"/>
                      <w:szCs w:val="21"/>
                    </w:rPr>
                    <w:t xml:space="preserve">每小时10蒸吨及以下燃煤锅炉及茶水炉、经营性炉灶、储粮烘干设备等燃煤设施，不再新建每小时35蒸吨以下的燃煤锅炉。其他地区原则不再新建每小时10蒸吨以下的燃煤锅炉。 </w:t>
                  </w:r>
                </w:p>
                <w:p w14:paraId="072269C9">
                  <w:pPr>
                    <w:keepNext w:val="0"/>
                    <w:keepLines w:val="0"/>
                    <w:numPr>
                      <w:ilvl w:val="0"/>
                      <w:numId w:val="6"/>
                    </w:numPr>
                    <w:suppressLineNumbers w:val="0"/>
                    <w:adjustRightInd w:val="0"/>
                    <w:snapToGrid w:val="0"/>
                    <w:spacing w:before="0" w:beforeAutospacing="0" w:after="0" w:afterAutospacing="0" w:line="360" w:lineRule="exact"/>
                    <w:ind w:left="0" w:leftChars="0" w:right="0" w:rightChars="0" w:firstLine="0" w:firstLineChars="0"/>
                    <w:jc w:val="left"/>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所有新建城镇污水处理设施要执行《城镇污水处理厂污染物排放标准(GB18918-2002)中一级A排放标准。</w:t>
                  </w:r>
                </w:p>
                <w:p w14:paraId="7A4ACAE4">
                  <w:pPr>
                    <w:keepNext w:val="0"/>
                    <w:keepLines w:val="0"/>
                    <w:numPr>
                      <w:ilvl w:val="0"/>
                      <w:numId w:val="0"/>
                    </w:numPr>
                    <w:suppressLineNumbers w:val="0"/>
                    <w:adjustRightInd w:val="0"/>
                    <w:snapToGrid w:val="0"/>
                    <w:spacing w:before="0" w:beforeAutospacing="0" w:after="0" w:afterAutospacing="0" w:line="360" w:lineRule="exact"/>
                    <w:ind w:left="0" w:leftChars="0" w:right="0" w:rightChars="0"/>
                    <w:jc w:val="left"/>
                    <w:textAlignment w:val="baseline"/>
                    <w:rPr>
                      <w:rFonts w:hint="default"/>
                      <w:color w:val="auto"/>
                    </w:rPr>
                  </w:pPr>
                  <w:r>
                    <w:rPr>
                      <w:rFonts w:hint="default" w:ascii="Times New Roman" w:hAnsi="Times New Roman" w:eastAsia="宋体" w:cs="Times New Roman"/>
                      <w:color w:val="auto"/>
                      <w:szCs w:val="21"/>
                    </w:rPr>
                    <w:t>4、禁止向农用地排放重金属或者其他有毒有害物质含量超标的污水、污泥，以及可能造成土壤污染的清淤底泥、尾矿、矿渣等。</w:t>
                  </w:r>
                </w:p>
              </w:tc>
              <w:tc>
                <w:tcPr>
                  <w:tcW w:w="1526" w:type="pct"/>
                  <w:shd w:val="clear" w:color="auto" w:fill="auto"/>
                  <w:vAlign w:val="center"/>
                </w:tcPr>
                <w:p w14:paraId="36AA301D">
                  <w:pPr>
                    <w:keepNext w:val="0"/>
                    <w:keepLines w:val="0"/>
                    <w:suppressLineNumbers w:val="0"/>
                    <w:adjustRightInd w:val="0"/>
                    <w:snapToGrid w:val="0"/>
                    <w:spacing w:before="0" w:beforeAutospacing="0" w:after="0" w:afterAutospacing="0" w:line="360" w:lineRule="exact"/>
                    <w:ind w:left="0" w:right="0"/>
                    <w:jc w:val="left"/>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1、本次</w:t>
                  </w:r>
                  <w:r>
                    <w:rPr>
                      <w:rFonts w:hint="eastAsia" w:ascii="Times New Roman" w:hAnsi="Times New Roman" w:eastAsia="宋体" w:cs="Times New Roman"/>
                      <w:color w:val="auto"/>
                      <w:szCs w:val="21"/>
                      <w:lang w:val="en-US" w:eastAsia="zh-CN"/>
                    </w:rPr>
                    <w:t>建设液氮储罐，不产废气，储存过程中无扬尘污染，项目运输车辆需满足现行机动车排放标准，项目不新增劳动定员，不新增生活垃圾，原有生活垃圾收集后由环卫部门拉运处理</w:t>
                  </w:r>
                  <w:r>
                    <w:rPr>
                      <w:rFonts w:hint="eastAsia" w:ascii="Times New Roman" w:hAnsi="Times New Roman" w:eastAsia="宋体" w:cs="Times New Roman"/>
                      <w:color w:val="auto"/>
                      <w:szCs w:val="21"/>
                    </w:rPr>
                    <w:t>；</w:t>
                  </w:r>
                </w:p>
                <w:p w14:paraId="31811919">
                  <w:pPr>
                    <w:keepNext w:val="0"/>
                    <w:keepLines w:val="0"/>
                    <w:suppressLineNumbers w:val="0"/>
                    <w:adjustRightInd w:val="0"/>
                    <w:snapToGrid w:val="0"/>
                    <w:spacing w:before="0" w:beforeAutospacing="0" w:after="0" w:afterAutospacing="0" w:line="360" w:lineRule="exact"/>
                    <w:ind w:left="0" w:right="0"/>
                    <w:jc w:val="left"/>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2、项目</w:t>
                  </w:r>
                  <w:r>
                    <w:rPr>
                      <w:rFonts w:hint="eastAsia" w:ascii="Times New Roman" w:hAnsi="Times New Roman" w:eastAsia="宋体" w:cs="Times New Roman"/>
                      <w:color w:val="auto"/>
                      <w:szCs w:val="21"/>
                      <w:lang w:val="en-US" w:eastAsia="zh-CN"/>
                    </w:rPr>
                    <w:t>建设液氮储罐，不属于锅炉建设</w:t>
                  </w:r>
                  <w:r>
                    <w:rPr>
                      <w:rFonts w:hint="eastAsia" w:ascii="Times New Roman" w:hAnsi="Times New Roman" w:eastAsia="宋体" w:cs="Times New Roman"/>
                      <w:color w:val="auto"/>
                      <w:szCs w:val="21"/>
                    </w:rPr>
                    <w:t>；</w:t>
                  </w:r>
                </w:p>
                <w:p w14:paraId="20B4392C">
                  <w:pPr>
                    <w:keepNext w:val="0"/>
                    <w:keepLines w:val="0"/>
                    <w:suppressLineNumbers w:val="0"/>
                    <w:adjustRightInd w:val="0"/>
                    <w:snapToGrid w:val="0"/>
                    <w:spacing w:before="0" w:beforeAutospacing="0" w:after="0" w:afterAutospacing="0" w:line="360" w:lineRule="exact"/>
                    <w:ind w:left="0" w:right="0"/>
                    <w:jc w:val="left"/>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3、本次不新增工业废水排放，不新增劳动定员，无生活废水新增；</w:t>
                  </w:r>
                </w:p>
                <w:p w14:paraId="58BF6704">
                  <w:pPr>
                    <w:keepNext w:val="0"/>
                    <w:keepLines w:val="0"/>
                    <w:suppressLineNumbers w:val="0"/>
                    <w:adjustRightInd w:val="0"/>
                    <w:snapToGrid w:val="0"/>
                    <w:spacing w:before="0" w:beforeAutospacing="0" w:after="0" w:afterAutospacing="0" w:line="360" w:lineRule="exact"/>
                    <w:ind w:left="0" w:right="0"/>
                    <w:jc w:val="left"/>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4、本项目</w:t>
                  </w:r>
                  <w:r>
                    <w:rPr>
                      <w:rFonts w:hint="eastAsia" w:ascii="Times New Roman" w:hAnsi="Times New Roman" w:eastAsia="宋体" w:cs="Times New Roman"/>
                      <w:color w:val="auto"/>
                      <w:szCs w:val="21"/>
                      <w:lang w:val="en-US" w:eastAsia="zh-CN"/>
                    </w:rPr>
                    <w:t>不产生废水，无生产固废产生，不涉及外排固废及废水</w:t>
                  </w:r>
                  <w:r>
                    <w:rPr>
                      <w:rFonts w:hint="eastAsia" w:ascii="Times New Roman" w:hAnsi="Times New Roman" w:eastAsia="宋体" w:cs="Times New Roman"/>
                      <w:color w:val="auto"/>
                      <w:szCs w:val="21"/>
                    </w:rPr>
                    <w:t>；</w:t>
                  </w:r>
                </w:p>
                <w:p w14:paraId="76CDCAD4">
                  <w:pPr>
                    <w:keepNext w:val="0"/>
                    <w:keepLines w:val="0"/>
                    <w:suppressLineNumbers w:val="0"/>
                    <w:adjustRightInd w:val="0"/>
                    <w:snapToGrid w:val="0"/>
                    <w:spacing w:before="0" w:beforeAutospacing="0" w:after="0" w:afterAutospacing="0" w:line="360" w:lineRule="exact"/>
                    <w:ind w:left="0" w:right="0"/>
                    <w:jc w:val="left"/>
                    <w:textAlignment w:val="baseline"/>
                    <w:rPr>
                      <w:rFonts w:hint="default" w:ascii="Times New Roman" w:hAnsi="Times New Roman" w:eastAsia="宋体" w:cs="Times New Roman"/>
                      <w:color w:val="auto"/>
                      <w:szCs w:val="21"/>
                    </w:rPr>
                  </w:pPr>
                </w:p>
              </w:tc>
              <w:tc>
                <w:tcPr>
                  <w:tcW w:w="496" w:type="pct"/>
                  <w:shd w:val="clear" w:color="auto" w:fill="auto"/>
                  <w:vAlign w:val="center"/>
                </w:tcPr>
                <w:p w14:paraId="78244CF6">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14:paraId="5B4BB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416" w:type="pct"/>
                  <w:shd w:val="clear" w:color="auto" w:fill="auto"/>
                  <w:vAlign w:val="center"/>
                </w:tcPr>
                <w:p w14:paraId="33FAAF6D">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环境风险防范</w:t>
                  </w:r>
                </w:p>
              </w:tc>
              <w:tc>
                <w:tcPr>
                  <w:tcW w:w="2561" w:type="pct"/>
                  <w:shd w:val="clear" w:color="auto" w:fill="auto"/>
                  <w:vAlign w:val="center"/>
                </w:tcPr>
                <w:p w14:paraId="105B8E38">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执行全市总体准入要求中关于环境风险防控的准入要求。</w:t>
                  </w:r>
                </w:p>
              </w:tc>
              <w:tc>
                <w:tcPr>
                  <w:tcW w:w="1526" w:type="pct"/>
                  <w:shd w:val="clear" w:color="auto" w:fill="auto"/>
                  <w:vAlign w:val="center"/>
                </w:tcPr>
                <w:p w14:paraId="66F4D8BC">
                  <w:pPr>
                    <w:keepNext w:val="0"/>
                    <w:keepLines w:val="0"/>
                    <w:suppressLineNumbers w:val="0"/>
                    <w:adjustRightInd w:val="0"/>
                    <w:snapToGrid w:val="0"/>
                    <w:spacing w:before="0" w:beforeAutospacing="0" w:after="0" w:afterAutospacing="0" w:line="360" w:lineRule="exact"/>
                    <w:ind w:left="0" w:right="0"/>
                    <w:jc w:val="left"/>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本项目执行</w:t>
                  </w:r>
                  <w:r>
                    <w:rPr>
                      <w:rFonts w:hint="default" w:ascii="Times New Roman" w:hAnsi="Times New Roman" w:eastAsia="宋体" w:cs="Times New Roman"/>
                      <w:color w:val="auto"/>
                      <w:szCs w:val="21"/>
                    </w:rPr>
                    <w:t>全市总体准入要求中关于环境风险防控的准入要求</w:t>
                  </w:r>
                </w:p>
              </w:tc>
              <w:tc>
                <w:tcPr>
                  <w:tcW w:w="496" w:type="pct"/>
                  <w:shd w:val="clear" w:color="auto" w:fill="auto"/>
                  <w:vAlign w:val="center"/>
                </w:tcPr>
                <w:p w14:paraId="6E671CF0">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r w14:paraId="101D1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29" w:hRule="atLeast"/>
              </w:trPr>
              <w:tc>
                <w:tcPr>
                  <w:tcW w:w="416" w:type="pct"/>
                  <w:shd w:val="clear" w:color="auto" w:fill="auto"/>
                  <w:vAlign w:val="center"/>
                </w:tcPr>
                <w:p w14:paraId="3CE1ECAD">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资源利用效率要求</w:t>
                  </w:r>
                </w:p>
              </w:tc>
              <w:tc>
                <w:tcPr>
                  <w:tcW w:w="2561" w:type="pct"/>
                  <w:shd w:val="clear" w:color="auto" w:fill="auto"/>
                  <w:vAlign w:val="center"/>
                </w:tcPr>
                <w:p w14:paraId="7F3B574C">
                  <w:pPr>
                    <w:keepNext w:val="0"/>
                    <w:keepLines w:val="0"/>
                    <w:suppressLineNumbers w:val="0"/>
                    <w:adjustRightInd w:val="0"/>
                    <w:snapToGrid w:val="0"/>
                    <w:spacing w:before="0" w:beforeAutospacing="0" w:after="0" w:afterAutospacing="0" w:line="360" w:lineRule="exact"/>
                    <w:ind w:left="0" w:right="0"/>
                    <w:jc w:val="left"/>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禁止农作物秸秆等生物质及其他废弃物违规露天焚烧。</w:t>
                  </w:r>
                </w:p>
                <w:p w14:paraId="1E1F25AA">
                  <w:pPr>
                    <w:keepNext w:val="0"/>
                    <w:keepLines w:val="0"/>
                    <w:suppressLineNumbers w:val="0"/>
                    <w:adjustRightInd w:val="0"/>
                    <w:snapToGrid w:val="0"/>
                    <w:spacing w:before="0" w:beforeAutospacing="0" w:after="0" w:afterAutospacing="0" w:line="360" w:lineRule="exact"/>
                    <w:ind w:left="0" w:right="0"/>
                    <w:jc w:val="left"/>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2、严控地下水超采。禁止私自开采地下水。禁止农业、工业建设项目和服务业新增取用地下水。</w:t>
                  </w:r>
                </w:p>
              </w:tc>
              <w:tc>
                <w:tcPr>
                  <w:tcW w:w="1526" w:type="pct"/>
                  <w:shd w:val="clear" w:color="auto" w:fill="auto"/>
                  <w:vAlign w:val="center"/>
                </w:tcPr>
                <w:p w14:paraId="0D6D7159">
                  <w:pPr>
                    <w:keepNext w:val="0"/>
                    <w:keepLines w:val="0"/>
                    <w:suppressLineNumbers w:val="0"/>
                    <w:adjustRightInd w:val="0"/>
                    <w:snapToGrid w:val="0"/>
                    <w:spacing w:before="0" w:beforeAutospacing="0" w:after="0" w:afterAutospacing="0" w:line="360" w:lineRule="exact"/>
                    <w:ind w:left="0" w:right="0"/>
                    <w:jc w:val="left"/>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1、本项目</w:t>
                  </w:r>
                  <w:r>
                    <w:rPr>
                      <w:rFonts w:hint="eastAsia" w:ascii="Times New Roman" w:hAnsi="Times New Roman" w:eastAsia="宋体" w:cs="Times New Roman"/>
                      <w:color w:val="auto"/>
                      <w:szCs w:val="21"/>
                      <w:lang w:val="en-US" w:eastAsia="zh-CN"/>
                    </w:rPr>
                    <w:t>不涉及</w:t>
                  </w:r>
                  <w:r>
                    <w:rPr>
                      <w:rFonts w:hint="default" w:ascii="Times New Roman" w:hAnsi="Times New Roman" w:eastAsia="宋体" w:cs="Times New Roman"/>
                      <w:color w:val="auto"/>
                      <w:szCs w:val="21"/>
                    </w:rPr>
                    <w:t>农作物秸秆等生物质及其他废弃物违规露天焚烧</w:t>
                  </w:r>
                  <w:r>
                    <w:rPr>
                      <w:rFonts w:hint="eastAsia" w:ascii="Times New Roman" w:hAnsi="Times New Roman" w:eastAsia="宋体" w:cs="Times New Roman"/>
                      <w:color w:val="auto"/>
                      <w:szCs w:val="21"/>
                    </w:rPr>
                    <w:t>；</w:t>
                  </w:r>
                </w:p>
                <w:p w14:paraId="067340A0">
                  <w:pPr>
                    <w:keepNext w:val="0"/>
                    <w:keepLines w:val="0"/>
                    <w:suppressLineNumbers w:val="0"/>
                    <w:adjustRightInd w:val="0"/>
                    <w:snapToGrid w:val="0"/>
                    <w:spacing w:before="0" w:beforeAutospacing="0" w:after="0" w:afterAutospacing="0" w:line="360" w:lineRule="exact"/>
                    <w:ind w:left="0" w:right="0"/>
                    <w:jc w:val="left"/>
                    <w:textAlignment w:val="baseline"/>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2、项目无生产用水</w:t>
                  </w:r>
                  <w:r>
                    <w:rPr>
                      <w:rFonts w:hint="eastAsia" w:ascii="Times New Roman" w:hAnsi="Times New Roman" w:eastAsia="宋体" w:cs="Times New Roman"/>
                      <w:color w:val="auto"/>
                      <w:szCs w:val="21"/>
                      <w:lang w:eastAsia="zh-CN"/>
                    </w:rPr>
                    <w:t>。</w:t>
                  </w:r>
                </w:p>
                <w:p w14:paraId="0D250568">
                  <w:pPr>
                    <w:pStyle w:val="4"/>
                    <w:keepNext w:val="0"/>
                    <w:keepLines w:val="0"/>
                    <w:numPr>
                      <w:ilvl w:val="0"/>
                      <w:numId w:val="0"/>
                    </w:numPr>
                    <w:suppressLineNumbers w:val="0"/>
                    <w:spacing w:before="0" w:beforeAutospacing="0" w:after="0" w:afterAutospacing="0"/>
                    <w:ind w:left="0" w:leftChars="0" w:right="0"/>
                    <w:jc w:val="left"/>
                    <w:rPr>
                      <w:rFonts w:hint="default"/>
                      <w:color w:val="auto"/>
                      <w:lang w:val="en-US" w:eastAsia="zh-CN"/>
                    </w:rPr>
                  </w:pPr>
                </w:p>
                <w:p w14:paraId="201FB74E">
                  <w:pPr>
                    <w:pStyle w:val="4"/>
                    <w:keepNext w:val="0"/>
                    <w:keepLines w:val="0"/>
                    <w:numPr>
                      <w:ilvl w:val="0"/>
                      <w:numId w:val="0"/>
                    </w:numPr>
                    <w:suppressLineNumbers w:val="0"/>
                    <w:spacing w:before="0" w:beforeAutospacing="0" w:after="0" w:afterAutospacing="0"/>
                    <w:ind w:left="0" w:leftChars="0" w:right="0"/>
                    <w:jc w:val="left"/>
                    <w:rPr>
                      <w:rFonts w:hint="eastAsia"/>
                      <w:color w:val="auto"/>
                      <w:lang w:val="en-US" w:eastAsia="zh-CN"/>
                    </w:rPr>
                  </w:pPr>
                </w:p>
              </w:tc>
              <w:tc>
                <w:tcPr>
                  <w:tcW w:w="496" w:type="pct"/>
                  <w:shd w:val="clear" w:color="auto" w:fill="auto"/>
                  <w:vAlign w:val="center"/>
                </w:tcPr>
                <w:p w14:paraId="53104643">
                  <w:pPr>
                    <w:keepNext w:val="0"/>
                    <w:keepLines w:val="0"/>
                    <w:suppressLineNumbers w:val="0"/>
                    <w:adjustRightInd w:val="0"/>
                    <w:snapToGrid w:val="0"/>
                    <w:spacing w:before="0" w:beforeAutospacing="0" w:after="0" w:afterAutospacing="0" w:line="360" w:lineRule="exact"/>
                    <w:ind w:left="0" w:right="0"/>
                    <w:jc w:val="left"/>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符合</w:t>
                  </w:r>
                </w:p>
              </w:tc>
            </w:tr>
          </w:tbl>
          <w:p w14:paraId="210297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根据上述分析可知，项目运营期在采取本次评价提出的各项污染防治及风险减缓措施后，能够实现污染物达标排放，环境风险可控，符合“</w:t>
            </w:r>
            <w:r>
              <w:rPr>
                <w:rFonts w:hint="eastAsia" w:ascii="Times New Roman" w:hAnsi="Times New Roman" w:eastAsia="宋体" w:cs="Times New Roman"/>
                <w:color w:val="auto"/>
                <w:sz w:val="24"/>
                <w:szCs w:val="24"/>
                <w:lang w:val="en-US" w:eastAsia="zh-CN"/>
              </w:rPr>
              <w:t>磴口县城镇空间</w:t>
            </w:r>
            <w:r>
              <w:rPr>
                <w:rFonts w:hint="eastAsia" w:ascii="Times New Roman" w:hAnsi="Times New Roman" w:eastAsia="宋体" w:cs="Times New Roman"/>
                <w:color w:val="auto"/>
                <w:sz w:val="24"/>
                <w:szCs w:val="24"/>
              </w:rPr>
              <w:t>”控制单元的管控要求。</w:t>
            </w:r>
          </w:p>
          <w:p w14:paraId="09C282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eastAsia"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4、其他符合性分析</w:t>
            </w:r>
          </w:p>
          <w:p w14:paraId="761B720E">
            <w:pPr>
              <w:keepNext w:val="0"/>
              <w:keepLines w:val="0"/>
              <w:suppressLineNumbers w:val="0"/>
              <w:spacing w:before="0" w:beforeAutospacing="0" w:after="0" w:afterAutospacing="0" w:line="440" w:lineRule="exact"/>
              <w:ind w:left="0" w:right="0"/>
              <w:jc w:val="left"/>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 xml:space="preserve">   项目与</w:t>
            </w:r>
            <w:r>
              <w:rPr>
                <w:rFonts w:hint="eastAsia" w:ascii="Times New Roman" w:hAnsi="Times New Roman" w:eastAsia="宋体" w:cs="Times New Roman"/>
                <w:b w:val="0"/>
                <w:bCs/>
                <w:color w:val="auto"/>
                <w:sz w:val="24"/>
                <w:szCs w:val="24"/>
              </w:rPr>
              <w:t>《危险化学品安全管理条例》（中华人民共和国国务院令 第591号）相符性分析</w:t>
            </w:r>
            <w:r>
              <w:rPr>
                <w:rFonts w:hint="eastAsia" w:ascii="Times New Roman" w:hAnsi="Times New Roman" w:eastAsia="宋体" w:cs="Times New Roman"/>
                <w:b w:val="0"/>
                <w:bCs/>
                <w:color w:val="auto"/>
                <w:sz w:val="24"/>
                <w:szCs w:val="24"/>
                <w:lang w:eastAsia="zh-CN"/>
              </w:rPr>
              <w:t>，</w:t>
            </w:r>
            <w:r>
              <w:rPr>
                <w:rFonts w:hint="eastAsia" w:ascii="Times New Roman" w:hAnsi="Times New Roman" w:eastAsia="宋体" w:cs="Times New Roman"/>
                <w:b w:val="0"/>
                <w:bCs/>
                <w:color w:val="auto"/>
                <w:sz w:val="24"/>
                <w:szCs w:val="24"/>
                <w:lang w:val="en-US" w:eastAsia="zh-CN"/>
              </w:rPr>
              <w:t>具体如下表：</w:t>
            </w:r>
          </w:p>
          <w:p w14:paraId="784BB0F6">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表1-4 本项目与危险化学品安全管理条例相符性分析一览表</w:t>
            </w:r>
          </w:p>
          <w:tbl>
            <w:tblPr>
              <w:tblStyle w:val="1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71"/>
              <w:gridCol w:w="4189"/>
              <w:gridCol w:w="1926"/>
              <w:gridCol w:w="968"/>
            </w:tblGrid>
            <w:tr w14:paraId="1EF4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473BC88B">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序号</w:t>
                  </w:r>
                </w:p>
              </w:tc>
              <w:tc>
                <w:tcPr>
                  <w:tcW w:w="2666" w:type="pct"/>
                  <w:tcBorders>
                    <w:top w:val="single" w:color="auto" w:sz="4" w:space="0"/>
                    <w:left w:val="single" w:color="auto" w:sz="4" w:space="0"/>
                    <w:bottom w:val="single" w:color="auto" w:sz="4" w:space="0"/>
                    <w:right w:val="single" w:color="auto" w:sz="4" w:space="0"/>
                  </w:tcBorders>
                  <w:shd w:val="clear" w:color="auto" w:fill="auto"/>
                  <w:vAlign w:val="center"/>
                </w:tcPr>
                <w:p w14:paraId="5F01B88C">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相关内容</w:t>
                  </w:r>
                </w:p>
              </w:tc>
              <w:tc>
                <w:tcPr>
                  <w:tcW w:w="1226" w:type="pct"/>
                  <w:tcBorders>
                    <w:top w:val="single" w:color="auto" w:sz="4" w:space="0"/>
                    <w:left w:val="single" w:color="auto" w:sz="4" w:space="0"/>
                    <w:bottom w:val="single" w:color="auto" w:sz="4" w:space="0"/>
                    <w:right w:val="single" w:color="auto" w:sz="4" w:space="0"/>
                  </w:tcBorders>
                  <w:shd w:val="clear" w:color="auto" w:fill="auto"/>
                  <w:vAlign w:val="center"/>
                </w:tcPr>
                <w:p w14:paraId="1DFC254A">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本项目情况</w:t>
                  </w: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14:paraId="63E6C279">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lang w:val="en-US" w:eastAsia="zh-CN"/>
                    </w:rPr>
                    <w:t>相符性</w:t>
                  </w:r>
                </w:p>
              </w:tc>
            </w:tr>
            <w:tr w14:paraId="2F87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5740730A">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w:t>
                  </w:r>
                </w:p>
              </w:tc>
              <w:tc>
                <w:tcPr>
                  <w:tcW w:w="2666" w:type="pct"/>
                  <w:tcBorders>
                    <w:top w:val="single" w:color="auto" w:sz="4" w:space="0"/>
                    <w:left w:val="single" w:color="auto" w:sz="4" w:space="0"/>
                    <w:bottom w:val="single" w:color="auto" w:sz="4" w:space="0"/>
                    <w:right w:val="single" w:color="auto" w:sz="4" w:space="0"/>
                  </w:tcBorders>
                  <w:shd w:val="clear" w:color="auto" w:fill="auto"/>
                  <w:vAlign w:val="center"/>
                </w:tcPr>
                <w:p w14:paraId="68D99B42">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新建、改建、扩建生产、储存危险化学品的建设项目，应当由安全生产监督管理部门进行安全条件审查。建设单位应当对建设项目进行安全条件论证，委托具备国家规定的资质条件的机构对建设项目进行安全评价，并将安全条件论证和安全评价的情况报告报建设项目所在地设区的市级以上人民政府安全生产监督管理部门</w:t>
                  </w:r>
                </w:p>
              </w:tc>
              <w:tc>
                <w:tcPr>
                  <w:tcW w:w="1226" w:type="pct"/>
                  <w:tcBorders>
                    <w:top w:val="single" w:color="auto" w:sz="4" w:space="0"/>
                    <w:left w:val="single" w:color="auto" w:sz="4" w:space="0"/>
                    <w:bottom w:val="single" w:color="auto" w:sz="4" w:space="0"/>
                    <w:right w:val="single" w:color="auto" w:sz="4" w:space="0"/>
                  </w:tcBorders>
                  <w:shd w:val="clear" w:color="auto" w:fill="auto"/>
                  <w:vAlign w:val="center"/>
                </w:tcPr>
                <w:p w14:paraId="60B962C6">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本项目</w:t>
                  </w:r>
                  <w:r>
                    <w:rPr>
                      <w:rFonts w:hint="eastAsia" w:ascii="Times New Roman" w:hAnsi="Times New Roman" w:eastAsia="宋体" w:cs="Times New Roman"/>
                      <w:color w:val="auto"/>
                      <w:szCs w:val="21"/>
                      <w:lang w:val="en-US" w:eastAsia="zh-CN"/>
                    </w:rPr>
                    <w:t>属于安全管理提升项目，项目已</w:t>
                  </w:r>
                  <w:r>
                    <w:rPr>
                      <w:rFonts w:hint="default" w:ascii="Times New Roman" w:hAnsi="Times New Roman" w:eastAsia="宋体" w:cs="Times New Roman"/>
                      <w:color w:val="auto"/>
                      <w:szCs w:val="21"/>
                      <w:lang w:val="en-US" w:eastAsia="zh-CN"/>
                    </w:rPr>
                    <w:t>进行安全评价并送至安全生产监督管理部门进行备案</w:t>
                  </w: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14:paraId="471AC3AF">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符合</w:t>
                  </w:r>
                </w:p>
              </w:tc>
            </w:tr>
            <w:tr w14:paraId="1334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10CF6575">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w:t>
                  </w:r>
                </w:p>
              </w:tc>
              <w:tc>
                <w:tcPr>
                  <w:tcW w:w="2666" w:type="pct"/>
                  <w:tcBorders>
                    <w:top w:val="single" w:color="auto" w:sz="4" w:space="0"/>
                    <w:left w:val="single" w:color="auto" w:sz="4" w:space="0"/>
                    <w:bottom w:val="single" w:color="auto" w:sz="4" w:space="0"/>
                    <w:right w:val="single" w:color="auto" w:sz="4" w:space="0"/>
                  </w:tcBorders>
                  <w:shd w:val="clear" w:color="auto" w:fill="auto"/>
                  <w:vAlign w:val="center"/>
                </w:tcPr>
                <w:p w14:paraId="39DB328D">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生产、储存危险化学品的单位，应当对其铺设的危险化学品管道设置明显标志，并对危险化学品管道定期检查、检测。应当在其作业场所和安全设施、设备上设置明显的安全警示标志</w:t>
                  </w:r>
                </w:p>
              </w:tc>
              <w:tc>
                <w:tcPr>
                  <w:tcW w:w="1226" w:type="pct"/>
                  <w:tcBorders>
                    <w:top w:val="single" w:color="auto" w:sz="4" w:space="0"/>
                    <w:left w:val="single" w:color="auto" w:sz="4" w:space="0"/>
                    <w:bottom w:val="single" w:color="auto" w:sz="4" w:space="0"/>
                    <w:right w:val="single" w:color="auto" w:sz="4" w:space="0"/>
                  </w:tcBorders>
                  <w:shd w:val="clear" w:color="auto" w:fill="auto"/>
                  <w:vAlign w:val="center"/>
                </w:tcPr>
                <w:p w14:paraId="3A0586D6">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项目对危险化学品的管道、储罐、作业场所、安全设施及设备设置明显标志，并进行定期进行检查</w:t>
                  </w: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14:paraId="216ACDC3">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符合</w:t>
                  </w:r>
                </w:p>
              </w:tc>
            </w:tr>
            <w:tr w14:paraId="6928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56E83B03">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p>
                <w:p w14:paraId="680E6702">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p>
                <w:p w14:paraId="53768D55">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p>
                <w:p w14:paraId="1FF01642">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3</w:t>
                  </w:r>
                </w:p>
              </w:tc>
              <w:tc>
                <w:tcPr>
                  <w:tcW w:w="2666" w:type="pct"/>
                  <w:tcBorders>
                    <w:top w:val="single" w:color="auto" w:sz="4" w:space="0"/>
                    <w:left w:val="single" w:color="auto" w:sz="4" w:space="0"/>
                    <w:bottom w:val="single" w:color="auto" w:sz="4" w:space="0"/>
                    <w:right w:val="single" w:color="auto" w:sz="4" w:space="0"/>
                  </w:tcBorders>
                  <w:shd w:val="clear" w:color="auto" w:fill="auto"/>
                  <w:vAlign w:val="center"/>
                </w:tcPr>
                <w:p w14:paraId="467F4FD6">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危险化学品的包装应当符合法律、行政法规、规章的规定以及国家标准、行业标准的要求。危险化学品包装物、容器的材质以及危险化学品包装的型式、规格、方法和单件质量（重量），应当与所包装的危险化学品的性质和用途相适应</w:t>
                  </w:r>
                </w:p>
              </w:tc>
              <w:tc>
                <w:tcPr>
                  <w:tcW w:w="1226" w:type="pct"/>
                  <w:tcBorders>
                    <w:top w:val="single" w:color="auto" w:sz="4" w:space="0"/>
                    <w:left w:val="single" w:color="auto" w:sz="4" w:space="0"/>
                    <w:bottom w:val="single" w:color="auto" w:sz="4" w:space="0"/>
                    <w:right w:val="single" w:color="auto" w:sz="4" w:space="0"/>
                  </w:tcBorders>
                  <w:shd w:val="clear" w:color="auto" w:fill="auto"/>
                  <w:vAlign w:val="center"/>
                </w:tcPr>
                <w:p w14:paraId="75E97B96">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项目储存危险化学品均采用符合要</w:t>
                  </w:r>
                  <w:r>
                    <w:rPr>
                      <w:rFonts w:hint="eastAsia" w:ascii="Times New Roman" w:hAnsi="Times New Roman" w:eastAsia="宋体" w:cs="Times New Roman"/>
                      <w:color w:val="auto"/>
                      <w:szCs w:val="21"/>
                      <w:lang w:val="en-US" w:eastAsia="zh-CN"/>
                    </w:rPr>
                    <w:t>求的</w:t>
                  </w:r>
                  <w:r>
                    <w:rPr>
                      <w:rFonts w:hint="default" w:ascii="Times New Roman" w:hAnsi="Times New Roman" w:eastAsia="宋体" w:cs="Times New Roman"/>
                      <w:color w:val="auto"/>
                      <w:szCs w:val="21"/>
                      <w:lang w:val="en-US" w:eastAsia="zh-CN"/>
                    </w:rPr>
                    <w:t>专用容器，并与危险化学品的性质和用途相适应</w:t>
                  </w: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14:paraId="5427647D">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p>
                <w:p w14:paraId="2DA43A67">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p>
                <w:p w14:paraId="68C1C1E9">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p>
                <w:p w14:paraId="211C93EE">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符合</w:t>
                  </w:r>
                </w:p>
              </w:tc>
            </w:tr>
            <w:tr w14:paraId="20AC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46066003">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4</w:t>
                  </w:r>
                </w:p>
              </w:tc>
              <w:tc>
                <w:tcPr>
                  <w:tcW w:w="2666" w:type="pct"/>
                  <w:tcBorders>
                    <w:top w:val="single" w:color="auto" w:sz="4" w:space="0"/>
                    <w:left w:val="single" w:color="auto" w:sz="4" w:space="0"/>
                    <w:bottom w:val="single" w:color="auto" w:sz="4" w:space="0"/>
                    <w:right w:val="single" w:color="auto" w:sz="4" w:space="0"/>
                  </w:tcBorders>
                  <w:shd w:val="clear" w:color="auto" w:fill="auto"/>
                  <w:vAlign w:val="center"/>
                </w:tcPr>
                <w:p w14:paraId="35E920B3">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生产、储存危险化学品的单位，应当根据其生产、储存的危险化学品的种类和危险特性，在作业场所设置相应的监测、监控、通风、防晒、调温、防火、灭火、防爆、泄压、防毒、中和、防潮、防雷、防静电、防腐、防泄漏以及防护围堤或者隔离操作等安全设施、设备，并按照国家标准、行业标准或者国家有关规定对安全设施、设备进行经常性维护、保养，保证安全设施、设备的正常使用</w:t>
                  </w:r>
                </w:p>
              </w:tc>
              <w:tc>
                <w:tcPr>
                  <w:tcW w:w="1226" w:type="pct"/>
                  <w:tcBorders>
                    <w:top w:val="single" w:color="auto" w:sz="4" w:space="0"/>
                    <w:left w:val="single" w:color="auto" w:sz="4" w:space="0"/>
                    <w:bottom w:val="single" w:color="auto" w:sz="4" w:space="0"/>
                    <w:right w:val="single" w:color="auto" w:sz="4" w:space="0"/>
                  </w:tcBorders>
                  <w:shd w:val="clear" w:color="auto" w:fill="auto"/>
                  <w:vAlign w:val="center"/>
                </w:tcPr>
                <w:p w14:paraId="0B3AF60A">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项目根据储存危险化学品</w:t>
                  </w:r>
                  <w:r>
                    <w:rPr>
                      <w:rFonts w:hint="eastAsia" w:ascii="Times New Roman" w:hAnsi="Times New Roman" w:eastAsia="宋体" w:cs="Times New Roman"/>
                      <w:color w:val="auto"/>
                      <w:szCs w:val="21"/>
                      <w:lang w:val="en-US" w:eastAsia="zh-CN"/>
                    </w:rPr>
                    <w:t>液氮的</w:t>
                  </w:r>
                  <w:r>
                    <w:rPr>
                      <w:rFonts w:hint="default" w:ascii="Times New Roman" w:hAnsi="Times New Roman" w:eastAsia="宋体" w:cs="Times New Roman"/>
                      <w:color w:val="auto"/>
                      <w:szCs w:val="21"/>
                      <w:lang w:val="en-US" w:eastAsia="zh-CN"/>
                    </w:rPr>
                    <w:t>危险特性，在作业场所</w:t>
                  </w:r>
                  <w:r>
                    <w:rPr>
                      <w:rFonts w:hint="eastAsia" w:ascii="Times New Roman" w:hAnsi="Times New Roman" w:eastAsia="宋体" w:cs="Times New Roman"/>
                      <w:color w:val="auto"/>
                      <w:szCs w:val="21"/>
                      <w:highlight w:val="none"/>
                      <w:lang w:val="en-US" w:eastAsia="zh-CN"/>
                    </w:rPr>
                    <w:t>设置压力高报警，</w:t>
                  </w:r>
                  <w:r>
                    <w:rPr>
                      <w:rFonts w:hint="default" w:ascii="Times New Roman" w:hAnsi="Times New Roman" w:eastAsia="宋体" w:cs="Times New Roman"/>
                      <w:color w:val="auto"/>
                      <w:szCs w:val="21"/>
                      <w:highlight w:val="none"/>
                      <w:lang w:val="en-US" w:eastAsia="zh-CN"/>
                    </w:rPr>
                    <w:t>液位指示报警，温度指示报警</w:t>
                  </w:r>
                  <w:r>
                    <w:rPr>
                      <w:rFonts w:hint="eastAsia" w:ascii="Times New Roman" w:hAnsi="Times New Roman" w:eastAsia="宋体" w:cs="Times New Roman"/>
                      <w:color w:val="auto"/>
                      <w:szCs w:val="21"/>
                      <w:highlight w:val="none"/>
                      <w:lang w:val="en-US" w:eastAsia="zh-CN"/>
                    </w:rPr>
                    <w:t>等</w:t>
                  </w:r>
                  <w:r>
                    <w:rPr>
                      <w:rFonts w:hint="default" w:ascii="Times New Roman" w:hAnsi="Times New Roman" w:eastAsia="宋体" w:cs="Times New Roman"/>
                      <w:color w:val="auto"/>
                      <w:szCs w:val="21"/>
                      <w:lang w:val="en-US" w:eastAsia="zh-CN"/>
                    </w:rPr>
                    <w:t>安全设施、设备，并按照国家标准、行业标准或者国家有关规定对安全设施、设备进行经常性维护、保养，保证安全设施、设备的正常使用</w:t>
                  </w: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14:paraId="0D7311DD">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符合</w:t>
                  </w:r>
                </w:p>
              </w:tc>
            </w:tr>
            <w:tr w14:paraId="15F8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4E27C4B8">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5</w:t>
                  </w:r>
                </w:p>
              </w:tc>
              <w:tc>
                <w:tcPr>
                  <w:tcW w:w="2666" w:type="pct"/>
                  <w:tcBorders>
                    <w:top w:val="single" w:color="auto" w:sz="4" w:space="0"/>
                    <w:left w:val="single" w:color="auto" w:sz="4" w:space="0"/>
                    <w:bottom w:val="single" w:color="auto" w:sz="4" w:space="0"/>
                    <w:right w:val="single" w:color="auto" w:sz="4" w:space="0"/>
                  </w:tcBorders>
                  <w:shd w:val="clear" w:color="auto" w:fill="auto"/>
                  <w:vAlign w:val="center"/>
                </w:tcPr>
                <w:p w14:paraId="6F2D3BEF">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生产、储存危险化学品的单位，应当在其作业场所设置通信、报警装置，并保证处于适用状态</w:t>
                  </w:r>
                </w:p>
              </w:tc>
              <w:tc>
                <w:tcPr>
                  <w:tcW w:w="1226" w:type="pct"/>
                  <w:tcBorders>
                    <w:top w:val="single" w:color="auto" w:sz="4" w:space="0"/>
                    <w:left w:val="single" w:color="auto" w:sz="4" w:space="0"/>
                    <w:bottom w:val="single" w:color="auto" w:sz="4" w:space="0"/>
                    <w:right w:val="single" w:color="auto" w:sz="4" w:space="0"/>
                  </w:tcBorders>
                  <w:shd w:val="clear" w:color="auto" w:fill="auto"/>
                  <w:vAlign w:val="center"/>
                </w:tcPr>
                <w:p w14:paraId="7C760176">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项目在作业场所</w:t>
                  </w:r>
                  <w:r>
                    <w:rPr>
                      <w:rFonts w:hint="eastAsia" w:ascii="Times New Roman" w:hAnsi="Times New Roman" w:eastAsia="宋体" w:cs="Times New Roman"/>
                      <w:color w:val="auto"/>
                      <w:szCs w:val="21"/>
                      <w:highlight w:val="none"/>
                      <w:lang w:val="en-US" w:eastAsia="zh-CN"/>
                    </w:rPr>
                    <w:t>设置压力高报警，</w:t>
                  </w:r>
                  <w:r>
                    <w:rPr>
                      <w:rFonts w:hint="default" w:ascii="Times New Roman" w:hAnsi="Times New Roman" w:eastAsia="宋体" w:cs="Times New Roman"/>
                      <w:color w:val="auto"/>
                      <w:szCs w:val="21"/>
                      <w:highlight w:val="none"/>
                      <w:lang w:val="en-US" w:eastAsia="zh-CN"/>
                    </w:rPr>
                    <w:t>液位指示报警，液位低低联锁停</w:t>
                  </w:r>
                  <w:r>
                    <w:rPr>
                      <w:rFonts w:hint="eastAsia" w:ascii="Times New Roman" w:hAnsi="Times New Roman" w:eastAsia="宋体" w:cs="Times New Roman"/>
                      <w:color w:val="auto"/>
                      <w:szCs w:val="21"/>
                      <w:highlight w:val="none"/>
                      <w:lang w:val="en-US" w:eastAsia="zh-CN"/>
                    </w:rPr>
                    <w:t>液氮</w:t>
                  </w:r>
                  <w:r>
                    <w:rPr>
                      <w:rFonts w:hint="default" w:ascii="Times New Roman" w:hAnsi="Times New Roman" w:eastAsia="宋体" w:cs="Times New Roman"/>
                      <w:color w:val="auto"/>
                      <w:szCs w:val="21"/>
                      <w:highlight w:val="none"/>
                      <w:lang w:val="en-US" w:eastAsia="zh-CN"/>
                    </w:rPr>
                    <w:t>泵</w:t>
                  </w:r>
                  <w:r>
                    <w:rPr>
                      <w:rFonts w:hint="eastAsia" w:ascii="Times New Roman" w:hAnsi="Times New Roman" w:eastAsia="宋体" w:cs="Times New Roman"/>
                      <w:color w:val="auto"/>
                      <w:szCs w:val="21"/>
                      <w:highlight w:val="none"/>
                      <w:lang w:val="en-US" w:eastAsia="zh-CN"/>
                    </w:rPr>
                    <w:t>。氮气</w:t>
                  </w:r>
                  <w:r>
                    <w:rPr>
                      <w:rFonts w:hint="default" w:ascii="Times New Roman" w:hAnsi="Times New Roman" w:eastAsia="宋体" w:cs="Times New Roman"/>
                      <w:color w:val="auto"/>
                      <w:szCs w:val="21"/>
                      <w:highlight w:val="none"/>
                      <w:lang w:val="en-US" w:eastAsia="zh-CN"/>
                    </w:rPr>
                    <w:t>出</w:t>
                  </w:r>
                  <w:r>
                    <w:rPr>
                      <w:rFonts w:hint="eastAsia" w:ascii="Times New Roman" w:hAnsi="Times New Roman" w:eastAsia="宋体" w:cs="Times New Roman"/>
                      <w:color w:val="auto"/>
                      <w:szCs w:val="21"/>
                      <w:highlight w:val="none"/>
                      <w:lang w:val="en-US" w:eastAsia="zh-CN"/>
                    </w:rPr>
                    <w:t>气</w:t>
                  </w:r>
                  <w:r>
                    <w:rPr>
                      <w:rFonts w:hint="default" w:ascii="Times New Roman" w:hAnsi="Times New Roman" w:eastAsia="宋体" w:cs="Times New Roman"/>
                      <w:color w:val="auto"/>
                      <w:szCs w:val="21"/>
                      <w:highlight w:val="none"/>
                      <w:lang w:val="en-US" w:eastAsia="zh-CN"/>
                    </w:rPr>
                    <w:t>化器温度指示报警，温度低低联锁停</w:t>
                  </w:r>
                  <w:r>
                    <w:rPr>
                      <w:rFonts w:hint="eastAsia" w:ascii="Times New Roman" w:hAnsi="Times New Roman" w:eastAsia="宋体" w:cs="Times New Roman"/>
                      <w:color w:val="auto"/>
                      <w:szCs w:val="21"/>
                      <w:highlight w:val="none"/>
                      <w:lang w:val="en-US" w:eastAsia="zh-CN"/>
                    </w:rPr>
                    <w:t>液氮</w:t>
                  </w:r>
                  <w:r>
                    <w:rPr>
                      <w:rFonts w:hint="default" w:ascii="Times New Roman" w:hAnsi="Times New Roman" w:eastAsia="宋体" w:cs="Times New Roman"/>
                      <w:color w:val="auto"/>
                      <w:szCs w:val="21"/>
                      <w:highlight w:val="none"/>
                      <w:lang w:val="en-US" w:eastAsia="zh-CN"/>
                    </w:rPr>
                    <w:t>泵。</w:t>
                  </w:r>
                  <w:r>
                    <w:rPr>
                      <w:rFonts w:hint="eastAsia" w:ascii="Times New Roman" w:hAnsi="Times New Roman" w:eastAsia="宋体" w:cs="Times New Roman"/>
                      <w:color w:val="auto"/>
                      <w:szCs w:val="21"/>
                      <w:highlight w:val="none"/>
                      <w:lang w:val="en-US" w:eastAsia="zh-CN"/>
                    </w:rPr>
                    <w:t>各类报警器</w:t>
                  </w:r>
                  <w:r>
                    <w:rPr>
                      <w:rFonts w:hint="default" w:ascii="Times New Roman" w:hAnsi="Times New Roman" w:eastAsia="宋体" w:cs="Times New Roman"/>
                      <w:color w:val="auto"/>
                      <w:szCs w:val="21"/>
                      <w:lang w:val="en-US" w:eastAsia="zh-CN"/>
                    </w:rPr>
                    <w:t>进行定期检查、维修及保养，并保证处于适用状态</w:t>
                  </w: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14:paraId="66266CF5">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符合</w:t>
                  </w:r>
                </w:p>
              </w:tc>
            </w:tr>
            <w:tr w14:paraId="7253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5BFF3A4F">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6</w:t>
                  </w:r>
                </w:p>
              </w:tc>
              <w:tc>
                <w:tcPr>
                  <w:tcW w:w="2666" w:type="pct"/>
                  <w:tcBorders>
                    <w:top w:val="single" w:color="auto" w:sz="4" w:space="0"/>
                    <w:left w:val="single" w:color="auto" w:sz="4" w:space="0"/>
                    <w:bottom w:val="single" w:color="auto" w:sz="4" w:space="0"/>
                    <w:right w:val="single" w:color="auto" w:sz="4" w:space="0"/>
                  </w:tcBorders>
                  <w:shd w:val="clear" w:color="auto" w:fill="auto"/>
                  <w:vAlign w:val="center"/>
                </w:tcPr>
                <w:p w14:paraId="0641C529">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生产、储存危险化学品的企业，应当委托具备国家规定的资质条件的机构，对本企业的安全生产条件每3年进行一次安全评价，提出安全评价报告。安全评价报告的内容应当包括对安全生产条件存在的问题进行整改的方案</w:t>
                  </w:r>
                </w:p>
              </w:tc>
              <w:tc>
                <w:tcPr>
                  <w:tcW w:w="1226" w:type="pct"/>
                  <w:tcBorders>
                    <w:top w:val="single" w:color="auto" w:sz="4" w:space="0"/>
                    <w:left w:val="single" w:color="auto" w:sz="4" w:space="0"/>
                    <w:bottom w:val="single" w:color="auto" w:sz="4" w:space="0"/>
                    <w:right w:val="single" w:color="auto" w:sz="4" w:space="0"/>
                  </w:tcBorders>
                  <w:shd w:val="clear" w:color="auto" w:fill="auto"/>
                  <w:vAlign w:val="center"/>
                </w:tcPr>
                <w:p w14:paraId="65D7511E">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项目已进行安全评价，并承诺按照规定每3年进行一次安全评价</w:t>
                  </w: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14:paraId="610D9760">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符合</w:t>
                  </w:r>
                </w:p>
              </w:tc>
            </w:tr>
            <w:tr w14:paraId="3C9E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64BC336D">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7</w:t>
                  </w:r>
                </w:p>
              </w:tc>
              <w:tc>
                <w:tcPr>
                  <w:tcW w:w="2666" w:type="pct"/>
                  <w:tcBorders>
                    <w:top w:val="single" w:color="auto" w:sz="4" w:space="0"/>
                    <w:left w:val="single" w:color="auto" w:sz="4" w:space="0"/>
                    <w:bottom w:val="single" w:color="auto" w:sz="4" w:space="0"/>
                    <w:right w:val="single" w:color="auto" w:sz="4" w:space="0"/>
                  </w:tcBorders>
                  <w:shd w:val="clear" w:color="auto" w:fill="auto"/>
                  <w:vAlign w:val="center"/>
                </w:tcPr>
                <w:p w14:paraId="0416C2E0">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危险化学品应当储存在专用仓库、专用场地或者专用储存室（以下统称专用仓库）内，并由专人负责管理</w:t>
                  </w:r>
                </w:p>
              </w:tc>
              <w:tc>
                <w:tcPr>
                  <w:tcW w:w="1226" w:type="pct"/>
                  <w:tcBorders>
                    <w:top w:val="single" w:color="auto" w:sz="4" w:space="0"/>
                    <w:left w:val="single" w:color="auto" w:sz="4" w:space="0"/>
                    <w:bottom w:val="single" w:color="auto" w:sz="4" w:space="0"/>
                    <w:right w:val="single" w:color="auto" w:sz="4" w:space="0"/>
                  </w:tcBorders>
                  <w:shd w:val="clear" w:color="auto" w:fill="auto"/>
                  <w:vAlign w:val="center"/>
                </w:tcPr>
                <w:p w14:paraId="7EC66CB0">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项目危险化学品储存在专用场地，并由专人负责管理</w:t>
                  </w: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14:paraId="0161E6B8">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符合</w:t>
                  </w:r>
                </w:p>
              </w:tc>
            </w:tr>
            <w:tr w14:paraId="10AE9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5A56891E">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8</w:t>
                  </w:r>
                </w:p>
              </w:tc>
              <w:tc>
                <w:tcPr>
                  <w:tcW w:w="2666" w:type="pct"/>
                  <w:tcBorders>
                    <w:top w:val="single" w:color="auto" w:sz="4" w:space="0"/>
                    <w:left w:val="single" w:color="auto" w:sz="4" w:space="0"/>
                    <w:bottom w:val="single" w:color="auto" w:sz="4" w:space="0"/>
                    <w:right w:val="single" w:color="auto" w:sz="4" w:space="0"/>
                  </w:tcBorders>
                  <w:shd w:val="clear" w:color="auto" w:fill="auto"/>
                  <w:vAlign w:val="center"/>
                </w:tcPr>
                <w:p w14:paraId="73855A8E">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储存危险化学品的单位应当建立危险化学品出入库核查、登记制度</w:t>
                  </w:r>
                </w:p>
              </w:tc>
              <w:tc>
                <w:tcPr>
                  <w:tcW w:w="1226" w:type="pct"/>
                  <w:tcBorders>
                    <w:top w:val="single" w:color="auto" w:sz="4" w:space="0"/>
                    <w:left w:val="single" w:color="auto" w:sz="4" w:space="0"/>
                    <w:bottom w:val="single" w:color="auto" w:sz="4" w:space="0"/>
                    <w:right w:val="single" w:color="auto" w:sz="4" w:space="0"/>
                  </w:tcBorders>
                  <w:shd w:val="clear" w:color="auto" w:fill="auto"/>
                  <w:vAlign w:val="center"/>
                </w:tcPr>
                <w:p w14:paraId="72089411">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项目建立危险化学品出入库核查、登记制度</w:t>
                  </w: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14:paraId="59ECE534">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符合</w:t>
                  </w:r>
                </w:p>
              </w:tc>
            </w:tr>
            <w:tr w14:paraId="68DD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423EBC79">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9</w:t>
                  </w:r>
                </w:p>
              </w:tc>
              <w:tc>
                <w:tcPr>
                  <w:tcW w:w="2666" w:type="pct"/>
                  <w:tcBorders>
                    <w:top w:val="single" w:color="auto" w:sz="4" w:space="0"/>
                    <w:left w:val="single" w:color="auto" w:sz="4" w:space="0"/>
                    <w:bottom w:val="single" w:color="auto" w:sz="4" w:space="0"/>
                    <w:right w:val="single" w:color="auto" w:sz="4" w:space="0"/>
                  </w:tcBorders>
                  <w:shd w:val="clear" w:color="auto" w:fill="auto"/>
                  <w:vAlign w:val="center"/>
                </w:tcPr>
                <w:p w14:paraId="6527FEAE">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危险化学品专用仓库应当符合国家标准、行业标准的要求，并设置明显的标志</w:t>
                  </w:r>
                </w:p>
              </w:tc>
              <w:tc>
                <w:tcPr>
                  <w:tcW w:w="1226" w:type="pct"/>
                  <w:tcBorders>
                    <w:top w:val="single" w:color="auto" w:sz="4" w:space="0"/>
                    <w:left w:val="single" w:color="auto" w:sz="4" w:space="0"/>
                    <w:bottom w:val="single" w:color="auto" w:sz="4" w:space="0"/>
                    <w:right w:val="single" w:color="auto" w:sz="4" w:space="0"/>
                  </w:tcBorders>
                  <w:shd w:val="clear" w:color="auto" w:fill="auto"/>
                  <w:vAlign w:val="center"/>
                </w:tcPr>
                <w:p w14:paraId="49A0CBA2">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项目危险化学品专用仓库符合国家、行业标准要求，并设置明显的标志</w:t>
                  </w: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14:paraId="74C753CB">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符合</w:t>
                  </w:r>
                </w:p>
              </w:tc>
            </w:tr>
            <w:tr w14:paraId="5159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01C448B0">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10</w:t>
                  </w:r>
                </w:p>
              </w:tc>
              <w:tc>
                <w:tcPr>
                  <w:tcW w:w="2666" w:type="pct"/>
                  <w:tcBorders>
                    <w:top w:val="single" w:color="auto" w:sz="4" w:space="0"/>
                    <w:left w:val="single" w:color="auto" w:sz="4" w:space="0"/>
                    <w:bottom w:val="single" w:color="auto" w:sz="4" w:space="0"/>
                    <w:right w:val="single" w:color="auto" w:sz="4" w:space="0"/>
                  </w:tcBorders>
                  <w:shd w:val="clear" w:color="auto" w:fill="auto"/>
                  <w:vAlign w:val="center"/>
                </w:tcPr>
                <w:p w14:paraId="0BC90FB0">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生产、储存危险化学品的单位转产、停产、停业或者解散的，应当采取有效措施，及时、妥善处置其危险化学品生产装置、储存设施以及库存的危险化学品，不得丢弃危险化学品</w:t>
                  </w:r>
                </w:p>
              </w:tc>
              <w:tc>
                <w:tcPr>
                  <w:tcW w:w="1226" w:type="pct"/>
                  <w:tcBorders>
                    <w:top w:val="single" w:color="auto" w:sz="4" w:space="0"/>
                    <w:left w:val="single" w:color="auto" w:sz="4" w:space="0"/>
                    <w:bottom w:val="single" w:color="auto" w:sz="4" w:space="0"/>
                    <w:right w:val="single" w:color="auto" w:sz="4" w:space="0"/>
                  </w:tcBorders>
                  <w:shd w:val="clear" w:color="auto" w:fill="auto"/>
                  <w:vAlign w:val="center"/>
                </w:tcPr>
                <w:p w14:paraId="076CAD73">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项目不得丢弃危险化学品</w:t>
                  </w:r>
                </w:p>
              </w:tc>
              <w:tc>
                <w:tcPr>
                  <w:tcW w:w="616" w:type="pct"/>
                  <w:tcBorders>
                    <w:top w:val="single" w:color="auto" w:sz="4" w:space="0"/>
                    <w:left w:val="single" w:color="auto" w:sz="4" w:space="0"/>
                    <w:bottom w:val="single" w:color="auto" w:sz="4" w:space="0"/>
                    <w:right w:val="single" w:color="auto" w:sz="4" w:space="0"/>
                  </w:tcBorders>
                  <w:shd w:val="clear" w:color="auto" w:fill="auto"/>
                  <w:vAlign w:val="center"/>
                </w:tcPr>
                <w:p w14:paraId="4E0A54A8">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符合</w:t>
                  </w:r>
                </w:p>
              </w:tc>
            </w:tr>
          </w:tbl>
          <w:p w14:paraId="2F360DC5">
            <w:pPr>
              <w:keepNext w:val="0"/>
              <w:keepLines w:val="0"/>
              <w:suppressLineNumbers w:val="0"/>
              <w:spacing w:before="0" w:beforeAutospacing="0" w:after="0" w:afterAutospacing="0" w:line="440" w:lineRule="exact"/>
              <w:ind w:left="0" w:right="0"/>
              <w:jc w:val="center"/>
              <w:rPr>
                <w:rFonts w:hint="eastAsia" w:ascii="Times New Roman" w:hAnsi="Times New Roman" w:eastAsia="宋体" w:cs="Times New Roman"/>
                <w:b/>
                <w:color w:val="auto"/>
                <w:sz w:val="24"/>
                <w:szCs w:val="24"/>
              </w:rPr>
            </w:pPr>
          </w:p>
          <w:p w14:paraId="6D69B750">
            <w:pPr>
              <w:pStyle w:val="4"/>
              <w:keepNext w:val="0"/>
              <w:keepLines w:val="0"/>
              <w:numPr>
                <w:ilvl w:val="0"/>
                <w:numId w:val="0"/>
              </w:numPr>
              <w:suppressLineNumbers w:val="0"/>
              <w:spacing w:before="0" w:beforeAutospacing="0" w:after="0" w:afterAutospacing="0"/>
              <w:ind w:left="0" w:leftChars="0" w:right="0"/>
              <w:rPr>
                <w:rFonts w:hint="default" w:ascii="Times New Roman" w:hAnsi="Times New Roman" w:eastAsia="宋体" w:cs="Times New Roman"/>
                <w:color w:val="auto"/>
                <w:sz w:val="24"/>
                <w:szCs w:val="24"/>
                <w:lang w:val="en-US" w:eastAsia="zh-CN"/>
              </w:rPr>
            </w:pPr>
          </w:p>
        </w:tc>
      </w:tr>
    </w:tbl>
    <w:p w14:paraId="27FE6EC9">
      <w:pPr>
        <w:rPr>
          <w:rFonts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42614010">
      <w:pPr>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二、建设项目工程分析</w:t>
      </w:r>
    </w:p>
    <w:tbl>
      <w:tblPr>
        <w:tblStyle w:val="18"/>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9429"/>
      </w:tblGrid>
      <w:tr w14:paraId="47739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04" w:type="dxa"/>
            <w:vAlign w:val="center"/>
          </w:tcPr>
          <w:p w14:paraId="4D227928">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建设内容</w:t>
            </w:r>
          </w:p>
        </w:tc>
        <w:tc>
          <w:tcPr>
            <w:tcW w:w="8505" w:type="dxa"/>
            <w:vAlign w:val="top"/>
          </w:tcPr>
          <w:p w14:paraId="5419FB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rPr>
              <w:t>1、</w:t>
            </w:r>
            <w:r>
              <w:rPr>
                <w:rFonts w:hint="eastAsia" w:ascii="Times New Roman" w:hAnsi="Times New Roman" w:eastAsia="宋体" w:cs="Times New Roman"/>
                <w:b/>
                <w:color w:val="auto"/>
                <w:sz w:val="24"/>
                <w:szCs w:val="24"/>
                <w:highlight w:val="none"/>
                <w:lang w:val="en-US" w:eastAsia="zh-CN"/>
              </w:rPr>
              <w:t>企业历史项目环保手续履行情况</w:t>
            </w:r>
          </w:p>
          <w:p w14:paraId="451173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巴彦淖尔华油天然气有限责任公司成立于2009年8月20日，法定</w:t>
            </w:r>
            <w:r>
              <w:rPr>
                <w:rFonts w:hint="eastAsia" w:ascii="Times New Roman" w:hAnsi="Times New Roman" w:eastAsia="宋体" w:cs="Times New Roman"/>
                <w:color w:val="auto"/>
                <w:sz w:val="24"/>
                <w:szCs w:val="24"/>
                <w:highlight w:val="none"/>
                <w:lang w:eastAsia="zh-CN"/>
              </w:rPr>
              <w:t>代</w:t>
            </w:r>
            <w:r>
              <w:rPr>
                <w:rFonts w:hint="eastAsia" w:ascii="Times New Roman" w:hAnsi="Times New Roman" w:eastAsia="宋体" w:cs="Times New Roman"/>
                <w:color w:val="auto"/>
                <w:sz w:val="24"/>
                <w:szCs w:val="24"/>
                <w:highlight w:val="none"/>
              </w:rPr>
              <w:t>表人</w:t>
            </w:r>
            <w:r>
              <w:rPr>
                <w:rFonts w:hint="eastAsia" w:ascii="Times New Roman" w:hAnsi="Times New Roman" w:eastAsia="宋体" w:cs="Times New Roman"/>
                <w:color w:val="auto"/>
                <w:sz w:val="24"/>
                <w:szCs w:val="24"/>
                <w:highlight w:val="none"/>
                <w:lang w:eastAsia="zh-CN"/>
              </w:rPr>
              <w:t>韩志国，</w:t>
            </w:r>
            <w:r>
              <w:rPr>
                <w:rFonts w:hint="eastAsia" w:ascii="Times New Roman" w:hAnsi="Times New Roman" w:eastAsia="宋体" w:cs="Times New Roman"/>
                <w:color w:val="auto"/>
                <w:sz w:val="24"/>
                <w:szCs w:val="24"/>
                <w:highlight w:val="none"/>
                <w:lang w:val="en-US" w:eastAsia="zh-CN"/>
              </w:rPr>
              <w:t>公司</w:t>
            </w:r>
            <w:r>
              <w:rPr>
                <w:rFonts w:hint="eastAsia" w:ascii="Times New Roman" w:hAnsi="Times New Roman" w:eastAsia="宋体" w:cs="Times New Roman"/>
                <w:color w:val="auto"/>
                <w:sz w:val="24"/>
                <w:szCs w:val="24"/>
                <w:highlight w:val="none"/>
              </w:rPr>
              <w:t>位于</w:t>
            </w:r>
            <w:r>
              <w:rPr>
                <w:rFonts w:hint="eastAsia" w:ascii="Times New Roman" w:hAnsi="Times New Roman" w:eastAsia="宋体" w:cs="Times New Roman"/>
                <w:color w:val="auto"/>
                <w:sz w:val="24"/>
                <w:szCs w:val="24"/>
                <w:highlight w:val="none"/>
                <w:lang w:val="en-US" w:eastAsia="zh-CN"/>
              </w:rPr>
              <w:t>内蒙古</w:t>
            </w:r>
            <w:r>
              <w:rPr>
                <w:rFonts w:hint="eastAsia" w:ascii="Times New Roman" w:hAnsi="Times New Roman" w:eastAsia="宋体" w:cs="Times New Roman"/>
                <w:color w:val="auto"/>
                <w:sz w:val="24"/>
                <w:szCs w:val="24"/>
                <w:highlight w:val="none"/>
              </w:rPr>
              <w:t>巴彦淖尔市磴口</w:t>
            </w:r>
            <w:r>
              <w:rPr>
                <w:rFonts w:hint="eastAsia" w:ascii="Times New Roman" w:hAnsi="Times New Roman" w:eastAsia="宋体" w:cs="Times New Roman"/>
                <w:color w:val="auto"/>
                <w:sz w:val="24"/>
                <w:szCs w:val="24"/>
                <w:highlight w:val="none"/>
                <w:lang w:val="en-US" w:eastAsia="zh-CN"/>
              </w:rPr>
              <w:t>县</w:t>
            </w:r>
            <w:r>
              <w:rPr>
                <w:rFonts w:hint="eastAsia" w:ascii="Times New Roman" w:hAnsi="Times New Roman" w:eastAsia="宋体" w:cs="Times New Roman"/>
                <w:color w:val="auto"/>
                <w:sz w:val="24"/>
                <w:szCs w:val="24"/>
                <w:highlight w:val="none"/>
              </w:rPr>
              <w:t>，注册资金人民币</w:t>
            </w:r>
            <w:r>
              <w:rPr>
                <w:rFonts w:hint="eastAsia" w:ascii="Times New Roman" w:hAnsi="Times New Roman" w:eastAsia="宋体" w:cs="Times New Roman"/>
                <w:color w:val="auto"/>
                <w:sz w:val="24"/>
                <w:szCs w:val="24"/>
                <w:highlight w:val="none"/>
                <w:lang w:eastAsia="zh-CN"/>
              </w:rPr>
              <w:t>壹</w:t>
            </w:r>
            <w:r>
              <w:rPr>
                <w:rFonts w:hint="eastAsia" w:ascii="Times New Roman" w:hAnsi="Times New Roman" w:eastAsia="宋体" w:cs="Times New Roman"/>
                <w:color w:val="auto"/>
                <w:sz w:val="24"/>
                <w:szCs w:val="24"/>
                <w:highlight w:val="none"/>
              </w:rPr>
              <w:t>亿元</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公司经营范围为</w:t>
            </w:r>
            <w:r>
              <w:rPr>
                <w:rFonts w:hint="eastAsia" w:ascii="Times New Roman" w:hAnsi="Times New Roman" w:eastAsia="宋体" w:cs="Times New Roman"/>
                <w:color w:val="auto"/>
                <w:sz w:val="24"/>
                <w:szCs w:val="24"/>
                <w:highlight w:val="none"/>
                <w:lang w:eastAsia="zh-CN"/>
              </w:rPr>
              <w:t>液化天然气、重烃</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该公司现有磴口县30×10</w:t>
            </w:r>
            <w:r>
              <w:rPr>
                <w:rFonts w:hint="eastAsia" w:ascii="Times New Roman" w:hAnsi="Times New Roman" w:eastAsia="宋体" w:cs="Times New Roman"/>
                <w:color w:val="auto"/>
                <w:sz w:val="24"/>
                <w:szCs w:val="24"/>
                <w:highlight w:val="none"/>
                <w:vertAlign w:val="superscript"/>
                <w:lang w:val="en-US" w:eastAsia="zh-CN"/>
              </w:rPr>
              <w:t>4</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/d液化天然气项目于2011年12月12日完成建设。具体历史沿革如下：</w:t>
            </w:r>
          </w:p>
          <w:p w14:paraId="29D2780B">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表2-1    建设单位项目历史沿革及审批情况一览表</w:t>
            </w:r>
          </w:p>
          <w:tbl>
            <w:tblPr>
              <w:tblStyle w:val="1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07"/>
              <w:gridCol w:w="1347"/>
              <w:gridCol w:w="1729"/>
              <w:gridCol w:w="1964"/>
              <w:gridCol w:w="1932"/>
            </w:tblGrid>
            <w:tr w14:paraId="1A772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2" w:type="pct"/>
                  <w:vMerge w:val="restart"/>
                  <w:noWrap w:val="0"/>
                  <w:vAlign w:val="center"/>
                </w:tcPr>
                <w:p w14:paraId="26FADBB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项目名称</w:t>
                  </w:r>
                </w:p>
              </w:tc>
              <w:tc>
                <w:tcPr>
                  <w:tcW w:w="1676" w:type="pct"/>
                  <w:gridSpan w:val="2"/>
                  <w:noWrap w:val="0"/>
                  <w:vAlign w:val="center"/>
                </w:tcPr>
                <w:p w14:paraId="3B073CA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环境影响评价</w:t>
                  </w:r>
                </w:p>
              </w:tc>
              <w:tc>
                <w:tcPr>
                  <w:tcW w:w="2120" w:type="pct"/>
                  <w:gridSpan w:val="2"/>
                  <w:noWrap w:val="0"/>
                  <w:vAlign w:val="center"/>
                </w:tcPr>
                <w:p w14:paraId="7A32D62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竣工环境保护验收</w:t>
                  </w:r>
                </w:p>
              </w:tc>
            </w:tr>
            <w:tr w14:paraId="6CDAE3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2" w:type="pct"/>
                  <w:vMerge w:val="continue"/>
                  <w:noWrap w:val="0"/>
                  <w:vAlign w:val="center"/>
                </w:tcPr>
                <w:p w14:paraId="7648163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Cs w:val="21"/>
                      <w:highlight w:val="none"/>
                    </w:rPr>
                  </w:pPr>
                </w:p>
              </w:tc>
              <w:tc>
                <w:tcPr>
                  <w:tcW w:w="734" w:type="pct"/>
                  <w:noWrap w:val="0"/>
                  <w:vAlign w:val="center"/>
                </w:tcPr>
                <w:p w14:paraId="760F1C5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审批单位</w:t>
                  </w:r>
                </w:p>
              </w:tc>
              <w:tc>
                <w:tcPr>
                  <w:tcW w:w="942" w:type="pct"/>
                  <w:noWrap w:val="0"/>
                  <w:vAlign w:val="center"/>
                </w:tcPr>
                <w:p w14:paraId="6BE68798">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审批文号</w:t>
                  </w:r>
                </w:p>
              </w:tc>
              <w:tc>
                <w:tcPr>
                  <w:tcW w:w="1070" w:type="pct"/>
                  <w:noWrap w:val="0"/>
                  <w:vAlign w:val="center"/>
                </w:tcPr>
                <w:p w14:paraId="7039F75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验收</w:t>
                  </w:r>
                  <w:r>
                    <w:rPr>
                      <w:rFonts w:hint="eastAsia" w:ascii="宋体" w:hAnsi="宋体" w:eastAsia="宋体" w:cs="宋体"/>
                      <w:b/>
                      <w:color w:val="auto"/>
                      <w:szCs w:val="21"/>
                      <w:highlight w:val="none"/>
                    </w:rPr>
                    <w:t>单位</w:t>
                  </w:r>
                </w:p>
              </w:tc>
              <w:tc>
                <w:tcPr>
                  <w:tcW w:w="1050" w:type="pct"/>
                  <w:noWrap w:val="0"/>
                  <w:vAlign w:val="center"/>
                </w:tcPr>
                <w:p w14:paraId="59E7FA6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验收时间</w:t>
                  </w:r>
                  <w:r>
                    <w:rPr>
                      <w:rFonts w:hint="eastAsia" w:ascii="宋体" w:hAnsi="宋体" w:eastAsia="宋体" w:cs="宋体"/>
                      <w:b/>
                      <w:color w:val="auto"/>
                      <w:szCs w:val="21"/>
                      <w:highlight w:val="none"/>
                      <w:lang w:val="en-US" w:eastAsia="zh-CN"/>
                    </w:rPr>
                    <w:t>及文号</w:t>
                  </w:r>
                </w:p>
              </w:tc>
            </w:tr>
            <w:tr w14:paraId="68684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2" w:type="pct"/>
                  <w:noWrap w:val="0"/>
                  <w:vAlign w:val="center"/>
                </w:tcPr>
                <w:p w14:paraId="080D15C7">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Cs w:val="21"/>
                      <w:highlight w:val="none"/>
                      <w:lang w:val="en-US"/>
                    </w:rPr>
                  </w:pPr>
                  <w:r>
                    <w:rPr>
                      <w:rFonts w:hint="default" w:ascii="Times New Roman" w:hAnsi="Times New Roman" w:eastAsia="宋体" w:cs="Times New Roman"/>
                      <w:bCs/>
                      <w:color w:val="auto"/>
                      <w:szCs w:val="21"/>
                      <w:highlight w:val="none"/>
                      <w:lang w:val="en-US" w:eastAsia="zh-CN"/>
                    </w:rPr>
                    <w:t>巴彦淖尔华油天然气有限责任公司磴口县30×10</w:t>
                  </w:r>
                  <w:r>
                    <w:rPr>
                      <w:rFonts w:hint="default" w:ascii="Times New Roman" w:hAnsi="Times New Roman" w:eastAsia="宋体" w:cs="Times New Roman"/>
                      <w:bCs/>
                      <w:color w:val="auto"/>
                      <w:szCs w:val="21"/>
                      <w:highlight w:val="none"/>
                      <w:vertAlign w:val="superscript"/>
                      <w:lang w:val="en-US" w:eastAsia="zh-CN"/>
                    </w:rPr>
                    <w:t>4</w:t>
                  </w:r>
                  <w:r>
                    <w:rPr>
                      <w:rFonts w:hint="default" w:ascii="Times New Roman" w:hAnsi="Times New Roman" w:eastAsia="宋体" w:cs="Times New Roman"/>
                      <w:bCs/>
                      <w:color w:val="auto"/>
                      <w:szCs w:val="21"/>
                      <w:highlight w:val="none"/>
                      <w:lang w:val="en-US" w:eastAsia="zh-CN"/>
                    </w:rPr>
                    <w:t>m</w:t>
                  </w:r>
                  <w:r>
                    <w:rPr>
                      <w:rFonts w:hint="default" w:ascii="Times New Roman" w:hAnsi="Times New Roman" w:eastAsia="宋体" w:cs="Times New Roman"/>
                      <w:bCs/>
                      <w:color w:val="auto"/>
                      <w:szCs w:val="21"/>
                      <w:highlight w:val="none"/>
                      <w:vertAlign w:val="superscript"/>
                      <w:lang w:val="en-US" w:eastAsia="zh-CN"/>
                    </w:rPr>
                    <w:t>3</w:t>
                  </w:r>
                  <w:r>
                    <w:rPr>
                      <w:rFonts w:hint="default" w:ascii="Times New Roman" w:hAnsi="Times New Roman" w:eastAsia="宋体" w:cs="Times New Roman"/>
                      <w:bCs/>
                      <w:color w:val="auto"/>
                      <w:szCs w:val="21"/>
                      <w:highlight w:val="none"/>
                      <w:lang w:val="en-US" w:eastAsia="zh-CN"/>
                    </w:rPr>
                    <w:t>/d液化天然气项目环境影响报告表</w:t>
                  </w:r>
                </w:p>
              </w:tc>
              <w:tc>
                <w:tcPr>
                  <w:tcW w:w="734" w:type="pct"/>
                  <w:noWrap w:val="0"/>
                  <w:vAlign w:val="center"/>
                </w:tcPr>
                <w:p w14:paraId="6AECF8B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原巴彦淖尔市环境保护局</w:t>
                  </w:r>
                </w:p>
              </w:tc>
              <w:tc>
                <w:tcPr>
                  <w:tcW w:w="942" w:type="pct"/>
                  <w:noWrap w:val="0"/>
                  <w:vAlign w:val="center"/>
                </w:tcPr>
                <w:p w14:paraId="4A3109C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2009年11月4日，巴环审表〔2009〕104号</w:t>
                  </w:r>
                </w:p>
              </w:tc>
              <w:tc>
                <w:tcPr>
                  <w:tcW w:w="1070" w:type="pct"/>
                  <w:noWrap w:val="0"/>
                  <w:vAlign w:val="center"/>
                </w:tcPr>
                <w:p w14:paraId="4484EF5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原巴彦淖尔市环保局</w:t>
                  </w:r>
                </w:p>
              </w:tc>
              <w:tc>
                <w:tcPr>
                  <w:tcW w:w="1050" w:type="pct"/>
                  <w:noWrap w:val="0"/>
                  <w:vAlign w:val="center"/>
                </w:tcPr>
                <w:p w14:paraId="7A0C33B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2011年12月12日，巴环验〔2011〕56号</w:t>
                  </w:r>
                </w:p>
              </w:tc>
            </w:tr>
            <w:tr w14:paraId="3C3DA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5000" w:type="pct"/>
                  <w:gridSpan w:val="5"/>
                  <w:noWrap w:val="0"/>
                  <w:vAlign w:val="center"/>
                </w:tcPr>
                <w:p w14:paraId="4F421B7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其他环保手续执行情况</w:t>
                  </w:r>
                </w:p>
              </w:tc>
            </w:tr>
            <w:tr w14:paraId="2385EA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2" w:type="pct"/>
                  <w:noWrap w:val="0"/>
                  <w:vAlign w:val="center"/>
                </w:tcPr>
                <w:p w14:paraId="2729B45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项目名称</w:t>
                  </w:r>
                </w:p>
              </w:tc>
              <w:tc>
                <w:tcPr>
                  <w:tcW w:w="1676" w:type="pct"/>
                  <w:gridSpan w:val="2"/>
                  <w:noWrap w:val="0"/>
                  <w:vAlign w:val="center"/>
                </w:tcPr>
                <w:p w14:paraId="417E6FD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文件编号/代码</w:t>
                  </w:r>
                </w:p>
              </w:tc>
              <w:tc>
                <w:tcPr>
                  <w:tcW w:w="2120" w:type="pct"/>
                  <w:gridSpan w:val="2"/>
                  <w:noWrap w:val="0"/>
                  <w:vAlign w:val="center"/>
                </w:tcPr>
                <w:p w14:paraId="216E8E9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szCs w:val="21"/>
                      <w:highlight w:val="none"/>
                      <w:lang w:val="en-US" w:eastAsia="zh-CN"/>
                    </w:rPr>
                    <w:t>履行时间</w:t>
                  </w:r>
                </w:p>
              </w:tc>
            </w:tr>
            <w:tr w14:paraId="002E0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2" w:type="pct"/>
                  <w:noWrap w:val="0"/>
                  <w:vAlign w:val="center"/>
                </w:tcPr>
                <w:p w14:paraId="068F092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Cs w:val="21"/>
                      <w:highlight w:val="none"/>
                      <w:lang w:val="en-US"/>
                    </w:rPr>
                  </w:pPr>
                  <w:r>
                    <w:rPr>
                      <w:rFonts w:hint="eastAsia" w:ascii="宋体" w:hAnsi="宋体" w:eastAsia="宋体" w:cs="宋体"/>
                      <w:bCs/>
                      <w:color w:val="auto"/>
                      <w:szCs w:val="21"/>
                      <w:highlight w:val="none"/>
                      <w:lang w:val="en-US" w:eastAsia="zh-CN"/>
                    </w:rPr>
                    <w:t>固定污染源排污登记表</w:t>
                  </w:r>
                </w:p>
              </w:tc>
              <w:tc>
                <w:tcPr>
                  <w:tcW w:w="1676" w:type="pct"/>
                  <w:gridSpan w:val="2"/>
                  <w:noWrap w:val="0"/>
                  <w:vAlign w:val="center"/>
                </w:tcPr>
                <w:p w14:paraId="3D0FB65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91150822692866226M001X</w:t>
                  </w:r>
                </w:p>
              </w:tc>
              <w:tc>
                <w:tcPr>
                  <w:tcW w:w="2120" w:type="pct"/>
                  <w:gridSpan w:val="2"/>
                  <w:noWrap w:val="0"/>
                  <w:vAlign w:val="center"/>
                </w:tcPr>
                <w:p w14:paraId="724E043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2020年5月27日至2025年5月26日</w:t>
                  </w:r>
                </w:p>
              </w:tc>
            </w:tr>
            <w:tr w14:paraId="03488B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02" w:type="pct"/>
                  <w:noWrap w:val="0"/>
                  <w:vAlign w:val="center"/>
                </w:tcPr>
                <w:p w14:paraId="476C7B07">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突发环境事件应急预案</w:t>
                  </w:r>
                </w:p>
              </w:tc>
              <w:tc>
                <w:tcPr>
                  <w:tcW w:w="1676" w:type="pct"/>
                  <w:gridSpan w:val="2"/>
                  <w:noWrap w:val="0"/>
                  <w:vAlign w:val="center"/>
                </w:tcPr>
                <w:p w14:paraId="06437559">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1508222023012L</w:t>
                  </w:r>
                </w:p>
              </w:tc>
              <w:tc>
                <w:tcPr>
                  <w:tcW w:w="2120" w:type="pct"/>
                  <w:gridSpan w:val="2"/>
                  <w:noWrap w:val="0"/>
                  <w:vAlign w:val="center"/>
                </w:tcPr>
                <w:p w14:paraId="6803FC7E">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2023年9月8日</w:t>
                  </w:r>
                </w:p>
              </w:tc>
            </w:tr>
          </w:tbl>
          <w:p w14:paraId="0CF951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2、项目由来</w:t>
            </w:r>
          </w:p>
          <w:p w14:paraId="72B2A39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巴彦淖尔华油天然气有限责任公司磴口县30×10</w:t>
            </w:r>
            <w:r>
              <w:rPr>
                <w:rFonts w:hint="eastAsia" w:ascii="Times New Roman" w:hAnsi="Times New Roman" w:eastAsia="宋体" w:cs="Times New Roman"/>
                <w:color w:val="auto"/>
                <w:sz w:val="24"/>
                <w:szCs w:val="24"/>
                <w:highlight w:val="none"/>
                <w:vertAlign w:val="superscript"/>
                <w:lang w:val="en-US" w:eastAsia="zh-CN"/>
              </w:rPr>
              <w:t>4</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/d液化天然气项目现建设有2套分子筛空分制氮系统。该系统包括150Nm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/hPSA制氮机、液氮储罐、液氮汽化器、氮气缓冲罐等，液氮气化后的氮气直接用于厂区内生产。厂区内另外设置10m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 xml:space="preserve"> 备用液氮储罐，以确保分子筛空分制氮系统故障后厂区内生产设施安全运行。现有液氮储罐采用槽车运输。</w:t>
            </w:r>
          </w:p>
          <w:p w14:paraId="62011D6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现有备用储罐为10m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 xml:space="preserve"> ，按照《石油化工储运系统罐区设计规范》（SH/T3007-2014）第4.1.1条规定“原油和原料储存天数应符合表4.1.1要求”。</w:t>
            </w:r>
          </w:p>
          <w:p w14:paraId="35E06DF8">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表2-2    原油和原料储存天数 （摘录SH/T 3007-2014）</w:t>
            </w:r>
          </w:p>
          <w:tbl>
            <w:tblPr>
              <w:tblStyle w:val="17"/>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95"/>
              <w:gridCol w:w="3067"/>
              <w:gridCol w:w="3914"/>
            </w:tblGrid>
            <w:tr w14:paraId="4B2E8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196" w:type="pct"/>
                  <w:noWrap w:val="0"/>
                  <w:vAlign w:val="center"/>
                </w:tcPr>
                <w:p w14:paraId="3E4A54F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进厂方式</w:t>
                  </w:r>
                </w:p>
              </w:tc>
              <w:tc>
                <w:tcPr>
                  <w:tcW w:w="1671" w:type="pct"/>
                  <w:noWrap w:val="0"/>
                  <w:vAlign w:val="center"/>
                </w:tcPr>
                <w:p w14:paraId="706F689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储存天数</w:t>
                  </w:r>
                </w:p>
              </w:tc>
              <w:tc>
                <w:tcPr>
                  <w:tcW w:w="2132" w:type="pct"/>
                  <w:noWrap w:val="0"/>
                  <w:vAlign w:val="center"/>
                </w:tcPr>
                <w:p w14:paraId="689CB14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适用情况</w:t>
                  </w:r>
                </w:p>
              </w:tc>
            </w:tr>
            <w:tr w14:paraId="1F1F9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196" w:type="pct"/>
                  <w:vMerge w:val="restart"/>
                  <w:noWrap w:val="0"/>
                  <w:vAlign w:val="center"/>
                </w:tcPr>
                <w:p w14:paraId="0AE568D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管道输送</w:t>
                  </w:r>
                </w:p>
              </w:tc>
              <w:tc>
                <w:tcPr>
                  <w:tcW w:w="1671" w:type="pct"/>
                  <w:noWrap w:val="0"/>
                  <w:vAlign w:val="center"/>
                </w:tcPr>
                <w:p w14:paraId="5E0560B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color w:val="auto"/>
                      <w:sz w:val="21"/>
                      <w:szCs w:val="21"/>
                      <w:highlight w:val="none"/>
                    </w:rPr>
                    <w:t>5~7</w:t>
                  </w:r>
                </w:p>
              </w:tc>
              <w:tc>
                <w:tcPr>
                  <w:tcW w:w="2132" w:type="pct"/>
                  <w:noWrap w:val="0"/>
                  <w:vAlign w:val="center"/>
                </w:tcPr>
                <w:p w14:paraId="5D6B04EC">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原油和原料储存天数</w:t>
                  </w:r>
                </w:p>
              </w:tc>
            </w:tr>
            <w:tr w14:paraId="5B48E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196" w:type="pct"/>
                  <w:vMerge w:val="continue"/>
                  <w:noWrap w:val="0"/>
                  <w:vAlign w:val="center"/>
                </w:tcPr>
                <w:p w14:paraId="5F1865C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p>
              </w:tc>
              <w:tc>
                <w:tcPr>
                  <w:tcW w:w="1671" w:type="pct"/>
                  <w:noWrap w:val="0"/>
                  <w:vAlign w:val="center"/>
                </w:tcPr>
                <w:p w14:paraId="067926A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color w:val="auto"/>
                      <w:sz w:val="21"/>
                      <w:szCs w:val="21"/>
                      <w:highlight w:val="none"/>
                    </w:rPr>
                    <w:t>7~10</w:t>
                  </w:r>
                </w:p>
              </w:tc>
              <w:tc>
                <w:tcPr>
                  <w:tcW w:w="2132" w:type="pct"/>
                  <w:noWrap w:val="0"/>
                  <w:vAlign w:val="center"/>
                </w:tcPr>
                <w:p w14:paraId="5ED6799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原油和原料储存天数</w:t>
                  </w:r>
                </w:p>
              </w:tc>
            </w:tr>
            <w:tr w14:paraId="2F743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196" w:type="pct"/>
                  <w:noWrap w:val="0"/>
                  <w:vAlign w:val="center"/>
                </w:tcPr>
                <w:p w14:paraId="159B4796">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color w:val="auto"/>
                      <w:sz w:val="21"/>
                      <w:szCs w:val="21"/>
                      <w:highlight w:val="none"/>
                    </w:rPr>
                    <w:t>铁路运输</w:t>
                  </w:r>
                </w:p>
              </w:tc>
              <w:tc>
                <w:tcPr>
                  <w:tcW w:w="1671" w:type="pct"/>
                  <w:noWrap w:val="0"/>
                  <w:vAlign w:val="center"/>
                </w:tcPr>
                <w:p w14:paraId="407C2A93">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color w:val="auto"/>
                      <w:sz w:val="21"/>
                      <w:szCs w:val="21"/>
                      <w:highlight w:val="none"/>
                    </w:rPr>
                    <w:t>10~20</w:t>
                  </w:r>
                </w:p>
              </w:tc>
              <w:tc>
                <w:tcPr>
                  <w:tcW w:w="2132" w:type="pct"/>
                  <w:noWrap w:val="0"/>
                  <w:vAlign w:val="center"/>
                </w:tcPr>
                <w:p w14:paraId="5BD637D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p>
              </w:tc>
            </w:tr>
            <w:tr w14:paraId="36B75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196" w:type="pct"/>
                  <w:noWrap w:val="0"/>
                  <w:vAlign w:val="center"/>
                </w:tcPr>
                <w:p w14:paraId="23B1E8BB">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color w:val="auto"/>
                      <w:sz w:val="21"/>
                      <w:szCs w:val="21"/>
                      <w:highlight w:val="none"/>
                    </w:rPr>
                    <w:t>公路运输</w:t>
                  </w:r>
                </w:p>
              </w:tc>
              <w:tc>
                <w:tcPr>
                  <w:tcW w:w="1671" w:type="pct"/>
                  <w:noWrap w:val="0"/>
                  <w:vAlign w:val="center"/>
                </w:tcPr>
                <w:p w14:paraId="7F4606E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color w:val="auto"/>
                      <w:sz w:val="21"/>
                      <w:szCs w:val="21"/>
                      <w:highlight w:val="none"/>
                    </w:rPr>
                    <w:t>7~10</w:t>
                  </w:r>
                </w:p>
              </w:tc>
              <w:tc>
                <w:tcPr>
                  <w:tcW w:w="2132" w:type="pct"/>
                  <w:noWrap w:val="0"/>
                  <w:vAlign w:val="center"/>
                </w:tcPr>
                <w:p w14:paraId="1EC55765">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p>
              </w:tc>
            </w:tr>
            <w:tr w14:paraId="6DCE7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196" w:type="pct"/>
                  <w:noWrap w:val="0"/>
                  <w:vAlign w:val="center"/>
                </w:tcPr>
                <w:p w14:paraId="401A1A5A">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color w:val="auto"/>
                      <w:sz w:val="21"/>
                      <w:szCs w:val="21"/>
                      <w:highlight w:val="none"/>
                    </w:rPr>
                    <w:t>内河及近海运输</w:t>
                  </w:r>
                </w:p>
              </w:tc>
              <w:tc>
                <w:tcPr>
                  <w:tcW w:w="1671" w:type="pct"/>
                  <w:noWrap w:val="0"/>
                  <w:vAlign w:val="center"/>
                </w:tcPr>
                <w:p w14:paraId="3293B9C9">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color w:val="auto"/>
                      <w:sz w:val="21"/>
                      <w:szCs w:val="21"/>
                      <w:highlight w:val="none"/>
                    </w:rPr>
                    <w:t>15~20</w:t>
                  </w:r>
                </w:p>
              </w:tc>
              <w:tc>
                <w:tcPr>
                  <w:tcW w:w="2132" w:type="pct"/>
                  <w:noWrap w:val="0"/>
                  <w:vAlign w:val="center"/>
                </w:tcPr>
                <w:p w14:paraId="7C4C4C8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p>
              </w:tc>
            </w:tr>
            <w:tr w14:paraId="07232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196" w:type="pct"/>
                  <w:noWrap w:val="0"/>
                  <w:vAlign w:val="center"/>
                </w:tcPr>
                <w:p w14:paraId="7394304F">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color w:val="auto"/>
                      <w:sz w:val="21"/>
                      <w:szCs w:val="21"/>
                      <w:highlight w:val="none"/>
                    </w:rPr>
                    <w:t>远洋运输</w:t>
                  </w:r>
                </w:p>
              </w:tc>
              <w:tc>
                <w:tcPr>
                  <w:tcW w:w="1671" w:type="pct"/>
                  <w:noWrap w:val="0"/>
                  <w:vAlign w:val="center"/>
                </w:tcPr>
                <w:p w14:paraId="655E479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r>
                    <w:rPr>
                      <w:rFonts w:hint="eastAsia" w:ascii="宋体" w:hAnsi="宋体" w:eastAsia="宋体" w:cs="宋体"/>
                      <w:color w:val="auto"/>
                      <w:sz w:val="21"/>
                      <w:szCs w:val="21"/>
                      <w:highlight w:val="none"/>
                    </w:rPr>
                    <w:t>≥30</w:t>
                  </w:r>
                </w:p>
              </w:tc>
              <w:tc>
                <w:tcPr>
                  <w:tcW w:w="2132" w:type="pct"/>
                  <w:noWrap w:val="0"/>
                  <w:vAlign w:val="center"/>
                </w:tcPr>
                <w:p w14:paraId="1D5FDCE2">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b/>
                      <w:bCs w:val="0"/>
                      <w:color w:val="auto"/>
                      <w:sz w:val="21"/>
                      <w:szCs w:val="21"/>
                      <w:highlight w:val="none"/>
                      <w:lang w:val="en-US" w:eastAsia="zh-CN"/>
                    </w:rPr>
                  </w:pPr>
                </w:p>
              </w:tc>
            </w:tr>
            <w:tr w14:paraId="08FA3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5000" w:type="pct"/>
                  <w:gridSpan w:val="3"/>
                  <w:noWrap w:val="0"/>
                  <w:vAlign w:val="center"/>
                </w:tcPr>
                <w:p w14:paraId="647714D6">
                  <w:pPr>
                    <w:keepNext w:val="0"/>
                    <w:keepLines w:val="0"/>
                    <w:suppressLineNumbers w:val="0"/>
                    <w:adjustRightInd w:val="0"/>
                    <w:snapToGrid w:val="0"/>
                    <w:spacing w:before="0" w:beforeAutospacing="0" w:after="0" w:afterAutospacing="0"/>
                    <w:ind w:left="0" w:right="0"/>
                    <w:jc w:val="left"/>
                    <w:rPr>
                      <w:rFonts w:hint="eastAsia" w:ascii="宋体" w:hAnsi="宋体" w:eastAsia="宋体" w:cs="宋体"/>
                      <w:b/>
                      <w:bCs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注:如果原料生产厂与原料使用装置属同开同停情况，可降低储存天数至5天~7天。</w:t>
                  </w:r>
                </w:p>
              </w:tc>
            </w:tr>
          </w:tbl>
          <w:p w14:paraId="724A265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righ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为保障 LNG 工厂安全平稳运行，发生事故情况下的应急处置，项目采用公路运输的方式，氮气储存最低需保证7天的用量。根据项目实际生产情况，项目制氮系统主要为各个系统提供密封用气量约为150Nm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/h。如制氮系统突发异常状况停用后，各装置的氮气密封用气需要投用液氮罐，将液氮气化后用以满足氮气密封系统需求。则项目需要储存液氮，具体情况如下：</w:t>
            </w:r>
          </w:p>
          <w:p w14:paraId="11FDD9A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rightChars="0" w:firstLine="480" w:firstLineChars="200"/>
              <w:textAlignment w:val="auto"/>
              <w:rPr>
                <w:rFonts w:hint="eastAsia" w:ascii="Times New Roman" w:hAnsi="Times New Roman" w:eastAsia="宋体" w:cs="Times New Roman"/>
                <w:color w:val="auto"/>
                <w:sz w:val="24"/>
                <w:szCs w:val="24"/>
                <w:highlight w:val="none"/>
                <w:vertAlign w:val="superscript"/>
                <w:lang w:val="en-US" w:eastAsia="zh-CN"/>
              </w:rPr>
            </w:pPr>
            <w:r>
              <w:rPr>
                <w:rFonts w:hint="eastAsia" w:ascii="Times New Roman" w:hAnsi="Times New Roman" w:eastAsia="宋体" w:cs="Times New Roman"/>
                <w:color w:val="auto"/>
                <w:sz w:val="24"/>
                <w:szCs w:val="24"/>
                <w:highlight w:val="none"/>
                <w:lang w:val="en-US" w:eastAsia="zh-CN"/>
              </w:rPr>
              <w:t>7天用气量为：150Nm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/h×7d×24h=25200Nm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w:t>
            </w:r>
          </w:p>
          <w:p w14:paraId="685D9B0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rightChars="0" w:firstLine="480" w:firstLineChars="200"/>
              <w:textAlignment w:val="auto"/>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lang w:val="en-US" w:eastAsia="zh-CN"/>
              </w:rPr>
              <w:t>1m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液氮折合 648Nm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，则液氮用量为</w:t>
            </w:r>
            <w:r>
              <w:rPr>
                <w:rFonts w:hint="eastAsia" w:ascii="Times New Roman" w:hAnsi="Times New Roman" w:eastAsia="宋体" w:cs="Times New Roman"/>
                <w:color w:val="auto"/>
                <w:sz w:val="24"/>
                <w:szCs w:val="24"/>
                <w:highlight w:val="none"/>
                <w:lang w:val="en-US" w:eastAsia="zh-CN"/>
              </w:rPr>
              <w:t>25200Nm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color w:val="auto"/>
                <w:sz w:val="24"/>
                <w:szCs w:val="24"/>
                <w:highlight w:val="none"/>
                <w:lang w:val="en-US" w:eastAsia="zh-CN"/>
              </w:rPr>
              <w:t>648Nm</w:t>
            </w:r>
            <w:r>
              <w:rPr>
                <w:rFonts w:hint="default"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≈38.89</w:t>
            </w:r>
            <w:r>
              <w:rPr>
                <w:rFonts w:hint="default"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p>
          <w:p w14:paraId="6A03C2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righ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因此，企业拟建设巴彦淖尔华油天然气有限责任公司新增液氮储罐安全技改项目，新建一座30m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液氮（备用）储罐，与原有备用液氮储罐10m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 xml:space="preserve"> （原有项目可满足1.8天）并联使用。备用液氮储罐主要用于现有工程制氮系统故障时才启用，项目建成后可满足公路运输最低7天储存量要求。</w:t>
            </w:r>
          </w:p>
          <w:p w14:paraId="4B494CD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right="0" w:righ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根据《中华人民共和国环境影响评价法》、《国务院关于修改〈建设项目环境保护管理条例〉的决定》（中华人民共和国国务院令第 682 号）及《建设项目环境影响评价分类管理名录》（2021 年版）中的有关规定，本项目属于“五十三、装卸搬运和仓储业—149 危险品仓储 594（不含加油站的油库；不含加气站的气库）—其他（含有毒、有害、危险品的仓储；含液化天然气库）”，应编制环境影响报告表。</w:t>
            </w:r>
          </w:p>
          <w:p w14:paraId="44D84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eastAsia"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3、现有工程基本情况</w:t>
            </w:r>
          </w:p>
          <w:p w14:paraId="7580E5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textAlignment w:val="auto"/>
              <w:rPr>
                <w:rFonts w:hint="default"/>
                <w:bCs/>
                <w:color w:val="auto"/>
                <w:sz w:val="24"/>
                <w:highlight w:val="none"/>
              </w:rPr>
            </w:pPr>
            <w:r>
              <w:rPr>
                <w:rFonts w:hint="eastAsia" w:ascii="Times New Roman" w:hAnsi="Times New Roman" w:eastAsia="宋体" w:cs="Times New Roman"/>
                <w:color w:val="auto"/>
                <w:sz w:val="24"/>
                <w:szCs w:val="24"/>
                <w:highlight w:val="none"/>
                <w:lang w:val="en-US" w:eastAsia="zh-CN"/>
              </w:rPr>
              <w:t>项目厂区内完成30×10</w:t>
            </w:r>
            <w:r>
              <w:rPr>
                <w:rFonts w:hint="eastAsia" w:ascii="Times New Roman" w:hAnsi="Times New Roman" w:eastAsia="宋体" w:cs="Times New Roman"/>
                <w:color w:val="auto"/>
                <w:sz w:val="24"/>
                <w:szCs w:val="24"/>
                <w:highlight w:val="none"/>
                <w:vertAlign w:val="superscript"/>
                <w:lang w:val="en-US" w:eastAsia="zh-CN"/>
              </w:rPr>
              <w:t>4</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/d液化天然气项目建设。现有工程</w:t>
            </w:r>
            <w:r>
              <w:rPr>
                <w:rFonts w:hint="default"/>
                <w:bCs/>
                <w:color w:val="auto"/>
                <w:sz w:val="24"/>
                <w:highlight w:val="none"/>
              </w:rPr>
              <w:t>组成情况见下表。</w:t>
            </w:r>
          </w:p>
          <w:p w14:paraId="01E4E012">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w:t>
            </w:r>
            <w:r>
              <w:rPr>
                <w:rFonts w:hint="eastAsia"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现有工程组成</w:t>
            </w:r>
            <w:r>
              <w:rPr>
                <w:rFonts w:hint="default" w:ascii="Times New Roman" w:hAnsi="Times New Roman" w:eastAsia="宋体" w:cs="Times New Roman"/>
                <w:b/>
                <w:bCs/>
                <w:color w:val="auto"/>
                <w:sz w:val="21"/>
                <w:szCs w:val="21"/>
                <w:highlight w:val="none"/>
                <w:lang w:val="en-US" w:eastAsia="zh-CN"/>
              </w:rPr>
              <w:t>一览表</w:t>
            </w:r>
          </w:p>
          <w:tbl>
            <w:tblPr>
              <w:tblStyle w:val="1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1623"/>
              <w:gridCol w:w="6776"/>
            </w:tblGrid>
            <w:tr w14:paraId="343A1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08" w:type="pct"/>
                  <w:gridSpan w:val="2"/>
                  <w:tcBorders>
                    <w:tl2br w:val="nil"/>
                    <w:tr2bl w:val="nil"/>
                  </w:tcBorders>
                  <w:vAlign w:val="center"/>
                </w:tcPr>
                <w:p w14:paraId="2D576DA5">
                  <w:pPr>
                    <w:pStyle w:val="58"/>
                    <w:keepNext w:val="0"/>
                    <w:keepLines w:val="0"/>
                    <w:widowControl/>
                    <w:suppressLineNumbers w:val="0"/>
                    <w:spacing w:before="0" w:beforeAutospacing="0" w:after="0" w:afterAutospacing="0"/>
                    <w:ind w:left="0" w:right="0"/>
                    <w:jc w:val="center"/>
                    <w:rPr>
                      <w:rFonts w:hint="default"/>
                      <w:b/>
                      <w:bCs/>
                      <w:color w:val="auto"/>
                      <w:szCs w:val="20"/>
                      <w:highlight w:val="none"/>
                    </w:rPr>
                  </w:pPr>
                  <w:r>
                    <w:rPr>
                      <w:rFonts w:hint="eastAsia"/>
                      <w:b/>
                      <w:bCs/>
                      <w:color w:val="auto"/>
                      <w:szCs w:val="20"/>
                      <w:highlight w:val="none"/>
                    </w:rPr>
                    <w:t>项目组成</w:t>
                  </w:r>
                </w:p>
              </w:tc>
              <w:tc>
                <w:tcPr>
                  <w:tcW w:w="3691" w:type="pct"/>
                  <w:tcBorders>
                    <w:tl2br w:val="nil"/>
                    <w:tr2bl w:val="nil"/>
                  </w:tcBorders>
                  <w:vAlign w:val="center"/>
                </w:tcPr>
                <w:p w14:paraId="4D38CE07">
                  <w:pPr>
                    <w:pStyle w:val="58"/>
                    <w:keepNext w:val="0"/>
                    <w:keepLines w:val="0"/>
                    <w:widowControl/>
                    <w:suppressLineNumbers w:val="0"/>
                    <w:spacing w:before="0" w:beforeAutospacing="0" w:after="0" w:afterAutospacing="0"/>
                    <w:ind w:left="0" w:right="0"/>
                    <w:jc w:val="center"/>
                    <w:rPr>
                      <w:rFonts w:hint="eastAsia" w:eastAsia="宋体"/>
                      <w:b/>
                      <w:bCs/>
                      <w:color w:val="auto"/>
                      <w:szCs w:val="20"/>
                      <w:highlight w:val="none"/>
                      <w:lang w:val="en-US" w:eastAsia="zh-CN"/>
                    </w:rPr>
                  </w:pPr>
                  <w:r>
                    <w:rPr>
                      <w:rFonts w:hint="eastAsia"/>
                      <w:b/>
                      <w:bCs/>
                      <w:color w:val="auto"/>
                      <w:szCs w:val="20"/>
                      <w:highlight w:val="none"/>
                      <w:lang w:val="en-US" w:eastAsia="zh-CN"/>
                    </w:rPr>
                    <w:t>项目内容</w:t>
                  </w:r>
                </w:p>
              </w:tc>
            </w:tr>
            <w:tr w14:paraId="06EF3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424" w:type="pct"/>
                  <w:vMerge w:val="restart"/>
                  <w:tcBorders>
                    <w:tl2br w:val="nil"/>
                    <w:tr2bl w:val="nil"/>
                  </w:tcBorders>
                  <w:vAlign w:val="center"/>
                </w:tcPr>
                <w:p w14:paraId="4FFD7707">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主体工程</w:t>
                  </w:r>
                </w:p>
              </w:tc>
              <w:tc>
                <w:tcPr>
                  <w:tcW w:w="884" w:type="pct"/>
                  <w:tcBorders>
                    <w:tl2br w:val="nil"/>
                    <w:tr2bl w:val="nil"/>
                  </w:tcBorders>
                  <w:vAlign w:val="center"/>
                </w:tcPr>
                <w:p w14:paraId="1C6DCB7B">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净化系统</w:t>
                  </w:r>
                </w:p>
              </w:tc>
              <w:tc>
                <w:tcPr>
                  <w:tcW w:w="3691" w:type="pct"/>
                  <w:tcBorders>
                    <w:tl2br w:val="nil"/>
                    <w:tr2bl w:val="nil"/>
                  </w:tcBorders>
                  <w:vAlign w:val="center"/>
                </w:tcPr>
                <w:p w14:paraId="4CA6A35A">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全厂建设有2套净化系统，包括脱酸塔工艺为MDEA</w:t>
                  </w:r>
                  <w:r>
                    <w:rPr>
                      <w:rFonts w:hint="eastAsia" w:ascii="宋体" w:hAnsi="宋体"/>
                      <w:color w:val="auto"/>
                      <w:szCs w:val="20"/>
                      <w:highlight w:val="none"/>
                    </w:rPr>
                    <w:t>溶液脱</w:t>
                  </w:r>
                  <w:r>
                    <w:rPr>
                      <w:rFonts w:hint="eastAsia"/>
                      <w:color w:val="auto"/>
                      <w:szCs w:val="20"/>
                      <w:highlight w:val="none"/>
                    </w:rPr>
                    <w:t>CO</w:t>
                  </w:r>
                  <w:r>
                    <w:rPr>
                      <w:rFonts w:hint="eastAsia"/>
                      <w:color w:val="auto"/>
                      <w:szCs w:val="20"/>
                      <w:highlight w:val="none"/>
                      <w:vertAlign w:val="subscript"/>
                    </w:rPr>
                    <w:t>2</w:t>
                  </w:r>
                  <w:r>
                    <w:rPr>
                      <w:rFonts w:hint="eastAsia"/>
                      <w:color w:val="auto"/>
                      <w:szCs w:val="20"/>
                      <w:highlight w:val="none"/>
                    </w:rPr>
                    <w:t>，脱硫脱汞系统工艺为活性炭吸附，脱水环节采用分子筛过滤。</w:t>
                  </w:r>
                </w:p>
              </w:tc>
            </w:tr>
            <w:tr w14:paraId="43210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424" w:type="pct"/>
                  <w:vMerge w:val="continue"/>
                  <w:tcBorders>
                    <w:tl2br w:val="nil"/>
                    <w:tr2bl w:val="nil"/>
                  </w:tcBorders>
                  <w:vAlign w:val="center"/>
                </w:tcPr>
                <w:p w14:paraId="67423CD6">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2A58523A">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液化系统</w:t>
                  </w:r>
                </w:p>
              </w:tc>
              <w:tc>
                <w:tcPr>
                  <w:tcW w:w="3691" w:type="pct"/>
                  <w:tcBorders>
                    <w:tl2br w:val="nil"/>
                    <w:tr2bl w:val="nil"/>
                  </w:tcBorders>
                  <w:vAlign w:val="center"/>
                </w:tcPr>
                <w:p w14:paraId="662F443C">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default"/>
                      <w:color w:val="auto"/>
                      <w:szCs w:val="20"/>
                      <w:highlight w:val="none"/>
                    </w:rPr>
                    <w:t>项目建设有</w:t>
                  </w:r>
                  <w:r>
                    <w:rPr>
                      <w:rFonts w:hint="eastAsia"/>
                      <w:color w:val="auto"/>
                      <w:szCs w:val="20"/>
                      <w:highlight w:val="none"/>
                    </w:rPr>
                    <w:t>两</w:t>
                  </w:r>
                  <w:r>
                    <w:rPr>
                      <w:rFonts w:hint="default"/>
                      <w:color w:val="auto"/>
                      <w:szCs w:val="20"/>
                      <w:highlight w:val="none"/>
                    </w:rPr>
                    <w:t>套</w:t>
                  </w:r>
                  <w:r>
                    <w:rPr>
                      <w:rFonts w:hint="eastAsia"/>
                      <w:color w:val="auto"/>
                      <w:szCs w:val="20"/>
                      <w:highlight w:val="none"/>
                    </w:rPr>
                    <w:t>液化系统，经冷剂压缩机制冷将天然气液化。混合制冷剂包括</w:t>
                  </w:r>
                  <w:r>
                    <w:rPr>
                      <w:rFonts w:hint="eastAsia"/>
                      <w:color w:val="auto"/>
                      <w:szCs w:val="20"/>
                      <w:highlight w:val="none"/>
                      <w:lang w:val="en-US" w:eastAsia="zh-CN"/>
                    </w:rPr>
                    <w:t>甲烷、</w:t>
                  </w:r>
                  <w:r>
                    <w:rPr>
                      <w:rFonts w:hint="eastAsia"/>
                      <w:color w:val="auto"/>
                      <w:szCs w:val="20"/>
                      <w:highlight w:val="none"/>
                    </w:rPr>
                    <w:t>乙烯、丙烷、异戊烷、</w:t>
                  </w:r>
                  <w:r>
                    <w:rPr>
                      <w:rFonts w:hint="eastAsia"/>
                      <w:color w:val="auto"/>
                      <w:szCs w:val="20"/>
                      <w:highlight w:val="none"/>
                      <w:lang w:val="en-US" w:eastAsia="zh-CN"/>
                    </w:rPr>
                    <w:t>氮气</w:t>
                  </w:r>
                  <w:r>
                    <w:rPr>
                      <w:rFonts w:hint="eastAsia"/>
                      <w:color w:val="auto"/>
                      <w:szCs w:val="20"/>
                      <w:highlight w:val="none"/>
                    </w:rPr>
                    <w:t>。</w:t>
                  </w:r>
                </w:p>
              </w:tc>
            </w:tr>
            <w:tr w14:paraId="62C10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424" w:type="pct"/>
                  <w:vMerge w:val="continue"/>
                  <w:tcBorders>
                    <w:tl2br w:val="nil"/>
                    <w:tr2bl w:val="nil"/>
                  </w:tcBorders>
                  <w:vAlign w:val="center"/>
                </w:tcPr>
                <w:p w14:paraId="39704BAA">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55215683">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储存系统</w:t>
                  </w:r>
                </w:p>
              </w:tc>
              <w:tc>
                <w:tcPr>
                  <w:tcW w:w="3691" w:type="pct"/>
                  <w:tcBorders>
                    <w:tl2br w:val="nil"/>
                    <w:tr2bl w:val="nil"/>
                  </w:tcBorders>
                  <w:vAlign w:val="center"/>
                </w:tcPr>
                <w:p w14:paraId="77D6EE5F">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default"/>
                      <w:color w:val="auto"/>
                      <w:szCs w:val="20"/>
                      <w:highlight w:val="none"/>
                    </w:rPr>
                    <w:t>项目建设有</w:t>
                  </w:r>
                  <w:r>
                    <w:rPr>
                      <w:rFonts w:hint="eastAsia"/>
                      <w:color w:val="auto"/>
                      <w:szCs w:val="20"/>
                      <w:highlight w:val="none"/>
                    </w:rPr>
                    <w:t>两</w:t>
                  </w:r>
                  <w:r>
                    <w:rPr>
                      <w:rFonts w:hint="default"/>
                      <w:color w:val="auto"/>
                      <w:szCs w:val="20"/>
                      <w:highlight w:val="none"/>
                    </w:rPr>
                    <w:t>套</w:t>
                  </w:r>
                  <w:r>
                    <w:rPr>
                      <w:rFonts w:hint="eastAsia"/>
                      <w:color w:val="auto"/>
                      <w:szCs w:val="20"/>
                      <w:highlight w:val="none"/>
                    </w:rPr>
                    <w:t>存储系统，包括LNG储罐以及混合制冷剂储罐，包括乙烯储罐、液氮储罐、丙烷储罐、异戊烷储罐。</w:t>
                  </w:r>
                </w:p>
              </w:tc>
            </w:tr>
            <w:tr w14:paraId="77F646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pct"/>
                  <w:vMerge w:val="continue"/>
                  <w:tcBorders>
                    <w:tl2br w:val="nil"/>
                    <w:tr2bl w:val="nil"/>
                  </w:tcBorders>
                  <w:vAlign w:val="center"/>
                </w:tcPr>
                <w:p w14:paraId="7EBD035C">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1582AC94">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lang w:val="en-US" w:eastAsia="zh-CN"/>
                    </w:rPr>
                    <w:t>加热</w:t>
                  </w:r>
                  <w:r>
                    <w:rPr>
                      <w:rFonts w:hint="eastAsia"/>
                      <w:color w:val="auto"/>
                      <w:szCs w:val="20"/>
                      <w:highlight w:val="none"/>
                    </w:rPr>
                    <w:t>炉</w:t>
                  </w:r>
                </w:p>
              </w:tc>
              <w:tc>
                <w:tcPr>
                  <w:tcW w:w="3691" w:type="pct"/>
                  <w:tcBorders>
                    <w:tl2br w:val="nil"/>
                    <w:tr2bl w:val="nil"/>
                  </w:tcBorders>
                  <w:vAlign w:val="center"/>
                </w:tcPr>
                <w:p w14:paraId="5E17F0AB">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default"/>
                      <w:color w:val="auto"/>
                      <w:szCs w:val="20"/>
                      <w:highlight w:val="none"/>
                    </w:rPr>
                    <w:t>项目建设有</w:t>
                  </w:r>
                  <w:r>
                    <w:rPr>
                      <w:rFonts w:hint="eastAsia"/>
                      <w:color w:val="auto"/>
                      <w:szCs w:val="20"/>
                      <w:highlight w:val="none"/>
                      <w:lang w:val="en-US" w:eastAsia="zh-CN"/>
                    </w:rPr>
                    <w:t>一</w:t>
                  </w:r>
                  <w:r>
                    <w:rPr>
                      <w:rFonts w:hint="default"/>
                      <w:color w:val="auto"/>
                      <w:szCs w:val="20"/>
                      <w:highlight w:val="none"/>
                    </w:rPr>
                    <w:t>套</w:t>
                  </w:r>
                  <w:r>
                    <w:rPr>
                      <w:rFonts w:hint="eastAsia"/>
                      <w:color w:val="auto"/>
                      <w:szCs w:val="20"/>
                      <w:highlight w:val="none"/>
                      <w:lang w:val="en-US" w:eastAsia="zh-CN"/>
                    </w:rPr>
                    <w:t>天然气加热炉</w:t>
                  </w:r>
                  <w:r>
                    <w:rPr>
                      <w:rFonts w:hint="eastAsia"/>
                      <w:color w:val="auto"/>
                      <w:szCs w:val="20"/>
                      <w:highlight w:val="none"/>
                    </w:rPr>
                    <w:t>，</w:t>
                  </w:r>
                  <w:r>
                    <w:rPr>
                      <w:rFonts w:hint="eastAsia"/>
                      <w:color w:val="auto"/>
                      <w:szCs w:val="20"/>
                      <w:highlight w:val="none"/>
                      <w:lang w:val="en-US" w:eastAsia="zh-CN"/>
                    </w:rPr>
                    <w:t>用来干燥分子筛</w:t>
                  </w:r>
                  <w:r>
                    <w:rPr>
                      <w:rFonts w:hint="eastAsia"/>
                      <w:color w:val="auto"/>
                      <w:szCs w:val="20"/>
                      <w:highlight w:val="none"/>
                    </w:rPr>
                    <w:t>，废气经</w:t>
                  </w:r>
                  <w:r>
                    <w:rPr>
                      <w:rFonts w:hint="eastAsia"/>
                      <w:color w:val="auto"/>
                      <w:szCs w:val="20"/>
                      <w:highlight w:val="none"/>
                      <w:lang w:val="en-US" w:eastAsia="zh-CN"/>
                    </w:rPr>
                    <w:t>烟囱</w:t>
                  </w:r>
                  <w:r>
                    <w:rPr>
                      <w:rFonts w:hint="eastAsia"/>
                      <w:color w:val="auto"/>
                      <w:szCs w:val="20"/>
                      <w:highlight w:val="none"/>
                    </w:rPr>
                    <w:t>排放</w:t>
                  </w:r>
                </w:p>
              </w:tc>
            </w:tr>
            <w:tr w14:paraId="18D83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pct"/>
                  <w:vMerge w:val="restart"/>
                  <w:tcBorders>
                    <w:tl2br w:val="nil"/>
                    <w:tr2bl w:val="nil"/>
                  </w:tcBorders>
                  <w:vAlign w:val="center"/>
                </w:tcPr>
                <w:p w14:paraId="0FABA780">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依托工程</w:t>
                  </w:r>
                </w:p>
              </w:tc>
              <w:tc>
                <w:tcPr>
                  <w:tcW w:w="884" w:type="pct"/>
                  <w:tcBorders>
                    <w:tl2br w:val="nil"/>
                    <w:tr2bl w:val="nil"/>
                  </w:tcBorders>
                  <w:vAlign w:val="center"/>
                </w:tcPr>
                <w:p w14:paraId="5571E78D">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供水系统</w:t>
                  </w:r>
                </w:p>
              </w:tc>
              <w:tc>
                <w:tcPr>
                  <w:tcW w:w="3691" w:type="pct"/>
                  <w:tcBorders>
                    <w:tl2br w:val="nil"/>
                    <w:tr2bl w:val="nil"/>
                  </w:tcBorders>
                  <w:vAlign w:val="center"/>
                </w:tcPr>
                <w:p w14:paraId="6A089518">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default"/>
                      <w:color w:val="auto"/>
                      <w:szCs w:val="20"/>
                      <w:highlight w:val="none"/>
                    </w:rPr>
                    <w:t>项目</w:t>
                  </w:r>
                  <w:r>
                    <w:rPr>
                      <w:rFonts w:hint="eastAsia"/>
                      <w:color w:val="auto"/>
                      <w:szCs w:val="20"/>
                      <w:highlight w:val="none"/>
                    </w:rPr>
                    <w:t>生活用水依托当地自来水管网</w:t>
                  </w:r>
                </w:p>
              </w:tc>
            </w:tr>
            <w:tr w14:paraId="6E6CC7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l2br w:val="nil"/>
                    <w:tr2bl w:val="nil"/>
                  </w:tcBorders>
                  <w:vAlign w:val="center"/>
                </w:tcPr>
                <w:p w14:paraId="6752D67A">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43CCF911">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供电系统</w:t>
                  </w:r>
                </w:p>
              </w:tc>
              <w:tc>
                <w:tcPr>
                  <w:tcW w:w="3691" w:type="pct"/>
                  <w:tcBorders>
                    <w:tl2br w:val="nil"/>
                    <w:tr2bl w:val="nil"/>
                  </w:tcBorders>
                  <w:vAlign w:val="center"/>
                </w:tcPr>
                <w:p w14:paraId="6021BC71">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default"/>
                      <w:color w:val="auto"/>
                      <w:szCs w:val="20"/>
                      <w:highlight w:val="none"/>
                    </w:rPr>
                    <w:t>项目</w:t>
                  </w:r>
                  <w:r>
                    <w:rPr>
                      <w:rFonts w:hint="eastAsia"/>
                      <w:color w:val="auto"/>
                      <w:szCs w:val="20"/>
                      <w:highlight w:val="none"/>
                    </w:rPr>
                    <w:t>依托园区供电系统供电</w:t>
                  </w:r>
                </w:p>
              </w:tc>
            </w:tr>
            <w:tr w14:paraId="44D76E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l2br w:val="nil"/>
                    <w:tr2bl w:val="nil"/>
                  </w:tcBorders>
                  <w:vAlign w:val="center"/>
                </w:tcPr>
                <w:p w14:paraId="400F77B4">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3E4B00B9">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原料天然气供天然气系统</w:t>
                  </w:r>
                </w:p>
              </w:tc>
              <w:tc>
                <w:tcPr>
                  <w:tcW w:w="3691" w:type="pct"/>
                  <w:tcBorders>
                    <w:tl2br w:val="nil"/>
                    <w:tr2bl w:val="nil"/>
                  </w:tcBorders>
                  <w:vAlign w:val="center"/>
                </w:tcPr>
                <w:p w14:paraId="1B90CD21">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default"/>
                      <w:color w:val="auto"/>
                      <w:szCs w:val="20"/>
                      <w:highlight w:val="none"/>
                    </w:rPr>
                    <w:t>项目</w:t>
                  </w:r>
                  <w:r>
                    <w:rPr>
                      <w:rFonts w:hint="eastAsia"/>
                      <w:color w:val="auto"/>
                      <w:szCs w:val="20"/>
                      <w:highlight w:val="none"/>
                    </w:rPr>
                    <w:t>建设一套原料天然气供气系统，采用管道供气</w:t>
                  </w:r>
                </w:p>
              </w:tc>
            </w:tr>
            <w:tr w14:paraId="5D1E8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l2br w:val="nil"/>
                    <w:tr2bl w:val="nil"/>
                  </w:tcBorders>
                  <w:vAlign w:val="center"/>
                </w:tcPr>
                <w:p w14:paraId="0C28222A">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7C5BE857">
                  <w:pPr>
                    <w:pStyle w:val="58"/>
                    <w:keepNext w:val="0"/>
                    <w:keepLines w:val="0"/>
                    <w:widowControl/>
                    <w:suppressLineNumbers w:val="0"/>
                    <w:spacing w:before="0" w:beforeAutospacing="0" w:after="0" w:afterAutospacing="0"/>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供暖系统</w:t>
                  </w:r>
                </w:p>
              </w:tc>
              <w:tc>
                <w:tcPr>
                  <w:tcW w:w="3691" w:type="pct"/>
                  <w:tcBorders>
                    <w:tl2br w:val="nil"/>
                    <w:tr2bl w:val="nil"/>
                  </w:tcBorders>
                  <w:vAlign w:val="center"/>
                </w:tcPr>
                <w:p w14:paraId="7CF3CC0A">
                  <w:pPr>
                    <w:pStyle w:val="58"/>
                    <w:keepNext w:val="0"/>
                    <w:keepLines w:val="0"/>
                    <w:widowControl/>
                    <w:suppressLineNumbers w:val="0"/>
                    <w:spacing w:before="0" w:beforeAutospacing="0" w:after="0" w:afterAutospacing="0"/>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供暖利用蒸汽换热</w:t>
                  </w:r>
                </w:p>
              </w:tc>
            </w:tr>
            <w:tr w14:paraId="05919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4" w:type="pct"/>
                  <w:vMerge w:val="restart"/>
                  <w:tcBorders>
                    <w:tl2br w:val="nil"/>
                    <w:tr2bl w:val="nil"/>
                  </w:tcBorders>
                  <w:vAlign w:val="center"/>
                </w:tcPr>
                <w:p w14:paraId="69C53063">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公辅工程</w:t>
                  </w:r>
                </w:p>
              </w:tc>
              <w:tc>
                <w:tcPr>
                  <w:tcW w:w="884" w:type="pct"/>
                  <w:tcBorders>
                    <w:tl2br w:val="nil"/>
                    <w:tr2bl w:val="nil"/>
                  </w:tcBorders>
                  <w:vAlign w:val="center"/>
                </w:tcPr>
                <w:p w14:paraId="0289E2E0">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氮气系统</w:t>
                  </w:r>
                </w:p>
              </w:tc>
              <w:tc>
                <w:tcPr>
                  <w:tcW w:w="3691" w:type="pct"/>
                  <w:tcBorders>
                    <w:tl2br w:val="nil"/>
                    <w:tr2bl w:val="nil"/>
                  </w:tcBorders>
                  <w:vAlign w:val="center"/>
                </w:tcPr>
                <w:p w14:paraId="0C6CA484">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建设有2套制氮系统，包括150N</w:t>
                  </w:r>
                  <w:r>
                    <w:rPr>
                      <w:rFonts w:hint="default"/>
                      <w:color w:val="auto"/>
                      <w:szCs w:val="20"/>
                      <w:highlight w:val="none"/>
                    </w:rPr>
                    <w:t>m³</w:t>
                  </w:r>
                  <w:r>
                    <w:rPr>
                      <w:rFonts w:hint="eastAsia"/>
                      <w:color w:val="auto"/>
                      <w:szCs w:val="20"/>
                      <w:highlight w:val="none"/>
                    </w:rPr>
                    <w:t>/hPSA</w:t>
                  </w:r>
                  <w:r>
                    <w:rPr>
                      <w:rFonts w:hint="eastAsia" w:ascii="宋体" w:hAnsi="宋体"/>
                      <w:color w:val="auto"/>
                      <w:szCs w:val="20"/>
                      <w:highlight w:val="none"/>
                    </w:rPr>
                    <w:t>制氮</w:t>
                  </w:r>
                  <w:r>
                    <w:rPr>
                      <w:rFonts w:hint="eastAsia"/>
                      <w:color w:val="auto"/>
                      <w:szCs w:val="20"/>
                      <w:highlight w:val="none"/>
                    </w:rPr>
                    <w:t>机、</w:t>
                  </w:r>
                  <w:r>
                    <w:rPr>
                      <w:rFonts w:hint="eastAsia"/>
                      <w:color w:val="auto"/>
                      <w:szCs w:val="20"/>
                      <w:highlight w:val="none"/>
                      <w:lang w:val="en-US" w:eastAsia="zh-CN"/>
                    </w:rPr>
                    <w:t>液氮储罐、</w:t>
                  </w:r>
                  <w:r>
                    <w:rPr>
                      <w:rFonts w:hint="eastAsia"/>
                      <w:color w:val="auto"/>
                      <w:szCs w:val="20"/>
                      <w:highlight w:val="none"/>
                    </w:rPr>
                    <w:t>液氮汽化器，</w:t>
                  </w:r>
                  <w:r>
                    <w:rPr>
                      <w:rFonts w:hint="eastAsia"/>
                      <w:color w:val="auto"/>
                      <w:szCs w:val="20"/>
                      <w:highlight w:val="none"/>
                      <w:lang w:val="en-US" w:eastAsia="zh-CN"/>
                    </w:rPr>
                    <w:t>液氮气化</w:t>
                  </w:r>
                  <w:r>
                    <w:rPr>
                      <w:rFonts w:hint="eastAsia"/>
                      <w:color w:val="auto"/>
                      <w:szCs w:val="20"/>
                      <w:highlight w:val="none"/>
                    </w:rPr>
                    <w:t>后的氮</w:t>
                  </w:r>
                  <w:r>
                    <w:rPr>
                      <w:rFonts w:hint="eastAsia"/>
                      <w:color w:val="auto"/>
                      <w:szCs w:val="20"/>
                      <w:highlight w:val="none"/>
                      <w:lang w:val="en-US" w:eastAsia="zh-CN"/>
                    </w:rPr>
                    <w:t>气</w:t>
                  </w:r>
                  <w:r>
                    <w:rPr>
                      <w:rFonts w:hint="eastAsia"/>
                      <w:color w:val="auto"/>
                      <w:szCs w:val="20"/>
                      <w:highlight w:val="none"/>
                    </w:rPr>
                    <w:t>直接使用，液氮储罐</w:t>
                  </w:r>
                  <w:r>
                    <w:rPr>
                      <w:rFonts w:hint="eastAsia"/>
                      <w:color w:val="auto"/>
                      <w:szCs w:val="20"/>
                      <w:highlight w:val="none"/>
                      <w:lang w:val="en-US" w:eastAsia="zh-CN"/>
                    </w:rPr>
                    <w:t>液氮</w:t>
                  </w:r>
                  <w:r>
                    <w:rPr>
                      <w:rFonts w:hint="eastAsia"/>
                      <w:color w:val="auto"/>
                      <w:szCs w:val="20"/>
                      <w:highlight w:val="none"/>
                    </w:rPr>
                    <w:t>备用</w:t>
                  </w:r>
                </w:p>
              </w:tc>
            </w:tr>
            <w:tr w14:paraId="6BA28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l2br w:val="nil"/>
                    <w:tr2bl w:val="nil"/>
                  </w:tcBorders>
                  <w:vAlign w:val="center"/>
                </w:tcPr>
                <w:p w14:paraId="20A140D6">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5977BA19">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软化水系统</w:t>
                  </w:r>
                </w:p>
              </w:tc>
              <w:tc>
                <w:tcPr>
                  <w:tcW w:w="3691" w:type="pct"/>
                  <w:tcBorders>
                    <w:tl2br w:val="nil"/>
                    <w:tr2bl w:val="nil"/>
                  </w:tcBorders>
                  <w:vAlign w:val="center"/>
                </w:tcPr>
                <w:p w14:paraId="60274303">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为保证循环水质量，循环水采用软化水。产水能力为</w:t>
                  </w:r>
                  <w:r>
                    <w:rPr>
                      <w:rFonts w:hint="eastAsia"/>
                      <w:color w:val="auto"/>
                      <w:szCs w:val="20"/>
                      <w:highlight w:val="none"/>
                      <w:lang w:val="en-US" w:eastAsia="zh-CN"/>
                    </w:rPr>
                    <w:t>21</w:t>
                  </w:r>
                  <w:r>
                    <w:rPr>
                      <w:rFonts w:hint="eastAsia"/>
                      <w:color w:val="auto"/>
                      <w:szCs w:val="20"/>
                      <w:highlight w:val="none"/>
                    </w:rPr>
                    <w:t>t/h</w:t>
                  </w:r>
                  <w:r>
                    <w:rPr>
                      <w:rFonts w:hint="eastAsia" w:ascii="宋体" w:hAnsi="宋体"/>
                      <w:color w:val="auto"/>
                      <w:szCs w:val="20"/>
                      <w:highlight w:val="none"/>
                    </w:rPr>
                    <w:t>。水源为</w:t>
                  </w:r>
                  <w:r>
                    <w:rPr>
                      <w:rFonts w:hint="eastAsia" w:ascii="宋体" w:hAnsi="宋体"/>
                      <w:color w:val="auto"/>
                      <w:szCs w:val="20"/>
                      <w:highlight w:val="none"/>
                      <w:lang w:val="en-US" w:eastAsia="zh-CN"/>
                    </w:rPr>
                    <w:t>自来水</w:t>
                  </w:r>
                  <w:r>
                    <w:rPr>
                      <w:rFonts w:hint="eastAsia" w:ascii="宋体" w:hAnsi="宋体"/>
                      <w:color w:val="auto"/>
                      <w:szCs w:val="20"/>
                      <w:highlight w:val="none"/>
                    </w:rPr>
                    <w:t>，采用二级反渗透的方法处理。</w:t>
                  </w:r>
                </w:p>
              </w:tc>
            </w:tr>
            <w:tr w14:paraId="48C7C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424" w:type="pct"/>
                  <w:vMerge w:val="continue"/>
                  <w:tcBorders>
                    <w:tl2br w:val="nil"/>
                    <w:tr2bl w:val="nil"/>
                  </w:tcBorders>
                  <w:vAlign w:val="center"/>
                </w:tcPr>
                <w:p w14:paraId="1B998C32">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4010ADBF">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火炬及燃烧放散系统</w:t>
                  </w:r>
                </w:p>
              </w:tc>
              <w:tc>
                <w:tcPr>
                  <w:tcW w:w="3691" w:type="pct"/>
                  <w:tcBorders>
                    <w:tl2br w:val="nil"/>
                    <w:tr2bl w:val="nil"/>
                  </w:tcBorders>
                  <w:vAlign w:val="center"/>
                </w:tcPr>
                <w:p w14:paraId="31379BEF">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项目建设有一套火炬及燃烧放散系统，为</w:t>
                  </w:r>
                  <w:r>
                    <w:rPr>
                      <w:rFonts w:hint="default"/>
                      <w:color w:val="auto"/>
                      <w:szCs w:val="20"/>
                      <w:highlight w:val="none"/>
                    </w:rPr>
                    <w:t>Φ</w:t>
                  </w:r>
                  <w:r>
                    <w:rPr>
                      <w:rFonts w:hint="eastAsia"/>
                      <w:color w:val="auto"/>
                      <w:szCs w:val="20"/>
                      <w:highlight w:val="none"/>
                    </w:rPr>
                    <w:t>2</w:t>
                  </w:r>
                  <w:r>
                    <w:rPr>
                      <w:rFonts w:hint="eastAsia"/>
                      <w:color w:val="auto"/>
                      <w:szCs w:val="20"/>
                      <w:highlight w:val="none"/>
                      <w:lang w:val="en-US" w:eastAsia="zh-CN"/>
                    </w:rPr>
                    <w:t>50</w:t>
                  </w:r>
                  <w:r>
                    <w:rPr>
                      <w:rFonts w:hint="default"/>
                      <w:color w:val="auto"/>
                      <w:szCs w:val="20"/>
                      <w:highlight w:val="none"/>
                    </w:rPr>
                    <w:t>×</w:t>
                  </w:r>
                  <w:r>
                    <w:rPr>
                      <w:rFonts w:hint="eastAsia"/>
                      <w:color w:val="auto"/>
                      <w:szCs w:val="20"/>
                      <w:highlight w:val="none"/>
                    </w:rPr>
                    <w:t>8</w:t>
                  </w:r>
                  <w:r>
                    <w:rPr>
                      <w:rFonts w:hint="eastAsia" w:ascii="宋体" w:hAnsi="宋体"/>
                      <w:color w:val="auto"/>
                      <w:szCs w:val="20"/>
                      <w:highlight w:val="none"/>
                    </w:rPr>
                    <w:t>，</w:t>
                  </w:r>
                  <w:r>
                    <w:rPr>
                      <w:rFonts w:hint="eastAsia"/>
                      <w:color w:val="auto"/>
                      <w:szCs w:val="20"/>
                      <w:highlight w:val="none"/>
                    </w:rPr>
                    <w:t>H=</w:t>
                  </w:r>
                  <w:r>
                    <w:rPr>
                      <w:rFonts w:hint="eastAsia"/>
                      <w:color w:val="auto"/>
                      <w:szCs w:val="20"/>
                      <w:highlight w:val="none"/>
                      <w:lang w:val="en-US" w:eastAsia="zh-CN"/>
                    </w:rPr>
                    <w:t>21.4</w:t>
                  </w:r>
                  <w:r>
                    <w:rPr>
                      <w:rFonts w:hint="eastAsia"/>
                      <w:color w:val="auto"/>
                      <w:szCs w:val="20"/>
                      <w:highlight w:val="none"/>
                    </w:rPr>
                    <w:t>m</w:t>
                  </w:r>
                </w:p>
              </w:tc>
            </w:tr>
            <w:tr w14:paraId="6A9BA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l2br w:val="nil"/>
                    <w:tr2bl w:val="nil"/>
                  </w:tcBorders>
                  <w:vAlign w:val="center"/>
                </w:tcPr>
                <w:p w14:paraId="529D2BDD">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4A372E18">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消防系统</w:t>
                  </w:r>
                </w:p>
              </w:tc>
              <w:tc>
                <w:tcPr>
                  <w:tcW w:w="3691" w:type="pct"/>
                  <w:tcBorders>
                    <w:tl2br w:val="nil"/>
                    <w:tr2bl w:val="nil"/>
                  </w:tcBorders>
                  <w:vAlign w:val="center"/>
                </w:tcPr>
                <w:p w14:paraId="18163928">
                  <w:pPr>
                    <w:pStyle w:val="58"/>
                    <w:keepNext w:val="0"/>
                    <w:keepLines w:val="0"/>
                    <w:widowControl/>
                    <w:suppressLineNumbers w:val="0"/>
                    <w:spacing w:before="0" w:beforeAutospacing="0" w:after="0" w:afterAutospacing="0"/>
                    <w:ind w:left="0" w:right="0"/>
                    <w:jc w:val="center"/>
                    <w:rPr>
                      <w:rFonts w:hint="default" w:eastAsia="宋体"/>
                      <w:color w:val="auto"/>
                      <w:szCs w:val="20"/>
                      <w:highlight w:val="none"/>
                      <w:lang w:val="en-US" w:eastAsia="zh-CN"/>
                    </w:rPr>
                  </w:pPr>
                  <w:r>
                    <w:rPr>
                      <w:rFonts w:hint="default"/>
                      <w:color w:val="auto"/>
                      <w:szCs w:val="20"/>
                      <w:highlight w:val="none"/>
                    </w:rPr>
                    <w:t>建设有一套</w:t>
                  </w:r>
                  <w:r>
                    <w:rPr>
                      <w:rFonts w:hint="eastAsia"/>
                      <w:color w:val="auto"/>
                      <w:szCs w:val="20"/>
                      <w:highlight w:val="none"/>
                    </w:rPr>
                    <w:t>消防系统，包括消防水</w:t>
                  </w:r>
                  <w:r>
                    <w:rPr>
                      <w:rFonts w:hint="eastAsia"/>
                      <w:color w:val="auto"/>
                      <w:szCs w:val="20"/>
                      <w:highlight w:val="none"/>
                      <w:lang w:val="en-US" w:eastAsia="zh-CN"/>
                    </w:rPr>
                    <w:t>池</w:t>
                  </w:r>
                  <w:r>
                    <w:rPr>
                      <w:rFonts w:hint="eastAsia"/>
                      <w:color w:val="auto"/>
                      <w:szCs w:val="20"/>
                      <w:highlight w:val="none"/>
                    </w:rPr>
                    <w:t>和消防泵房，内设两台柴油</w:t>
                  </w:r>
                  <w:r>
                    <w:rPr>
                      <w:rFonts w:hint="eastAsia"/>
                      <w:color w:val="auto"/>
                      <w:szCs w:val="20"/>
                      <w:highlight w:val="none"/>
                      <w:lang w:val="en-US" w:eastAsia="zh-CN"/>
                    </w:rPr>
                    <w:t>水泵和一台高压电泵</w:t>
                  </w:r>
                  <w:r>
                    <w:rPr>
                      <w:rFonts w:hint="eastAsia"/>
                      <w:color w:val="auto"/>
                      <w:szCs w:val="20"/>
                      <w:highlight w:val="none"/>
                    </w:rPr>
                    <w:t>，防止火灾时电力供应出现问题无法供水，</w:t>
                  </w:r>
                  <w:r>
                    <w:rPr>
                      <w:rFonts w:hint="eastAsia"/>
                      <w:color w:val="auto"/>
                      <w:szCs w:val="20"/>
                      <w:highlight w:val="none"/>
                      <w:lang w:val="en-US" w:eastAsia="zh-CN"/>
                    </w:rPr>
                    <w:t>两</w:t>
                  </w:r>
                  <w:r>
                    <w:rPr>
                      <w:rFonts w:hint="eastAsia"/>
                      <w:color w:val="auto"/>
                      <w:szCs w:val="20"/>
                      <w:highlight w:val="none"/>
                    </w:rPr>
                    <w:t>台</w:t>
                  </w:r>
                  <w:r>
                    <w:rPr>
                      <w:rFonts w:hint="eastAsia"/>
                      <w:color w:val="auto"/>
                      <w:szCs w:val="20"/>
                      <w:highlight w:val="none"/>
                      <w:lang w:val="en-US" w:eastAsia="zh-CN"/>
                    </w:rPr>
                    <w:t>稳压泵保证消防系统稳压。</w:t>
                  </w:r>
                </w:p>
              </w:tc>
            </w:tr>
            <w:tr w14:paraId="7F9A2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l2br w:val="nil"/>
                    <w:tr2bl w:val="nil"/>
                  </w:tcBorders>
                  <w:vAlign w:val="center"/>
                </w:tcPr>
                <w:p w14:paraId="35E08F9B">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057FC407">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生活供热</w:t>
                  </w:r>
                </w:p>
              </w:tc>
              <w:tc>
                <w:tcPr>
                  <w:tcW w:w="3691" w:type="pct"/>
                  <w:tcBorders>
                    <w:tl2br w:val="nil"/>
                    <w:tr2bl w:val="nil"/>
                  </w:tcBorders>
                  <w:vAlign w:val="center"/>
                </w:tcPr>
                <w:p w14:paraId="60E4E9EE">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建设有</w:t>
                  </w:r>
                  <w:r>
                    <w:rPr>
                      <w:rFonts w:hint="eastAsia"/>
                      <w:color w:val="auto"/>
                      <w:szCs w:val="20"/>
                      <w:highlight w:val="none"/>
                      <w:lang w:val="en-US" w:eastAsia="zh-CN"/>
                    </w:rPr>
                    <w:t>板翅式换热系统一套</w:t>
                  </w:r>
                </w:p>
              </w:tc>
            </w:tr>
            <w:tr w14:paraId="687A1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24" w:type="pct"/>
                  <w:vMerge w:val="continue"/>
                  <w:tcBorders>
                    <w:tl2br w:val="nil"/>
                    <w:tr2bl w:val="nil"/>
                  </w:tcBorders>
                  <w:vAlign w:val="center"/>
                </w:tcPr>
                <w:p w14:paraId="6A0676E0">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7259590B">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其他辅助设施</w:t>
                  </w:r>
                </w:p>
              </w:tc>
              <w:tc>
                <w:tcPr>
                  <w:tcW w:w="3691" w:type="pct"/>
                  <w:tcBorders>
                    <w:tl2br w:val="nil"/>
                    <w:tr2bl w:val="nil"/>
                  </w:tcBorders>
                  <w:vAlign w:val="center"/>
                </w:tcPr>
                <w:p w14:paraId="14F2CCB1">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建设有辅助车间、办公、宿舍、食堂、浴室等</w:t>
                  </w:r>
                </w:p>
              </w:tc>
            </w:tr>
            <w:tr w14:paraId="3D96E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4" w:type="pct"/>
                  <w:vMerge w:val="restart"/>
                  <w:tcBorders>
                    <w:tl2br w:val="nil"/>
                    <w:tr2bl w:val="nil"/>
                  </w:tcBorders>
                  <w:vAlign w:val="center"/>
                </w:tcPr>
                <w:p w14:paraId="4D8324B9">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环保工程</w:t>
                  </w:r>
                </w:p>
              </w:tc>
              <w:tc>
                <w:tcPr>
                  <w:tcW w:w="884" w:type="pct"/>
                  <w:tcBorders>
                    <w:tl2br w:val="nil"/>
                    <w:tr2bl w:val="nil"/>
                  </w:tcBorders>
                  <w:vAlign w:val="center"/>
                </w:tcPr>
                <w:p w14:paraId="0D9A165A">
                  <w:pPr>
                    <w:pStyle w:val="58"/>
                    <w:keepNext w:val="0"/>
                    <w:keepLines w:val="0"/>
                    <w:widowControl/>
                    <w:suppressLineNumbers w:val="0"/>
                    <w:spacing w:before="0" w:beforeAutospacing="0" w:after="0" w:afterAutospacing="0"/>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生产废水</w:t>
                  </w:r>
                </w:p>
              </w:tc>
              <w:tc>
                <w:tcPr>
                  <w:tcW w:w="3691" w:type="pct"/>
                  <w:tcBorders>
                    <w:tl2br w:val="nil"/>
                    <w:tr2bl w:val="nil"/>
                  </w:tcBorders>
                  <w:vAlign w:val="center"/>
                </w:tcPr>
                <w:p w14:paraId="1C900CE2">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原料气加压气液分离器</w:t>
                  </w:r>
                  <w:r>
                    <w:rPr>
                      <w:rFonts w:hint="eastAsia"/>
                      <w:color w:val="auto"/>
                      <w:szCs w:val="20"/>
                      <w:highlight w:val="none"/>
                      <w:lang w:val="en-US" w:eastAsia="zh-CN"/>
                    </w:rPr>
                    <w:t>滤液</w:t>
                  </w:r>
                  <w:r>
                    <w:rPr>
                      <w:rFonts w:hint="eastAsia"/>
                      <w:color w:val="auto"/>
                      <w:szCs w:val="20"/>
                      <w:highlight w:val="none"/>
                    </w:rPr>
                    <w:t>、脱</w:t>
                  </w:r>
                  <w:r>
                    <w:rPr>
                      <w:rFonts w:hint="eastAsia"/>
                      <w:color w:val="auto"/>
                      <w:szCs w:val="20"/>
                      <w:highlight w:val="none"/>
                      <w:lang w:val="en-US" w:eastAsia="zh-CN"/>
                    </w:rPr>
                    <w:t>酸</w:t>
                  </w:r>
                  <w:r>
                    <w:rPr>
                      <w:rFonts w:hint="eastAsia"/>
                      <w:color w:val="auto"/>
                      <w:szCs w:val="20"/>
                      <w:highlight w:val="none"/>
                    </w:rPr>
                    <w:t>单元、脱水单元</w:t>
                  </w:r>
                  <w:r>
                    <w:rPr>
                      <w:rFonts w:hint="eastAsia"/>
                      <w:color w:val="auto"/>
                      <w:szCs w:val="20"/>
                      <w:highlight w:val="none"/>
                      <w:lang w:val="en-US" w:eastAsia="zh-CN"/>
                    </w:rPr>
                    <w:t>冷凝液，经收集至废水收集罐，排污事故水、</w:t>
                  </w:r>
                  <w:r>
                    <w:rPr>
                      <w:rFonts w:hint="eastAsia"/>
                      <w:color w:val="auto"/>
                      <w:szCs w:val="20"/>
                      <w:highlight w:val="none"/>
                    </w:rPr>
                    <w:t>软化水系统高盐水</w:t>
                  </w:r>
                  <w:r>
                    <w:rPr>
                      <w:rFonts w:hint="eastAsia"/>
                      <w:color w:val="auto"/>
                      <w:szCs w:val="20"/>
                      <w:highlight w:val="none"/>
                      <w:lang w:val="en-US" w:eastAsia="zh-CN"/>
                    </w:rPr>
                    <w:t>排入市政管网至污水处理厂</w:t>
                  </w:r>
                  <w:r>
                    <w:rPr>
                      <w:rFonts w:hint="eastAsia"/>
                      <w:color w:val="auto"/>
                      <w:szCs w:val="20"/>
                      <w:highlight w:val="none"/>
                    </w:rPr>
                    <w:t>。</w:t>
                  </w:r>
                </w:p>
              </w:tc>
            </w:tr>
            <w:tr w14:paraId="19DD8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pct"/>
                  <w:vMerge w:val="continue"/>
                  <w:tcBorders>
                    <w:tl2br w:val="nil"/>
                    <w:tr2bl w:val="nil"/>
                  </w:tcBorders>
                  <w:vAlign w:val="center"/>
                </w:tcPr>
                <w:p w14:paraId="3D8839BD">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52D07613">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化粪池</w:t>
                  </w:r>
                </w:p>
              </w:tc>
              <w:tc>
                <w:tcPr>
                  <w:tcW w:w="3691" w:type="pct"/>
                  <w:tcBorders>
                    <w:tl2br w:val="nil"/>
                    <w:tr2bl w:val="nil"/>
                  </w:tcBorders>
                  <w:vAlign w:val="center"/>
                </w:tcPr>
                <w:p w14:paraId="45752942">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lang w:val="en-US" w:eastAsia="zh-CN"/>
                    </w:rPr>
                    <w:t>生活污水排污化粪池，由磴口县环卫局定期用罐车运到城市污水处理厂集中处理</w:t>
                  </w:r>
                  <w:r>
                    <w:rPr>
                      <w:rFonts w:hint="eastAsia"/>
                      <w:color w:val="auto"/>
                      <w:szCs w:val="20"/>
                      <w:highlight w:val="none"/>
                    </w:rPr>
                    <w:t>。</w:t>
                  </w:r>
                </w:p>
              </w:tc>
            </w:tr>
            <w:tr w14:paraId="34BDE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24" w:type="pct"/>
                  <w:vMerge w:val="continue"/>
                  <w:tcBorders>
                    <w:tl2br w:val="nil"/>
                    <w:tr2bl w:val="nil"/>
                  </w:tcBorders>
                  <w:vAlign w:val="center"/>
                </w:tcPr>
                <w:p w14:paraId="251AF063">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737AF341">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危废暂存间</w:t>
                  </w:r>
                </w:p>
              </w:tc>
              <w:tc>
                <w:tcPr>
                  <w:tcW w:w="3691" w:type="pct"/>
                  <w:tcBorders>
                    <w:tl2br w:val="nil"/>
                    <w:tr2bl w:val="nil"/>
                  </w:tcBorders>
                  <w:vAlign w:val="center"/>
                </w:tcPr>
                <w:p w14:paraId="5C79A317">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建设有一间废暂存间，位于一期装置区以北，占地面积</w:t>
                  </w:r>
                  <w:r>
                    <w:rPr>
                      <w:rFonts w:hint="eastAsia"/>
                      <w:color w:val="auto"/>
                      <w:szCs w:val="20"/>
                      <w:highlight w:val="none"/>
                      <w:lang w:val="en-US" w:eastAsia="zh-CN"/>
                    </w:rPr>
                    <w:t>27.5</w:t>
                  </w:r>
                  <w:r>
                    <w:rPr>
                      <w:rFonts w:hint="default"/>
                      <w:color w:val="auto"/>
                      <w:szCs w:val="20"/>
                      <w:highlight w:val="none"/>
                    </w:rPr>
                    <w:t>m²</w:t>
                  </w:r>
                  <w:r>
                    <w:rPr>
                      <w:rFonts w:hint="eastAsia"/>
                      <w:color w:val="auto"/>
                      <w:szCs w:val="20"/>
                      <w:highlight w:val="none"/>
                    </w:rPr>
                    <w:t>，用于存储设备维护后的废矿物油。</w:t>
                  </w:r>
                </w:p>
              </w:tc>
            </w:tr>
            <w:tr w14:paraId="462698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l2br w:val="nil"/>
                    <w:tr2bl w:val="nil"/>
                  </w:tcBorders>
                  <w:vAlign w:val="center"/>
                </w:tcPr>
                <w:p w14:paraId="5B5FAF51">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38B95D0A">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消防水池</w:t>
                  </w:r>
                </w:p>
              </w:tc>
              <w:tc>
                <w:tcPr>
                  <w:tcW w:w="3691" w:type="pct"/>
                  <w:tcBorders>
                    <w:tl2br w:val="nil"/>
                    <w:tr2bl w:val="nil"/>
                  </w:tcBorders>
                  <w:vAlign w:val="center"/>
                </w:tcPr>
                <w:p w14:paraId="377C4FC5">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建设有1</w:t>
                  </w:r>
                  <w:r>
                    <w:rPr>
                      <w:rFonts w:hint="eastAsia" w:ascii="宋体" w:hAnsi="宋体"/>
                      <w:color w:val="auto"/>
                      <w:szCs w:val="20"/>
                      <w:highlight w:val="none"/>
                    </w:rPr>
                    <w:t>座</w:t>
                  </w:r>
                  <w:r>
                    <w:rPr>
                      <w:rFonts w:hint="eastAsia"/>
                      <w:color w:val="auto"/>
                      <w:szCs w:val="20"/>
                      <w:highlight w:val="none"/>
                      <w:lang w:val="en-US" w:eastAsia="zh-CN"/>
                    </w:rPr>
                    <w:t>8000</w:t>
                  </w:r>
                  <w:r>
                    <w:rPr>
                      <w:rFonts w:hint="eastAsia"/>
                      <w:color w:val="auto"/>
                      <w:szCs w:val="20"/>
                      <w:highlight w:val="none"/>
                    </w:rPr>
                    <w:t>m</w:t>
                  </w:r>
                  <w:r>
                    <w:rPr>
                      <w:rFonts w:hint="eastAsia" w:ascii="宋体" w:hAnsi="宋体"/>
                      <w:color w:val="auto"/>
                      <w:szCs w:val="20"/>
                      <w:highlight w:val="none"/>
                    </w:rPr>
                    <w:t>³</w:t>
                  </w:r>
                  <w:r>
                    <w:rPr>
                      <w:rFonts w:hint="eastAsia"/>
                      <w:color w:val="auto"/>
                      <w:szCs w:val="20"/>
                      <w:highlight w:val="none"/>
                    </w:rPr>
                    <w:t>地下消防水池，提供消防用水。</w:t>
                  </w:r>
                </w:p>
              </w:tc>
            </w:tr>
            <w:tr w14:paraId="2D49D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l2br w:val="nil"/>
                    <w:tr2bl w:val="nil"/>
                  </w:tcBorders>
                  <w:vAlign w:val="center"/>
                </w:tcPr>
                <w:p w14:paraId="5D1474D8">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134EF4AB">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罐区围堰</w:t>
                  </w:r>
                </w:p>
              </w:tc>
              <w:tc>
                <w:tcPr>
                  <w:tcW w:w="3691" w:type="pct"/>
                  <w:tcBorders>
                    <w:tl2br w:val="nil"/>
                    <w:tr2bl w:val="nil"/>
                  </w:tcBorders>
                  <w:vAlign w:val="center"/>
                </w:tcPr>
                <w:p w14:paraId="1F00A813">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建设有80m</w:t>
                  </w:r>
                  <w:r>
                    <w:rPr>
                      <w:rFonts w:hint="eastAsia" w:ascii="宋体" w:hAnsi="宋体"/>
                      <w:color w:val="auto"/>
                      <w:szCs w:val="20"/>
                      <w:highlight w:val="none"/>
                    </w:rPr>
                    <w:t>×</w:t>
                  </w:r>
                  <w:r>
                    <w:rPr>
                      <w:rFonts w:hint="eastAsia"/>
                      <w:color w:val="auto"/>
                      <w:szCs w:val="20"/>
                      <w:highlight w:val="none"/>
                    </w:rPr>
                    <w:t>80m</w:t>
                  </w:r>
                  <w:r>
                    <w:rPr>
                      <w:rFonts w:hint="eastAsia" w:ascii="宋体" w:hAnsi="宋体"/>
                      <w:color w:val="auto"/>
                      <w:szCs w:val="20"/>
                      <w:highlight w:val="none"/>
                    </w:rPr>
                    <w:t>钢筋混凝土围堰，高</w:t>
                  </w:r>
                  <w:r>
                    <w:rPr>
                      <w:rFonts w:hint="eastAsia"/>
                      <w:color w:val="auto"/>
                      <w:szCs w:val="20"/>
                      <w:highlight w:val="none"/>
                    </w:rPr>
                    <w:t>1m</w:t>
                  </w:r>
                  <w:r>
                    <w:rPr>
                      <w:rFonts w:hint="eastAsia" w:ascii="宋体" w:hAnsi="宋体"/>
                      <w:color w:val="auto"/>
                      <w:szCs w:val="20"/>
                      <w:highlight w:val="none"/>
                    </w:rPr>
                    <w:t>的</w:t>
                  </w:r>
                  <w:r>
                    <w:rPr>
                      <w:rFonts w:hint="eastAsia"/>
                      <w:color w:val="auto"/>
                      <w:szCs w:val="20"/>
                      <w:highlight w:val="none"/>
                    </w:rPr>
                    <w:t>LNG</w:t>
                  </w:r>
                  <w:r>
                    <w:rPr>
                      <w:rFonts w:hint="eastAsia" w:ascii="宋体" w:hAnsi="宋体"/>
                      <w:color w:val="auto"/>
                      <w:szCs w:val="20"/>
                      <w:highlight w:val="none"/>
                    </w:rPr>
                    <w:t>罐区围堰</w:t>
                  </w:r>
                  <w:r>
                    <w:rPr>
                      <w:rFonts w:hint="eastAsia"/>
                      <w:color w:val="auto"/>
                      <w:szCs w:val="20"/>
                      <w:highlight w:val="none"/>
                    </w:rPr>
                    <w:t>，</w:t>
                  </w:r>
                  <w:r>
                    <w:rPr>
                      <w:rFonts w:hint="eastAsia"/>
                      <w:color w:val="auto"/>
                      <w:szCs w:val="20"/>
                      <w:highlight w:val="none"/>
                      <w:lang w:eastAsia="zh-CN"/>
                    </w:rPr>
                    <w:t>防止</w:t>
                  </w:r>
                  <w:r>
                    <w:rPr>
                      <w:rFonts w:hint="eastAsia"/>
                      <w:color w:val="auto"/>
                      <w:szCs w:val="20"/>
                      <w:highlight w:val="none"/>
                    </w:rPr>
                    <w:t>事故发生后的废液流出厂外</w:t>
                  </w:r>
                </w:p>
              </w:tc>
            </w:tr>
            <w:tr w14:paraId="41B77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l2br w:val="nil"/>
                    <w:tr2bl w:val="nil"/>
                  </w:tcBorders>
                  <w:vAlign w:val="center"/>
                </w:tcPr>
                <w:p w14:paraId="48D18159">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6B5C9BBD">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LNG事故积液池</w:t>
                  </w:r>
                </w:p>
              </w:tc>
              <w:tc>
                <w:tcPr>
                  <w:tcW w:w="3691" w:type="pct"/>
                  <w:tcBorders>
                    <w:tl2br w:val="nil"/>
                    <w:tr2bl w:val="nil"/>
                  </w:tcBorders>
                  <w:vAlign w:val="center"/>
                </w:tcPr>
                <w:p w14:paraId="2DA069FD">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建设有LNG</w:t>
                  </w:r>
                  <w:r>
                    <w:rPr>
                      <w:rFonts w:hint="eastAsia" w:ascii="宋体" w:hAnsi="宋体"/>
                      <w:color w:val="auto"/>
                      <w:szCs w:val="20"/>
                      <w:highlight w:val="none"/>
                    </w:rPr>
                    <w:t>事故积液池</w:t>
                  </w:r>
                  <w:r>
                    <w:rPr>
                      <w:rFonts w:hint="eastAsia"/>
                      <w:color w:val="auto"/>
                      <w:szCs w:val="20"/>
                      <w:highlight w:val="none"/>
                    </w:rPr>
                    <w:t>，防渗系数K</w:t>
                  </w:r>
                  <w:r>
                    <w:rPr>
                      <w:rFonts w:hint="eastAsia" w:ascii="宋体" w:hAnsi="宋体"/>
                      <w:color w:val="auto"/>
                      <w:szCs w:val="20"/>
                      <w:highlight w:val="none"/>
                    </w:rPr>
                    <w:t>≦</w:t>
                  </w:r>
                  <w:r>
                    <w:rPr>
                      <w:rFonts w:hint="eastAsia"/>
                      <w:color w:val="auto"/>
                      <w:szCs w:val="20"/>
                      <w:highlight w:val="none"/>
                    </w:rPr>
                    <w:t>1</w:t>
                  </w:r>
                  <w:r>
                    <w:rPr>
                      <w:rFonts w:hint="default"/>
                      <w:color w:val="auto"/>
                      <w:szCs w:val="20"/>
                      <w:highlight w:val="none"/>
                    </w:rPr>
                    <w:t>×</w:t>
                  </w:r>
                  <w:r>
                    <w:rPr>
                      <w:rFonts w:hint="eastAsia"/>
                      <w:color w:val="auto"/>
                      <w:szCs w:val="20"/>
                      <w:highlight w:val="none"/>
                    </w:rPr>
                    <w:t>10</w:t>
                  </w:r>
                  <w:r>
                    <w:rPr>
                      <w:rFonts w:hint="eastAsia"/>
                      <w:color w:val="auto"/>
                      <w:szCs w:val="20"/>
                      <w:highlight w:val="none"/>
                      <w:vertAlign w:val="superscript"/>
                    </w:rPr>
                    <w:t>-7</w:t>
                  </w:r>
                  <w:r>
                    <w:rPr>
                      <w:rFonts w:hint="eastAsia"/>
                      <w:color w:val="auto"/>
                      <w:szCs w:val="20"/>
                      <w:highlight w:val="none"/>
                    </w:rPr>
                    <w:t>，用于存储LNG</w:t>
                  </w:r>
                  <w:r>
                    <w:rPr>
                      <w:rFonts w:hint="eastAsia" w:ascii="宋体" w:hAnsi="宋体"/>
                      <w:color w:val="auto"/>
                      <w:szCs w:val="20"/>
                      <w:highlight w:val="none"/>
                    </w:rPr>
                    <w:t>积液</w:t>
                  </w:r>
                </w:p>
              </w:tc>
            </w:tr>
            <w:tr w14:paraId="3009DA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4" w:type="pct"/>
                  <w:vMerge w:val="continue"/>
                  <w:tcBorders>
                    <w:tl2br w:val="nil"/>
                    <w:tr2bl w:val="nil"/>
                  </w:tcBorders>
                  <w:vAlign w:val="center"/>
                </w:tcPr>
                <w:p w14:paraId="52DA6FA8">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884" w:type="pct"/>
                  <w:tcBorders>
                    <w:tl2br w:val="nil"/>
                    <w:tr2bl w:val="nil"/>
                  </w:tcBorders>
                  <w:vAlign w:val="center"/>
                </w:tcPr>
                <w:p w14:paraId="4755A3EA">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事故应急池</w:t>
                  </w:r>
                </w:p>
              </w:tc>
              <w:tc>
                <w:tcPr>
                  <w:tcW w:w="3691" w:type="pct"/>
                  <w:tcBorders>
                    <w:tl2br w:val="nil"/>
                    <w:tr2bl w:val="nil"/>
                  </w:tcBorders>
                  <w:vAlign w:val="center"/>
                </w:tcPr>
                <w:p w14:paraId="537633A5">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default"/>
                      <w:color w:val="auto"/>
                      <w:szCs w:val="20"/>
                      <w:highlight w:val="none"/>
                    </w:rPr>
                    <w:t>建设有</w:t>
                  </w:r>
                  <w:r>
                    <w:rPr>
                      <w:rFonts w:hint="eastAsia"/>
                      <w:color w:val="auto"/>
                      <w:szCs w:val="20"/>
                      <w:highlight w:val="none"/>
                      <w:lang w:val="en-US" w:eastAsia="zh-CN"/>
                    </w:rPr>
                    <w:t>9000</w:t>
                  </w:r>
                  <w:r>
                    <w:rPr>
                      <w:rFonts w:hint="default"/>
                      <w:color w:val="auto"/>
                      <w:szCs w:val="20"/>
                      <w:highlight w:val="none"/>
                    </w:rPr>
                    <w:t>m³</w:t>
                  </w:r>
                  <w:r>
                    <w:rPr>
                      <w:rFonts w:hint="eastAsia"/>
                      <w:color w:val="auto"/>
                      <w:szCs w:val="20"/>
                      <w:highlight w:val="none"/>
                    </w:rPr>
                    <w:t>事故应急池防，防渗系数K</w:t>
                  </w:r>
                  <w:r>
                    <w:rPr>
                      <w:rFonts w:hint="eastAsia" w:ascii="宋体" w:hAnsi="宋体"/>
                      <w:color w:val="auto"/>
                      <w:szCs w:val="20"/>
                      <w:highlight w:val="none"/>
                    </w:rPr>
                    <w:t>≦</w:t>
                  </w:r>
                  <w:r>
                    <w:rPr>
                      <w:rFonts w:hint="eastAsia"/>
                      <w:color w:val="auto"/>
                      <w:szCs w:val="20"/>
                      <w:highlight w:val="none"/>
                    </w:rPr>
                    <w:t>1</w:t>
                  </w:r>
                  <w:r>
                    <w:rPr>
                      <w:rFonts w:hint="eastAsia" w:ascii="宋体" w:hAnsi="宋体"/>
                      <w:color w:val="auto"/>
                      <w:szCs w:val="20"/>
                      <w:highlight w:val="none"/>
                    </w:rPr>
                    <w:t>×</w:t>
                  </w:r>
                  <w:r>
                    <w:rPr>
                      <w:rFonts w:hint="eastAsia"/>
                      <w:color w:val="auto"/>
                      <w:szCs w:val="20"/>
                      <w:highlight w:val="none"/>
                    </w:rPr>
                    <w:t>10</w:t>
                  </w:r>
                  <w:r>
                    <w:rPr>
                      <w:rFonts w:hint="eastAsia"/>
                      <w:color w:val="auto"/>
                      <w:szCs w:val="20"/>
                      <w:highlight w:val="none"/>
                      <w:vertAlign w:val="superscript"/>
                    </w:rPr>
                    <w:t>-7</w:t>
                  </w:r>
                  <w:r>
                    <w:rPr>
                      <w:rFonts w:hint="eastAsia"/>
                      <w:color w:val="auto"/>
                      <w:szCs w:val="20"/>
                      <w:highlight w:val="none"/>
                    </w:rPr>
                    <w:t>，用于存储事故污水。</w:t>
                  </w:r>
                </w:p>
              </w:tc>
            </w:tr>
          </w:tbl>
          <w:p w14:paraId="2B9379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（1）主要原材料及动力消耗</w:t>
            </w:r>
          </w:p>
          <w:p w14:paraId="5242A9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现有工程主要原辅材料及能源消耗见下表。</w:t>
            </w:r>
          </w:p>
          <w:p w14:paraId="44CC324B">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表2-4</w:t>
            </w:r>
            <w:r>
              <w:rPr>
                <w:rFonts w:hint="default" w:ascii="Times New Roman" w:hAnsi="Times New Roman" w:eastAsia="宋体" w:cs="Times New Roman"/>
                <w:b/>
                <w:bCs/>
                <w:color w:val="auto"/>
                <w:sz w:val="21"/>
                <w:szCs w:val="21"/>
                <w:highlight w:val="none"/>
                <w:lang w:val="en-US" w:eastAsia="zh-CN"/>
              </w:rPr>
              <w:t xml:space="preserve">   原辅材料消耗情况</w:t>
            </w:r>
            <w:r>
              <w:rPr>
                <w:rFonts w:hint="eastAsia" w:ascii="Times New Roman" w:hAnsi="Times New Roman" w:eastAsia="宋体" w:cs="Times New Roman"/>
                <w:b/>
                <w:bCs/>
                <w:color w:val="auto"/>
                <w:sz w:val="21"/>
                <w:szCs w:val="21"/>
                <w:highlight w:val="none"/>
                <w:lang w:val="en-US" w:eastAsia="zh-CN"/>
              </w:rPr>
              <w:t>表</w:t>
            </w:r>
          </w:p>
          <w:tbl>
            <w:tblPr>
              <w:tblStyle w:val="17"/>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507"/>
              <w:gridCol w:w="1469"/>
              <w:gridCol w:w="878"/>
              <w:gridCol w:w="1271"/>
              <w:gridCol w:w="2003"/>
              <w:gridCol w:w="2393"/>
            </w:tblGrid>
            <w:tr w14:paraId="2ACD7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356" w:type="pct"/>
                  <w:tcBorders>
                    <w:tl2br w:val="nil"/>
                    <w:tr2bl w:val="nil"/>
                  </w:tcBorders>
                  <w:vAlign w:val="center"/>
                </w:tcPr>
                <w:p w14:paraId="558B6531">
                  <w:pPr>
                    <w:pStyle w:val="58"/>
                    <w:keepNext w:val="0"/>
                    <w:keepLines w:val="0"/>
                    <w:widowControl/>
                    <w:suppressLineNumbers w:val="0"/>
                    <w:spacing w:before="0" w:beforeAutospacing="0" w:after="0" w:afterAutospacing="0"/>
                    <w:ind w:left="0" w:right="0"/>
                    <w:jc w:val="center"/>
                    <w:rPr>
                      <w:rFonts w:hint="default"/>
                      <w:b/>
                      <w:bCs/>
                      <w:color w:val="auto"/>
                      <w:szCs w:val="20"/>
                      <w:highlight w:val="none"/>
                    </w:rPr>
                  </w:pPr>
                  <w:r>
                    <w:rPr>
                      <w:rFonts w:hint="eastAsia"/>
                      <w:b/>
                      <w:bCs/>
                      <w:color w:val="auto"/>
                      <w:szCs w:val="20"/>
                      <w:highlight w:val="none"/>
                    </w:rPr>
                    <w:t>分类</w:t>
                  </w:r>
                </w:p>
              </w:tc>
              <w:tc>
                <w:tcPr>
                  <w:tcW w:w="1076" w:type="pct"/>
                  <w:gridSpan w:val="2"/>
                  <w:tcBorders>
                    <w:tl2br w:val="nil"/>
                    <w:tr2bl w:val="nil"/>
                  </w:tcBorders>
                  <w:vAlign w:val="center"/>
                </w:tcPr>
                <w:p w14:paraId="0FAB9B9B">
                  <w:pPr>
                    <w:pStyle w:val="58"/>
                    <w:keepNext w:val="0"/>
                    <w:keepLines w:val="0"/>
                    <w:widowControl/>
                    <w:suppressLineNumbers w:val="0"/>
                    <w:spacing w:before="0" w:beforeAutospacing="0" w:after="0" w:afterAutospacing="0"/>
                    <w:ind w:left="0" w:right="0"/>
                    <w:jc w:val="center"/>
                    <w:rPr>
                      <w:rFonts w:hint="default"/>
                      <w:b/>
                      <w:bCs/>
                      <w:color w:val="auto"/>
                      <w:szCs w:val="20"/>
                      <w:highlight w:val="none"/>
                    </w:rPr>
                  </w:pPr>
                  <w:r>
                    <w:rPr>
                      <w:rFonts w:hint="eastAsia"/>
                      <w:b/>
                      <w:bCs/>
                      <w:color w:val="auto"/>
                      <w:szCs w:val="20"/>
                      <w:highlight w:val="none"/>
                    </w:rPr>
                    <w:t>名称</w:t>
                  </w:r>
                </w:p>
              </w:tc>
              <w:tc>
                <w:tcPr>
                  <w:tcW w:w="478" w:type="pct"/>
                  <w:tcBorders>
                    <w:tl2br w:val="nil"/>
                    <w:tr2bl w:val="nil"/>
                  </w:tcBorders>
                  <w:vAlign w:val="center"/>
                </w:tcPr>
                <w:p w14:paraId="1DB21034">
                  <w:pPr>
                    <w:pStyle w:val="58"/>
                    <w:keepNext w:val="0"/>
                    <w:keepLines w:val="0"/>
                    <w:widowControl/>
                    <w:suppressLineNumbers w:val="0"/>
                    <w:spacing w:before="0" w:beforeAutospacing="0" w:after="0" w:afterAutospacing="0"/>
                    <w:ind w:left="0" w:right="0"/>
                    <w:jc w:val="center"/>
                    <w:rPr>
                      <w:rFonts w:hint="default"/>
                      <w:b/>
                      <w:bCs/>
                      <w:color w:val="auto"/>
                      <w:szCs w:val="20"/>
                      <w:highlight w:val="none"/>
                    </w:rPr>
                  </w:pPr>
                  <w:r>
                    <w:rPr>
                      <w:rFonts w:hint="eastAsia"/>
                      <w:b/>
                      <w:bCs/>
                      <w:color w:val="auto"/>
                      <w:szCs w:val="20"/>
                      <w:highlight w:val="none"/>
                    </w:rPr>
                    <w:t>单位</w:t>
                  </w:r>
                </w:p>
              </w:tc>
              <w:tc>
                <w:tcPr>
                  <w:tcW w:w="692" w:type="pct"/>
                  <w:tcBorders>
                    <w:tl2br w:val="nil"/>
                    <w:tr2bl w:val="nil"/>
                  </w:tcBorders>
                  <w:vAlign w:val="center"/>
                </w:tcPr>
                <w:p w14:paraId="4FB01DE7">
                  <w:pPr>
                    <w:pStyle w:val="58"/>
                    <w:keepNext w:val="0"/>
                    <w:keepLines w:val="0"/>
                    <w:widowControl/>
                    <w:suppressLineNumbers w:val="0"/>
                    <w:spacing w:before="0" w:beforeAutospacing="0" w:after="0" w:afterAutospacing="0"/>
                    <w:ind w:left="0" w:right="0"/>
                    <w:jc w:val="center"/>
                    <w:rPr>
                      <w:rFonts w:hint="default"/>
                      <w:b/>
                      <w:bCs/>
                      <w:color w:val="auto"/>
                      <w:szCs w:val="20"/>
                      <w:highlight w:val="none"/>
                    </w:rPr>
                  </w:pPr>
                  <w:r>
                    <w:rPr>
                      <w:rFonts w:hint="eastAsia"/>
                      <w:b/>
                      <w:bCs/>
                      <w:color w:val="auto"/>
                      <w:szCs w:val="20"/>
                      <w:highlight w:val="none"/>
                    </w:rPr>
                    <w:t>厂区消耗量</w:t>
                  </w:r>
                </w:p>
              </w:tc>
              <w:tc>
                <w:tcPr>
                  <w:tcW w:w="1091" w:type="pct"/>
                  <w:tcBorders>
                    <w:tl2br w:val="nil"/>
                    <w:tr2bl w:val="nil"/>
                  </w:tcBorders>
                  <w:vAlign w:val="center"/>
                </w:tcPr>
                <w:p w14:paraId="59312FF4">
                  <w:pPr>
                    <w:pStyle w:val="58"/>
                    <w:keepNext w:val="0"/>
                    <w:keepLines w:val="0"/>
                    <w:widowControl/>
                    <w:suppressLineNumbers w:val="0"/>
                    <w:spacing w:before="0" w:beforeAutospacing="0" w:after="0" w:afterAutospacing="0"/>
                    <w:ind w:left="0" w:right="0"/>
                    <w:jc w:val="center"/>
                    <w:rPr>
                      <w:rFonts w:hint="default"/>
                      <w:b/>
                      <w:bCs/>
                      <w:color w:val="auto"/>
                      <w:szCs w:val="20"/>
                      <w:highlight w:val="none"/>
                    </w:rPr>
                  </w:pPr>
                  <w:r>
                    <w:rPr>
                      <w:rFonts w:hint="eastAsia"/>
                      <w:b/>
                      <w:bCs/>
                      <w:color w:val="auto"/>
                      <w:szCs w:val="20"/>
                      <w:highlight w:val="none"/>
                    </w:rPr>
                    <w:t>成分</w:t>
                  </w:r>
                </w:p>
              </w:tc>
              <w:tc>
                <w:tcPr>
                  <w:tcW w:w="1303" w:type="pct"/>
                  <w:tcBorders>
                    <w:tl2br w:val="nil"/>
                    <w:tr2bl w:val="nil"/>
                  </w:tcBorders>
                  <w:vAlign w:val="center"/>
                </w:tcPr>
                <w:p w14:paraId="1B8312D5">
                  <w:pPr>
                    <w:pStyle w:val="58"/>
                    <w:keepNext w:val="0"/>
                    <w:keepLines w:val="0"/>
                    <w:widowControl/>
                    <w:suppressLineNumbers w:val="0"/>
                    <w:spacing w:before="0" w:beforeAutospacing="0" w:after="0" w:afterAutospacing="0"/>
                    <w:ind w:left="0" w:right="0"/>
                    <w:jc w:val="center"/>
                    <w:rPr>
                      <w:rFonts w:hint="default"/>
                      <w:b/>
                      <w:bCs/>
                      <w:color w:val="auto"/>
                      <w:szCs w:val="20"/>
                      <w:highlight w:val="none"/>
                    </w:rPr>
                  </w:pPr>
                  <w:r>
                    <w:rPr>
                      <w:rFonts w:hint="eastAsia"/>
                      <w:b/>
                      <w:bCs/>
                      <w:color w:val="auto"/>
                      <w:szCs w:val="20"/>
                      <w:highlight w:val="none"/>
                    </w:rPr>
                    <w:t>备注</w:t>
                  </w:r>
                </w:p>
              </w:tc>
            </w:tr>
            <w:tr w14:paraId="64A832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6" w:type="pct"/>
                  <w:vMerge w:val="restart"/>
                  <w:tcBorders>
                    <w:tl2br w:val="nil"/>
                    <w:tr2bl w:val="nil"/>
                  </w:tcBorders>
                  <w:vAlign w:val="center"/>
                </w:tcPr>
                <w:p w14:paraId="3E5C088F">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原料</w:t>
                  </w:r>
                </w:p>
              </w:tc>
              <w:tc>
                <w:tcPr>
                  <w:tcW w:w="1076" w:type="pct"/>
                  <w:gridSpan w:val="2"/>
                  <w:tcBorders>
                    <w:tl2br w:val="nil"/>
                    <w:tr2bl w:val="nil"/>
                  </w:tcBorders>
                  <w:vAlign w:val="center"/>
                </w:tcPr>
                <w:p w14:paraId="4B75DB70">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天然气</w:t>
                  </w:r>
                </w:p>
              </w:tc>
              <w:tc>
                <w:tcPr>
                  <w:tcW w:w="478" w:type="pct"/>
                  <w:tcBorders>
                    <w:tl2br w:val="nil"/>
                    <w:tr2bl w:val="nil"/>
                  </w:tcBorders>
                  <w:vAlign w:val="center"/>
                </w:tcPr>
                <w:p w14:paraId="4A15F1B2">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Nm</w:t>
                  </w:r>
                  <w:r>
                    <w:rPr>
                      <w:rFonts w:hint="eastAsia" w:ascii="宋体" w:hAnsi="宋体"/>
                      <w:color w:val="auto"/>
                      <w:szCs w:val="20"/>
                      <w:highlight w:val="none"/>
                    </w:rPr>
                    <w:t>³</w:t>
                  </w:r>
                  <w:r>
                    <w:rPr>
                      <w:rFonts w:hint="eastAsia"/>
                      <w:color w:val="auto"/>
                      <w:szCs w:val="20"/>
                      <w:highlight w:val="none"/>
                    </w:rPr>
                    <w:t>/a</w:t>
                  </w:r>
                </w:p>
              </w:tc>
              <w:tc>
                <w:tcPr>
                  <w:tcW w:w="692" w:type="pct"/>
                  <w:tcBorders>
                    <w:tl2br w:val="nil"/>
                    <w:tr2bl w:val="nil"/>
                  </w:tcBorders>
                  <w:vAlign w:val="center"/>
                </w:tcPr>
                <w:p w14:paraId="48E434C1">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30</w:t>
                  </w:r>
                  <w:r>
                    <w:rPr>
                      <w:rFonts w:hint="eastAsia" w:ascii="宋体" w:hAnsi="宋体"/>
                      <w:color w:val="auto"/>
                      <w:szCs w:val="20"/>
                      <w:highlight w:val="none"/>
                    </w:rPr>
                    <w:t>万</w:t>
                  </w:r>
                </w:p>
              </w:tc>
              <w:tc>
                <w:tcPr>
                  <w:tcW w:w="1091" w:type="pct"/>
                  <w:tcBorders>
                    <w:tl2br w:val="nil"/>
                    <w:tr2bl w:val="nil"/>
                  </w:tcBorders>
                  <w:vAlign w:val="center"/>
                </w:tcPr>
                <w:p w14:paraId="1E2C50F0">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主要成分为甲烷、乙烷、丙烷、异丁烷、正丁烷、异戊烷等</w:t>
                  </w:r>
                </w:p>
              </w:tc>
              <w:tc>
                <w:tcPr>
                  <w:tcW w:w="1303" w:type="pct"/>
                  <w:tcBorders>
                    <w:tl2br w:val="nil"/>
                    <w:tr2bl w:val="nil"/>
                  </w:tcBorders>
                  <w:vAlign w:val="center"/>
                </w:tcPr>
                <w:p w14:paraId="26022DA6">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长-乌-临管道的天然气</w:t>
                  </w:r>
                </w:p>
              </w:tc>
            </w:tr>
            <w:tr w14:paraId="2E565B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6" w:type="pct"/>
                  <w:vMerge w:val="continue"/>
                  <w:tcBorders>
                    <w:tl2br w:val="nil"/>
                    <w:tr2bl w:val="nil"/>
                  </w:tcBorders>
                  <w:vAlign w:val="center"/>
                </w:tcPr>
                <w:p w14:paraId="076F0F4C">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1076" w:type="pct"/>
                  <w:gridSpan w:val="2"/>
                  <w:tcBorders>
                    <w:tl2br w:val="nil"/>
                    <w:tr2bl w:val="nil"/>
                  </w:tcBorders>
                  <w:vAlign w:val="center"/>
                </w:tcPr>
                <w:p w14:paraId="1B11FCBE">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MDEA</w:t>
                  </w:r>
                  <w:r>
                    <w:rPr>
                      <w:rFonts w:hint="eastAsia" w:ascii="宋体" w:hAnsi="宋体"/>
                      <w:color w:val="auto"/>
                      <w:szCs w:val="20"/>
                      <w:highlight w:val="none"/>
                    </w:rPr>
                    <w:t>溶液</w:t>
                  </w:r>
                </w:p>
              </w:tc>
              <w:tc>
                <w:tcPr>
                  <w:tcW w:w="478" w:type="pct"/>
                  <w:tcBorders>
                    <w:tl2br w:val="nil"/>
                    <w:tr2bl w:val="nil"/>
                  </w:tcBorders>
                  <w:vAlign w:val="center"/>
                </w:tcPr>
                <w:p w14:paraId="3205106E">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t/a</w:t>
                  </w:r>
                </w:p>
              </w:tc>
              <w:tc>
                <w:tcPr>
                  <w:tcW w:w="692" w:type="pct"/>
                  <w:tcBorders>
                    <w:tl2br w:val="nil"/>
                    <w:tr2bl w:val="nil"/>
                  </w:tcBorders>
                  <w:vAlign w:val="center"/>
                </w:tcPr>
                <w:p w14:paraId="7D04F775">
                  <w:pPr>
                    <w:pStyle w:val="58"/>
                    <w:keepNext w:val="0"/>
                    <w:keepLines w:val="0"/>
                    <w:widowControl/>
                    <w:suppressLineNumbers w:val="0"/>
                    <w:spacing w:before="0" w:beforeAutospacing="0" w:after="0" w:afterAutospacing="0"/>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50</w:t>
                  </w:r>
                </w:p>
              </w:tc>
              <w:tc>
                <w:tcPr>
                  <w:tcW w:w="1091" w:type="pct"/>
                  <w:tcBorders>
                    <w:tl2br w:val="nil"/>
                    <w:tr2bl w:val="nil"/>
                  </w:tcBorders>
                  <w:vAlign w:val="center"/>
                </w:tcPr>
                <w:p w14:paraId="2AA05C1F">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N-甲基二乙醇胺</w:t>
                  </w:r>
                </w:p>
              </w:tc>
              <w:tc>
                <w:tcPr>
                  <w:tcW w:w="1303" w:type="pct"/>
                  <w:tcBorders>
                    <w:tl2br w:val="nil"/>
                    <w:tr2bl w:val="nil"/>
                  </w:tcBorders>
                  <w:vAlign w:val="center"/>
                </w:tcPr>
                <w:p w14:paraId="13340DEC">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去除原料气中的酸性气体</w:t>
                  </w:r>
                </w:p>
              </w:tc>
            </w:tr>
            <w:tr w14:paraId="666FE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6" w:type="pct"/>
                  <w:vMerge w:val="continue"/>
                  <w:tcBorders>
                    <w:tl2br w:val="nil"/>
                    <w:tr2bl w:val="nil"/>
                  </w:tcBorders>
                  <w:vAlign w:val="center"/>
                </w:tcPr>
                <w:p w14:paraId="51B09D84">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1076" w:type="pct"/>
                  <w:gridSpan w:val="2"/>
                  <w:tcBorders>
                    <w:tl2br w:val="nil"/>
                    <w:tr2bl w:val="nil"/>
                  </w:tcBorders>
                  <w:vAlign w:val="center"/>
                </w:tcPr>
                <w:p w14:paraId="4C95541B">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过滤活性碳</w:t>
                  </w:r>
                </w:p>
              </w:tc>
              <w:tc>
                <w:tcPr>
                  <w:tcW w:w="478" w:type="pct"/>
                  <w:tcBorders>
                    <w:tl2br w:val="nil"/>
                    <w:tr2bl w:val="nil"/>
                  </w:tcBorders>
                  <w:vAlign w:val="center"/>
                </w:tcPr>
                <w:p w14:paraId="46FE76F2">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t/a</w:t>
                  </w:r>
                </w:p>
              </w:tc>
              <w:tc>
                <w:tcPr>
                  <w:tcW w:w="692" w:type="pct"/>
                  <w:tcBorders>
                    <w:tl2br w:val="nil"/>
                    <w:tr2bl w:val="nil"/>
                  </w:tcBorders>
                  <w:vAlign w:val="center"/>
                </w:tcPr>
                <w:p w14:paraId="0BA2E87E">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3</w:t>
                  </w:r>
                </w:p>
              </w:tc>
              <w:tc>
                <w:tcPr>
                  <w:tcW w:w="1091" w:type="pct"/>
                  <w:tcBorders>
                    <w:tl2br w:val="nil"/>
                    <w:tr2bl w:val="nil"/>
                  </w:tcBorders>
                  <w:vAlign w:val="center"/>
                </w:tcPr>
                <w:p w14:paraId="51E6A4D9">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lang w:eastAsia="zh-CN"/>
                    </w:rPr>
                    <w:t>活性炭</w:t>
                  </w:r>
                  <w:r>
                    <w:rPr>
                      <w:rFonts w:hint="eastAsia"/>
                      <w:color w:val="auto"/>
                      <w:szCs w:val="20"/>
                      <w:highlight w:val="none"/>
                    </w:rPr>
                    <w:t>类</w:t>
                  </w:r>
                </w:p>
              </w:tc>
              <w:tc>
                <w:tcPr>
                  <w:tcW w:w="1303" w:type="pct"/>
                  <w:tcBorders>
                    <w:tl2br w:val="nil"/>
                    <w:tr2bl w:val="nil"/>
                  </w:tcBorders>
                  <w:vAlign w:val="center"/>
                </w:tcPr>
                <w:p w14:paraId="14443425">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吸收贫液中的杂质</w:t>
                  </w:r>
                </w:p>
              </w:tc>
            </w:tr>
            <w:tr w14:paraId="6F50BA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6" w:type="pct"/>
                  <w:vMerge w:val="continue"/>
                  <w:tcBorders>
                    <w:tl2br w:val="nil"/>
                    <w:tr2bl w:val="nil"/>
                  </w:tcBorders>
                  <w:vAlign w:val="center"/>
                </w:tcPr>
                <w:p w14:paraId="67F12134">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1076" w:type="pct"/>
                  <w:gridSpan w:val="2"/>
                  <w:tcBorders>
                    <w:tl2br w:val="nil"/>
                    <w:tr2bl w:val="nil"/>
                  </w:tcBorders>
                  <w:vAlign w:val="center"/>
                </w:tcPr>
                <w:p w14:paraId="78FBAA85">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脱汞剂</w:t>
                  </w:r>
                </w:p>
              </w:tc>
              <w:tc>
                <w:tcPr>
                  <w:tcW w:w="478" w:type="pct"/>
                  <w:tcBorders>
                    <w:tl2br w:val="nil"/>
                    <w:tr2bl w:val="nil"/>
                  </w:tcBorders>
                  <w:vAlign w:val="center"/>
                </w:tcPr>
                <w:p w14:paraId="7F248D84">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t/a</w:t>
                  </w:r>
                </w:p>
              </w:tc>
              <w:tc>
                <w:tcPr>
                  <w:tcW w:w="692" w:type="pct"/>
                  <w:tcBorders>
                    <w:tl2br w:val="nil"/>
                    <w:tr2bl w:val="nil"/>
                  </w:tcBorders>
                  <w:vAlign w:val="center"/>
                </w:tcPr>
                <w:p w14:paraId="5ECDB282">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3</w:t>
                  </w:r>
                </w:p>
              </w:tc>
              <w:tc>
                <w:tcPr>
                  <w:tcW w:w="1091" w:type="pct"/>
                  <w:tcBorders>
                    <w:tl2br w:val="nil"/>
                    <w:tr2bl w:val="nil"/>
                  </w:tcBorders>
                  <w:vAlign w:val="center"/>
                </w:tcPr>
                <w:p w14:paraId="4981820E">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lang w:eastAsia="zh-CN"/>
                    </w:rPr>
                    <w:t>活性炭</w:t>
                  </w:r>
                  <w:r>
                    <w:rPr>
                      <w:rFonts w:hint="eastAsia"/>
                      <w:color w:val="auto"/>
                      <w:szCs w:val="20"/>
                      <w:highlight w:val="none"/>
                    </w:rPr>
                    <w:t>类</w:t>
                  </w:r>
                </w:p>
              </w:tc>
              <w:tc>
                <w:tcPr>
                  <w:tcW w:w="1303" w:type="pct"/>
                  <w:tcBorders>
                    <w:tl2br w:val="nil"/>
                    <w:tr2bl w:val="nil"/>
                  </w:tcBorders>
                  <w:vAlign w:val="center"/>
                </w:tcPr>
                <w:p w14:paraId="3F65BBAC">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除汞</w:t>
                  </w:r>
                </w:p>
              </w:tc>
            </w:tr>
            <w:tr w14:paraId="12548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6" w:type="pct"/>
                  <w:vMerge w:val="continue"/>
                  <w:tcBorders>
                    <w:tl2br w:val="nil"/>
                    <w:tr2bl w:val="nil"/>
                  </w:tcBorders>
                  <w:vAlign w:val="center"/>
                </w:tcPr>
                <w:p w14:paraId="271D7C40">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1076" w:type="pct"/>
                  <w:gridSpan w:val="2"/>
                  <w:tcBorders>
                    <w:tl2br w:val="nil"/>
                    <w:tr2bl w:val="nil"/>
                  </w:tcBorders>
                  <w:vAlign w:val="center"/>
                </w:tcPr>
                <w:p w14:paraId="10DFB16D">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脱水脱重烃分子筛</w:t>
                  </w:r>
                </w:p>
              </w:tc>
              <w:tc>
                <w:tcPr>
                  <w:tcW w:w="478" w:type="pct"/>
                  <w:tcBorders>
                    <w:tl2br w:val="nil"/>
                    <w:tr2bl w:val="nil"/>
                  </w:tcBorders>
                  <w:vAlign w:val="center"/>
                </w:tcPr>
                <w:p w14:paraId="043D8F67">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t/a</w:t>
                  </w:r>
                </w:p>
              </w:tc>
              <w:tc>
                <w:tcPr>
                  <w:tcW w:w="692" w:type="pct"/>
                  <w:tcBorders>
                    <w:tl2br w:val="nil"/>
                    <w:tr2bl w:val="nil"/>
                  </w:tcBorders>
                  <w:vAlign w:val="center"/>
                </w:tcPr>
                <w:p w14:paraId="5C8C8A58">
                  <w:pPr>
                    <w:pStyle w:val="58"/>
                    <w:keepNext w:val="0"/>
                    <w:keepLines w:val="0"/>
                    <w:widowControl/>
                    <w:suppressLineNumbers w:val="0"/>
                    <w:spacing w:before="0" w:beforeAutospacing="0" w:after="0" w:afterAutospacing="0"/>
                    <w:ind w:left="0" w:right="0"/>
                    <w:jc w:val="center"/>
                    <w:rPr>
                      <w:rFonts w:hint="eastAsia" w:eastAsia="宋体"/>
                      <w:color w:val="auto"/>
                      <w:szCs w:val="20"/>
                      <w:highlight w:val="none"/>
                      <w:lang w:eastAsia="zh-CN"/>
                    </w:rPr>
                  </w:pPr>
                  <w:r>
                    <w:rPr>
                      <w:rFonts w:hint="eastAsia"/>
                      <w:color w:val="auto"/>
                      <w:szCs w:val="20"/>
                      <w:highlight w:val="none"/>
                      <w:lang w:val="en-US" w:eastAsia="zh-CN"/>
                    </w:rPr>
                    <w:t>5</w:t>
                  </w:r>
                </w:p>
              </w:tc>
              <w:tc>
                <w:tcPr>
                  <w:tcW w:w="1091" w:type="pct"/>
                  <w:tcBorders>
                    <w:tl2br w:val="nil"/>
                    <w:tr2bl w:val="nil"/>
                  </w:tcBorders>
                  <w:vAlign w:val="center"/>
                </w:tcPr>
                <w:p w14:paraId="2AADD4BF">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硅胶、分子筛、氧化铝等</w:t>
                  </w:r>
                </w:p>
              </w:tc>
              <w:tc>
                <w:tcPr>
                  <w:tcW w:w="1303" w:type="pct"/>
                  <w:tcBorders>
                    <w:tl2br w:val="nil"/>
                    <w:tr2bl w:val="nil"/>
                  </w:tcBorders>
                  <w:vAlign w:val="center"/>
                </w:tcPr>
                <w:p w14:paraId="7BF1D8B0">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吸水</w:t>
                  </w:r>
                </w:p>
              </w:tc>
            </w:tr>
            <w:tr w14:paraId="42DAD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6" w:type="pct"/>
                  <w:vMerge w:val="continue"/>
                  <w:tcBorders>
                    <w:tl2br w:val="nil"/>
                    <w:tr2bl w:val="nil"/>
                  </w:tcBorders>
                  <w:vAlign w:val="center"/>
                </w:tcPr>
                <w:p w14:paraId="4E7B3339">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1076" w:type="pct"/>
                  <w:gridSpan w:val="2"/>
                  <w:tcBorders>
                    <w:tl2br w:val="nil"/>
                    <w:tr2bl w:val="nil"/>
                  </w:tcBorders>
                  <w:vAlign w:val="center"/>
                </w:tcPr>
                <w:p w14:paraId="7654CDA2">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污水处理</w:t>
                  </w:r>
                  <w:r>
                    <w:rPr>
                      <w:rFonts w:hint="eastAsia"/>
                      <w:color w:val="auto"/>
                      <w:szCs w:val="20"/>
                      <w:highlight w:val="none"/>
                      <w:lang w:eastAsia="zh-CN"/>
                    </w:rPr>
                    <w:t>活性炭</w:t>
                  </w:r>
                </w:p>
              </w:tc>
              <w:tc>
                <w:tcPr>
                  <w:tcW w:w="478" w:type="pct"/>
                  <w:tcBorders>
                    <w:tl2br w:val="nil"/>
                    <w:tr2bl w:val="nil"/>
                  </w:tcBorders>
                  <w:vAlign w:val="center"/>
                </w:tcPr>
                <w:p w14:paraId="4693D997">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t/a</w:t>
                  </w:r>
                </w:p>
              </w:tc>
              <w:tc>
                <w:tcPr>
                  <w:tcW w:w="692" w:type="pct"/>
                  <w:tcBorders>
                    <w:tl2br w:val="nil"/>
                    <w:tr2bl w:val="nil"/>
                  </w:tcBorders>
                  <w:vAlign w:val="center"/>
                </w:tcPr>
                <w:p w14:paraId="4A3774DE">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24</w:t>
                  </w:r>
                </w:p>
              </w:tc>
              <w:tc>
                <w:tcPr>
                  <w:tcW w:w="1091" w:type="pct"/>
                  <w:tcBorders>
                    <w:tl2br w:val="nil"/>
                    <w:tr2bl w:val="nil"/>
                  </w:tcBorders>
                  <w:vAlign w:val="center"/>
                </w:tcPr>
                <w:p w14:paraId="55E5BA61">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lang w:eastAsia="zh-CN"/>
                    </w:rPr>
                    <w:t>活性炭</w:t>
                  </w:r>
                  <w:r>
                    <w:rPr>
                      <w:rFonts w:hint="eastAsia"/>
                      <w:color w:val="auto"/>
                      <w:szCs w:val="20"/>
                      <w:highlight w:val="none"/>
                    </w:rPr>
                    <w:t>类</w:t>
                  </w:r>
                </w:p>
              </w:tc>
              <w:tc>
                <w:tcPr>
                  <w:tcW w:w="1303" w:type="pct"/>
                  <w:tcBorders>
                    <w:tl2br w:val="nil"/>
                    <w:tr2bl w:val="nil"/>
                  </w:tcBorders>
                  <w:vAlign w:val="center"/>
                </w:tcPr>
                <w:p w14:paraId="2329D10D">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去除污水中的有机烃等大分子物质</w:t>
                  </w:r>
                </w:p>
              </w:tc>
            </w:tr>
            <w:tr w14:paraId="7F850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6" w:type="pct"/>
                  <w:vMerge w:val="continue"/>
                  <w:tcBorders>
                    <w:tl2br w:val="nil"/>
                    <w:tr2bl w:val="nil"/>
                  </w:tcBorders>
                  <w:vAlign w:val="center"/>
                </w:tcPr>
                <w:p w14:paraId="3B4180B1">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276" w:type="pct"/>
                  <w:vMerge w:val="restart"/>
                  <w:tcBorders>
                    <w:tl2br w:val="nil"/>
                    <w:tr2bl w:val="nil"/>
                  </w:tcBorders>
                  <w:vAlign w:val="center"/>
                </w:tcPr>
                <w:p w14:paraId="48883F5B">
                  <w:pPr>
                    <w:pStyle w:val="58"/>
                    <w:keepNext w:val="0"/>
                    <w:keepLines w:val="0"/>
                    <w:widowControl/>
                    <w:suppressLineNumbers w:val="0"/>
                    <w:spacing w:before="0" w:beforeAutospacing="0" w:after="0" w:afterAutospacing="0"/>
                    <w:ind w:left="0" w:right="0"/>
                    <w:jc w:val="center"/>
                    <w:rPr>
                      <w:rFonts w:hint="eastAsia" w:eastAsia="宋体"/>
                      <w:color w:val="auto"/>
                      <w:szCs w:val="20"/>
                      <w:highlight w:val="none"/>
                      <w:lang w:val="en-US" w:eastAsia="zh-CN"/>
                    </w:rPr>
                  </w:pPr>
                  <w:r>
                    <w:rPr>
                      <w:rFonts w:hint="eastAsia"/>
                      <w:color w:val="auto"/>
                      <w:szCs w:val="20"/>
                      <w:highlight w:val="none"/>
                      <w:lang w:val="en-US" w:eastAsia="zh-CN"/>
                    </w:rPr>
                    <w:t>制冷剂</w:t>
                  </w:r>
                </w:p>
              </w:tc>
              <w:tc>
                <w:tcPr>
                  <w:tcW w:w="800" w:type="pct"/>
                  <w:tcBorders>
                    <w:tl2br w:val="nil"/>
                    <w:tr2bl w:val="nil"/>
                  </w:tcBorders>
                  <w:vAlign w:val="center"/>
                </w:tcPr>
                <w:p w14:paraId="1574200A">
                  <w:pPr>
                    <w:pStyle w:val="58"/>
                    <w:keepNext w:val="0"/>
                    <w:keepLines w:val="0"/>
                    <w:widowControl/>
                    <w:suppressLineNumbers w:val="0"/>
                    <w:spacing w:before="0" w:beforeAutospacing="0" w:after="0" w:afterAutospacing="0"/>
                    <w:ind w:left="0" w:right="0"/>
                    <w:jc w:val="center"/>
                    <w:rPr>
                      <w:rFonts w:hint="eastAsia" w:eastAsia="宋体"/>
                      <w:color w:val="auto"/>
                      <w:szCs w:val="20"/>
                      <w:highlight w:val="none"/>
                      <w:lang w:val="en-US" w:eastAsia="zh-CN"/>
                    </w:rPr>
                  </w:pPr>
                  <w:r>
                    <w:rPr>
                      <w:rFonts w:hint="eastAsia"/>
                      <w:color w:val="auto"/>
                      <w:szCs w:val="20"/>
                      <w:highlight w:val="none"/>
                      <w:lang w:val="en-US" w:eastAsia="zh-CN"/>
                    </w:rPr>
                    <w:t>乙烯</w:t>
                  </w:r>
                </w:p>
              </w:tc>
              <w:tc>
                <w:tcPr>
                  <w:tcW w:w="478" w:type="pct"/>
                  <w:tcBorders>
                    <w:tl2br w:val="nil"/>
                    <w:tr2bl w:val="nil"/>
                  </w:tcBorders>
                  <w:vAlign w:val="center"/>
                </w:tcPr>
                <w:p w14:paraId="4256151A">
                  <w:pPr>
                    <w:pStyle w:val="58"/>
                    <w:keepNext w:val="0"/>
                    <w:keepLines w:val="0"/>
                    <w:widowControl/>
                    <w:suppressLineNumbers w:val="0"/>
                    <w:spacing w:before="0" w:beforeAutospacing="0" w:after="0" w:afterAutospacing="0"/>
                    <w:ind w:left="0" w:right="0"/>
                    <w:jc w:val="center"/>
                    <w:rPr>
                      <w:rFonts w:hint="eastAsia"/>
                      <w:color w:val="auto"/>
                      <w:szCs w:val="20"/>
                      <w:highlight w:val="none"/>
                    </w:rPr>
                  </w:pPr>
                  <w:r>
                    <w:rPr>
                      <w:rFonts w:hint="eastAsia"/>
                      <w:color w:val="auto"/>
                      <w:szCs w:val="20"/>
                      <w:highlight w:val="none"/>
                    </w:rPr>
                    <w:t>t/a</w:t>
                  </w:r>
                </w:p>
              </w:tc>
              <w:tc>
                <w:tcPr>
                  <w:tcW w:w="692" w:type="pct"/>
                  <w:tcBorders>
                    <w:tl2br w:val="nil"/>
                    <w:tr2bl w:val="nil"/>
                  </w:tcBorders>
                  <w:vAlign w:val="center"/>
                </w:tcPr>
                <w:p w14:paraId="2D8990B6">
                  <w:pPr>
                    <w:pStyle w:val="58"/>
                    <w:keepNext w:val="0"/>
                    <w:keepLines w:val="0"/>
                    <w:widowControl/>
                    <w:suppressLineNumbers w:val="0"/>
                    <w:spacing w:before="0" w:beforeAutospacing="0" w:after="0" w:afterAutospacing="0"/>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23.67</w:t>
                  </w:r>
                </w:p>
              </w:tc>
              <w:tc>
                <w:tcPr>
                  <w:tcW w:w="1091" w:type="pct"/>
                  <w:tcBorders>
                    <w:tl2br w:val="nil"/>
                    <w:tr2bl w:val="nil"/>
                  </w:tcBorders>
                  <w:vAlign w:val="center"/>
                </w:tcPr>
                <w:p w14:paraId="6B055108">
                  <w:pPr>
                    <w:pStyle w:val="58"/>
                    <w:keepNext w:val="0"/>
                    <w:keepLines w:val="0"/>
                    <w:widowControl/>
                    <w:suppressLineNumbers w:val="0"/>
                    <w:spacing w:before="0" w:beforeAutospacing="0" w:after="0" w:afterAutospacing="0"/>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w:t>
                  </w:r>
                </w:p>
              </w:tc>
              <w:tc>
                <w:tcPr>
                  <w:tcW w:w="1303" w:type="pct"/>
                  <w:tcBorders>
                    <w:tl2br w:val="nil"/>
                    <w:tr2bl w:val="nil"/>
                  </w:tcBorders>
                  <w:vAlign w:val="center"/>
                </w:tcPr>
                <w:p w14:paraId="244D6F95">
                  <w:pPr>
                    <w:pStyle w:val="58"/>
                    <w:keepNext w:val="0"/>
                    <w:keepLines w:val="0"/>
                    <w:widowControl/>
                    <w:suppressLineNumbers w:val="0"/>
                    <w:spacing w:before="0" w:beforeAutospacing="0" w:after="0" w:afterAutospacing="0"/>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w:t>
                  </w:r>
                </w:p>
              </w:tc>
            </w:tr>
            <w:tr w14:paraId="6B098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6" w:type="pct"/>
                  <w:vMerge w:val="continue"/>
                  <w:tcBorders>
                    <w:tl2br w:val="nil"/>
                    <w:tr2bl w:val="nil"/>
                  </w:tcBorders>
                  <w:vAlign w:val="center"/>
                </w:tcPr>
                <w:p w14:paraId="6DE6EFD2">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276" w:type="pct"/>
                  <w:vMerge w:val="continue"/>
                  <w:tcBorders>
                    <w:tl2br w:val="nil"/>
                    <w:tr2bl w:val="nil"/>
                  </w:tcBorders>
                  <w:vAlign w:val="center"/>
                </w:tcPr>
                <w:p w14:paraId="48039795">
                  <w:pPr>
                    <w:pStyle w:val="58"/>
                    <w:keepNext w:val="0"/>
                    <w:keepLines w:val="0"/>
                    <w:widowControl/>
                    <w:suppressLineNumbers w:val="0"/>
                    <w:spacing w:before="0" w:beforeAutospacing="0" w:after="0" w:afterAutospacing="0"/>
                    <w:ind w:left="0" w:right="0"/>
                    <w:jc w:val="center"/>
                    <w:rPr>
                      <w:rFonts w:hint="eastAsia"/>
                      <w:color w:val="auto"/>
                      <w:szCs w:val="20"/>
                      <w:highlight w:val="none"/>
                    </w:rPr>
                  </w:pPr>
                </w:p>
              </w:tc>
              <w:tc>
                <w:tcPr>
                  <w:tcW w:w="800" w:type="pct"/>
                  <w:tcBorders>
                    <w:tl2br w:val="nil"/>
                    <w:tr2bl w:val="nil"/>
                  </w:tcBorders>
                  <w:vAlign w:val="center"/>
                </w:tcPr>
                <w:p w14:paraId="7D88474B">
                  <w:pPr>
                    <w:pStyle w:val="58"/>
                    <w:keepNext w:val="0"/>
                    <w:keepLines w:val="0"/>
                    <w:widowControl/>
                    <w:suppressLineNumbers w:val="0"/>
                    <w:spacing w:before="0" w:beforeAutospacing="0" w:after="0" w:afterAutospacing="0"/>
                    <w:ind w:left="0" w:right="0"/>
                    <w:jc w:val="center"/>
                    <w:rPr>
                      <w:rFonts w:hint="eastAsia" w:eastAsia="宋体"/>
                      <w:color w:val="auto"/>
                      <w:szCs w:val="20"/>
                      <w:highlight w:val="none"/>
                      <w:lang w:val="en-US" w:eastAsia="zh-CN"/>
                    </w:rPr>
                  </w:pPr>
                  <w:r>
                    <w:rPr>
                      <w:rFonts w:hint="eastAsia"/>
                      <w:color w:val="auto"/>
                      <w:szCs w:val="20"/>
                      <w:highlight w:val="none"/>
                      <w:lang w:val="en-US" w:eastAsia="zh-CN"/>
                    </w:rPr>
                    <w:t>丙烷</w:t>
                  </w:r>
                </w:p>
              </w:tc>
              <w:tc>
                <w:tcPr>
                  <w:tcW w:w="478" w:type="pct"/>
                  <w:tcBorders>
                    <w:tl2br w:val="nil"/>
                    <w:tr2bl w:val="nil"/>
                  </w:tcBorders>
                  <w:vAlign w:val="center"/>
                </w:tcPr>
                <w:p w14:paraId="40DA5610">
                  <w:pPr>
                    <w:pStyle w:val="58"/>
                    <w:keepNext w:val="0"/>
                    <w:keepLines w:val="0"/>
                    <w:widowControl/>
                    <w:suppressLineNumbers w:val="0"/>
                    <w:spacing w:before="0" w:beforeAutospacing="0" w:after="0" w:afterAutospacing="0"/>
                    <w:ind w:left="0" w:right="0"/>
                    <w:jc w:val="center"/>
                    <w:rPr>
                      <w:rFonts w:hint="eastAsia"/>
                      <w:color w:val="auto"/>
                      <w:szCs w:val="20"/>
                      <w:highlight w:val="none"/>
                    </w:rPr>
                  </w:pPr>
                  <w:r>
                    <w:rPr>
                      <w:rFonts w:hint="eastAsia"/>
                      <w:color w:val="auto"/>
                      <w:szCs w:val="20"/>
                      <w:highlight w:val="none"/>
                    </w:rPr>
                    <w:t>t/a</w:t>
                  </w:r>
                </w:p>
              </w:tc>
              <w:tc>
                <w:tcPr>
                  <w:tcW w:w="692" w:type="pct"/>
                  <w:tcBorders>
                    <w:tl2br w:val="nil"/>
                    <w:tr2bl w:val="nil"/>
                  </w:tcBorders>
                  <w:vAlign w:val="center"/>
                </w:tcPr>
                <w:p w14:paraId="1F381B33">
                  <w:pPr>
                    <w:pStyle w:val="58"/>
                    <w:keepNext w:val="0"/>
                    <w:keepLines w:val="0"/>
                    <w:widowControl/>
                    <w:suppressLineNumbers w:val="0"/>
                    <w:spacing w:before="0" w:beforeAutospacing="0" w:after="0" w:afterAutospacing="0"/>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19.26</w:t>
                  </w:r>
                </w:p>
              </w:tc>
              <w:tc>
                <w:tcPr>
                  <w:tcW w:w="1091" w:type="pct"/>
                  <w:tcBorders>
                    <w:tl2br w:val="nil"/>
                    <w:tr2bl w:val="nil"/>
                  </w:tcBorders>
                  <w:vAlign w:val="center"/>
                </w:tcPr>
                <w:p w14:paraId="77364507">
                  <w:pPr>
                    <w:pStyle w:val="58"/>
                    <w:keepNext w:val="0"/>
                    <w:keepLines w:val="0"/>
                    <w:widowControl/>
                    <w:suppressLineNumbers w:val="0"/>
                    <w:spacing w:before="0" w:beforeAutospacing="0" w:after="0" w:afterAutospacing="0"/>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w:t>
                  </w:r>
                </w:p>
              </w:tc>
              <w:tc>
                <w:tcPr>
                  <w:tcW w:w="1303" w:type="pct"/>
                  <w:tcBorders>
                    <w:tl2br w:val="nil"/>
                    <w:tr2bl w:val="nil"/>
                  </w:tcBorders>
                  <w:vAlign w:val="center"/>
                </w:tcPr>
                <w:p w14:paraId="02251E40">
                  <w:pPr>
                    <w:pStyle w:val="58"/>
                    <w:keepNext w:val="0"/>
                    <w:keepLines w:val="0"/>
                    <w:widowControl/>
                    <w:suppressLineNumbers w:val="0"/>
                    <w:spacing w:before="0" w:beforeAutospacing="0" w:after="0" w:afterAutospacing="0"/>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w:t>
                  </w:r>
                </w:p>
              </w:tc>
            </w:tr>
            <w:tr w14:paraId="53EED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56" w:type="pct"/>
                  <w:vMerge w:val="continue"/>
                  <w:tcBorders>
                    <w:tl2br w:val="nil"/>
                    <w:tr2bl w:val="nil"/>
                  </w:tcBorders>
                  <w:vAlign w:val="center"/>
                </w:tcPr>
                <w:p w14:paraId="66DD8EDC">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276" w:type="pct"/>
                  <w:vMerge w:val="continue"/>
                  <w:tcBorders>
                    <w:tl2br w:val="nil"/>
                    <w:tr2bl w:val="nil"/>
                  </w:tcBorders>
                  <w:vAlign w:val="center"/>
                </w:tcPr>
                <w:p w14:paraId="33355A8F">
                  <w:pPr>
                    <w:pStyle w:val="58"/>
                    <w:keepNext w:val="0"/>
                    <w:keepLines w:val="0"/>
                    <w:widowControl/>
                    <w:suppressLineNumbers w:val="0"/>
                    <w:spacing w:before="0" w:beforeAutospacing="0" w:after="0" w:afterAutospacing="0"/>
                    <w:ind w:left="0" w:right="0"/>
                    <w:jc w:val="center"/>
                    <w:rPr>
                      <w:rFonts w:hint="eastAsia"/>
                      <w:color w:val="auto"/>
                      <w:szCs w:val="20"/>
                      <w:highlight w:val="none"/>
                    </w:rPr>
                  </w:pPr>
                </w:p>
              </w:tc>
              <w:tc>
                <w:tcPr>
                  <w:tcW w:w="800" w:type="pct"/>
                  <w:tcBorders>
                    <w:tl2br w:val="nil"/>
                    <w:tr2bl w:val="nil"/>
                  </w:tcBorders>
                  <w:vAlign w:val="center"/>
                </w:tcPr>
                <w:p w14:paraId="2278171F">
                  <w:pPr>
                    <w:pStyle w:val="58"/>
                    <w:keepNext w:val="0"/>
                    <w:keepLines w:val="0"/>
                    <w:widowControl/>
                    <w:suppressLineNumbers w:val="0"/>
                    <w:spacing w:before="0" w:beforeAutospacing="0" w:after="0" w:afterAutospacing="0"/>
                    <w:ind w:left="0" w:right="0"/>
                    <w:jc w:val="center"/>
                    <w:rPr>
                      <w:rFonts w:hint="eastAsia" w:eastAsia="宋体"/>
                      <w:color w:val="auto"/>
                      <w:szCs w:val="20"/>
                      <w:highlight w:val="none"/>
                      <w:lang w:val="en-US" w:eastAsia="zh-CN"/>
                    </w:rPr>
                  </w:pPr>
                  <w:r>
                    <w:rPr>
                      <w:rFonts w:hint="eastAsia"/>
                      <w:color w:val="auto"/>
                      <w:szCs w:val="20"/>
                      <w:highlight w:val="none"/>
                      <w:lang w:val="en-US" w:eastAsia="zh-CN"/>
                    </w:rPr>
                    <w:t>异戊烷</w:t>
                  </w:r>
                </w:p>
              </w:tc>
              <w:tc>
                <w:tcPr>
                  <w:tcW w:w="478" w:type="pct"/>
                  <w:tcBorders>
                    <w:tl2br w:val="nil"/>
                    <w:tr2bl w:val="nil"/>
                  </w:tcBorders>
                  <w:vAlign w:val="center"/>
                </w:tcPr>
                <w:p w14:paraId="6E5B302F">
                  <w:pPr>
                    <w:pStyle w:val="58"/>
                    <w:keepNext w:val="0"/>
                    <w:keepLines w:val="0"/>
                    <w:widowControl/>
                    <w:suppressLineNumbers w:val="0"/>
                    <w:spacing w:before="0" w:beforeAutospacing="0" w:after="0" w:afterAutospacing="0"/>
                    <w:ind w:left="0" w:right="0"/>
                    <w:jc w:val="center"/>
                    <w:rPr>
                      <w:rFonts w:hint="eastAsia"/>
                      <w:color w:val="auto"/>
                      <w:szCs w:val="20"/>
                      <w:highlight w:val="none"/>
                    </w:rPr>
                  </w:pPr>
                  <w:r>
                    <w:rPr>
                      <w:rFonts w:hint="eastAsia"/>
                      <w:color w:val="auto"/>
                      <w:szCs w:val="20"/>
                      <w:highlight w:val="none"/>
                    </w:rPr>
                    <w:t>t/a</w:t>
                  </w:r>
                </w:p>
              </w:tc>
              <w:tc>
                <w:tcPr>
                  <w:tcW w:w="692" w:type="pct"/>
                  <w:tcBorders>
                    <w:tl2br w:val="nil"/>
                    <w:tr2bl w:val="nil"/>
                  </w:tcBorders>
                  <w:vAlign w:val="center"/>
                </w:tcPr>
                <w:p w14:paraId="02C66791">
                  <w:pPr>
                    <w:pStyle w:val="58"/>
                    <w:keepNext w:val="0"/>
                    <w:keepLines w:val="0"/>
                    <w:widowControl/>
                    <w:suppressLineNumbers w:val="0"/>
                    <w:spacing w:before="0" w:beforeAutospacing="0" w:after="0" w:afterAutospacing="0"/>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16.26</w:t>
                  </w:r>
                </w:p>
              </w:tc>
              <w:tc>
                <w:tcPr>
                  <w:tcW w:w="1091" w:type="pct"/>
                  <w:tcBorders>
                    <w:tl2br w:val="nil"/>
                    <w:tr2bl w:val="nil"/>
                  </w:tcBorders>
                  <w:vAlign w:val="center"/>
                </w:tcPr>
                <w:p w14:paraId="04FDF638">
                  <w:pPr>
                    <w:pStyle w:val="58"/>
                    <w:keepNext w:val="0"/>
                    <w:keepLines w:val="0"/>
                    <w:widowControl/>
                    <w:suppressLineNumbers w:val="0"/>
                    <w:spacing w:before="0" w:beforeAutospacing="0" w:after="0" w:afterAutospacing="0"/>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w:t>
                  </w:r>
                </w:p>
              </w:tc>
              <w:tc>
                <w:tcPr>
                  <w:tcW w:w="1303" w:type="pct"/>
                  <w:tcBorders>
                    <w:tl2br w:val="nil"/>
                    <w:tr2bl w:val="nil"/>
                  </w:tcBorders>
                  <w:vAlign w:val="center"/>
                </w:tcPr>
                <w:p w14:paraId="0FD3BD2F">
                  <w:pPr>
                    <w:pStyle w:val="58"/>
                    <w:keepNext w:val="0"/>
                    <w:keepLines w:val="0"/>
                    <w:widowControl/>
                    <w:suppressLineNumbers w:val="0"/>
                    <w:spacing w:before="0" w:beforeAutospacing="0" w:after="0" w:afterAutospacing="0"/>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w:t>
                  </w:r>
                </w:p>
              </w:tc>
            </w:tr>
            <w:tr w14:paraId="5A325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356" w:type="pct"/>
                  <w:vMerge w:val="restart"/>
                  <w:tcBorders>
                    <w:tl2br w:val="nil"/>
                    <w:tr2bl w:val="nil"/>
                  </w:tcBorders>
                  <w:vAlign w:val="center"/>
                </w:tcPr>
                <w:p w14:paraId="462392FC">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能源</w:t>
                  </w:r>
                </w:p>
              </w:tc>
              <w:tc>
                <w:tcPr>
                  <w:tcW w:w="1076" w:type="pct"/>
                  <w:gridSpan w:val="2"/>
                  <w:tcBorders>
                    <w:tl2br w:val="nil"/>
                    <w:tr2bl w:val="nil"/>
                  </w:tcBorders>
                  <w:vAlign w:val="center"/>
                </w:tcPr>
                <w:p w14:paraId="638DEC58">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水</w:t>
                  </w:r>
                </w:p>
              </w:tc>
              <w:tc>
                <w:tcPr>
                  <w:tcW w:w="478" w:type="pct"/>
                  <w:tcBorders>
                    <w:tl2br w:val="nil"/>
                    <w:tr2bl w:val="nil"/>
                  </w:tcBorders>
                  <w:vAlign w:val="center"/>
                </w:tcPr>
                <w:p w14:paraId="6EBC32B8">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t/h</w:t>
                  </w:r>
                </w:p>
              </w:tc>
              <w:tc>
                <w:tcPr>
                  <w:tcW w:w="692" w:type="pct"/>
                  <w:tcBorders>
                    <w:tl2br w:val="nil"/>
                    <w:tr2bl w:val="nil"/>
                  </w:tcBorders>
                  <w:vAlign w:val="center"/>
                </w:tcPr>
                <w:p w14:paraId="2D43EF87">
                  <w:pPr>
                    <w:pStyle w:val="58"/>
                    <w:keepNext w:val="0"/>
                    <w:keepLines w:val="0"/>
                    <w:widowControl/>
                    <w:suppressLineNumbers w:val="0"/>
                    <w:spacing w:before="0" w:beforeAutospacing="0" w:after="0" w:afterAutospacing="0"/>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100980</w:t>
                  </w:r>
                </w:p>
              </w:tc>
              <w:tc>
                <w:tcPr>
                  <w:tcW w:w="1091" w:type="pct"/>
                  <w:tcBorders>
                    <w:tl2br w:val="nil"/>
                    <w:tr2bl w:val="nil"/>
                  </w:tcBorders>
                  <w:vAlign w:val="center"/>
                </w:tcPr>
                <w:p w14:paraId="2855FE0E">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w:t>
                  </w:r>
                </w:p>
              </w:tc>
              <w:tc>
                <w:tcPr>
                  <w:tcW w:w="1303" w:type="pct"/>
                  <w:tcBorders>
                    <w:tl2br w:val="nil"/>
                    <w:tr2bl w:val="nil"/>
                  </w:tcBorders>
                  <w:vAlign w:val="center"/>
                </w:tcPr>
                <w:p w14:paraId="65D3061D">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w:t>
                  </w:r>
                </w:p>
              </w:tc>
            </w:tr>
            <w:tr w14:paraId="1D5D0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356" w:type="pct"/>
                  <w:vMerge w:val="continue"/>
                  <w:tcBorders>
                    <w:tl2br w:val="nil"/>
                    <w:tr2bl w:val="nil"/>
                  </w:tcBorders>
                  <w:vAlign w:val="center"/>
                </w:tcPr>
                <w:p w14:paraId="6960C15C">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1076" w:type="pct"/>
                  <w:gridSpan w:val="2"/>
                  <w:tcBorders>
                    <w:tl2br w:val="nil"/>
                    <w:tr2bl w:val="nil"/>
                  </w:tcBorders>
                  <w:vAlign w:val="center"/>
                </w:tcPr>
                <w:p w14:paraId="67B0D32D">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电</w:t>
                  </w:r>
                </w:p>
              </w:tc>
              <w:tc>
                <w:tcPr>
                  <w:tcW w:w="478" w:type="pct"/>
                  <w:tcBorders>
                    <w:tl2br w:val="nil"/>
                    <w:tr2bl w:val="nil"/>
                  </w:tcBorders>
                  <w:vAlign w:val="center"/>
                </w:tcPr>
                <w:p w14:paraId="72883A35">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kwh/a</w:t>
                  </w:r>
                </w:p>
              </w:tc>
              <w:tc>
                <w:tcPr>
                  <w:tcW w:w="692" w:type="pct"/>
                  <w:tcBorders>
                    <w:tl2br w:val="nil"/>
                    <w:tr2bl w:val="nil"/>
                  </w:tcBorders>
                  <w:vAlign w:val="center"/>
                </w:tcPr>
                <w:p w14:paraId="75333681">
                  <w:pPr>
                    <w:pStyle w:val="58"/>
                    <w:keepNext w:val="0"/>
                    <w:keepLines w:val="0"/>
                    <w:widowControl/>
                    <w:suppressLineNumbers w:val="0"/>
                    <w:spacing w:before="0" w:beforeAutospacing="0" w:after="0" w:afterAutospacing="0"/>
                    <w:ind w:left="0" w:right="0"/>
                    <w:jc w:val="center"/>
                    <w:rPr>
                      <w:rFonts w:hint="default" w:eastAsia="宋体"/>
                      <w:color w:val="auto"/>
                      <w:szCs w:val="20"/>
                      <w:highlight w:val="none"/>
                      <w:lang w:val="en-US" w:eastAsia="zh-CN"/>
                    </w:rPr>
                  </w:pPr>
                  <w:r>
                    <w:rPr>
                      <w:rFonts w:hint="eastAsia"/>
                      <w:color w:val="auto"/>
                      <w:szCs w:val="20"/>
                      <w:highlight w:val="none"/>
                      <w:lang w:val="en-US" w:eastAsia="zh-CN"/>
                    </w:rPr>
                    <w:t>4100</w:t>
                  </w:r>
                </w:p>
              </w:tc>
              <w:tc>
                <w:tcPr>
                  <w:tcW w:w="1091" w:type="pct"/>
                  <w:tcBorders>
                    <w:tl2br w:val="nil"/>
                    <w:tr2bl w:val="nil"/>
                  </w:tcBorders>
                  <w:vAlign w:val="center"/>
                </w:tcPr>
                <w:p w14:paraId="49AE6066">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w:t>
                  </w:r>
                </w:p>
              </w:tc>
              <w:tc>
                <w:tcPr>
                  <w:tcW w:w="1303" w:type="pct"/>
                  <w:tcBorders>
                    <w:tl2br w:val="nil"/>
                    <w:tr2bl w:val="nil"/>
                  </w:tcBorders>
                  <w:vAlign w:val="center"/>
                </w:tcPr>
                <w:p w14:paraId="53C0C2C9">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r>
                    <w:rPr>
                      <w:rFonts w:hint="eastAsia"/>
                      <w:color w:val="auto"/>
                      <w:szCs w:val="20"/>
                      <w:highlight w:val="none"/>
                    </w:rPr>
                    <w:t>/</w:t>
                  </w:r>
                </w:p>
              </w:tc>
            </w:tr>
            <w:tr w14:paraId="44C040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356" w:type="pct"/>
                  <w:vMerge w:val="continue"/>
                  <w:tcBorders>
                    <w:tl2br w:val="nil"/>
                    <w:tr2bl w:val="nil"/>
                  </w:tcBorders>
                  <w:vAlign w:val="center"/>
                </w:tcPr>
                <w:p w14:paraId="3D5E5E7D">
                  <w:pPr>
                    <w:pStyle w:val="58"/>
                    <w:keepNext w:val="0"/>
                    <w:keepLines w:val="0"/>
                    <w:widowControl/>
                    <w:suppressLineNumbers w:val="0"/>
                    <w:spacing w:before="0" w:beforeAutospacing="0" w:after="0" w:afterAutospacing="0"/>
                    <w:ind w:left="0" w:right="0"/>
                    <w:jc w:val="center"/>
                    <w:rPr>
                      <w:rFonts w:hint="default"/>
                      <w:color w:val="auto"/>
                      <w:szCs w:val="20"/>
                      <w:highlight w:val="none"/>
                    </w:rPr>
                  </w:pPr>
                </w:p>
              </w:tc>
              <w:tc>
                <w:tcPr>
                  <w:tcW w:w="1076" w:type="pct"/>
                  <w:gridSpan w:val="2"/>
                  <w:tcBorders>
                    <w:tl2br w:val="nil"/>
                    <w:tr2bl w:val="nil"/>
                  </w:tcBorders>
                  <w:vAlign w:val="center"/>
                </w:tcPr>
                <w:p w14:paraId="5130E95D">
                  <w:pPr>
                    <w:pStyle w:val="58"/>
                    <w:keepNext w:val="0"/>
                    <w:keepLines w:val="0"/>
                    <w:widowControl/>
                    <w:suppressLineNumbers w:val="0"/>
                    <w:spacing w:before="0" w:beforeAutospacing="0" w:after="0" w:afterAutospacing="0"/>
                    <w:ind w:left="0" w:right="0"/>
                    <w:jc w:val="center"/>
                    <w:rPr>
                      <w:rFonts w:hint="eastAsia" w:eastAsia="宋体"/>
                      <w:color w:val="auto"/>
                      <w:szCs w:val="20"/>
                      <w:highlight w:val="none"/>
                      <w:lang w:val="en-US" w:eastAsia="zh-CN"/>
                    </w:rPr>
                  </w:pPr>
                  <w:r>
                    <w:rPr>
                      <w:rFonts w:hint="eastAsia"/>
                      <w:color w:val="auto"/>
                      <w:szCs w:val="20"/>
                      <w:highlight w:val="none"/>
                      <w:lang w:val="en-US" w:eastAsia="zh-CN"/>
                    </w:rPr>
                    <w:t>天然气</w:t>
                  </w:r>
                </w:p>
              </w:tc>
              <w:tc>
                <w:tcPr>
                  <w:tcW w:w="478" w:type="pct"/>
                  <w:tcBorders>
                    <w:tl2br w:val="nil"/>
                    <w:tr2bl w:val="nil"/>
                  </w:tcBorders>
                  <w:vAlign w:val="center"/>
                </w:tcPr>
                <w:p w14:paraId="15651268">
                  <w:pPr>
                    <w:pStyle w:val="58"/>
                    <w:keepNext w:val="0"/>
                    <w:keepLines w:val="0"/>
                    <w:widowControl/>
                    <w:suppressLineNumbers w:val="0"/>
                    <w:spacing w:before="0" w:beforeAutospacing="0" w:after="0" w:afterAutospacing="0"/>
                    <w:ind w:left="0" w:right="0"/>
                    <w:jc w:val="center"/>
                    <w:rPr>
                      <w:rFonts w:hint="eastAsia"/>
                      <w:color w:val="auto"/>
                      <w:szCs w:val="20"/>
                      <w:highlight w:val="none"/>
                    </w:rPr>
                  </w:pPr>
                  <w:r>
                    <w:rPr>
                      <w:rFonts w:hint="eastAsia"/>
                      <w:color w:val="auto"/>
                      <w:szCs w:val="20"/>
                      <w:highlight w:val="none"/>
                    </w:rPr>
                    <w:t>Nm</w:t>
                  </w:r>
                  <w:r>
                    <w:rPr>
                      <w:rFonts w:hint="eastAsia" w:ascii="宋体" w:hAnsi="宋体"/>
                      <w:color w:val="auto"/>
                      <w:szCs w:val="20"/>
                      <w:highlight w:val="none"/>
                    </w:rPr>
                    <w:t>³</w:t>
                  </w:r>
                  <w:r>
                    <w:rPr>
                      <w:rFonts w:hint="eastAsia"/>
                      <w:color w:val="auto"/>
                      <w:szCs w:val="20"/>
                      <w:highlight w:val="none"/>
                    </w:rPr>
                    <w:t>/a</w:t>
                  </w:r>
                </w:p>
              </w:tc>
              <w:tc>
                <w:tcPr>
                  <w:tcW w:w="692" w:type="pct"/>
                  <w:tcBorders>
                    <w:tl2br w:val="nil"/>
                    <w:tr2bl w:val="nil"/>
                  </w:tcBorders>
                  <w:vAlign w:val="center"/>
                </w:tcPr>
                <w:p w14:paraId="2B1FFE93">
                  <w:pPr>
                    <w:pStyle w:val="58"/>
                    <w:keepNext w:val="0"/>
                    <w:keepLines w:val="0"/>
                    <w:widowControl/>
                    <w:suppressLineNumbers w:val="0"/>
                    <w:spacing w:before="0" w:beforeAutospacing="0" w:after="0" w:afterAutospacing="0"/>
                    <w:ind w:left="0" w:right="0"/>
                    <w:jc w:val="center"/>
                    <w:rPr>
                      <w:rFonts w:hint="default"/>
                      <w:color w:val="auto"/>
                      <w:szCs w:val="20"/>
                      <w:highlight w:val="none"/>
                      <w:lang w:val="en-US" w:eastAsia="zh-CN"/>
                    </w:rPr>
                  </w:pPr>
                  <w:r>
                    <w:rPr>
                      <w:rFonts w:hint="eastAsia"/>
                      <w:color w:val="auto"/>
                      <w:szCs w:val="20"/>
                      <w:highlight w:val="none"/>
                      <w:lang w:val="en-US" w:eastAsia="zh-CN"/>
                    </w:rPr>
                    <w:t>8600</w:t>
                  </w:r>
                  <w:r>
                    <w:rPr>
                      <w:rFonts w:hint="eastAsia" w:ascii="宋体" w:hAnsi="宋体"/>
                      <w:color w:val="auto"/>
                      <w:szCs w:val="20"/>
                      <w:highlight w:val="none"/>
                    </w:rPr>
                    <w:t>×</w:t>
                  </w:r>
                  <w:r>
                    <w:rPr>
                      <w:rFonts w:hint="eastAsia"/>
                      <w:color w:val="auto"/>
                      <w:szCs w:val="20"/>
                      <w:highlight w:val="none"/>
                    </w:rPr>
                    <w:t>10</w:t>
                  </w:r>
                  <w:r>
                    <w:rPr>
                      <w:rFonts w:hint="eastAsia"/>
                      <w:color w:val="auto"/>
                      <w:szCs w:val="20"/>
                      <w:highlight w:val="none"/>
                      <w:vertAlign w:val="superscript"/>
                      <w:lang w:val="en-US" w:eastAsia="zh-CN"/>
                    </w:rPr>
                    <w:t>4</w:t>
                  </w:r>
                </w:p>
              </w:tc>
              <w:tc>
                <w:tcPr>
                  <w:tcW w:w="1091" w:type="pct"/>
                  <w:tcBorders>
                    <w:tl2br w:val="nil"/>
                    <w:tr2bl w:val="nil"/>
                  </w:tcBorders>
                  <w:vAlign w:val="center"/>
                </w:tcPr>
                <w:p w14:paraId="60145130">
                  <w:pPr>
                    <w:pStyle w:val="58"/>
                    <w:keepNext w:val="0"/>
                    <w:keepLines w:val="0"/>
                    <w:widowControl/>
                    <w:suppressLineNumbers w:val="0"/>
                    <w:spacing w:before="0" w:beforeAutospacing="0" w:after="0" w:afterAutospacing="0"/>
                    <w:ind w:left="0" w:right="0"/>
                    <w:jc w:val="center"/>
                    <w:rPr>
                      <w:rFonts w:hint="eastAsia"/>
                      <w:color w:val="auto"/>
                      <w:szCs w:val="20"/>
                      <w:highlight w:val="none"/>
                    </w:rPr>
                  </w:pPr>
                </w:p>
              </w:tc>
              <w:tc>
                <w:tcPr>
                  <w:tcW w:w="1303" w:type="pct"/>
                  <w:tcBorders>
                    <w:tl2br w:val="nil"/>
                    <w:tr2bl w:val="nil"/>
                  </w:tcBorders>
                  <w:vAlign w:val="center"/>
                </w:tcPr>
                <w:p w14:paraId="261A5353">
                  <w:pPr>
                    <w:pStyle w:val="58"/>
                    <w:keepNext w:val="0"/>
                    <w:keepLines w:val="0"/>
                    <w:widowControl/>
                    <w:suppressLineNumbers w:val="0"/>
                    <w:spacing w:before="0" w:beforeAutospacing="0" w:after="0" w:afterAutospacing="0"/>
                    <w:ind w:left="0" w:right="0"/>
                    <w:jc w:val="center"/>
                    <w:rPr>
                      <w:rFonts w:hint="eastAsia"/>
                      <w:color w:val="auto"/>
                      <w:szCs w:val="20"/>
                      <w:highlight w:val="none"/>
                    </w:rPr>
                  </w:pPr>
                </w:p>
              </w:tc>
            </w:tr>
          </w:tbl>
          <w:p w14:paraId="5B8F34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（2）生产设备</w:t>
            </w:r>
          </w:p>
          <w:p w14:paraId="251422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现有工程生产设备如下表。</w:t>
            </w:r>
          </w:p>
          <w:p w14:paraId="4201D128">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2-5</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生产设备表</w:t>
            </w:r>
          </w:p>
          <w:tbl>
            <w:tblPr>
              <w:tblStyle w:val="17"/>
              <w:tblW w:w="92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16"/>
              <w:gridCol w:w="2253"/>
              <w:gridCol w:w="3439"/>
              <w:gridCol w:w="761"/>
              <w:gridCol w:w="2134"/>
            </w:tblGrid>
            <w:tr w14:paraId="6A6EB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4D18F18A">
                  <w:pPr>
                    <w:pStyle w:val="58"/>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序号</w:t>
                  </w:r>
                </w:p>
              </w:tc>
              <w:tc>
                <w:tcPr>
                  <w:tcW w:w="2253" w:type="dxa"/>
                  <w:noWrap w:val="0"/>
                  <w:vAlign w:val="center"/>
                </w:tcPr>
                <w:p w14:paraId="6029E5D9">
                  <w:pPr>
                    <w:pStyle w:val="58"/>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设备名称</w:t>
                  </w:r>
                </w:p>
              </w:tc>
              <w:tc>
                <w:tcPr>
                  <w:tcW w:w="3439" w:type="dxa"/>
                  <w:noWrap w:val="0"/>
                  <w:vAlign w:val="center"/>
                </w:tcPr>
                <w:p w14:paraId="4867CE97">
                  <w:pPr>
                    <w:pStyle w:val="58"/>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设备名称、规格</w:t>
                  </w:r>
                </w:p>
              </w:tc>
              <w:tc>
                <w:tcPr>
                  <w:tcW w:w="761" w:type="dxa"/>
                  <w:noWrap w:val="0"/>
                  <w:vAlign w:val="center"/>
                </w:tcPr>
                <w:p w14:paraId="04617A60">
                  <w:pPr>
                    <w:pStyle w:val="58"/>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数量</w:t>
                  </w:r>
                </w:p>
              </w:tc>
              <w:tc>
                <w:tcPr>
                  <w:tcW w:w="2134" w:type="dxa"/>
                  <w:noWrap w:val="0"/>
                  <w:vAlign w:val="center"/>
                </w:tcPr>
                <w:p w14:paraId="4A7B7D9C">
                  <w:pPr>
                    <w:pStyle w:val="58"/>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eastAsia="宋体" w:cs="Times New Roman"/>
                      <w:b/>
                      <w:bCs/>
                      <w:color w:val="auto"/>
                      <w:kern w:val="2"/>
                      <w:sz w:val="21"/>
                      <w:szCs w:val="21"/>
                      <w:highlight w:val="none"/>
                      <w:lang w:val="en-US" w:eastAsia="zh-CN" w:bidi="ar-SA"/>
                    </w:rPr>
                    <w:t>备注</w:t>
                  </w:r>
                </w:p>
              </w:tc>
            </w:tr>
            <w:tr w14:paraId="14A3C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7A694AD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253" w:type="dxa"/>
                  <w:noWrap w:val="0"/>
                  <w:vAlign w:val="center"/>
                </w:tcPr>
                <w:p w14:paraId="194B798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入口过滤器</w:t>
                  </w:r>
                </w:p>
              </w:tc>
              <w:tc>
                <w:tcPr>
                  <w:tcW w:w="3439" w:type="dxa"/>
                  <w:noWrap w:val="0"/>
                  <w:vAlign w:val="center"/>
                </w:tcPr>
                <w:p w14:paraId="77CC29D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089F0CE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91BDC6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过滤增压系统</w:t>
                  </w:r>
                </w:p>
              </w:tc>
            </w:tr>
            <w:tr w14:paraId="3395B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1FA906B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253" w:type="dxa"/>
                  <w:noWrap w:val="0"/>
                  <w:vAlign w:val="center"/>
                </w:tcPr>
                <w:p w14:paraId="74A691A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压缩机后冷却器</w:t>
                  </w:r>
                </w:p>
              </w:tc>
              <w:tc>
                <w:tcPr>
                  <w:tcW w:w="3439" w:type="dxa"/>
                  <w:noWrap w:val="0"/>
                  <w:vAlign w:val="center"/>
                </w:tcPr>
                <w:p w14:paraId="642BE92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BIU700-1.2/4.7-105-4.5/25-2I</w:t>
                  </w:r>
                </w:p>
              </w:tc>
              <w:tc>
                <w:tcPr>
                  <w:tcW w:w="761" w:type="dxa"/>
                  <w:noWrap w:val="0"/>
                  <w:vAlign w:val="center"/>
                </w:tcPr>
                <w:p w14:paraId="7F01948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1C9D869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过滤增压系统</w:t>
                  </w:r>
                </w:p>
              </w:tc>
            </w:tr>
            <w:tr w14:paraId="5CB47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73E90BC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2253" w:type="dxa"/>
                  <w:noWrap w:val="0"/>
                  <w:vAlign w:val="center"/>
                </w:tcPr>
                <w:p w14:paraId="2A23BE3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压缩机出口过滤器</w:t>
                  </w:r>
                </w:p>
              </w:tc>
              <w:tc>
                <w:tcPr>
                  <w:tcW w:w="3439" w:type="dxa"/>
                  <w:noWrap w:val="0"/>
                  <w:vAlign w:val="center"/>
                </w:tcPr>
                <w:p w14:paraId="159706F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2CBD9F8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44B74C4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过滤增压系统</w:t>
                  </w:r>
                </w:p>
              </w:tc>
            </w:tr>
            <w:tr w14:paraId="402C9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7E6EB8F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2253" w:type="dxa"/>
                  <w:noWrap w:val="0"/>
                  <w:vAlign w:val="center"/>
                </w:tcPr>
                <w:p w14:paraId="089D323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气液分离器</w:t>
                  </w:r>
                </w:p>
              </w:tc>
              <w:tc>
                <w:tcPr>
                  <w:tcW w:w="3439" w:type="dxa"/>
                  <w:noWrap w:val="0"/>
                  <w:vAlign w:val="center"/>
                </w:tcPr>
                <w:p w14:paraId="30536AD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57E0A53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042E2E1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脱水、脱汞系统</w:t>
                  </w:r>
                </w:p>
              </w:tc>
            </w:tr>
            <w:tr w14:paraId="363E0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0B64614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c>
                <w:tcPr>
                  <w:tcW w:w="2253" w:type="dxa"/>
                  <w:noWrap w:val="0"/>
                  <w:vAlign w:val="center"/>
                </w:tcPr>
                <w:p w14:paraId="49BEB5C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吸收塔</w:t>
                  </w:r>
                </w:p>
              </w:tc>
              <w:tc>
                <w:tcPr>
                  <w:tcW w:w="3439" w:type="dxa"/>
                  <w:noWrap w:val="0"/>
                  <w:vAlign w:val="center"/>
                </w:tcPr>
                <w:p w14:paraId="0631D1D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1B5C835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322210E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4B25C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46CF8E4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w:t>
                  </w:r>
                </w:p>
              </w:tc>
              <w:tc>
                <w:tcPr>
                  <w:tcW w:w="2253" w:type="dxa"/>
                  <w:noWrap w:val="0"/>
                  <w:vAlign w:val="center"/>
                </w:tcPr>
                <w:p w14:paraId="5337A07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脱酸分液罐</w:t>
                  </w:r>
                </w:p>
              </w:tc>
              <w:tc>
                <w:tcPr>
                  <w:tcW w:w="3439" w:type="dxa"/>
                  <w:noWrap w:val="0"/>
                  <w:vAlign w:val="center"/>
                </w:tcPr>
                <w:p w14:paraId="7EC8736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7FEBEDA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7C006DF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2044A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7635E21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2253" w:type="dxa"/>
                  <w:noWrap w:val="0"/>
                  <w:vAlign w:val="center"/>
                </w:tcPr>
                <w:p w14:paraId="030E3AD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过滤分离器</w:t>
                  </w:r>
                </w:p>
              </w:tc>
              <w:tc>
                <w:tcPr>
                  <w:tcW w:w="3439" w:type="dxa"/>
                  <w:noWrap w:val="0"/>
                  <w:vAlign w:val="center"/>
                </w:tcPr>
                <w:p w14:paraId="37B245B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6B2CBFD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6598970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5D11A0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7545AB8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p>
              </w:tc>
              <w:tc>
                <w:tcPr>
                  <w:tcW w:w="2253" w:type="dxa"/>
                  <w:noWrap w:val="0"/>
                  <w:vAlign w:val="center"/>
                </w:tcPr>
                <w:p w14:paraId="6361521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脱酸气冷却器</w:t>
                  </w:r>
                </w:p>
              </w:tc>
              <w:tc>
                <w:tcPr>
                  <w:tcW w:w="3439" w:type="dxa"/>
                  <w:noWrap w:val="0"/>
                  <w:vAlign w:val="center"/>
                </w:tcPr>
                <w:p w14:paraId="162A9B2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BEM600-1.2/6-120-4/25-4/2 I</w:t>
                  </w:r>
                </w:p>
              </w:tc>
              <w:tc>
                <w:tcPr>
                  <w:tcW w:w="761" w:type="dxa"/>
                  <w:noWrap w:val="0"/>
                  <w:vAlign w:val="center"/>
                </w:tcPr>
                <w:p w14:paraId="240B6AC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09B0CE8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018BA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12B813A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w:t>
                  </w:r>
                </w:p>
              </w:tc>
              <w:tc>
                <w:tcPr>
                  <w:tcW w:w="2253" w:type="dxa"/>
                  <w:noWrap w:val="0"/>
                  <w:vAlign w:val="center"/>
                </w:tcPr>
                <w:p w14:paraId="0723BE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富胺闪蒸罐</w:t>
                  </w:r>
                </w:p>
              </w:tc>
              <w:tc>
                <w:tcPr>
                  <w:tcW w:w="3439" w:type="dxa"/>
                  <w:noWrap w:val="0"/>
                  <w:vAlign w:val="center"/>
                </w:tcPr>
                <w:p w14:paraId="5F44BC5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2689AFB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7C423AF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074C9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00920FB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10</w:t>
                  </w:r>
                </w:p>
              </w:tc>
              <w:tc>
                <w:tcPr>
                  <w:tcW w:w="2253" w:type="dxa"/>
                  <w:noWrap w:val="0"/>
                  <w:vAlign w:val="center"/>
                </w:tcPr>
                <w:p w14:paraId="34C5D3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富胺过滤器</w:t>
                  </w:r>
                </w:p>
              </w:tc>
              <w:tc>
                <w:tcPr>
                  <w:tcW w:w="3439" w:type="dxa"/>
                  <w:noWrap w:val="0"/>
                  <w:vAlign w:val="center"/>
                </w:tcPr>
                <w:p w14:paraId="36F71FA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298F92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D83655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02A48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8311E9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11</w:t>
                  </w:r>
                </w:p>
              </w:tc>
              <w:tc>
                <w:tcPr>
                  <w:tcW w:w="2253" w:type="dxa"/>
                  <w:noWrap w:val="0"/>
                  <w:vAlign w:val="center"/>
                </w:tcPr>
                <w:p w14:paraId="0C98E32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贫富胺换热器</w:t>
                  </w:r>
                </w:p>
              </w:tc>
              <w:tc>
                <w:tcPr>
                  <w:tcW w:w="3439" w:type="dxa"/>
                  <w:noWrap w:val="0"/>
                  <w:vAlign w:val="center"/>
                </w:tcPr>
                <w:p w14:paraId="5A00022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 xml:space="preserve">EC15FW-1.0/130-126 </w:t>
                  </w:r>
                </w:p>
              </w:tc>
              <w:tc>
                <w:tcPr>
                  <w:tcW w:w="761" w:type="dxa"/>
                  <w:noWrap w:val="0"/>
                  <w:vAlign w:val="center"/>
                </w:tcPr>
                <w:p w14:paraId="2CF56A0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7C5BC37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6E137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52FB8D6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12</w:t>
                  </w:r>
                </w:p>
              </w:tc>
              <w:tc>
                <w:tcPr>
                  <w:tcW w:w="2253" w:type="dxa"/>
                  <w:noWrap w:val="0"/>
                  <w:vAlign w:val="center"/>
                </w:tcPr>
                <w:p w14:paraId="74EAE52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塔底再沸器</w:t>
                  </w:r>
                </w:p>
              </w:tc>
              <w:tc>
                <w:tcPr>
                  <w:tcW w:w="3439" w:type="dxa"/>
                  <w:noWrap w:val="0"/>
                  <w:vAlign w:val="center"/>
                </w:tcPr>
                <w:p w14:paraId="6BC0C2F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5953AAC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0A8B4FF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4DC06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1CA1A8D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13</w:t>
                  </w:r>
                </w:p>
              </w:tc>
              <w:tc>
                <w:tcPr>
                  <w:tcW w:w="2253" w:type="dxa"/>
                  <w:noWrap w:val="0"/>
                  <w:vAlign w:val="center"/>
                </w:tcPr>
                <w:p w14:paraId="5790B15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解吸塔</w:t>
                  </w:r>
                </w:p>
              </w:tc>
              <w:tc>
                <w:tcPr>
                  <w:tcW w:w="3439" w:type="dxa"/>
                  <w:noWrap w:val="0"/>
                  <w:vAlign w:val="center"/>
                </w:tcPr>
                <w:p w14:paraId="08FE11A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5865A62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45A080E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34C59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002F867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14</w:t>
                  </w:r>
                </w:p>
              </w:tc>
              <w:tc>
                <w:tcPr>
                  <w:tcW w:w="2253" w:type="dxa"/>
                  <w:noWrap w:val="0"/>
                  <w:vAlign w:val="center"/>
                </w:tcPr>
                <w:p w14:paraId="0615006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回流罐</w:t>
                  </w:r>
                </w:p>
              </w:tc>
              <w:tc>
                <w:tcPr>
                  <w:tcW w:w="3439" w:type="dxa"/>
                  <w:noWrap w:val="0"/>
                  <w:vAlign w:val="center"/>
                </w:tcPr>
                <w:p w14:paraId="7A6FEFB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00BC090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812F57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55B22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616" w:type="dxa"/>
                  <w:noWrap w:val="0"/>
                  <w:vAlign w:val="center"/>
                </w:tcPr>
                <w:p w14:paraId="1340E06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15</w:t>
                  </w:r>
                </w:p>
              </w:tc>
              <w:tc>
                <w:tcPr>
                  <w:tcW w:w="2253" w:type="dxa"/>
                  <w:noWrap w:val="0"/>
                  <w:vAlign w:val="center"/>
                </w:tcPr>
                <w:p w14:paraId="2F17362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塔顶冷却器</w:t>
                  </w:r>
                </w:p>
              </w:tc>
              <w:tc>
                <w:tcPr>
                  <w:tcW w:w="3439" w:type="dxa"/>
                  <w:noWrap w:val="0"/>
                  <w:vAlign w:val="center"/>
                </w:tcPr>
                <w:p w14:paraId="06DE92F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BEM500-0.6/0.6-41.5-4.5/25-1</w:t>
                  </w:r>
                </w:p>
              </w:tc>
              <w:tc>
                <w:tcPr>
                  <w:tcW w:w="761" w:type="dxa"/>
                  <w:noWrap w:val="0"/>
                  <w:vAlign w:val="center"/>
                </w:tcPr>
                <w:p w14:paraId="5F089E7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908E42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553F5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2E8A82D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16</w:t>
                  </w:r>
                </w:p>
              </w:tc>
              <w:tc>
                <w:tcPr>
                  <w:tcW w:w="2253" w:type="dxa"/>
                  <w:noWrap w:val="0"/>
                  <w:vAlign w:val="center"/>
                </w:tcPr>
                <w:p w14:paraId="31F605E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贫胺罐</w:t>
                  </w:r>
                </w:p>
              </w:tc>
              <w:tc>
                <w:tcPr>
                  <w:tcW w:w="3439" w:type="dxa"/>
                  <w:noWrap w:val="0"/>
                  <w:vAlign w:val="center"/>
                </w:tcPr>
                <w:p w14:paraId="18074FB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60F35DB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3BDDAE8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1FC76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41FD6A7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17</w:t>
                  </w:r>
                </w:p>
              </w:tc>
              <w:tc>
                <w:tcPr>
                  <w:tcW w:w="2253" w:type="dxa"/>
                  <w:noWrap w:val="0"/>
                  <w:vAlign w:val="center"/>
                </w:tcPr>
                <w:p w14:paraId="43F2850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活性炭过滤器</w:t>
                  </w:r>
                </w:p>
              </w:tc>
              <w:tc>
                <w:tcPr>
                  <w:tcW w:w="3439" w:type="dxa"/>
                  <w:noWrap w:val="0"/>
                  <w:vAlign w:val="center"/>
                </w:tcPr>
                <w:p w14:paraId="4AC963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233CAA1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3E5CF40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5C595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0CECB6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18</w:t>
                  </w:r>
                </w:p>
              </w:tc>
              <w:tc>
                <w:tcPr>
                  <w:tcW w:w="2253" w:type="dxa"/>
                  <w:noWrap w:val="0"/>
                  <w:vAlign w:val="center"/>
                </w:tcPr>
                <w:p w14:paraId="762C37F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贫胺过滤器</w:t>
                  </w:r>
                </w:p>
              </w:tc>
              <w:tc>
                <w:tcPr>
                  <w:tcW w:w="3439" w:type="dxa"/>
                  <w:noWrap w:val="0"/>
                  <w:vAlign w:val="center"/>
                </w:tcPr>
                <w:p w14:paraId="4EB0E70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7F52F74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6294CFF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44472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72271DA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19</w:t>
                  </w:r>
                </w:p>
              </w:tc>
              <w:tc>
                <w:tcPr>
                  <w:tcW w:w="2253" w:type="dxa"/>
                  <w:noWrap w:val="0"/>
                  <w:vAlign w:val="center"/>
                </w:tcPr>
                <w:p w14:paraId="28A6A49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贫胺冷却器</w:t>
                  </w:r>
                </w:p>
              </w:tc>
              <w:tc>
                <w:tcPr>
                  <w:tcW w:w="3439" w:type="dxa"/>
                  <w:noWrap w:val="0"/>
                  <w:vAlign w:val="center"/>
                </w:tcPr>
                <w:p w14:paraId="5BC9796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AEM500-0.6/0.85-40.1-4.5/25-4 I</w:t>
                  </w:r>
                </w:p>
              </w:tc>
              <w:tc>
                <w:tcPr>
                  <w:tcW w:w="761" w:type="dxa"/>
                  <w:noWrap w:val="0"/>
                  <w:vAlign w:val="center"/>
                </w:tcPr>
                <w:p w14:paraId="5EBD216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4F83A73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0471B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3419F8B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20</w:t>
                  </w:r>
                </w:p>
              </w:tc>
              <w:tc>
                <w:tcPr>
                  <w:tcW w:w="2253" w:type="dxa"/>
                  <w:noWrap w:val="0"/>
                  <w:vAlign w:val="center"/>
                </w:tcPr>
                <w:p w14:paraId="5952438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集胺液罐</w:t>
                  </w:r>
                </w:p>
              </w:tc>
              <w:tc>
                <w:tcPr>
                  <w:tcW w:w="3439" w:type="dxa"/>
                  <w:noWrap w:val="0"/>
                  <w:vAlign w:val="center"/>
                </w:tcPr>
                <w:p w14:paraId="45F21DD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00D6BBE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BDF817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25E1C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21B60CB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21</w:t>
                  </w:r>
                </w:p>
              </w:tc>
              <w:tc>
                <w:tcPr>
                  <w:tcW w:w="2253" w:type="dxa"/>
                  <w:noWrap w:val="0"/>
                  <w:vAlign w:val="center"/>
                </w:tcPr>
                <w:p w14:paraId="246631E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集液过滤器</w:t>
                  </w:r>
                </w:p>
              </w:tc>
              <w:tc>
                <w:tcPr>
                  <w:tcW w:w="3439" w:type="dxa"/>
                  <w:noWrap w:val="0"/>
                  <w:vAlign w:val="center"/>
                </w:tcPr>
                <w:p w14:paraId="4C85631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5C416CE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56B01A7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7714C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7DFE714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22</w:t>
                  </w:r>
                </w:p>
              </w:tc>
              <w:tc>
                <w:tcPr>
                  <w:tcW w:w="2253" w:type="dxa"/>
                  <w:noWrap w:val="0"/>
                  <w:vAlign w:val="center"/>
                </w:tcPr>
                <w:p w14:paraId="4DBC509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分子筛塔</w:t>
                  </w:r>
                </w:p>
              </w:tc>
              <w:tc>
                <w:tcPr>
                  <w:tcW w:w="3439" w:type="dxa"/>
                  <w:noWrap w:val="0"/>
                  <w:vAlign w:val="center"/>
                </w:tcPr>
                <w:p w14:paraId="016AB40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03E02CE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7540494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脱水、脱汞系统</w:t>
                  </w:r>
                </w:p>
              </w:tc>
            </w:tr>
            <w:tr w14:paraId="460F3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1FCE8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23</w:t>
                  </w:r>
                </w:p>
              </w:tc>
              <w:tc>
                <w:tcPr>
                  <w:tcW w:w="2253" w:type="dxa"/>
                  <w:noWrap w:val="0"/>
                  <w:vAlign w:val="center"/>
                </w:tcPr>
                <w:p w14:paraId="6DBF06B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分子筛塔出口粉尘过滤器</w:t>
                  </w:r>
                </w:p>
              </w:tc>
              <w:tc>
                <w:tcPr>
                  <w:tcW w:w="3439" w:type="dxa"/>
                  <w:noWrap w:val="0"/>
                  <w:vAlign w:val="center"/>
                </w:tcPr>
                <w:p w14:paraId="40BD98E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68A6104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7B93695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脱水、脱汞系统</w:t>
                  </w:r>
                </w:p>
              </w:tc>
            </w:tr>
            <w:tr w14:paraId="3532D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110C1B9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24</w:t>
                  </w:r>
                </w:p>
              </w:tc>
              <w:tc>
                <w:tcPr>
                  <w:tcW w:w="2253" w:type="dxa"/>
                  <w:noWrap w:val="0"/>
                  <w:vAlign w:val="center"/>
                </w:tcPr>
                <w:p w14:paraId="46EF76B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再生气分离器</w:t>
                  </w:r>
                </w:p>
              </w:tc>
              <w:tc>
                <w:tcPr>
                  <w:tcW w:w="3439" w:type="dxa"/>
                  <w:noWrap w:val="0"/>
                  <w:vAlign w:val="center"/>
                </w:tcPr>
                <w:p w14:paraId="2B4FAED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7D2D7BD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4AB5C14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脱水、脱汞系统</w:t>
                  </w:r>
                </w:p>
              </w:tc>
            </w:tr>
            <w:tr w14:paraId="34DC0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0D5BCA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25</w:t>
                  </w:r>
                </w:p>
              </w:tc>
              <w:tc>
                <w:tcPr>
                  <w:tcW w:w="2253" w:type="dxa"/>
                  <w:noWrap w:val="0"/>
                  <w:vAlign w:val="center"/>
                </w:tcPr>
                <w:p w14:paraId="1D5AD95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再生气换热器</w:t>
                  </w:r>
                </w:p>
              </w:tc>
              <w:tc>
                <w:tcPr>
                  <w:tcW w:w="3439" w:type="dxa"/>
                  <w:noWrap w:val="0"/>
                  <w:vAlign w:val="center"/>
                </w:tcPr>
                <w:p w14:paraId="04984E1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AES400-2.55-61-3.54/25-2 I</w:t>
                  </w:r>
                </w:p>
              </w:tc>
              <w:tc>
                <w:tcPr>
                  <w:tcW w:w="761" w:type="dxa"/>
                  <w:noWrap w:val="0"/>
                  <w:vAlign w:val="center"/>
                </w:tcPr>
                <w:p w14:paraId="0FCB93C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C71893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脱水、脱汞系统</w:t>
                  </w:r>
                </w:p>
              </w:tc>
            </w:tr>
            <w:tr w14:paraId="3A7A7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0F7271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26</w:t>
                  </w:r>
                </w:p>
              </w:tc>
              <w:tc>
                <w:tcPr>
                  <w:tcW w:w="2253" w:type="dxa"/>
                  <w:noWrap w:val="0"/>
                  <w:vAlign w:val="center"/>
                </w:tcPr>
                <w:p w14:paraId="6219D93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再生气冷却器</w:t>
                  </w:r>
                </w:p>
              </w:tc>
              <w:tc>
                <w:tcPr>
                  <w:tcW w:w="3439" w:type="dxa"/>
                  <w:noWrap w:val="0"/>
                  <w:vAlign w:val="center"/>
                </w:tcPr>
                <w:p w14:paraId="1065D4E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AES500-1.2/2.55-60-3.0/25-2 I</w:t>
                  </w:r>
                </w:p>
              </w:tc>
              <w:tc>
                <w:tcPr>
                  <w:tcW w:w="761" w:type="dxa"/>
                  <w:noWrap w:val="0"/>
                  <w:vAlign w:val="center"/>
                </w:tcPr>
                <w:p w14:paraId="3255B78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6A14E30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脱水、脱汞系统</w:t>
                  </w:r>
                </w:p>
              </w:tc>
            </w:tr>
            <w:tr w14:paraId="733FA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0D33594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27</w:t>
                  </w:r>
                </w:p>
              </w:tc>
              <w:tc>
                <w:tcPr>
                  <w:tcW w:w="2253" w:type="dxa"/>
                  <w:noWrap w:val="0"/>
                  <w:vAlign w:val="center"/>
                </w:tcPr>
                <w:p w14:paraId="6CC48E5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再生气加热炉</w:t>
                  </w:r>
                </w:p>
              </w:tc>
              <w:tc>
                <w:tcPr>
                  <w:tcW w:w="3439" w:type="dxa"/>
                  <w:noWrap w:val="0"/>
                  <w:vAlign w:val="center"/>
                </w:tcPr>
                <w:p w14:paraId="3A5D064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GL800-Q/4.0-Q</w:t>
                  </w:r>
                </w:p>
              </w:tc>
              <w:tc>
                <w:tcPr>
                  <w:tcW w:w="761" w:type="dxa"/>
                  <w:noWrap w:val="0"/>
                  <w:vAlign w:val="center"/>
                </w:tcPr>
                <w:p w14:paraId="572B141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665D331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脱水、脱汞系统</w:t>
                  </w:r>
                </w:p>
              </w:tc>
            </w:tr>
            <w:tr w14:paraId="4953F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64C2A0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28</w:t>
                  </w:r>
                </w:p>
              </w:tc>
              <w:tc>
                <w:tcPr>
                  <w:tcW w:w="2253" w:type="dxa"/>
                  <w:noWrap w:val="0"/>
                  <w:vAlign w:val="center"/>
                </w:tcPr>
                <w:p w14:paraId="42C45FD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脱汞塔</w:t>
                  </w:r>
                </w:p>
              </w:tc>
              <w:tc>
                <w:tcPr>
                  <w:tcW w:w="3439" w:type="dxa"/>
                  <w:noWrap w:val="0"/>
                  <w:vAlign w:val="center"/>
                </w:tcPr>
                <w:p w14:paraId="589309A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16F4300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1740658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脱水、脱汞系统</w:t>
                  </w:r>
                </w:p>
              </w:tc>
            </w:tr>
            <w:tr w14:paraId="1F738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15CBFE9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29</w:t>
                  </w:r>
                </w:p>
              </w:tc>
              <w:tc>
                <w:tcPr>
                  <w:tcW w:w="2253" w:type="dxa"/>
                  <w:noWrap w:val="0"/>
                  <w:vAlign w:val="center"/>
                </w:tcPr>
                <w:p w14:paraId="0F19DDC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脱汞塔出口粉尘过滤器</w:t>
                  </w:r>
                </w:p>
              </w:tc>
              <w:tc>
                <w:tcPr>
                  <w:tcW w:w="3439" w:type="dxa"/>
                  <w:noWrap w:val="0"/>
                  <w:vAlign w:val="center"/>
                </w:tcPr>
                <w:p w14:paraId="4426A6B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0008B30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70D057A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脱水、脱汞系统</w:t>
                  </w:r>
                </w:p>
              </w:tc>
            </w:tr>
            <w:tr w14:paraId="5F2E5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AA4335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30</w:t>
                  </w:r>
                </w:p>
              </w:tc>
              <w:tc>
                <w:tcPr>
                  <w:tcW w:w="2253" w:type="dxa"/>
                  <w:noWrap w:val="0"/>
                  <w:vAlign w:val="center"/>
                </w:tcPr>
                <w:p w14:paraId="747C920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冷剂压缩机分离器</w:t>
                  </w:r>
                </w:p>
              </w:tc>
              <w:tc>
                <w:tcPr>
                  <w:tcW w:w="3439" w:type="dxa"/>
                  <w:noWrap w:val="0"/>
                  <w:vAlign w:val="center"/>
                </w:tcPr>
                <w:p w14:paraId="2B40486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499D84E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53C8BCD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2D201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1C1BA63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zh-CN" w:eastAsia="zh-CN" w:bidi="ar-SA"/>
                    </w:rPr>
                  </w:pPr>
                  <w:r>
                    <w:rPr>
                      <w:rFonts w:hint="eastAsia" w:ascii="Times New Roman" w:hAnsi="Times New Roman" w:eastAsia="宋体" w:cs="Times New Roman"/>
                      <w:color w:val="auto"/>
                      <w:kern w:val="2"/>
                      <w:sz w:val="21"/>
                      <w:szCs w:val="21"/>
                      <w:highlight w:val="none"/>
                      <w:lang w:val="en-US" w:eastAsia="zh-CN" w:bidi="ar-SA"/>
                    </w:rPr>
                    <w:t>31</w:t>
                  </w:r>
                </w:p>
              </w:tc>
              <w:tc>
                <w:tcPr>
                  <w:tcW w:w="2253" w:type="dxa"/>
                  <w:noWrap w:val="0"/>
                  <w:vAlign w:val="center"/>
                </w:tcPr>
                <w:p w14:paraId="05129AE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冷剂压缩机级间水冷器</w:t>
                  </w:r>
                </w:p>
              </w:tc>
              <w:tc>
                <w:tcPr>
                  <w:tcW w:w="3439" w:type="dxa"/>
                  <w:noWrap w:val="0"/>
                  <w:vAlign w:val="center"/>
                </w:tcPr>
                <w:p w14:paraId="5A716A3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0EB804F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19A323B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5530A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022E6F6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32</w:t>
                  </w:r>
                </w:p>
              </w:tc>
              <w:tc>
                <w:tcPr>
                  <w:tcW w:w="2253" w:type="dxa"/>
                  <w:noWrap w:val="0"/>
                  <w:vAlign w:val="center"/>
                </w:tcPr>
                <w:p w14:paraId="132C00F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冷剂压缩机级间分离器</w:t>
                  </w:r>
                </w:p>
              </w:tc>
              <w:tc>
                <w:tcPr>
                  <w:tcW w:w="3439" w:type="dxa"/>
                  <w:noWrap w:val="0"/>
                  <w:vAlign w:val="center"/>
                </w:tcPr>
                <w:p w14:paraId="3752C27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2E4161B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5F4B3FF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20F41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0C7FA6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33</w:t>
                  </w:r>
                </w:p>
              </w:tc>
              <w:tc>
                <w:tcPr>
                  <w:tcW w:w="2253" w:type="dxa"/>
                  <w:noWrap w:val="0"/>
                  <w:vAlign w:val="center"/>
                </w:tcPr>
                <w:p w14:paraId="2BB99A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冷剂压缩机出口水冷器</w:t>
                  </w:r>
                </w:p>
              </w:tc>
              <w:tc>
                <w:tcPr>
                  <w:tcW w:w="3439" w:type="dxa"/>
                  <w:noWrap w:val="0"/>
                  <w:vAlign w:val="center"/>
                </w:tcPr>
                <w:p w14:paraId="2F5840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7339946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BC1B30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28079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01C42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34</w:t>
                  </w:r>
                </w:p>
              </w:tc>
              <w:tc>
                <w:tcPr>
                  <w:tcW w:w="2253" w:type="dxa"/>
                  <w:noWrap w:val="0"/>
                  <w:vAlign w:val="center"/>
                </w:tcPr>
                <w:p w14:paraId="1ABE675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冷机压缩机出口分离器</w:t>
                  </w:r>
                </w:p>
              </w:tc>
              <w:tc>
                <w:tcPr>
                  <w:tcW w:w="3439" w:type="dxa"/>
                  <w:noWrap w:val="0"/>
                  <w:vAlign w:val="center"/>
                </w:tcPr>
                <w:p w14:paraId="055FAA0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05C999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C39790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0D654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0A5D78A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35</w:t>
                  </w:r>
                </w:p>
              </w:tc>
              <w:tc>
                <w:tcPr>
                  <w:tcW w:w="2253" w:type="dxa"/>
                  <w:noWrap w:val="0"/>
                  <w:vAlign w:val="center"/>
                </w:tcPr>
                <w:p w14:paraId="54B442C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冷箱</w:t>
                  </w:r>
                </w:p>
              </w:tc>
              <w:tc>
                <w:tcPr>
                  <w:tcW w:w="3439" w:type="dxa"/>
                  <w:noWrap w:val="0"/>
                  <w:vAlign w:val="center"/>
                </w:tcPr>
                <w:p w14:paraId="6A7750F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63444C8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1948D57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082B5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482F2C0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36</w:t>
                  </w:r>
                </w:p>
              </w:tc>
              <w:tc>
                <w:tcPr>
                  <w:tcW w:w="2253" w:type="dxa"/>
                  <w:noWrap w:val="0"/>
                  <w:vAlign w:val="center"/>
                </w:tcPr>
                <w:p w14:paraId="27C976D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开车冷却器</w:t>
                  </w:r>
                </w:p>
              </w:tc>
              <w:tc>
                <w:tcPr>
                  <w:tcW w:w="3439" w:type="dxa"/>
                  <w:noWrap w:val="0"/>
                  <w:vAlign w:val="center"/>
                </w:tcPr>
                <w:p w14:paraId="3EE4B39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AES500-4.7/2.5-120-5.5/25-1</w:t>
                  </w:r>
                </w:p>
              </w:tc>
              <w:tc>
                <w:tcPr>
                  <w:tcW w:w="761" w:type="dxa"/>
                  <w:noWrap w:val="0"/>
                  <w:vAlign w:val="center"/>
                </w:tcPr>
                <w:p w14:paraId="1FD1418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3B6F2B5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11852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5698268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37</w:t>
                  </w:r>
                </w:p>
              </w:tc>
              <w:tc>
                <w:tcPr>
                  <w:tcW w:w="2253" w:type="dxa"/>
                  <w:noWrap w:val="0"/>
                  <w:vAlign w:val="center"/>
                </w:tcPr>
                <w:p w14:paraId="5C15901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重烃分离器</w:t>
                  </w:r>
                </w:p>
              </w:tc>
              <w:tc>
                <w:tcPr>
                  <w:tcW w:w="3439" w:type="dxa"/>
                  <w:noWrap w:val="0"/>
                  <w:vAlign w:val="center"/>
                </w:tcPr>
                <w:p w14:paraId="07E2C51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4E06BC0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772C1C6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39DC9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2E5995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38</w:t>
                  </w:r>
                </w:p>
              </w:tc>
              <w:tc>
                <w:tcPr>
                  <w:tcW w:w="2253" w:type="dxa"/>
                  <w:noWrap w:val="0"/>
                  <w:vAlign w:val="center"/>
                </w:tcPr>
                <w:p w14:paraId="6B8E95A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重烃换热器</w:t>
                  </w:r>
                </w:p>
              </w:tc>
              <w:tc>
                <w:tcPr>
                  <w:tcW w:w="3439" w:type="dxa"/>
                  <w:noWrap w:val="0"/>
                  <w:vAlign w:val="center"/>
                </w:tcPr>
                <w:p w14:paraId="44FBAFE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AES500-2.4/4.7-24.5-3/25-4</w:t>
                  </w:r>
                </w:p>
              </w:tc>
              <w:tc>
                <w:tcPr>
                  <w:tcW w:w="761" w:type="dxa"/>
                  <w:noWrap w:val="0"/>
                  <w:vAlign w:val="center"/>
                </w:tcPr>
                <w:p w14:paraId="698E94B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F79AD6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63FB2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180E6E9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39</w:t>
                  </w:r>
                </w:p>
              </w:tc>
              <w:tc>
                <w:tcPr>
                  <w:tcW w:w="2253" w:type="dxa"/>
                  <w:noWrap w:val="0"/>
                  <w:vAlign w:val="center"/>
                </w:tcPr>
                <w:p w14:paraId="17E7ED2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冷剂储罐</w:t>
                  </w:r>
                </w:p>
              </w:tc>
              <w:tc>
                <w:tcPr>
                  <w:tcW w:w="3439" w:type="dxa"/>
                  <w:noWrap w:val="0"/>
                  <w:vAlign w:val="center"/>
                </w:tcPr>
                <w:p w14:paraId="521C112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0E7EB0B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031168A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56DC2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7B46483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40</w:t>
                  </w:r>
                </w:p>
              </w:tc>
              <w:tc>
                <w:tcPr>
                  <w:tcW w:w="2253" w:type="dxa"/>
                  <w:noWrap w:val="0"/>
                  <w:vAlign w:val="center"/>
                </w:tcPr>
                <w:p w14:paraId="455185E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乙烯储罐</w:t>
                  </w:r>
                </w:p>
              </w:tc>
              <w:tc>
                <w:tcPr>
                  <w:tcW w:w="3439" w:type="dxa"/>
                  <w:noWrap w:val="0"/>
                  <w:vAlign w:val="center"/>
                </w:tcPr>
                <w:p w14:paraId="78F1A62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CFL-40/0.8</w:t>
                  </w:r>
                </w:p>
              </w:tc>
              <w:tc>
                <w:tcPr>
                  <w:tcW w:w="761" w:type="dxa"/>
                  <w:noWrap w:val="0"/>
                  <w:vAlign w:val="center"/>
                </w:tcPr>
                <w:p w14:paraId="0E4AD42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07C29CD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4B183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7519712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41</w:t>
                  </w:r>
                </w:p>
              </w:tc>
              <w:tc>
                <w:tcPr>
                  <w:tcW w:w="2253" w:type="dxa"/>
                  <w:noWrap w:val="0"/>
                  <w:vAlign w:val="center"/>
                </w:tcPr>
                <w:p w14:paraId="765803F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丙烷储罐</w:t>
                  </w:r>
                </w:p>
              </w:tc>
              <w:tc>
                <w:tcPr>
                  <w:tcW w:w="3439" w:type="dxa"/>
                  <w:noWrap w:val="0"/>
                  <w:vAlign w:val="center"/>
                </w:tcPr>
                <w:p w14:paraId="477FE61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040794C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5D2DA26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59AF0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79DC7C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42</w:t>
                  </w:r>
                </w:p>
              </w:tc>
              <w:tc>
                <w:tcPr>
                  <w:tcW w:w="2253" w:type="dxa"/>
                  <w:noWrap w:val="0"/>
                  <w:vAlign w:val="center"/>
                </w:tcPr>
                <w:p w14:paraId="62864B7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异戊烷储罐</w:t>
                  </w:r>
                </w:p>
              </w:tc>
              <w:tc>
                <w:tcPr>
                  <w:tcW w:w="3439" w:type="dxa"/>
                  <w:noWrap w:val="0"/>
                  <w:vAlign w:val="center"/>
                </w:tcPr>
                <w:p w14:paraId="40F51E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6E460F4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4D8188A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4D866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3910909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43</w:t>
                  </w:r>
                </w:p>
              </w:tc>
              <w:tc>
                <w:tcPr>
                  <w:tcW w:w="2253" w:type="dxa"/>
                  <w:noWrap w:val="0"/>
                  <w:vAlign w:val="center"/>
                </w:tcPr>
                <w:p w14:paraId="11EB2A0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丙烷干燥床</w:t>
                  </w:r>
                </w:p>
              </w:tc>
              <w:tc>
                <w:tcPr>
                  <w:tcW w:w="3439" w:type="dxa"/>
                  <w:noWrap w:val="0"/>
                  <w:vAlign w:val="center"/>
                </w:tcPr>
                <w:p w14:paraId="5E9789F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75B4848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7E0E74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496F2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239418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44</w:t>
                  </w:r>
                </w:p>
              </w:tc>
              <w:tc>
                <w:tcPr>
                  <w:tcW w:w="2253" w:type="dxa"/>
                  <w:noWrap w:val="0"/>
                  <w:vAlign w:val="center"/>
                </w:tcPr>
                <w:p w14:paraId="2554FB5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异戊烷干燥床</w:t>
                  </w:r>
                </w:p>
              </w:tc>
              <w:tc>
                <w:tcPr>
                  <w:tcW w:w="3439" w:type="dxa"/>
                  <w:noWrap w:val="0"/>
                  <w:vAlign w:val="center"/>
                </w:tcPr>
                <w:p w14:paraId="14F0464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21FF575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019B55A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4E572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4B8A7B8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45</w:t>
                  </w:r>
                </w:p>
              </w:tc>
              <w:tc>
                <w:tcPr>
                  <w:tcW w:w="2253" w:type="dxa"/>
                  <w:noWrap w:val="0"/>
                  <w:vAlign w:val="center"/>
                </w:tcPr>
                <w:p w14:paraId="6BC0825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LNG储罐A</w:t>
                  </w:r>
                </w:p>
              </w:tc>
              <w:tc>
                <w:tcPr>
                  <w:tcW w:w="3439" w:type="dxa"/>
                  <w:noWrap w:val="0"/>
                  <w:vAlign w:val="center"/>
                </w:tcPr>
                <w:p w14:paraId="39918D9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2661B61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17C8D17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储运系统</w:t>
                  </w:r>
                </w:p>
              </w:tc>
            </w:tr>
            <w:tr w14:paraId="7B425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74A0B94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46</w:t>
                  </w:r>
                </w:p>
              </w:tc>
              <w:tc>
                <w:tcPr>
                  <w:tcW w:w="2253" w:type="dxa"/>
                  <w:noWrap w:val="0"/>
                  <w:vAlign w:val="center"/>
                </w:tcPr>
                <w:p w14:paraId="21C897D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LNG储罐B</w:t>
                  </w:r>
                </w:p>
              </w:tc>
              <w:tc>
                <w:tcPr>
                  <w:tcW w:w="3439" w:type="dxa"/>
                  <w:noWrap w:val="0"/>
                  <w:vAlign w:val="center"/>
                </w:tcPr>
                <w:p w14:paraId="1C4AC6F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3CF9CDE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72600D6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储运系统</w:t>
                  </w:r>
                </w:p>
              </w:tc>
            </w:tr>
            <w:tr w14:paraId="28852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3CEA5EF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47</w:t>
                  </w:r>
                </w:p>
              </w:tc>
              <w:tc>
                <w:tcPr>
                  <w:tcW w:w="2253" w:type="dxa"/>
                  <w:noWrap w:val="0"/>
                  <w:vAlign w:val="center"/>
                </w:tcPr>
                <w:p w14:paraId="2FB7DD6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LNG气化器A/B</w:t>
                  </w:r>
                </w:p>
              </w:tc>
              <w:tc>
                <w:tcPr>
                  <w:tcW w:w="3439" w:type="dxa"/>
                  <w:noWrap w:val="0"/>
                  <w:vAlign w:val="center"/>
                </w:tcPr>
                <w:p w14:paraId="266E8C8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2160D15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51AD7DE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储运系统</w:t>
                  </w:r>
                </w:p>
              </w:tc>
            </w:tr>
            <w:tr w14:paraId="54D4C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337700B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48</w:t>
                  </w:r>
                </w:p>
              </w:tc>
              <w:tc>
                <w:tcPr>
                  <w:tcW w:w="2253" w:type="dxa"/>
                  <w:noWrap w:val="0"/>
                  <w:vAlign w:val="center"/>
                </w:tcPr>
                <w:p w14:paraId="2C3B200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闪蒸气水浴复热器</w:t>
                  </w:r>
                </w:p>
              </w:tc>
              <w:tc>
                <w:tcPr>
                  <w:tcW w:w="3439" w:type="dxa"/>
                  <w:noWrap w:val="0"/>
                  <w:vAlign w:val="center"/>
                </w:tcPr>
                <w:p w14:paraId="0B183B8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HEV-NG-200</w:t>
                  </w:r>
                </w:p>
              </w:tc>
              <w:tc>
                <w:tcPr>
                  <w:tcW w:w="761" w:type="dxa"/>
                  <w:noWrap w:val="0"/>
                  <w:vAlign w:val="center"/>
                </w:tcPr>
                <w:p w14:paraId="277D2D7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0102FFE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储运系统</w:t>
                  </w:r>
                </w:p>
              </w:tc>
            </w:tr>
            <w:tr w14:paraId="2095A0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1BEEBAB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49</w:t>
                  </w:r>
                </w:p>
              </w:tc>
              <w:tc>
                <w:tcPr>
                  <w:tcW w:w="2253" w:type="dxa"/>
                  <w:noWrap w:val="0"/>
                  <w:vAlign w:val="center"/>
                </w:tcPr>
                <w:p w14:paraId="6393EE2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分液罐</w:t>
                  </w:r>
                </w:p>
              </w:tc>
              <w:tc>
                <w:tcPr>
                  <w:tcW w:w="3439" w:type="dxa"/>
                  <w:noWrap w:val="0"/>
                  <w:vAlign w:val="center"/>
                </w:tcPr>
                <w:p w14:paraId="4BEDB8C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46AE833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7B18485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火炬系统</w:t>
                  </w:r>
                </w:p>
              </w:tc>
            </w:tr>
            <w:tr w14:paraId="4EF3C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4DEA67F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50</w:t>
                  </w:r>
                </w:p>
              </w:tc>
              <w:tc>
                <w:tcPr>
                  <w:tcW w:w="2253" w:type="dxa"/>
                  <w:noWrap w:val="0"/>
                  <w:vAlign w:val="center"/>
                </w:tcPr>
                <w:p w14:paraId="5B618FA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火炬</w:t>
                  </w:r>
                </w:p>
              </w:tc>
              <w:tc>
                <w:tcPr>
                  <w:tcW w:w="3439" w:type="dxa"/>
                  <w:noWrap w:val="0"/>
                  <w:vAlign w:val="center"/>
                </w:tcPr>
                <w:p w14:paraId="1260005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GW-6T1</w:t>
                  </w:r>
                </w:p>
              </w:tc>
              <w:tc>
                <w:tcPr>
                  <w:tcW w:w="761" w:type="dxa"/>
                  <w:noWrap w:val="0"/>
                  <w:vAlign w:val="center"/>
                </w:tcPr>
                <w:p w14:paraId="00E5166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5ABDB9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火炬系统</w:t>
                  </w:r>
                </w:p>
              </w:tc>
            </w:tr>
            <w:tr w14:paraId="74B11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FB42DE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51</w:t>
                  </w:r>
                </w:p>
              </w:tc>
              <w:tc>
                <w:tcPr>
                  <w:tcW w:w="2253" w:type="dxa"/>
                  <w:noWrap w:val="0"/>
                  <w:vAlign w:val="center"/>
                </w:tcPr>
                <w:p w14:paraId="5AFB53C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前置储气罐</w:t>
                  </w:r>
                </w:p>
              </w:tc>
              <w:tc>
                <w:tcPr>
                  <w:tcW w:w="3439" w:type="dxa"/>
                  <w:noWrap w:val="0"/>
                  <w:vAlign w:val="center"/>
                </w:tcPr>
                <w:p w14:paraId="4F169F4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12/0.8</w:t>
                  </w:r>
                </w:p>
              </w:tc>
              <w:tc>
                <w:tcPr>
                  <w:tcW w:w="761" w:type="dxa"/>
                  <w:noWrap w:val="0"/>
                  <w:vAlign w:val="center"/>
                </w:tcPr>
                <w:p w14:paraId="6CE2BD7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713279C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仪表风系统</w:t>
                  </w:r>
                </w:p>
              </w:tc>
            </w:tr>
            <w:tr w14:paraId="423C4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3F3BB84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52</w:t>
                  </w:r>
                </w:p>
              </w:tc>
              <w:tc>
                <w:tcPr>
                  <w:tcW w:w="2253" w:type="dxa"/>
                  <w:noWrap w:val="0"/>
                  <w:vAlign w:val="center"/>
                </w:tcPr>
                <w:p w14:paraId="02A29B2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后置储气罐</w:t>
                  </w:r>
                </w:p>
              </w:tc>
              <w:tc>
                <w:tcPr>
                  <w:tcW w:w="3439" w:type="dxa"/>
                  <w:noWrap w:val="0"/>
                  <w:vAlign w:val="center"/>
                </w:tcPr>
                <w:p w14:paraId="44A3992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20/0.8</w:t>
                  </w:r>
                </w:p>
              </w:tc>
              <w:tc>
                <w:tcPr>
                  <w:tcW w:w="761" w:type="dxa"/>
                  <w:noWrap w:val="0"/>
                  <w:vAlign w:val="center"/>
                </w:tcPr>
                <w:p w14:paraId="480E856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63F58EB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仪表风系统</w:t>
                  </w:r>
                </w:p>
              </w:tc>
            </w:tr>
            <w:tr w14:paraId="1C07D6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016D92A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53</w:t>
                  </w:r>
                </w:p>
              </w:tc>
              <w:tc>
                <w:tcPr>
                  <w:tcW w:w="2253" w:type="dxa"/>
                  <w:noWrap w:val="0"/>
                  <w:vAlign w:val="center"/>
                </w:tcPr>
                <w:p w14:paraId="1B8811F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吸附筒A/B</w:t>
                  </w:r>
                </w:p>
              </w:tc>
              <w:tc>
                <w:tcPr>
                  <w:tcW w:w="3439" w:type="dxa"/>
                  <w:noWrap w:val="0"/>
                  <w:vAlign w:val="center"/>
                </w:tcPr>
                <w:p w14:paraId="0C0ACA3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SLAD15WXF</w:t>
                  </w:r>
                </w:p>
              </w:tc>
              <w:tc>
                <w:tcPr>
                  <w:tcW w:w="761" w:type="dxa"/>
                  <w:noWrap w:val="0"/>
                  <w:vAlign w:val="center"/>
                </w:tcPr>
                <w:p w14:paraId="60C0999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49DA3E6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仪表风系统</w:t>
                  </w:r>
                </w:p>
              </w:tc>
            </w:tr>
            <w:tr w14:paraId="16803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750131E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54</w:t>
                  </w:r>
                </w:p>
              </w:tc>
              <w:tc>
                <w:tcPr>
                  <w:tcW w:w="2253" w:type="dxa"/>
                  <w:noWrap w:val="0"/>
                  <w:vAlign w:val="center"/>
                </w:tcPr>
                <w:p w14:paraId="6EE7E99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液氮储罐</w:t>
                  </w:r>
                </w:p>
              </w:tc>
              <w:tc>
                <w:tcPr>
                  <w:tcW w:w="3439" w:type="dxa"/>
                  <w:noWrap w:val="0"/>
                  <w:vAlign w:val="center"/>
                </w:tcPr>
                <w:p w14:paraId="39C2909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CFL-10/0.8</w:t>
                  </w:r>
                </w:p>
              </w:tc>
              <w:tc>
                <w:tcPr>
                  <w:tcW w:w="761" w:type="dxa"/>
                  <w:noWrap w:val="0"/>
                  <w:vAlign w:val="center"/>
                </w:tcPr>
                <w:p w14:paraId="4C77452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448638A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仪表风系统</w:t>
                  </w:r>
                </w:p>
              </w:tc>
            </w:tr>
            <w:tr w14:paraId="5B65F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5731002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55</w:t>
                  </w:r>
                </w:p>
              </w:tc>
              <w:tc>
                <w:tcPr>
                  <w:tcW w:w="2253" w:type="dxa"/>
                  <w:noWrap w:val="0"/>
                  <w:vAlign w:val="center"/>
                </w:tcPr>
                <w:p w14:paraId="23781A4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氮气空温复热器</w:t>
                  </w:r>
                </w:p>
              </w:tc>
              <w:tc>
                <w:tcPr>
                  <w:tcW w:w="3439" w:type="dxa"/>
                  <w:noWrap w:val="0"/>
                  <w:vAlign w:val="center"/>
                </w:tcPr>
                <w:p w14:paraId="5DD3A03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HGNV-210</w:t>
                  </w:r>
                </w:p>
              </w:tc>
              <w:tc>
                <w:tcPr>
                  <w:tcW w:w="761" w:type="dxa"/>
                  <w:noWrap w:val="0"/>
                  <w:vAlign w:val="center"/>
                </w:tcPr>
                <w:p w14:paraId="579EF5F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58D3EA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仪表风系统</w:t>
                  </w:r>
                </w:p>
              </w:tc>
            </w:tr>
            <w:tr w14:paraId="5299B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1007EF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56</w:t>
                  </w:r>
                </w:p>
              </w:tc>
              <w:tc>
                <w:tcPr>
                  <w:tcW w:w="2253" w:type="dxa"/>
                  <w:noWrap w:val="0"/>
                  <w:vAlign w:val="center"/>
                </w:tcPr>
                <w:p w14:paraId="6F7EA4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氮气水浴复热器</w:t>
                  </w:r>
                </w:p>
              </w:tc>
              <w:tc>
                <w:tcPr>
                  <w:tcW w:w="3439" w:type="dxa"/>
                  <w:noWrap w:val="0"/>
                  <w:vAlign w:val="center"/>
                </w:tcPr>
                <w:p w14:paraId="28AC2F3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HEV-N-50</w:t>
                  </w:r>
                </w:p>
              </w:tc>
              <w:tc>
                <w:tcPr>
                  <w:tcW w:w="761" w:type="dxa"/>
                  <w:noWrap w:val="0"/>
                  <w:vAlign w:val="center"/>
                </w:tcPr>
                <w:p w14:paraId="4DA507C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DB43B9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仪表风系统</w:t>
                  </w:r>
                </w:p>
              </w:tc>
            </w:tr>
            <w:tr w14:paraId="357BF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4276CE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57</w:t>
                  </w:r>
                </w:p>
              </w:tc>
              <w:tc>
                <w:tcPr>
                  <w:tcW w:w="2253" w:type="dxa"/>
                  <w:noWrap w:val="0"/>
                  <w:vAlign w:val="center"/>
                </w:tcPr>
                <w:p w14:paraId="5E062F8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吸附塔A/B</w:t>
                  </w:r>
                </w:p>
              </w:tc>
              <w:tc>
                <w:tcPr>
                  <w:tcW w:w="3439" w:type="dxa"/>
                  <w:noWrap w:val="0"/>
                  <w:vAlign w:val="center"/>
                </w:tcPr>
                <w:p w14:paraId="3AFF989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0021AE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545CDA9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仪表风系统</w:t>
                  </w:r>
                </w:p>
              </w:tc>
            </w:tr>
            <w:tr w14:paraId="25432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5161202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58</w:t>
                  </w:r>
                </w:p>
              </w:tc>
              <w:tc>
                <w:tcPr>
                  <w:tcW w:w="2253" w:type="dxa"/>
                  <w:noWrap w:val="0"/>
                  <w:vAlign w:val="center"/>
                </w:tcPr>
                <w:p w14:paraId="54B2B76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氮气缓冲器</w:t>
                  </w:r>
                </w:p>
              </w:tc>
              <w:tc>
                <w:tcPr>
                  <w:tcW w:w="3439" w:type="dxa"/>
                  <w:noWrap w:val="0"/>
                  <w:vAlign w:val="center"/>
                </w:tcPr>
                <w:p w14:paraId="6662611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381663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634D980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仪表风系统</w:t>
                  </w:r>
                </w:p>
              </w:tc>
            </w:tr>
            <w:tr w14:paraId="76AA0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1037C4D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59</w:t>
                  </w:r>
                </w:p>
              </w:tc>
              <w:tc>
                <w:tcPr>
                  <w:tcW w:w="2253" w:type="dxa"/>
                  <w:noWrap w:val="0"/>
                  <w:vAlign w:val="center"/>
                </w:tcPr>
                <w:p w14:paraId="27092FA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净化空气罐</w:t>
                  </w:r>
                </w:p>
              </w:tc>
              <w:tc>
                <w:tcPr>
                  <w:tcW w:w="3439" w:type="dxa"/>
                  <w:noWrap w:val="0"/>
                  <w:vAlign w:val="center"/>
                </w:tcPr>
                <w:p w14:paraId="7080401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33D8DC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6C67FA4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仪表风系统</w:t>
                  </w:r>
                </w:p>
              </w:tc>
            </w:tr>
            <w:tr w14:paraId="477F5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41D287D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60</w:t>
                  </w:r>
                </w:p>
              </w:tc>
              <w:tc>
                <w:tcPr>
                  <w:tcW w:w="2253" w:type="dxa"/>
                  <w:noWrap w:val="0"/>
                  <w:vAlign w:val="center"/>
                </w:tcPr>
                <w:p w14:paraId="78B943A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除油器</w:t>
                  </w:r>
                </w:p>
              </w:tc>
              <w:tc>
                <w:tcPr>
                  <w:tcW w:w="3439" w:type="dxa"/>
                  <w:noWrap w:val="0"/>
                  <w:vAlign w:val="center"/>
                </w:tcPr>
                <w:p w14:paraId="3510280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0AD504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3218B62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仪表风系统</w:t>
                  </w:r>
                </w:p>
              </w:tc>
            </w:tr>
            <w:tr w14:paraId="541E3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E6B8F6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61</w:t>
                  </w:r>
                </w:p>
              </w:tc>
              <w:tc>
                <w:tcPr>
                  <w:tcW w:w="2253" w:type="dxa"/>
                  <w:noWrap w:val="0"/>
                  <w:vAlign w:val="center"/>
                </w:tcPr>
                <w:p w14:paraId="2A462C8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纯水装置</w:t>
                  </w:r>
                </w:p>
              </w:tc>
              <w:tc>
                <w:tcPr>
                  <w:tcW w:w="3439" w:type="dxa"/>
                  <w:noWrap w:val="0"/>
                  <w:vAlign w:val="center"/>
                </w:tcPr>
                <w:p w14:paraId="0029B81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50EA4A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0C0C737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循环水系统</w:t>
                  </w:r>
                </w:p>
              </w:tc>
            </w:tr>
            <w:tr w14:paraId="622AF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59ACBA8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62</w:t>
                  </w:r>
                </w:p>
              </w:tc>
              <w:tc>
                <w:tcPr>
                  <w:tcW w:w="2253" w:type="dxa"/>
                  <w:noWrap w:val="0"/>
                  <w:vAlign w:val="center"/>
                </w:tcPr>
                <w:p w14:paraId="2D18CC8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冷却塔</w:t>
                  </w:r>
                </w:p>
              </w:tc>
              <w:tc>
                <w:tcPr>
                  <w:tcW w:w="3439" w:type="dxa"/>
                  <w:noWrap w:val="0"/>
                  <w:vAlign w:val="center"/>
                </w:tcPr>
                <w:p w14:paraId="7575A7D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CXW-U550ASSW</w:t>
                  </w:r>
                </w:p>
              </w:tc>
              <w:tc>
                <w:tcPr>
                  <w:tcW w:w="761" w:type="dxa"/>
                  <w:noWrap w:val="0"/>
                  <w:vAlign w:val="center"/>
                </w:tcPr>
                <w:p w14:paraId="367F8D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36F7A89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循环水系统</w:t>
                  </w:r>
                </w:p>
              </w:tc>
            </w:tr>
            <w:tr w14:paraId="4226D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12495AB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63</w:t>
                  </w:r>
                </w:p>
              </w:tc>
              <w:tc>
                <w:tcPr>
                  <w:tcW w:w="2253" w:type="dxa"/>
                  <w:noWrap w:val="0"/>
                  <w:vAlign w:val="center"/>
                </w:tcPr>
                <w:p w14:paraId="73645A7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循环水稳压罐</w:t>
                  </w:r>
                </w:p>
              </w:tc>
              <w:tc>
                <w:tcPr>
                  <w:tcW w:w="3439" w:type="dxa"/>
                  <w:noWrap w:val="0"/>
                  <w:vAlign w:val="center"/>
                </w:tcPr>
                <w:p w14:paraId="13F5FC1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HKGL-1006B</w:t>
                  </w:r>
                </w:p>
              </w:tc>
              <w:tc>
                <w:tcPr>
                  <w:tcW w:w="761" w:type="dxa"/>
                  <w:noWrap w:val="0"/>
                  <w:vAlign w:val="center"/>
                </w:tcPr>
                <w:p w14:paraId="635FEC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E3ADD4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循环水系统</w:t>
                  </w:r>
                </w:p>
              </w:tc>
            </w:tr>
            <w:tr w14:paraId="3E64D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09A0FFB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64</w:t>
                  </w:r>
                </w:p>
              </w:tc>
              <w:tc>
                <w:tcPr>
                  <w:tcW w:w="2253" w:type="dxa"/>
                  <w:noWrap w:val="0"/>
                  <w:vAlign w:val="center"/>
                </w:tcPr>
                <w:p w14:paraId="3DBAF27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消防稳压罐</w:t>
                  </w:r>
                </w:p>
              </w:tc>
              <w:tc>
                <w:tcPr>
                  <w:tcW w:w="3439" w:type="dxa"/>
                  <w:noWrap w:val="0"/>
                  <w:vAlign w:val="center"/>
                </w:tcPr>
                <w:p w14:paraId="5EBE7FF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6504B3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5F89411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消防系统</w:t>
                  </w:r>
                </w:p>
              </w:tc>
            </w:tr>
            <w:tr w14:paraId="0E23A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318612C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65</w:t>
                  </w:r>
                </w:p>
              </w:tc>
              <w:tc>
                <w:tcPr>
                  <w:tcW w:w="2253" w:type="dxa"/>
                  <w:noWrap w:val="0"/>
                  <w:vAlign w:val="center"/>
                </w:tcPr>
                <w:p w14:paraId="2F905D6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板式换热器机组</w:t>
                  </w:r>
                </w:p>
              </w:tc>
              <w:tc>
                <w:tcPr>
                  <w:tcW w:w="3439" w:type="dxa"/>
                  <w:noWrap w:val="0"/>
                  <w:vAlign w:val="center"/>
                </w:tcPr>
                <w:p w14:paraId="3CDAB31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ABJ-SAO10-500IV1.0</w:t>
                  </w:r>
                </w:p>
              </w:tc>
              <w:tc>
                <w:tcPr>
                  <w:tcW w:w="761" w:type="dxa"/>
                  <w:noWrap w:val="0"/>
                  <w:vAlign w:val="center"/>
                </w:tcPr>
                <w:p w14:paraId="1E191F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50C706B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供热系统</w:t>
                  </w:r>
                </w:p>
              </w:tc>
            </w:tr>
            <w:tr w14:paraId="6CA81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5BC325B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66</w:t>
                  </w:r>
                </w:p>
              </w:tc>
              <w:tc>
                <w:tcPr>
                  <w:tcW w:w="2253" w:type="dxa"/>
                  <w:noWrap w:val="0"/>
                  <w:vAlign w:val="center"/>
                </w:tcPr>
                <w:p w14:paraId="200DB9C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重烃罐</w:t>
                  </w:r>
                </w:p>
              </w:tc>
              <w:tc>
                <w:tcPr>
                  <w:tcW w:w="3439" w:type="dxa"/>
                  <w:noWrap w:val="0"/>
                  <w:vAlign w:val="center"/>
                </w:tcPr>
                <w:p w14:paraId="3EF9EF1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11F727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573FE45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7A8803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48D261B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67</w:t>
                  </w:r>
                </w:p>
              </w:tc>
              <w:tc>
                <w:tcPr>
                  <w:tcW w:w="2253" w:type="dxa"/>
                  <w:noWrap w:val="0"/>
                  <w:vAlign w:val="center"/>
                </w:tcPr>
                <w:p w14:paraId="72BCB2C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BOG进气缓冲罐</w:t>
                  </w:r>
                </w:p>
              </w:tc>
              <w:tc>
                <w:tcPr>
                  <w:tcW w:w="3439" w:type="dxa"/>
                  <w:noWrap w:val="0"/>
                  <w:vAlign w:val="center"/>
                </w:tcPr>
                <w:p w14:paraId="456CC6D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4E6865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1A2269E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BOG系统</w:t>
                  </w:r>
                </w:p>
              </w:tc>
            </w:tr>
            <w:tr w14:paraId="1CB20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2A997B7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68</w:t>
                  </w:r>
                </w:p>
              </w:tc>
              <w:tc>
                <w:tcPr>
                  <w:tcW w:w="2253" w:type="dxa"/>
                  <w:noWrap w:val="0"/>
                  <w:vAlign w:val="center"/>
                </w:tcPr>
                <w:p w14:paraId="611C88C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BOG水浴复热器</w:t>
                  </w:r>
                </w:p>
              </w:tc>
              <w:tc>
                <w:tcPr>
                  <w:tcW w:w="3439" w:type="dxa"/>
                  <w:noWrap w:val="0"/>
                  <w:vAlign w:val="center"/>
                </w:tcPr>
                <w:p w14:paraId="6583535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HFR-800</w:t>
                  </w:r>
                </w:p>
              </w:tc>
              <w:tc>
                <w:tcPr>
                  <w:tcW w:w="761" w:type="dxa"/>
                  <w:noWrap w:val="0"/>
                  <w:vAlign w:val="center"/>
                </w:tcPr>
                <w:p w14:paraId="4F3C4F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6ACD475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BOG系统</w:t>
                  </w:r>
                </w:p>
              </w:tc>
            </w:tr>
            <w:tr w14:paraId="39D11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3D19952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69</w:t>
                  </w:r>
                </w:p>
              </w:tc>
              <w:tc>
                <w:tcPr>
                  <w:tcW w:w="2253" w:type="dxa"/>
                  <w:noWrap w:val="0"/>
                  <w:vAlign w:val="center"/>
                </w:tcPr>
                <w:p w14:paraId="54FEA90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BOG空气复热器</w:t>
                  </w:r>
                </w:p>
              </w:tc>
              <w:tc>
                <w:tcPr>
                  <w:tcW w:w="3439" w:type="dxa"/>
                  <w:noWrap w:val="0"/>
                  <w:vAlign w:val="center"/>
                </w:tcPr>
                <w:p w14:paraId="2054A42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HBOG-800</w:t>
                  </w:r>
                </w:p>
              </w:tc>
              <w:tc>
                <w:tcPr>
                  <w:tcW w:w="761" w:type="dxa"/>
                  <w:noWrap w:val="0"/>
                  <w:vAlign w:val="center"/>
                </w:tcPr>
                <w:p w14:paraId="556573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7D7CEDC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BOG系统</w:t>
                  </w:r>
                </w:p>
              </w:tc>
            </w:tr>
            <w:tr w14:paraId="1D039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32FAAE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70</w:t>
                  </w:r>
                </w:p>
              </w:tc>
              <w:tc>
                <w:tcPr>
                  <w:tcW w:w="2253" w:type="dxa"/>
                  <w:noWrap w:val="0"/>
                  <w:vAlign w:val="center"/>
                </w:tcPr>
                <w:p w14:paraId="299CE36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原料气压缩机</w:t>
                  </w:r>
                </w:p>
              </w:tc>
              <w:tc>
                <w:tcPr>
                  <w:tcW w:w="3439" w:type="dxa"/>
                  <w:noWrap w:val="0"/>
                  <w:vAlign w:val="center"/>
                </w:tcPr>
                <w:p w14:paraId="7BC0E7E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2RDSA-1/YAKK560-10</w:t>
                  </w:r>
                </w:p>
              </w:tc>
              <w:tc>
                <w:tcPr>
                  <w:tcW w:w="761" w:type="dxa"/>
                  <w:noWrap w:val="0"/>
                  <w:vAlign w:val="center"/>
                </w:tcPr>
                <w:p w14:paraId="4CECFF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74DB364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过滤增压系统</w:t>
                  </w:r>
                </w:p>
              </w:tc>
            </w:tr>
            <w:tr w14:paraId="712C2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5096A8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71</w:t>
                  </w:r>
                </w:p>
              </w:tc>
              <w:tc>
                <w:tcPr>
                  <w:tcW w:w="2253" w:type="dxa"/>
                  <w:noWrap w:val="0"/>
                  <w:vAlign w:val="center"/>
                </w:tcPr>
                <w:p w14:paraId="75DBCF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空气压缩机</w:t>
                  </w:r>
                </w:p>
              </w:tc>
              <w:tc>
                <w:tcPr>
                  <w:tcW w:w="3439" w:type="dxa"/>
                  <w:noWrap w:val="0"/>
                  <w:vAlign w:val="center"/>
                </w:tcPr>
                <w:p w14:paraId="7DFC069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SA90A</w:t>
                  </w:r>
                </w:p>
              </w:tc>
              <w:tc>
                <w:tcPr>
                  <w:tcW w:w="761" w:type="dxa"/>
                  <w:noWrap w:val="0"/>
                  <w:vAlign w:val="center"/>
                </w:tcPr>
                <w:p w14:paraId="7900E3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22C9B53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仪表风系统</w:t>
                  </w:r>
                </w:p>
              </w:tc>
            </w:tr>
            <w:tr w14:paraId="610BF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1B8454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72</w:t>
                  </w:r>
                </w:p>
              </w:tc>
              <w:tc>
                <w:tcPr>
                  <w:tcW w:w="2253" w:type="dxa"/>
                  <w:noWrap w:val="0"/>
                  <w:vAlign w:val="center"/>
                </w:tcPr>
                <w:p w14:paraId="6909B55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冷剂压缩机</w:t>
                  </w:r>
                </w:p>
              </w:tc>
              <w:tc>
                <w:tcPr>
                  <w:tcW w:w="3439" w:type="dxa"/>
                  <w:noWrap w:val="0"/>
                  <w:vAlign w:val="center"/>
                </w:tcPr>
                <w:p w14:paraId="0AB2DA1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2MCL406</w:t>
                  </w:r>
                </w:p>
              </w:tc>
              <w:tc>
                <w:tcPr>
                  <w:tcW w:w="761" w:type="dxa"/>
                  <w:noWrap w:val="0"/>
                  <w:vAlign w:val="center"/>
                </w:tcPr>
                <w:p w14:paraId="23D732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36C4FB8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7B882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1C46A5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73</w:t>
                  </w:r>
                </w:p>
              </w:tc>
              <w:tc>
                <w:tcPr>
                  <w:tcW w:w="2253" w:type="dxa"/>
                  <w:noWrap w:val="0"/>
                  <w:vAlign w:val="center"/>
                </w:tcPr>
                <w:p w14:paraId="62387EF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BOG压缩机</w:t>
                  </w:r>
                </w:p>
              </w:tc>
              <w:tc>
                <w:tcPr>
                  <w:tcW w:w="3439" w:type="dxa"/>
                  <w:noWrap w:val="0"/>
                  <w:vAlign w:val="center"/>
                </w:tcPr>
                <w:p w14:paraId="51251A9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2D-7.6/17</w:t>
                  </w:r>
                </w:p>
              </w:tc>
              <w:tc>
                <w:tcPr>
                  <w:tcW w:w="761" w:type="dxa"/>
                  <w:noWrap w:val="0"/>
                  <w:vAlign w:val="center"/>
                </w:tcPr>
                <w:p w14:paraId="4A6EED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7CD497A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BOG系统</w:t>
                  </w:r>
                </w:p>
              </w:tc>
            </w:tr>
            <w:tr w14:paraId="17FA1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1569F6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74</w:t>
                  </w:r>
                </w:p>
              </w:tc>
              <w:tc>
                <w:tcPr>
                  <w:tcW w:w="2253" w:type="dxa"/>
                  <w:noWrap w:val="0"/>
                  <w:vAlign w:val="center"/>
                </w:tcPr>
                <w:p w14:paraId="68CF87E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原料气压缩机油泵</w:t>
                  </w:r>
                </w:p>
              </w:tc>
              <w:tc>
                <w:tcPr>
                  <w:tcW w:w="3439" w:type="dxa"/>
                  <w:noWrap w:val="0"/>
                  <w:vAlign w:val="center"/>
                </w:tcPr>
                <w:p w14:paraId="343804A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KCB2CY12/3.3</w:t>
                  </w:r>
                </w:p>
              </w:tc>
              <w:tc>
                <w:tcPr>
                  <w:tcW w:w="761" w:type="dxa"/>
                  <w:noWrap w:val="0"/>
                  <w:vAlign w:val="center"/>
                </w:tcPr>
                <w:p w14:paraId="0E2A21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6293636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过滤增压系统</w:t>
                  </w:r>
                </w:p>
              </w:tc>
            </w:tr>
            <w:tr w14:paraId="37C1D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616" w:type="dxa"/>
                  <w:noWrap w:val="0"/>
                  <w:vAlign w:val="center"/>
                </w:tcPr>
                <w:p w14:paraId="03AF30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75</w:t>
                  </w:r>
                </w:p>
              </w:tc>
              <w:tc>
                <w:tcPr>
                  <w:tcW w:w="2253" w:type="dxa"/>
                  <w:noWrap w:val="0"/>
                  <w:vAlign w:val="center"/>
                </w:tcPr>
                <w:p w14:paraId="4BB7ADC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液氮泵</w:t>
                  </w:r>
                </w:p>
              </w:tc>
              <w:tc>
                <w:tcPr>
                  <w:tcW w:w="3439" w:type="dxa"/>
                  <w:noWrap w:val="0"/>
                  <w:vAlign w:val="center"/>
                </w:tcPr>
                <w:p w14:paraId="6714B63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BP300-600/64</w:t>
                  </w:r>
                </w:p>
              </w:tc>
              <w:tc>
                <w:tcPr>
                  <w:tcW w:w="761" w:type="dxa"/>
                  <w:noWrap w:val="0"/>
                  <w:vAlign w:val="center"/>
                </w:tcPr>
                <w:p w14:paraId="7F8DB1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754329A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仪表风系统</w:t>
                  </w:r>
                </w:p>
              </w:tc>
            </w:tr>
            <w:tr w14:paraId="71A2C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0" w:hRule="atLeast"/>
                <w:jc w:val="center"/>
              </w:trPr>
              <w:tc>
                <w:tcPr>
                  <w:tcW w:w="616" w:type="dxa"/>
                  <w:noWrap w:val="0"/>
                  <w:vAlign w:val="center"/>
                </w:tcPr>
                <w:p w14:paraId="726BAB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76</w:t>
                  </w:r>
                </w:p>
              </w:tc>
              <w:tc>
                <w:tcPr>
                  <w:tcW w:w="2253" w:type="dxa"/>
                  <w:noWrap w:val="0"/>
                  <w:vAlign w:val="center"/>
                </w:tcPr>
                <w:p w14:paraId="2CF8673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循环水泵</w:t>
                  </w:r>
                </w:p>
              </w:tc>
              <w:tc>
                <w:tcPr>
                  <w:tcW w:w="3439" w:type="dxa"/>
                  <w:noWrap w:val="0"/>
                  <w:vAlign w:val="center"/>
                </w:tcPr>
                <w:p w14:paraId="5084DC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BPZ-160L-1</w:t>
                  </w:r>
                </w:p>
              </w:tc>
              <w:tc>
                <w:tcPr>
                  <w:tcW w:w="761" w:type="dxa"/>
                  <w:noWrap w:val="0"/>
                  <w:vAlign w:val="center"/>
                </w:tcPr>
                <w:p w14:paraId="455A4AA4">
                  <w:pPr>
                    <w:pStyle w:val="58"/>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2134" w:type="dxa"/>
                  <w:noWrap w:val="0"/>
                  <w:vAlign w:val="center"/>
                </w:tcPr>
                <w:p w14:paraId="1831861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循环水系统</w:t>
                  </w:r>
                </w:p>
              </w:tc>
            </w:tr>
            <w:tr w14:paraId="0CB62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F0ED1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77</w:t>
                  </w:r>
                </w:p>
              </w:tc>
              <w:tc>
                <w:tcPr>
                  <w:tcW w:w="2253" w:type="dxa"/>
                  <w:noWrap w:val="0"/>
                  <w:vAlign w:val="center"/>
                </w:tcPr>
                <w:p w14:paraId="4E471E1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脱盐水补水泵</w:t>
                  </w:r>
                </w:p>
              </w:tc>
              <w:tc>
                <w:tcPr>
                  <w:tcW w:w="3439" w:type="dxa"/>
                  <w:noWrap w:val="0"/>
                  <w:vAlign w:val="center"/>
                </w:tcPr>
                <w:p w14:paraId="08637E0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BPZ-160L-2</w:t>
                  </w:r>
                </w:p>
              </w:tc>
              <w:tc>
                <w:tcPr>
                  <w:tcW w:w="761" w:type="dxa"/>
                  <w:noWrap w:val="0"/>
                  <w:vAlign w:val="center"/>
                </w:tcPr>
                <w:p w14:paraId="694671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2C5CC41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循环水系统</w:t>
                  </w:r>
                </w:p>
              </w:tc>
            </w:tr>
            <w:tr w14:paraId="2434D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1591A7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78</w:t>
                  </w:r>
                </w:p>
              </w:tc>
              <w:tc>
                <w:tcPr>
                  <w:tcW w:w="2253" w:type="dxa"/>
                  <w:noWrap w:val="0"/>
                  <w:vAlign w:val="center"/>
                </w:tcPr>
                <w:p w14:paraId="281829D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原水泵</w:t>
                  </w:r>
                </w:p>
              </w:tc>
              <w:tc>
                <w:tcPr>
                  <w:tcW w:w="3439" w:type="dxa"/>
                  <w:noWrap w:val="0"/>
                  <w:vAlign w:val="center"/>
                </w:tcPr>
                <w:p w14:paraId="504AB14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MSD35-500</w:t>
                  </w:r>
                </w:p>
              </w:tc>
              <w:tc>
                <w:tcPr>
                  <w:tcW w:w="761" w:type="dxa"/>
                  <w:noWrap w:val="0"/>
                  <w:vAlign w:val="center"/>
                </w:tcPr>
                <w:p w14:paraId="129949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01F0F68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循环水系统</w:t>
                  </w:r>
                </w:p>
              </w:tc>
            </w:tr>
            <w:tr w14:paraId="07217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91AED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79</w:t>
                  </w:r>
                </w:p>
              </w:tc>
              <w:tc>
                <w:tcPr>
                  <w:tcW w:w="2253" w:type="dxa"/>
                  <w:noWrap w:val="0"/>
                  <w:vAlign w:val="center"/>
                </w:tcPr>
                <w:p w14:paraId="70EEFF0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高压泵</w:t>
                  </w:r>
                </w:p>
              </w:tc>
              <w:tc>
                <w:tcPr>
                  <w:tcW w:w="3439" w:type="dxa"/>
                  <w:noWrap w:val="0"/>
                  <w:vAlign w:val="center"/>
                </w:tcPr>
                <w:p w14:paraId="34A080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SCS50(11)*8</w:t>
                  </w:r>
                </w:p>
              </w:tc>
              <w:tc>
                <w:tcPr>
                  <w:tcW w:w="761" w:type="dxa"/>
                  <w:noWrap w:val="0"/>
                  <w:vAlign w:val="center"/>
                </w:tcPr>
                <w:p w14:paraId="600B35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77827D0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循环水系统</w:t>
                  </w:r>
                </w:p>
              </w:tc>
            </w:tr>
            <w:tr w14:paraId="4C5CA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293054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w:t>
                  </w:r>
                </w:p>
              </w:tc>
              <w:tc>
                <w:tcPr>
                  <w:tcW w:w="2253" w:type="dxa"/>
                  <w:noWrap w:val="0"/>
                  <w:vAlign w:val="center"/>
                </w:tcPr>
                <w:p w14:paraId="3F456CF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进料泵</w:t>
                  </w:r>
                </w:p>
              </w:tc>
              <w:tc>
                <w:tcPr>
                  <w:tcW w:w="3439" w:type="dxa"/>
                  <w:noWrap w:val="0"/>
                  <w:vAlign w:val="center"/>
                </w:tcPr>
                <w:p w14:paraId="2002D37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ANSG40*25*160</w:t>
                  </w:r>
                </w:p>
              </w:tc>
              <w:tc>
                <w:tcPr>
                  <w:tcW w:w="761" w:type="dxa"/>
                  <w:noWrap w:val="0"/>
                  <w:vAlign w:val="center"/>
                </w:tcPr>
                <w:p w14:paraId="4DEFB98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3378E58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1A4D4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94027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81</w:t>
                  </w:r>
                </w:p>
              </w:tc>
              <w:tc>
                <w:tcPr>
                  <w:tcW w:w="2253" w:type="dxa"/>
                  <w:noWrap w:val="0"/>
                  <w:vAlign w:val="center"/>
                </w:tcPr>
                <w:p w14:paraId="69B1BBD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增压泵</w:t>
                  </w:r>
                </w:p>
              </w:tc>
              <w:tc>
                <w:tcPr>
                  <w:tcW w:w="3439" w:type="dxa"/>
                  <w:noWrap w:val="0"/>
                  <w:vAlign w:val="center"/>
                </w:tcPr>
                <w:p w14:paraId="3D63500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JXB-418</w:t>
                  </w:r>
                </w:p>
              </w:tc>
              <w:tc>
                <w:tcPr>
                  <w:tcW w:w="761" w:type="dxa"/>
                  <w:noWrap w:val="0"/>
                  <w:vAlign w:val="center"/>
                </w:tcPr>
                <w:p w14:paraId="1617AE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3E25203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5B954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0D4A79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82</w:t>
                  </w:r>
                </w:p>
              </w:tc>
              <w:tc>
                <w:tcPr>
                  <w:tcW w:w="2253" w:type="dxa"/>
                  <w:noWrap w:val="0"/>
                  <w:vAlign w:val="center"/>
                </w:tcPr>
                <w:p w14:paraId="60F9FC1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回流泵</w:t>
                  </w:r>
                </w:p>
              </w:tc>
              <w:tc>
                <w:tcPr>
                  <w:tcW w:w="3439" w:type="dxa"/>
                  <w:noWrap w:val="0"/>
                  <w:vAlign w:val="center"/>
                </w:tcPr>
                <w:p w14:paraId="2810F3B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LYA32-250-5</w:t>
                  </w:r>
                </w:p>
              </w:tc>
              <w:tc>
                <w:tcPr>
                  <w:tcW w:w="761" w:type="dxa"/>
                  <w:noWrap w:val="0"/>
                  <w:vAlign w:val="center"/>
                </w:tcPr>
                <w:p w14:paraId="686F760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3231AFA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03752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718657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83</w:t>
                  </w:r>
                </w:p>
              </w:tc>
              <w:tc>
                <w:tcPr>
                  <w:tcW w:w="2253" w:type="dxa"/>
                  <w:noWrap w:val="0"/>
                  <w:vAlign w:val="center"/>
                </w:tcPr>
                <w:p w14:paraId="4897E75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消泡剂泵</w:t>
                  </w:r>
                </w:p>
              </w:tc>
              <w:tc>
                <w:tcPr>
                  <w:tcW w:w="3439" w:type="dxa"/>
                  <w:noWrap w:val="0"/>
                  <w:vAlign w:val="center"/>
                </w:tcPr>
                <w:p w14:paraId="6EBD438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SNH/C660R46UM3NW21</w:t>
                  </w:r>
                </w:p>
              </w:tc>
              <w:tc>
                <w:tcPr>
                  <w:tcW w:w="761" w:type="dxa"/>
                  <w:noWrap w:val="0"/>
                  <w:vAlign w:val="center"/>
                </w:tcPr>
                <w:p w14:paraId="0717CF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1EC9E2F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脱二氧化碳系统</w:t>
                  </w:r>
                </w:p>
              </w:tc>
            </w:tr>
            <w:tr w14:paraId="62252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AA9AB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84</w:t>
                  </w:r>
                </w:p>
              </w:tc>
              <w:tc>
                <w:tcPr>
                  <w:tcW w:w="2253" w:type="dxa"/>
                  <w:noWrap w:val="0"/>
                  <w:vAlign w:val="center"/>
                </w:tcPr>
                <w:p w14:paraId="3D971C9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胺集液泵</w:t>
                  </w:r>
                </w:p>
              </w:tc>
              <w:tc>
                <w:tcPr>
                  <w:tcW w:w="3439" w:type="dxa"/>
                  <w:noWrap w:val="0"/>
                  <w:vAlign w:val="center"/>
                </w:tcPr>
                <w:p w14:paraId="2DD6C2E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CAM44/4+5</w:t>
                  </w:r>
                </w:p>
              </w:tc>
              <w:tc>
                <w:tcPr>
                  <w:tcW w:w="761" w:type="dxa"/>
                  <w:noWrap w:val="0"/>
                  <w:vAlign w:val="center"/>
                </w:tcPr>
                <w:p w14:paraId="0D7A48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31F3A6F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252E3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790948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85</w:t>
                  </w:r>
                </w:p>
              </w:tc>
              <w:tc>
                <w:tcPr>
                  <w:tcW w:w="2253" w:type="dxa"/>
                  <w:noWrap w:val="0"/>
                  <w:vAlign w:val="center"/>
                </w:tcPr>
                <w:p w14:paraId="38A1724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冷剂压缩机油泵</w:t>
                  </w:r>
                </w:p>
              </w:tc>
              <w:tc>
                <w:tcPr>
                  <w:tcW w:w="3439" w:type="dxa"/>
                  <w:noWrap w:val="0"/>
                  <w:vAlign w:val="center"/>
                </w:tcPr>
                <w:p w14:paraId="1DDC9FD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CAM30/4</w:t>
                  </w:r>
                </w:p>
              </w:tc>
              <w:tc>
                <w:tcPr>
                  <w:tcW w:w="761" w:type="dxa"/>
                  <w:noWrap w:val="0"/>
                  <w:vAlign w:val="center"/>
                </w:tcPr>
                <w:p w14:paraId="3A17660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6C27A15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519BD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3B3DA1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86</w:t>
                  </w:r>
                </w:p>
              </w:tc>
              <w:tc>
                <w:tcPr>
                  <w:tcW w:w="2253" w:type="dxa"/>
                  <w:noWrap w:val="0"/>
                  <w:vAlign w:val="center"/>
                </w:tcPr>
                <w:p w14:paraId="7DD0768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级间增压泵</w:t>
                  </w:r>
                </w:p>
              </w:tc>
              <w:tc>
                <w:tcPr>
                  <w:tcW w:w="3439" w:type="dxa"/>
                  <w:noWrap w:val="0"/>
                  <w:vAlign w:val="center"/>
                </w:tcPr>
                <w:p w14:paraId="0539884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CAM30/4</w:t>
                  </w:r>
                </w:p>
              </w:tc>
              <w:tc>
                <w:tcPr>
                  <w:tcW w:w="761" w:type="dxa"/>
                  <w:noWrap w:val="0"/>
                  <w:vAlign w:val="center"/>
                </w:tcPr>
                <w:p w14:paraId="1C3D9B9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59B0A71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431DC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5913ED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87</w:t>
                  </w:r>
                </w:p>
              </w:tc>
              <w:tc>
                <w:tcPr>
                  <w:tcW w:w="2253" w:type="dxa"/>
                  <w:noWrap w:val="0"/>
                  <w:vAlign w:val="center"/>
                </w:tcPr>
                <w:p w14:paraId="5C3F8CE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丙烷卸车泵</w:t>
                  </w:r>
                </w:p>
              </w:tc>
              <w:tc>
                <w:tcPr>
                  <w:tcW w:w="3439" w:type="dxa"/>
                  <w:noWrap w:val="0"/>
                  <w:vAlign w:val="center"/>
                </w:tcPr>
                <w:p w14:paraId="40AD857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DSM230</w:t>
                  </w:r>
                </w:p>
              </w:tc>
              <w:tc>
                <w:tcPr>
                  <w:tcW w:w="761" w:type="dxa"/>
                  <w:noWrap w:val="0"/>
                  <w:vAlign w:val="center"/>
                </w:tcPr>
                <w:p w14:paraId="5B13646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3A2BA9F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液化系统</w:t>
                  </w:r>
                </w:p>
              </w:tc>
            </w:tr>
            <w:tr w14:paraId="0B62A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586520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88</w:t>
                  </w:r>
                </w:p>
              </w:tc>
              <w:tc>
                <w:tcPr>
                  <w:tcW w:w="2253" w:type="dxa"/>
                  <w:noWrap w:val="0"/>
                  <w:vAlign w:val="center"/>
                </w:tcPr>
                <w:p w14:paraId="03FD454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异戊烷卸车泵</w:t>
                  </w:r>
                </w:p>
              </w:tc>
              <w:tc>
                <w:tcPr>
                  <w:tcW w:w="3439" w:type="dxa"/>
                  <w:noWrap w:val="0"/>
                  <w:vAlign w:val="center"/>
                </w:tcPr>
                <w:p w14:paraId="2BBE36E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25DFL2-22×3</w:t>
                  </w:r>
                </w:p>
              </w:tc>
              <w:tc>
                <w:tcPr>
                  <w:tcW w:w="761" w:type="dxa"/>
                  <w:noWrap w:val="0"/>
                  <w:vAlign w:val="center"/>
                </w:tcPr>
                <w:p w14:paraId="1E9FAD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6F0B1F2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储运系统</w:t>
                  </w:r>
                </w:p>
              </w:tc>
            </w:tr>
            <w:tr w14:paraId="6105E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206CC5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89</w:t>
                  </w:r>
                </w:p>
              </w:tc>
              <w:tc>
                <w:tcPr>
                  <w:tcW w:w="2253" w:type="dxa"/>
                  <w:noWrap w:val="0"/>
                  <w:vAlign w:val="center"/>
                </w:tcPr>
                <w:p w14:paraId="2A73D7F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LNG装车泵</w:t>
                  </w:r>
                </w:p>
              </w:tc>
              <w:tc>
                <w:tcPr>
                  <w:tcW w:w="3439" w:type="dxa"/>
                  <w:noWrap w:val="0"/>
                  <w:vAlign w:val="center"/>
                </w:tcPr>
                <w:p w14:paraId="568C909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25DFL2-22×3</w:t>
                  </w:r>
                </w:p>
              </w:tc>
              <w:tc>
                <w:tcPr>
                  <w:tcW w:w="761" w:type="dxa"/>
                  <w:noWrap w:val="0"/>
                  <w:vAlign w:val="center"/>
                </w:tcPr>
                <w:p w14:paraId="41BFB93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8FC655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供热系统</w:t>
                  </w:r>
                </w:p>
              </w:tc>
            </w:tr>
            <w:tr w14:paraId="19439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09DFF4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90</w:t>
                  </w:r>
                </w:p>
              </w:tc>
              <w:tc>
                <w:tcPr>
                  <w:tcW w:w="2253" w:type="dxa"/>
                  <w:noWrap w:val="0"/>
                  <w:vAlign w:val="center"/>
                </w:tcPr>
                <w:p w14:paraId="6C2C225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供热补水泵</w:t>
                  </w:r>
                </w:p>
              </w:tc>
              <w:tc>
                <w:tcPr>
                  <w:tcW w:w="3439" w:type="dxa"/>
                  <w:noWrap w:val="0"/>
                  <w:vAlign w:val="center"/>
                </w:tcPr>
                <w:p w14:paraId="16CD7DF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p>
              </w:tc>
              <w:tc>
                <w:tcPr>
                  <w:tcW w:w="761" w:type="dxa"/>
                  <w:noWrap w:val="0"/>
                  <w:vAlign w:val="center"/>
                </w:tcPr>
                <w:p w14:paraId="7792469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152318E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供热系统</w:t>
                  </w:r>
                </w:p>
              </w:tc>
            </w:tr>
            <w:tr w14:paraId="71D62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2F94E9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91</w:t>
                  </w:r>
                </w:p>
              </w:tc>
              <w:tc>
                <w:tcPr>
                  <w:tcW w:w="2253" w:type="dxa"/>
                  <w:noWrap w:val="0"/>
                  <w:vAlign w:val="center"/>
                </w:tcPr>
                <w:p w14:paraId="7906E67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供热循环泵</w:t>
                  </w:r>
                </w:p>
              </w:tc>
              <w:tc>
                <w:tcPr>
                  <w:tcW w:w="3439" w:type="dxa"/>
                  <w:noWrap w:val="0"/>
                  <w:vAlign w:val="center"/>
                </w:tcPr>
                <w:p w14:paraId="2DBEAE4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PDZM150-3.7</w:t>
                  </w:r>
                </w:p>
              </w:tc>
              <w:tc>
                <w:tcPr>
                  <w:tcW w:w="761" w:type="dxa"/>
                  <w:noWrap w:val="0"/>
                  <w:vAlign w:val="center"/>
                </w:tcPr>
                <w:p w14:paraId="488960A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49BEEF6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BOG系统</w:t>
                  </w:r>
                </w:p>
              </w:tc>
            </w:tr>
            <w:tr w14:paraId="38EE1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443EC5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92</w:t>
                  </w:r>
                </w:p>
              </w:tc>
              <w:tc>
                <w:tcPr>
                  <w:tcW w:w="2253" w:type="dxa"/>
                  <w:noWrap w:val="0"/>
                  <w:vAlign w:val="center"/>
                </w:tcPr>
                <w:p w14:paraId="1F0C407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BOG压缩机油泵</w:t>
                  </w:r>
                </w:p>
              </w:tc>
              <w:tc>
                <w:tcPr>
                  <w:tcW w:w="3439" w:type="dxa"/>
                  <w:noWrap w:val="0"/>
                  <w:vAlign w:val="center"/>
                </w:tcPr>
                <w:p w14:paraId="6DC5C08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p>
              </w:tc>
              <w:tc>
                <w:tcPr>
                  <w:tcW w:w="761" w:type="dxa"/>
                  <w:noWrap w:val="0"/>
                  <w:vAlign w:val="center"/>
                </w:tcPr>
                <w:p w14:paraId="3A3F08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w:t>
                  </w:r>
                </w:p>
              </w:tc>
              <w:tc>
                <w:tcPr>
                  <w:tcW w:w="2134" w:type="dxa"/>
                  <w:noWrap w:val="0"/>
                  <w:vAlign w:val="center"/>
                </w:tcPr>
                <w:p w14:paraId="613C4DF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循环水系统</w:t>
                  </w:r>
                </w:p>
              </w:tc>
            </w:tr>
            <w:tr w14:paraId="45DAA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1F87D8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93</w:t>
                  </w:r>
                </w:p>
              </w:tc>
              <w:tc>
                <w:tcPr>
                  <w:tcW w:w="2253" w:type="dxa"/>
                  <w:noWrap w:val="0"/>
                  <w:vAlign w:val="center"/>
                </w:tcPr>
                <w:p w14:paraId="0DC3477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冷却塔喷淋泵</w:t>
                  </w:r>
                </w:p>
              </w:tc>
              <w:tc>
                <w:tcPr>
                  <w:tcW w:w="3439" w:type="dxa"/>
                  <w:noWrap w:val="0"/>
                  <w:vAlign w:val="center"/>
                </w:tcPr>
                <w:p w14:paraId="1352A8E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SC13G420P2</w:t>
                  </w:r>
                </w:p>
              </w:tc>
              <w:tc>
                <w:tcPr>
                  <w:tcW w:w="761" w:type="dxa"/>
                  <w:noWrap w:val="0"/>
                  <w:vAlign w:val="center"/>
                </w:tcPr>
                <w:p w14:paraId="0EE8BA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p>
              </w:tc>
              <w:tc>
                <w:tcPr>
                  <w:tcW w:w="2134" w:type="dxa"/>
                  <w:noWrap w:val="0"/>
                  <w:vAlign w:val="center"/>
                </w:tcPr>
                <w:p w14:paraId="59600CB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循环水系统</w:t>
                  </w:r>
                </w:p>
              </w:tc>
            </w:tr>
            <w:tr w14:paraId="10B19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36D532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94</w:t>
                  </w:r>
                </w:p>
              </w:tc>
              <w:tc>
                <w:tcPr>
                  <w:tcW w:w="2253" w:type="dxa"/>
                  <w:noWrap w:val="0"/>
                  <w:vAlign w:val="center"/>
                </w:tcPr>
                <w:p w14:paraId="5BA58C0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冷却塔风机</w:t>
                  </w:r>
                </w:p>
              </w:tc>
              <w:tc>
                <w:tcPr>
                  <w:tcW w:w="3439" w:type="dxa"/>
                  <w:noWrap w:val="0"/>
                  <w:vAlign w:val="center"/>
                </w:tcPr>
                <w:p w14:paraId="20815729">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YOGJ1000</w:t>
                  </w:r>
                </w:p>
              </w:tc>
              <w:tc>
                <w:tcPr>
                  <w:tcW w:w="761" w:type="dxa"/>
                  <w:noWrap w:val="0"/>
                  <w:vAlign w:val="center"/>
                </w:tcPr>
                <w:p w14:paraId="0FD6EEA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42A60FC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消防系统</w:t>
                  </w:r>
                </w:p>
              </w:tc>
            </w:tr>
            <w:tr w14:paraId="4D70E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5ADFC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95</w:t>
                  </w:r>
                </w:p>
              </w:tc>
              <w:tc>
                <w:tcPr>
                  <w:tcW w:w="2253" w:type="dxa"/>
                  <w:noWrap w:val="0"/>
                  <w:vAlign w:val="center"/>
                </w:tcPr>
                <w:p w14:paraId="464C5DD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柴油机</w:t>
                  </w:r>
                </w:p>
              </w:tc>
              <w:tc>
                <w:tcPr>
                  <w:tcW w:w="3439" w:type="dxa"/>
                  <w:noWrap w:val="0"/>
                  <w:vAlign w:val="center"/>
                </w:tcPr>
                <w:p w14:paraId="06BB03B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XBD8/DFSS200-520A</w:t>
                  </w:r>
                </w:p>
              </w:tc>
              <w:tc>
                <w:tcPr>
                  <w:tcW w:w="761" w:type="dxa"/>
                  <w:noWrap w:val="0"/>
                  <w:vAlign w:val="center"/>
                </w:tcPr>
                <w:p w14:paraId="7FA3D7C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402CBD8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消防系统</w:t>
                  </w:r>
                </w:p>
              </w:tc>
            </w:tr>
            <w:tr w14:paraId="2F412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72F12F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96</w:t>
                  </w:r>
                </w:p>
              </w:tc>
              <w:tc>
                <w:tcPr>
                  <w:tcW w:w="2253" w:type="dxa"/>
                  <w:noWrap w:val="0"/>
                  <w:vAlign w:val="center"/>
                </w:tcPr>
                <w:p w14:paraId="475E882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柴油发电机</w:t>
                  </w:r>
                </w:p>
              </w:tc>
              <w:tc>
                <w:tcPr>
                  <w:tcW w:w="3439" w:type="dxa"/>
                  <w:noWrap w:val="0"/>
                  <w:vAlign w:val="center"/>
                </w:tcPr>
                <w:p w14:paraId="6ED362A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XBD5.55/50LG-B18-20X4</w:t>
                  </w:r>
                </w:p>
              </w:tc>
              <w:tc>
                <w:tcPr>
                  <w:tcW w:w="761" w:type="dxa"/>
                  <w:noWrap w:val="0"/>
                  <w:vAlign w:val="center"/>
                </w:tcPr>
                <w:p w14:paraId="1628382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5240D04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消防系统</w:t>
                  </w:r>
                </w:p>
              </w:tc>
            </w:tr>
            <w:tr w14:paraId="0CB13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04CA8C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97</w:t>
                  </w:r>
                </w:p>
              </w:tc>
              <w:tc>
                <w:tcPr>
                  <w:tcW w:w="2253" w:type="dxa"/>
                  <w:noWrap w:val="0"/>
                  <w:vAlign w:val="center"/>
                </w:tcPr>
                <w:p w14:paraId="7B713789">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消防电泵</w:t>
                  </w:r>
                </w:p>
              </w:tc>
              <w:tc>
                <w:tcPr>
                  <w:tcW w:w="3439" w:type="dxa"/>
                  <w:noWrap w:val="0"/>
                  <w:vAlign w:val="center"/>
                </w:tcPr>
                <w:p w14:paraId="24312A8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BPZ-160L-1</w:t>
                  </w:r>
                </w:p>
              </w:tc>
              <w:tc>
                <w:tcPr>
                  <w:tcW w:w="761" w:type="dxa"/>
                  <w:noWrap w:val="0"/>
                  <w:vAlign w:val="center"/>
                </w:tcPr>
                <w:p w14:paraId="21F1172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w:t>
                  </w:r>
                </w:p>
              </w:tc>
              <w:tc>
                <w:tcPr>
                  <w:tcW w:w="2134" w:type="dxa"/>
                  <w:noWrap w:val="0"/>
                  <w:vAlign w:val="center"/>
                </w:tcPr>
                <w:p w14:paraId="18F38DC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消防系统</w:t>
                  </w:r>
                </w:p>
              </w:tc>
            </w:tr>
            <w:tr w14:paraId="008A1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84049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98</w:t>
                  </w:r>
                </w:p>
              </w:tc>
              <w:tc>
                <w:tcPr>
                  <w:tcW w:w="2253" w:type="dxa"/>
                  <w:noWrap w:val="0"/>
                  <w:vAlign w:val="center"/>
                </w:tcPr>
                <w:p w14:paraId="3BBAF3B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消防稳压泵</w:t>
                  </w:r>
                </w:p>
              </w:tc>
              <w:tc>
                <w:tcPr>
                  <w:tcW w:w="3439" w:type="dxa"/>
                  <w:noWrap w:val="0"/>
                  <w:vAlign w:val="center"/>
                </w:tcPr>
                <w:p w14:paraId="701334F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BPZ-160L-2</w:t>
                  </w:r>
                </w:p>
              </w:tc>
              <w:tc>
                <w:tcPr>
                  <w:tcW w:w="761" w:type="dxa"/>
                  <w:noWrap w:val="0"/>
                  <w:vAlign w:val="center"/>
                </w:tcPr>
                <w:p w14:paraId="454CE9A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56FA68B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循环水系统</w:t>
                  </w:r>
                </w:p>
              </w:tc>
            </w:tr>
            <w:tr w14:paraId="1E582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4BDD4C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99</w:t>
                  </w:r>
                </w:p>
              </w:tc>
              <w:tc>
                <w:tcPr>
                  <w:tcW w:w="2253" w:type="dxa"/>
                  <w:noWrap w:val="0"/>
                  <w:vAlign w:val="center"/>
                </w:tcPr>
                <w:p w14:paraId="390D118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进气洗涤罐</w:t>
                  </w:r>
                </w:p>
              </w:tc>
              <w:tc>
                <w:tcPr>
                  <w:tcW w:w="3439" w:type="dxa"/>
                  <w:noWrap w:val="0"/>
                  <w:vAlign w:val="center"/>
                </w:tcPr>
                <w:p w14:paraId="3EFDD71D">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1.555m3</w:t>
                  </w:r>
                </w:p>
              </w:tc>
              <w:tc>
                <w:tcPr>
                  <w:tcW w:w="761" w:type="dxa"/>
                  <w:noWrap w:val="0"/>
                  <w:vAlign w:val="center"/>
                </w:tcPr>
                <w:p w14:paraId="1EF821CC">
                  <w:pPr>
                    <w:pStyle w:val="58"/>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2134" w:type="dxa"/>
                  <w:noWrap w:val="0"/>
                  <w:vAlign w:val="center"/>
                </w:tcPr>
                <w:p w14:paraId="5390FB1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过滤增压系统</w:t>
                  </w:r>
                </w:p>
              </w:tc>
            </w:tr>
            <w:tr w14:paraId="038D9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559BAC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w:t>
                  </w:r>
                </w:p>
              </w:tc>
              <w:tc>
                <w:tcPr>
                  <w:tcW w:w="2253" w:type="dxa"/>
                  <w:noWrap w:val="0"/>
                  <w:vAlign w:val="center"/>
                </w:tcPr>
                <w:p w14:paraId="645999A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进气缓冲罐</w:t>
                  </w:r>
                </w:p>
              </w:tc>
              <w:tc>
                <w:tcPr>
                  <w:tcW w:w="3439" w:type="dxa"/>
                  <w:noWrap w:val="0"/>
                  <w:vAlign w:val="center"/>
                </w:tcPr>
                <w:p w14:paraId="78F0045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0.301m3</w:t>
                  </w:r>
                </w:p>
              </w:tc>
              <w:tc>
                <w:tcPr>
                  <w:tcW w:w="761" w:type="dxa"/>
                  <w:noWrap w:val="0"/>
                  <w:vAlign w:val="center"/>
                </w:tcPr>
                <w:p w14:paraId="16C65607">
                  <w:pPr>
                    <w:pStyle w:val="58"/>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p>
              </w:tc>
              <w:tc>
                <w:tcPr>
                  <w:tcW w:w="2134" w:type="dxa"/>
                  <w:shd w:val="clear" w:color="auto" w:fill="auto"/>
                  <w:noWrap w:val="0"/>
                  <w:vAlign w:val="center"/>
                </w:tcPr>
                <w:p w14:paraId="3F41FE3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过滤增压系统</w:t>
                  </w:r>
                </w:p>
              </w:tc>
            </w:tr>
            <w:tr w14:paraId="59E08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4F00AA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101</w:t>
                  </w:r>
                </w:p>
              </w:tc>
              <w:tc>
                <w:tcPr>
                  <w:tcW w:w="2253" w:type="dxa"/>
                  <w:noWrap w:val="0"/>
                  <w:vAlign w:val="center"/>
                </w:tcPr>
                <w:p w14:paraId="2D42403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解析塔</w:t>
                  </w:r>
                </w:p>
              </w:tc>
              <w:tc>
                <w:tcPr>
                  <w:tcW w:w="3439" w:type="dxa"/>
                  <w:noWrap w:val="0"/>
                  <w:vAlign w:val="center"/>
                </w:tcPr>
                <w:p w14:paraId="76226F3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10m3</w:t>
                  </w:r>
                </w:p>
              </w:tc>
              <w:tc>
                <w:tcPr>
                  <w:tcW w:w="761" w:type="dxa"/>
                  <w:noWrap w:val="0"/>
                  <w:vAlign w:val="center"/>
                </w:tcPr>
                <w:p w14:paraId="6FEABC92">
                  <w:pPr>
                    <w:pStyle w:val="58"/>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shd w:val="clear" w:color="auto" w:fill="auto"/>
                  <w:noWrap w:val="0"/>
                  <w:vAlign w:val="center"/>
                </w:tcPr>
                <w:p w14:paraId="49BEA4DC">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脱酸系统</w:t>
                  </w:r>
                </w:p>
              </w:tc>
            </w:tr>
            <w:tr w14:paraId="7944A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40" w:hRule="atLeast"/>
                <w:jc w:val="center"/>
              </w:trPr>
              <w:tc>
                <w:tcPr>
                  <w:tcW w:w="616" w:type="dxa"/>
                  <w:noWrap w:val="0"/>
                  <w:vAlign w:val="center"/>
                </w:tcPr>
                <w:p w14:paraId="1AE586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102</w:t>
                  </w:r>
                </w:p>
              </w:tc>
              <w:tc>
                <w:tcPr>
                  <w:tcW w:w="2253" w:type="dxa"/>
                  <w:noWrap w:val="0"/>
                  <w:vAlign w:val="center"/>
                </w:tcPr>
                <w:p w14:paraId="72C523D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富胺闪蒸槽</w:t>
                  </w:r>
                </w:p>
              </w:tc>
              <w:tc>
                <w:tcPr>
                  <w:tcW w:w="3439" w:type="dxa"/>
                  <w:noWrap w:val="0"/>
                  <w:vAlign w:val="center"/>
                </w:tcPr>
                <w:p w14:paraId="7F448A0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3.9m3</w:t>
                  </w:r>
                </w:p>
              </w:tc>
              <w:tc>
                <w:tcPr>
                  <w:tcW w:w="761" w:type="dxa"/>
                  <w:noWrap w:val="0"/>
                  <w:vAlign w:val="center"/>
                </w:tcPr>
                <w:p w14:paraId="3CB0F07E">
                  <w:pPr>
                    <w:pStyle w:val="58"/>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shd w:val="clear" w:color="auto" w:fill="auto"/>
                  <w:noWrap w:val="0"/>
                  <w:vAlign w:val="center"/>
                </w:tcPr>
                <w:p w14:paraId="15BF90DA">
                  <w:pPr>
                    <w:pStyle w:val="58"/>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脱酸系统</w:t>
                  </w:r>
                </w:p>
              </w:tc>
            </w:tr>
            <w:tr w14:paraId="592FF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7EF7C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103</w:t>
                  </w:r>
                </w:p>
              </w:tc>
              <w:tc>
                <w:tcPr>
                  <w:tcW w:w="2253" w:type="dxa"/>
                  <w:shd w:val="clear" w:color="auto" w:fill="auto"/>
                  <w:noWrap w:val="0"/>
                  <w:vAlign w:val="center"/>
                </w:tcPr>
                <w:p w14:paraId="6592FF1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塔底再沸器</w:t>
                  </w:r>
                </w:p>
              </w:tc>
              <w:tc>
                <w:tcPr>
                  <w:tcW w:w="3439" w:type="dxa"/>
                  <w:noWrap w:val="0"/>
                  <w:vAlign w:val="center"/>
                </w:tcPr>
                <w:p w14:paraId="1221FE3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761" w:type="dxa"/>
                  <w:noWrap w:val="0"/>
                  <w:vAlign w:val="center"/>
                </w:tcPr>
                <w:p w14:paraId="11B4E47E">
                  <w:pPr>
                    <w:pStyle w:val="58"/>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B94F5DF">
                  <w:pPr>
                    <w:pStyle w:val="58"/>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脱酸系统</w:t>
                  </w:r>
                </w:p>
              </w:tc>
            </w:tr>
            <w:tr w14:paraId="5951F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3" w:hRule="atLeast"/>
                <w:jc w:val="center"/>
              </w:trPr>
              <w:tc>
                <w:tcPr>
                  <w:tcW w:w="616" w:type="dxa"/>
                  <w:noWrap w:val="0"/>
                  <w:vAlign w:val="center"/>
                </w:tcPr>
                <w:p w14:paraId="658C78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104</w:t>
                  </w:r>
                </w:p>
              </w:tc>
              <w:tc>
                <w:tcPr>
                  <w:tcW w:w="2253" w:type="dxa"/>
                  <w:shd w:val="clear" w:color="auto" w:fill="auto"/>
                  <w:noWrap w:val="0"/>
                  <w:vAlign w:val="center"/>
                </w:tcPr>
                <w:p w14:paraId="641AF1B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氮气缓冲罐</w:t>
                  </w:r>
                </w:p>
              </w:tc>
              <w:tc>
                <w:tcPr>
                  <w:tcW w:w="3439" w:type="dxa"/>
                  <w:noWrap w:val="0"/>
                  <w:vAlign w:val="center"/>
                </w:tcPr>
                <w:p w14:paraId="2F08EE46">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3m3</w:t>
                  </w:r>
                </w:p>
              </w:tc>
              <w:tc>
                <w:tcPr>
                  <w:tcW w:w="761" w:type="dxa"/>
                  <w:noWrap w:val="0"/>
                  <w:vAlign w:val="center"/>
                </w:tcPr>
                <w:p w14:paraId="6AD1C5B5">
                  <w:pPr>
                    <w:pStyle w:val="58"/>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w:t>
                  </w:r>
                </w:p>
              </w:tc>
              <w:tc>
                <w:tcPr>
                  <w:tcW w:w="2134" w:type="dxa"/>
                  <w:noWrap w:val="0"/>
                  <w:vAlign w:val="center"/>
                </w:tcPr>
                <w:p w14:paraId="2AEEA2FE">
                  <w:pPr>
                    <w:pStyle w:val="58"/>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仪表风制氮系统</w:t>
                  </w:r>
                </w:p>
              </w:tc>
            </w:tr>
          </w:tbl>
          <w:p w14:paraId="283FAA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（3）现有工程主要生产工艺流程及排污节点</w:t>
            </w:r>
          </w:p>
          <w:p w14:paraId="56400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液化厂按照功能可以分为原料气计量稳压单元、天然气净化单元、天然气液化单元、制冷剂储存系统、制冷剂压缩系统和LNG储存单元。</w:t>
            </w:r>
          </w:p>
          <w:p w14:paraId="7E32C9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①原料气计量稳压单元</w:t>
            </w:r>
          </w:p>
          <w:p w14:paraId="3060F3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原料天然气在~30℃，1.4-1.8MPa.G条件下进入本装置，原料气首先经过原料气过滤分离器尽可能除去可能携带的游离液体和机械杂质，再经计量后增压至3.8MPaG以后进入LNG装置的后续系统。</w:t>
            </w:r>
          </w:p>
          <w:p w14:paraId="4F3128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原料天然气进装置设置有事故联锁切断阀，切断进入装置的原料天然气源，保证装置、人员及附近设施的安全。</w:t>
            </w:r>
          </w:p>
          <w:p w14:paraId="6233E2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②天然气净化单元</w:t>
            </w:r>
          </w:p>
          <w:p w14:paraId="7634B8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天然气净化单元主要包括天然气脱酸气和天然气脱水脱汞两个部分</w:t>
            </w:r>
          </w:p>
          <w:p w14:paraId="7350F2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a 天然气脱酸气部分</w:t>
            </w:r>
          </w:p>
          <w:p w14:paraId="0663D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来自过滤增压单元的天然气经过过滤器精细过滤后，进入脱二氧化碳单元进行脱二氧化碳处理，本工程选用 MDEA 吸收脱二氧化碳工艺，天然气由塔底进入 MDEA 吸收塔，塔顶喷入MDEA溶液，脱二氧化碳后的天然气经过冷却分离进入脱水部分，富MDEA经过再生循环使用。</w:t>
            </w:r>
          </w:p>
          <w:p w14:paraId="3D4AF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b天然气脱水部分</w:t>
            </w:r>
          </w:p>
          <w:p w14:paraId="7B4AA3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来自脱酸气部分的天然气进入分子筛干燥塔进行脱水处理，脱水工艺采用双塔流程，以 4A 分子筛作为吸附载体，一个塔吸附，另一个塔再生，12小时切换一次，脱水后天然气的水露点降至-100℃以下，以防止后续的液化单元中生成水化物而造成冻堵，分子筛再生选用干气进行同压再生，再生后的天然气经过冷却分离后增压返回过滤增压系统。</w:t>
            </w:r>
          </w:p>
          <w:p w14:paraId="5E395C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c 天然气脱汞及过滤系统</w:t>
            </w:r>
          </w:p>
          <w:p w14:paraId="3844A0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从脱酸气单元来的天然气进入脱汞塔，塔内装脱汞剂，汞与脱汞剂</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浸活性炭</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上的硫产生化学反应生成硫化汞，吸附在活性炭上，从而达到脱除汞之目的。从系统出来的天然气的汞含量小于0.01μg/N</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p>
          <w:p w14:paraId="547FF2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val="en-US" w:eastAsia="zh-CN"/>
              </w:rPr>
              <w:t>天然气液化单元</w:t>
            </w:r>
          </w:p>
          <w:p w14:paraId="3B0214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来自天然气脱水脱汞单元的净化天然气进入液化冷箱，在板翅换热器中冷却到一定温度后进入重烃分离罐，分离重烃后的天然气返回板翅换热器中继续冷却、液化、过冷，出板翅换热器的过冷高压液化天然气节流到0.3MPaG后作为LNG产品，去</w:t>
            </w:r>
            <w:r>
              <w:rPr>
                <w:rFonts w:hint="eastAsia"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lang w:val="en-US" w:eastAsia="zh-CN"/>
              </w:rPr>
              <w:t>NG储</w:t>
            </w:r>
            <w:r>
              <w:rPr>
                <w:rFonts w:hint="eastAsia" w:ascii="Times New Roman" w:hAnsi="Times New Roman" w:eastAsia="宋体" w:cs="Times New Roman"/>
                <w:color w:val="auto"/>
                <w:sz w:val="24"/>
                <w:szCs w:val="24"/>
                <w:highlight w:val="none"/>
                <w:lang w:val="en-US" w:eastAsia="zh-CN"/>
              </w:rPr>
              <w:t>存</w:t>
            </w:r>
            <w:r>
              <w:rPr>
                <w:rFonts w:hint="default" w:ascii="Times New Roman" w:hAnsi="Times New Roman" w:eastAsia="宋体" w:cs="Times New Roman"/>
                <w:color w:val="auto"/>
                <w:sz w:val="24"/>
                <w:szCs w:val="24"/>
                <w:highlight w:val="none"/>
                <w:lang w:val="en-US" w:eastAsia="zh-CN"/>
              </w:rPr>
              <w:t>。</w:t>
            </w:r>
          </w:p>
          <w:p w14:paraId="4A900A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t>制冷剂压缩单元</w:t>
            </w:r>
          </w:p>
          <w:p w14:paraId="3B09B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工程采用混合制冷剂制冷循环工艺，混合制冷剂由混合制冷剂包括甲烷、乙烯、丙烷、异戊烷、氮气组成。</w:t>
            </w:r>
          </w:p>
          <w:p w14:paraId="6EE645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来自天然气液化单元的低压混合制冷剂经分离罐进入制冷剂压缩机压缩，一级</w:t>
            </w:r>
            <w:r>
              <w:rPr>
                <w:rFonts w:hint="eastAsia" w:ascii="Times New Roman" w:hAnsi="Times New Roman" w:eastAsia="宋体" w:cs="Times New Roman"/>
                <w:color w:val="auto"/>
                <w:sz w:val="24"/>
                <w:szCs w:val="24"/>
                <w:highlight w:val="none"/>
                <w:lang w:val="en-US" w:eastAsia="zh-CN"/>
              </w:rPr>
              <w:t>压</w:t>
            </w:r>
            <w:r>
              <w:rPr>
                <w:rFonts w:hint="default" w:ascii="Times New Roman" w:hAnsi="Times New Roman" w:eastAsia="宋体" w:cs="Times New Roman"/>
                <w:color w:val="auto"/>
                <w:sz w:val="24"/>
                <w:szCs w:val="24"/>
                <w:highlight w:val="none"/>
                <w:lang w:val="en-US" w:eastAsia="zh-CN"/>
              </w:rPr>
              <w:t>缩后进入</w:t>
            </w:r>
            <w:r>
              <w:rPr>
                <w:rFonts w:hint="eastAsia" w:ascii="Times New Roman" w:hAnsi="Times New Roman" w:eastAsia="宋体" w:cs="Times New Roman"/>
                <w:color w:val="auto"/>
                <w:sz w:val="24"/>
                <w:szCs w:val="24"/>
                <w:highlight w:val="none"/>
                <w:lang w:val="en-US" w:eastAsia="zh-CN"/>
              </w:rPr>
              <w:t>一</w:t>
            </w:r>
            <w:r>
              <w:rPr>
                <w:rFonts w:hint="default" w:ascii="Times New Roman" w:hAnsi="Times New Roman" w:eastAsia="宋体" w:cs="Times New Roman"/>
                <w:color w:val="auto"/>
                <w:sz w:val="24"/>
                <w:szCs w:val="24"/>
                <w:highlight w:val="none"/>
                <w:lang w:val="en-US" w:eastAsia="zh-CN"/>
              </w:rPr>
              <w:t>级冷却器和分离器，分离后混合制冷剂进入二级压缩，二级压缩后进入二级冷却器和二级分离器，二级分离器顶部的高压制冷剂气体去天然气液化单元，二级分离器底部的高压制冷剂液体经制冷剂泵加压后送至天然气液化单元</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高压混合制冷剂进入天然气液化单元后，经液化冷箱中的板翅换热器冷却、液化、过冷，然后节流降温降压，返回板翅换热器为天然气液化和高压制冷剂冷却提供所需的冷量，复温后的低压混合制冷剂出天然气液化单元，返回制冷剂压缩单元。</w:t>
            </w:r>
          </w:p>
          <w:p w14:paraId="7B823A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lang w:val="en-US" w:eastAsia="zh-CN"/>
              </w:rPr>
              <w:t>制冷剂储配单元</w:t>
            </w:r>
          </w:p>
          <w:p w14:paraId="21EC1E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制冷剂储配单元包括制冷剂储罐、丙烷储</w:t>
            </w:r>
            <w:r>
              <w:rPr>
                <w:rFonts w:hint="eastAsia" w:ascii="Times New Roman" w:hAnsi="Times New Roman" w:eastAsia="宋体" w:cs="Times New Roman"/>
                <w:color w:val="auto"/>
                <w:sz w:val="24"/>
                <w:szCs w:val="24"/>
                <w:highlight w:val="none"/>
                <w:lang w:val="en-US" w:eastAsia="zh-CN"/>
              </w:rPr>
              <w:t>罐</w:t>
            </w:r>
            <w:r>
              <w:rPr>
                <w:rFonts w:hint="default" w:ascii="Times New Roman" w:hAnsi="Times New Roman" w:eastAsia="宋体" w:cs="Times New Roman"/>
                <w:color w:val="auto"/>
                <w:sz w:val="24"/>
                <w:szCs w:val="24"/>
                <w:highlight w:val="none"/>
                <w:lang w:val="en-US" w:eastAsia="zh-CN"/>
              </w:rPr>
              <w:t>、丙烷</w:t>
            </w:r>
            <w:r>
              <w:rPr>
                <w:rFonts w:hint="eastAsia" w:ascii="Times New Roman" w:hAnsi="Times New Roman" w:eastAsia="宋体" w:cs="Times New Roman"/>
                <w:color w:val="auto"/>
                <w:sz w:val="24"/>
                <w:szCs w:val="24"/>
                <w:highlight w:val="none"/>
                <w:lang w:val="en-US" w:eastAsia="zh-CN"/>
              </w:rPr>
              <w:t>干</w:t>
            </w:r>
            <w:r>
              <w:rPr>
                <w:rFonts w:hint="default" w:ascii="Times New Roman" w:hAnsi="Times New Roman" w:eastAsia="宋体" w:cs="Times New Roman"/>
                <w:color w:val="auto"/>
                <w:sz w:val="24"/>
                <w:szCs w:val="24"/>
                <w:highlight w:val="none"/>
                <w:lang w:val="en-US" w:eastAsia="zh-CN"/>
              </w:rPr>
              <w:t>燥器、丙烷卸车泵、异戊烷储罐、异戊烷干燥器、异戊烷卸车泵、乙烯储罐等设备。用以补充系统中损失的混合制冷剂。</w:t>
            </w:r>
          </w:p>
          <w:p w14:paraId="658567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⑥LNG储存与装车单元</w:t>
            </w:r>
          </w:p>
          <w:p w14:paraId="0AFD38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来自天然气液化单元的液化天然气进入 LNG 储罐中储存。</w:t>
            </w:r>
          </w:p>
          <w:p w14:paraId="41CCA0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LNG罐区设置2座子母液化天然气储罐，A罐内设置10个子罐，B罐内设置8个子罐，每个子罐的容积均为212.4m³，储存</w:t>
            </w:r>
            <w:r>
              <w:rPr>
                <w:rFonts w:hint="eastAsia" w:ascii="Times New Roman" w:hAnsi="Times New Roman" w:eastAsia="宋体" w:cs="Times New Roman"/>
                <w:color w:val="auto"/>
                <w:sz w:val="24"/>
                <w:szCs w:val="24"/>
                <w:highlight w:val="none"/>
                <w:lang w:val="en-US" w:eastAsia="zh-CN"/>
              </w:rPr>
              <w:t>温度</w:t>
            </w:r>
            <w:r>
              <w:rPr>
                <w:rFonts w:hint="default" w:ascii="Times New Roman" w:hAnsi="Times New Roman" w:eastAsia="宋体" w:cs="Times New Roman"/>
                <w:color w:val="auto"/>
                <w:sz w:val="24"/>
                <w:szCs w:val="24"/>
                <w:highlight w:val="none"/>
                <w:lang w:val="en-US" w:eastAsia="zh-CN"/>
              </w:rPr>
              <w:t>-161.04℃、储存压力为 0.30MPa。装车台设置二个装车</w:t>
            </w:r>
            <w:r>
              <w:rPr>
                <w:rFonts w:hint="eastAsia" w:ascii="Times New Roman" w:hAnsi="Times New Roman" w:eastAsia="宋体" w:cs="Times New Roman"/>
                <w:color w:val="auto"/>
                <w:sz w:val="24"/>
                <w:szCs w:val="24"/>
                <w:highlight w:val="none"/>
                <w:lang w:val="en-US" w:eastAsia="zh-CN"/>
              </w:rPr>
              <w:t>鹤</w:t>
            </w:r>
            <w:r>
              <w:rPr>
                <w:rFonts w:hint="default" w:ascii="Times New Roman" w:hAnsi="Times New Roman" w:eastAsia="宋体" w:cs="Times New Roman"/>
                <w:color w:val="auto"/>
                <w:sz w:val="24"/>
                <w:szCs w:val="24"/>
                <w:highlight w:val="none"/>
                <w:lang w:val="en-US" w:eastAsia="zh-CN"/>
              </w:rPr>
              <w:t>位，配备2台</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/h的</w:t>
            </w:r>
            <w:r>
              <w:rPr>
                <w:rFonts w:hint="eastAsia"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lang w:val="en-US" w:eastAsia="zh-CN"/>
              </w:rPr>
              <w:t>NG装车泵，一台汽车衡。</w:t>
            </w:r>
          </w:p>
          <w:p w14:paraId="5A919E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⑦分子筛空分制氮</w:t>
            </w:r>
          </w:p>
          <w:p w14:paraId="532313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氮气作为一种化学性质非常稳定的惰性气体，为天然气液化装置提供开车和检修时的置换、保持冷箱正压、混合制冷剂中氮气的补充、再生气源、低温系统的加温解冻等生产工艺及应急措施使用。本项目制氮系统采用分子筛空分制氮（（以空气为原料，以碳分子筛作为吸附剂，运用变压吸附原理利用碳分子筛对氧和氮的选择性吸附而使氮和氧分离的方法，通称PSA制氮），该系统包括150N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/hPSA制氮机、液氮储罐、液氮汽化器、氮气缓冲罐等，液氮气化后的氮气直接用于厂区内生产。厂区内另外设置10m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 xml:space="preserve"> 备用液氮储罐。。厂区内另外设置10m</w:t>
            </w:r>
            <w:r>
              <w:rPr>
                <w:rFonts w:hint="eastAsia" w:ascii="Times New Roman" w:hAnsi="Times New Roman" w:eastAsia="宋体" w:cs="Times New Roman"/>
                <w:color w:val="auto"/>
                <w:sz w:val="24"/>
                <w:szCs w:val="24"/>
                <w:highlight w:val="none"/>
                <w:vertAlign w:val="superscript"/>
                <w:lang w:val="en-US" w:eastAsia="zh-CN"/>
              </w:rPr>
              <w:t xml:space="preserve">3 </w:t>
            </w:r>
            <w:r>
              <w:rPr>
                <w:rFonts w:hint="eastAsia" w:ascii="Times New Roman" w:hAnsi="Times New Roman" w:eastAsia="宋体" w:cs="Times New Roman"/>
                <w:color w:val="auto"/>
                <w:sz w:val="24"/>
                <w:szCs w:val="24"/>
                <w:highlight w:val="none"/>
                <w:lang w:val="en-US" w:eastAsia="zh-CN"/>
              </w:rPr>
              <w:t>备用液氮储罐（储罐可满足1.8天氮气用量），以确保分子筛空分制氮系统故障后厂区内生产设施安全运行。现有液氮储罐采用槽车运输。</w:t>
            </w:r>
          </w:p>
          <w:p w14:paraId="0D66AA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20" w:firstLineChars="200"/>
              <w:jc w:val="center"/>
              <w:textAlignment w:val="auto"/>
              <w:rPr>
                <w:rFonts w:hint="default" w:ascii="Times New Roman" w:hAnsi="Times New Roman" w:eastAsia="宋体" w:cs="Times New Roman"/>
                <w:b/>
                <w:color w:val="auto"/>
                <w:sz w:val="24"/>
                <w:szCs w:val="24"/>
                <w:highlight w:val="none"/>
                <w:lang w:val="en-US" w:eastAsia="zh-CN"/>
              </w:rPr>
            </w:pPr>
            <w:r>
              <w:rPr>
                <w:rFonts w:hint="default"/>
                <w:color w:val="auto"/>
                <w:highlight w:val="none"/>
              </w:rPr>
              <w:drawing>
                <wp:anchor distT="0" distB="0" distL="114300" distR="114300" simplePos="0" relativeHeight="251673600" behindDoc="0" locked="0" layoutInCell="1" allowOverlap="1">
                  <wp:simplePos x="0" y="0"/>
                  <wp:positionH relativeFrom="column">
                    <wp:posOffset>678180</wp:posOffset>
                  </wp:positionH>
                  <wp:positionV relativeFrom="paragraph">
                    <wp:posOffset>-5365750</wp:posOffset>
                  </wp:positionV>
                  <wp:extent cx="4427855" cy="5331460"/>
                  <wp:effectExtent l="0" t="0" r="10795" b="254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
                          <a:stretch>
                            <a:fillRect/>
                          </a:stretch>
                        </pic:blipFill>
                        <pic:spPr>
                          <a:xfrm>
                            <a:off x="0" y="0"/>
                            <a:ext cx="4427855" cy="5331460"/>
                          </a:xfrm>
                          <a:prstGeom prst="rect">
                            <a:avLst/>
                          </a:prstGeom>
                          <a:noFill/>
                          <a:ln>
                            <a:noFill/>
                          </a:ln>
                        </pic:spPr>
                      </pic:pic>
                    </a:graphicData>
                  </a:graphic>
                </wp:anchor>
              </w:drawing>
            </w:r>
            <w:r>
              <w:rPr>
                <w:rFonts w:hint="eastAsia" w:ascii="Times New Roman" w:hAnsi="Times New Roman" w:eastAsia="宋体" w:cs="Times New Roman"/>
                <w:b/>
                <w:color w:val="auto"/>
                <w:sz w:val="24"/>
                <w:szCs w:val="24"/>
                <w:highlight w:val="none"/>
                <w:lang w:val="en-US" w:eastAsia="zh-CN"/>
              </w:rPr>
              <w:t>图2-1</w:t>
            </w:r>
            <w:r>
              <w:rPr>
                <w:rFonts w:hint="default" w:ascii="Times New Roman" w:hAnsi="Times New Roman" w:eastAsia="宋体" w:cs="Times New Roman"/>
                <w:b/>
                <w:color w:val="auto"/>
                <w:sz w:val="24"/>
                <w:szCs w:val="24"/>
                <w:highlight w:val="none"/>
                <w:lang w:val="en-US" w:eastAsia="zh-CN"/>
              </w:rPr>
              <w:t>产污环节示意图</w:t>
            </w:r>
          </w:p>
          <w:p w14:paraId="711C51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（4）现有工程劳动定员及工作制度</w:t>
            </w:r>
          </w:p>
          <w:p w14:paraId="06C491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color w:val="auto"/>
                <w:highlight w:val="none"/>
                <w:lang w:val="en-US" w:eastAsia="zh-CN"/>
              </w:rPr>
            </w:pPr>
            <w:r>
              <w:rPr>
                <w:rFonts w:hint="eastAsia" w:ascii="Times New Roman" w:hAnsi="Times New Roman" w:eastAsia="宋体" w:cs="Times New Roman"/>
                <w:color w:val="auto"/>
                <w:sz w:val="24"/>
                <w:szCs w:val="24"/>
                <w:highlight w:val="none"/>
                <w:lang w:val="en-US" w:eastAsia="zh-CN"/>
              </w:rPr>
              <w:t>公司现有员工40人，工作制度采用四班二倒制， 12 小时工作制，年工作300天。</w:t>
            </w:r>
          </w:p>
          <w:p w14:paraId="1381F9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3、本次扩建</w:t>
            </w:r>
            <w:r>
              <w:rPr>
                <w:rFonts w:hint="eastAsia" w:ascii="Times New Roman" w:hAnsi="Times New Roman" w:eastAsia="宋体" w:cs="Times New Roman"/>
                <w:b/>
                <w:color w:val="auto"/>
                <w:sz w:val="24"/>
                <w:szCs w:val="24"/>
                <w:highlight w:val="none"/>
              </w:rPr>
              <w:t>工程</w:t>
            </w:r>
          </w:p>
          <w:p w14:paraId="4923A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项目名称：</w:t>
            </w:r>
            <w:r>
              <w:rPr>
                <w:rFonts w:hint="eastAsia" w:ascii="Times New Roman" w:hAnsi="Times New Roman" w:eastAsia="宋体" w:cs="Times New Roman"/>
                <w:color w:val="auto"/>
                <w:sz w:val="24"/>
                <w:szCs w:val="24"/>
                <w:highlight w:val="none"/>
                <w:lang w:val="en-US" w:eastAsia="zh-CN"/>
              </w:rPr>
              <w:t>巴彦淖尔华油天然气有限责任公司新增液氮储罐安全技改项目</w:t>
            </w:r>
          </w:p>
          <w:p w14:paraId="454CC4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项目建设性质：</w:t>
            </w:r>
            <w:r>
              <w:rPr>
                <w:rFonts w:hint="eastAsia" w:ascii="Times New Roman" w:hAnsi="Times New Roman" w:eastAsia="宋体" w:cs="Times New Roman"/>
                <w:color w:val="auto"/>
                <w:sz w:val="24"/>
                <w:szCs w:val="24"/>
                <w:highlight w:val="none"/>
                <w:lang w:val="en-US" w:eastAsia="zh-CN"/>
              </w:rPr>
              <w:t>扩建</w:t>
            </w:r>
          </w:p>
          <w:p w14:paraId="434DB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项目地点：内蒙古巴彦淖尔市磴口县</w:t>
            </w:r>
            <w:r>
              <w:rPr>
                <w:rFonts w:hint="eastAsia" w:ascii="Times New Roman" w:hAnsi="Times New Roman" w:eastAsia="宋体" w:cs="Times New Roman"/>
                <w:color w:val="auto"/>
                <w:sz w:val="24"/>
                <w:szCs w:val="24"/>
                <w:highlight w:val="none"/>
                <w:lang w:val="en-US" w:eastAsia="zh-CN"/>
              </w:rPr>
              <w:t>巴彦淖尔华油天然气有限责任公司生产区现有液氮储罐西侧。</w:t>
            </w:r>
          </w:p>
          <w:p w14:paraId="211F21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项目投资：</w:t>
            </w:r>
            <w:r>
              <w:rPr>
                <w:rFonts w:hint="eastAsia" w:ascii="Times New Roman" w:hAnsi="Times New Roman" w:eastAsia="宋体" w:cs="Times New Roman"/>
                <w:color w:val="auto"/>
                <w:sz w:val="24"/>
                <w:szCs w:val="24"/>
                <w:highlight w:val="none"/>
              </w:rPr>
              <w:t>总投资</w:t>
            </w:r>
            <w:r>
              <w:rPr>
                <w:rFonts w:hint="eastAsia" w:ascii="Times New Roman" w:hAnsi="Times New Roman" w:eastAsia="宋体" w:cs="Times New Roman"/>
                <w:color w:val="auto"/>
                <w:sz w:val="24"/>
                <w:szCs w:val="24"/>
                <w:highlight w:val="none"/>
                <w:lang w:val="en-US" w:eastAsia="zh-CN"/>
              </w:rPr>
              <w:t>75</w:t>
            </w:r>
            <w:r>
              <w:rPr>
                <w:rFonts w:hint="eastAsia" w:ascii="Times New Roman" w:hAnsi="Times New Roman" w:eastAsia="宋体" w:cs="Times New Roman"/>
                <w:color w:val="auto"/>
                <w:sz w:val="24"/>
                <w:szCs w:val="24"/>
                <w:highlight w:val="none"/>
              </w:rPr>
              <w:t>万元，其中环保投资</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rPr>
              <w:t>万元，占总投资的</w:t>
            </w:r>
            <w:r>
              <w:rPr>
                <w:rFonts w:hint="eastAsia" w:ascii="Times New Roman" w:hAnsi="Times New Roman" w:eastAsia="宋体" w:cs="Times New Roman"/>
                <w:color w:val="auto"/>
                <w:sz w:val="24"/>
                <w:szCs w:val="24"/>
                <w:highlight w:val="none"/>
                <w:lang w:val="en-US" w:eastAsia="zh-CN"/>
              </w:rPr>
              <w:t>1.34</w:t>
            </w:r>
            <w:r>
              <w:rPr>
                <w:rFonts w:hint="eastAsia" w:ascii="Times New Roman" w:hAnsi="Times New Roman" w:eastAsia="宋体" w:cs="Times New Roman"/>
                <w:color w:val="auto"/>
                <w:sz w:val="24"/>
                <w:szCs w:val="24"/>
                <w:highlight w:val="none"/>
              </w:rPr>
              <w:t>%。</w:t>
            </w:r>
          </w:p>
          <w:p w14:paraId="1FDCF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本次建设规模及内容：</w:t>
            </w:r>
            <w:r>
              <w:rPr>
                <w:rFonts w:hint="eastAsia" w:ascii="Times New Roman" w:hAnsi="Times New Roman" w:eastAsia="宋体" w:cs="Times New Roman"/>
                <w:color w:val="auto"/>
                <w:sz w:val="24"/>
                <w:szCs w:val="24"/>
                <w:highlight w:val="none"/>
                <w:lang w:val="en-US" w:eastAsia="zh-CN"/>
              </w:rPr>
              <w:t>新建一座30m³液氮储罐，与原有液氮储罐并联使用。</w:t>
            </w:r>
          </w:p>
          <w:p w14:paraId="51C0F0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项目具体建设内容及规模如下表所示。</w:t>
            </w:r>
          </w:p>
          <w:p w14:paraId="45F17194">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工程</w:t>
            </w:r>
            <w:r>
              <w:rPr>
                <w:rFonts w:hint="default" w:ascii="Times New Roman" w:hAnsi="Times New Roman" w:eastAsia="宋体" w:cs="Times New Roman"/>
                <w:b/>
                <w:bCs/>
                <w:color w:val="auto"/>
                <w:sz w:val="21"/>
                <w:szCs w:val="21"/>
                <w:highlight w:val="none"/>
                <w:lang w:val="en-US" w:eastAsia="zh-CN"/>
              </w:rPr>
              <w:t>主要建设内容一览表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5"/>
              <w:gridCol w:w="1302"/>
              <w:gridCol w:w="6277"/>
              <w:gridCol w:w="1059"/>
            </w:tblGrid>
            <w:tr w14:paraId="6835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07" w:type="pct"/>
                  <w:vAlign w:val="center"/>
                </w:tcPr>
                <w:p w14:paraId="0F2AD839">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分类</w:t>
                  </w:r>
                </w:p>
              </w:tc>
              <w:tc>
                <w:tcPr>
                  <w:tcW w:w="707" w:type="pct"/>
                  <w:vAlign w:val="center"/>
                </w:tcPr>
                <w:p w14:paraId="728E11FC">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项目</w:t>
                  </w:r>
                </w:p>
              </w:tc>
              <w:tc>
                <w:tcPr>
                  <w:tcW w:w="3409" w:type="pct"/>
                  <w:vAlign w:val="center"/>
                </w:tcPr>
                <w:p w14:paraId="2B766BEA">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建设内容</w:t>
                  </w:r>
                </w:p>
              </w:tc>
              <w:tc>
                <w:tcPr>
                  <w:tcW w:w="575" w:type="pct"/>
                  <w:vAlign w:val="center"/>
                </w:tcPr>
                <w:p w14:paraId="2D3B4547">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备注</w:t>
                  </w:r>
                </w:p>
              </w:tc>
            </w:tr>
            <w:tr w14:paraId="164A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07" w:type="pct"/>
                  <w:vAlign w:val="center"/>
                </w:tcPr>
                <w:p w14:paraId="4BF42C16">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主体工程</w:t>
                  </w:r>
                </w:p>
              </w:tc>
              <w:tc>
                <w:tcPr>
                  <w:tcW w:w="707" w:type="pct"/>
                  <w:vAlign w:val="center"/>
                </w:tcPr>
                <w:p w14:paraId="3944D34D">
                  <w:pPr>
                    <w:pStyle w:val="16"/>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液氮储罐</w:t>
                  </w:r>
                </w:p>
              </w:tc>
              <w:tc>
                <w:tcPr>
                  <w:tcW w:w="3409" w:type="pct"/>
                  <w:vAlign w:val="center"/>
                </w:tcPr>
                <w:p w14:paraId="6D420B87">
                  <w:pPr>
                    <w:pStyle w:val="16"/>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新建一座30m³液氮储罐</w:t>
                  </w:r>
                </w:p>
              </w:tc>
              <w:tc>
                <w:tcPr>
                  <w:tcW w:w="575" w:type="pct"/>
                  <w:vAlign w:val="center"/>
                </w:tcPr>
                <w:p w14:paraId="09F2307E">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新建</w:t>
                  </w:r>
                </w:p>
              </w:tc>
            </w:tr>
            <w:tr w14:paraId="1E8C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07" w:type="pct"/>
                  <w:vMerge w:val="restart"/>
                  <w:vAlign w:val="center"/>
                </w:tcPr>
                <w:p w14:paraId="099A2703">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辅助工程</w:t>
                  </w:r>
                </w:p>
              </w:tc>
              <w:tc>
                <w:tcPr>
                  <w:tcW w:w="707" w:type="pct"/>
                  <w:vAlign w:val="center"/>
                </w:tcPr>
                <w:p w14:paraId="0ADC2096">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自动控制系统</w:t>
                  </w:r>
                </w:p>
              </w:tc>
              <w:tc>
                <w:tcPr>
                  <w:tcW w:w="3409" w:type="pct"/>
                  <w:vAlign w:val="center"/>
                </w:tcPr>
                <w:p w14:paraId="3004AA7F">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增设氮气储罐需接入原预留DCS点位，压力、液位、接2个AI点，紧急切断阀阀位反馈接2个DI点，紧急切断阀开关接DO点，温度接RTD点。系统配置有UPS（容量为5kVA，放电时间为1小时）不间断电源，外部电源停止供电后不间断电源工作不少于90分钟，保证突然停电情况下</w:t>
                  </w:r>
                  <w:r>
                    <w:rPr>
                      <w:rFonts w:hint="eastAsia" w:ascii="Times New Roman" w:hAnsi="Times New Roman" w:eastAsia="宋体" w:cs="Times New Roman"/>
                      <w:color w:val="auto"/>
                      <w:szCs w:val="21"/>
                      <w:highlight w:val="none"/>
                      <w:lang w:val="en-US" w:eastAsia="zh-CN"/>
                    </w:rPr>
                    <w:t>做</w:t>
                  </w:r>
                  <w:r>
                    <w:rPr>
                      <w:rFonts w:hint="default" w:ascii="Times New Roman" w:hAnsi="Times New Roman" w:eastAsia="宋体" w:cs="Times New Roman"/>
                      <w:color w:val="auto"/>
                      <w:szCs w:val="21"/>
                      <w:highlight w:val="none"/>
                      <w:lang w:val="en-US" w:eastAsia="zh-CN"/>
                    </w:rPr>
                    <w:t>停车处理。</w:t>
                  </w:r>
                </w:p>
              </w:tc>
              <w:tc>
                <w:tcPr>
                  <w:tcW w:w="575" w:type="pct"/>
                  <w:vAlign w:val="center"/>
                </w:tcPr>
                <w:p w14:paraId="021C43EB">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新建</w:t>
                  </w:r>
                </w:p>
              </w:tc>
            </w:tr>
            <w:tr w14:paraId="64918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307" w:type="pct"/>
                  <w:vMerge w:val="continue"/>
                  <w:vAlign w:val="center"/>
                </w:tcPr>
                <w:p w14:paraId="39C3F0C1">
                  <w:pPr>
                    <w:keepNext w:val="0"/>
                    <w:keepLines w:val="0"/>
                    <w:suppressLineNumbers w:val="0"/>
                    <w:adjustRightInd w:val="0"/>
                    <w:snapToGrid w:val="0"/>
                    <w:spacing w:before="0" w:beforeAutospacing="0" w:after="0" w:afterAutospacing="0" w:line="360" w:lineRule="exact"/>
                    <w:ind w:left="0" w:right="0"/>
                    <w:jc w:val="center"/>
                    <w:textAlignment w:val="baseline"/>
                    <w:rPr>
                      <w:rFonts w:hint="eastAsia" w:ascii="Times New Roman" w:hAnsi="Times New Roman" w:eastAsia="宋体" w:cs="Times New Roman"/>
                      <w:color w:val="auto"/>
                      <w:szCs w:val="21"/>
                      <w:highlight w:val="none"/>
                      <w:lang w:val="en-US" w:eastAsia="zh-CN"/>
                    </w:rPr>
                  </w:pPr>
                </w:p>
              </w:tc>
              <w:tc>
                <w:tcPr>
                  <w:tcW w:w="707" w:type="pct"/>
                  <w:vAlign w:val="center"/>
                </w:tcPr>
                <w:p w14:paraId="512A1B4B">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报警系统</w:t>
                  </w:r>
                </w:p>
              </w:tc>
              <w:tc>
                <w:tcPr>
                  <w:tcW w:w="3409" w:type="pct"/>
                  <w:vAlign w:val="center"/>
                </w:tcPr>
                <w:p w14:paraId="373A183D">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液氮储罐设置压力高报警，设置</w:t>
                  </w:r>
                  <w:r>
                    <w:rPr>
                      <w:rFonts w:hint="default" w:ascii="Times New Roman" w:hAnsi="Times New Roman" w:eastAsia="宋体" w:cs="Times New Roman"/>
                      <w:color w:val="auto"/>
                      <w:szCs w:val="21"/>
                      <w:highlight w:val="none"/>
                      <w:lang w:val="en-US" w:eastAsia="zh-CN"/>
                    </w:rPr>
                    <w:t>液位指示报警，液位低低联锁停</w:t>
                  </w:r>
                  <w:r>
                    <w:rPr>
                      <w:rFonts w:hint="eastAsia" w:ascii="Times New Roman" w:hAnsi="Times New Roman" w:eastAsia="宋体" w:cs="Times New Roman"/>
                      <w:color w:val="auto"/>
                      <w:szCs w:val="21"/>
                      <w:highlight w:val="none"/>
                      <w:lang w:val="en-US" w:eastAsia="zh-CN"/>
                    </w:rPr>
                    <w:t>液氮</w:t>
                  </w:r>
                  <w:r>
                    <w:rPr>
                      <w:rFonts w:hint="default" w:ascii="Times New Roman" w:hAnsi="Times New Roman" w:eastAsia="宋体" w:cs="Times New Roman"/>
                      <w:color w:val="auto"/>
                      <w:szCs w:val="21"/>
                      <w:highlight w:val="none"/>
                      <w:lang w:val="en-US" w:eastAsia="zh-CN"/>
                    </w:rPr>
                    <w:t>泵</w:t>
                  </w:r>
                  <w:r>
                    <w:rPr>
                      <w:rFonts w:hint="eastAsia" w:ascii="Times New Roman" w:hAnsi="Times New Roman" w:eastAsia="宋体" w:cs="Times New Roman"/>
                      <w:color w:val="auto"/>
                      <w:szCs w:val="21"/>
                      <w:highlight w:val="none"/>
                      <w:lang w:val="en-US" w:eastAsia="zh-CN"/>
                    </w:rPr>
                    <w:t>。氮气</w:t>
                  </w:r>
                  <w:r>
                    <w:rPr>
                      <w:rFonts w:hint="default" w:ascii="Times New Roman" w:hAnsi="Times New Roman" w:eastAsia="宋体" w:cs="Times New Roman"/>
                      <w:color w:val="auto"/>
                      <w:szCs w:val="21"/>
                      <w:highlight w:val="none"/>
                      <w:lang w:val="en-US" w:eastAsia="zh-CN"/>
                    </w:rPr>
                    <w:t>出</w:t>
                  </w:r>
                  <w:r>
                    <w:rPr>
                      <w:rFonts w:hint="eastAsia" w:ascii="Times New Roman" w:hAnsi="Times New Roman" w:eastAsia="宋体" w:cs="Times New Roman"/>
                      <w:color w:val="auto"/>
                      <w:szCs w:val="21"/>
                      <w:highlight w:val="none"/>
                      <w:lang w:val="en-US" w:eastAsia="zh-CN"/>
                    </w:rPr>
                    <w:t>气</w:t>
                  </w:r>
                  <w:r>
                    <w:rPr>
                      <w:rFonts w:hint="default" w:ascii="Times New Roman" w:hAnsi="Times New Roman" w:eastAsia="宋体" w:cs="Times New Roman"/>
                      <w:color w:val="auto"/>
                      <w:szCs w:val="21"/>
                      <w:highlight w:val="none"/>
                      <w:lang w:val="en-US" w:eastAsia="zh-CN"/>
                    </w:rPr>
                    <w:t>化器温度指示报警，温度低低联锁停</w:t>
                  </w:r>
                  <w:r>
                    <w:rPr>
                      <w:rFonts w:hint="eastAsia" w:ascii="Times New Roman" w:hAnsi="Times New Roman" w:eastAsia="宋体" w:cs="Times New Roman"/>
                      <w:color w:val="auto"/>
                      <w:szCs w:val="21"/>
                      <w:highlight w:val="none"/>
                      <w:lang w:val="en-US" w:eastAsia="zh-CN"/>
                    </w:rPr>
                    <w:t>液氮</w:t>
                  </w:r>
                  <w:r>
                    <w:rPr>
                      <w:rFonts w:hint="default" w:ascii="Times New Roman" w:hAnsi="Times New Roman" w:eastAsia="宋体" w:cs="Times New Roman"/>
                      <w:color w:val="auto"/>
                      <w:szCs w:val="21"/>
                      <w:highlight w:val="none"/>
                      <w:lang w:val="en-US" w:eastAsia="zh-CN"/>
                    </w:rPr>
                    <w:t>泵。</w:t>
                  </w:r>
                </w:p>
              </w:tc>
              <w:tc>
                <w:tcPr>
                  <w:tcW w:w="575" w:type="pct"/>
                  <w:vAlign w:val="center"/>
                </w:tcPr>
                <w:p w14:paraId="06061C36">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新建</w:t>
                  </w:r>
                </w:p>
              </w:tc>
            </w:tr>
            <w:tr w14:paraId="5D87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07" w:type="pct"/>
                  <w:vMerge w:val="continue"/>
                  <w:vAlign w:val="center"/>
                </w:tcPr>
                <w:p w14:paraId="3EA57E5E">
                  <w:pPr>
                    <w:keepNext w:val="0"/>
                    <w:keepLines w:val="0"/>
                    <w:suppressLineNumbers w:val="0"/>
                    <w:adjustRightInd w:val="0"/>
                    <w:snapToGrid w:val="0"/>
                    <w:spacing w:before="0" w:beforeAutospacing="0" w:after="0" w:afterAutospacing="0" w:line="360" w:lineRule="exact"/>
                    <w:ind w:left="0" w:right="0"/>
                    <w:jc w:val="center"/>
                    <w:textAlignment w:val="baseline"/>
                    <w:rPr>
                      <w:rFonts w:hint="eastAsia" w:ascii="Times New Roman" w:hAnsi="Times New Roman" w:eastAsia="宋体" w:cs="Times New Roman"/>
                      <w:color w:val="auto"/>
                      <w:szCs w:val="21"/>
                      <w:highlight w:val="none"/>
                      <w:lang w:val="en-US" w:eastAsia="zh-CN"/>
                    </w:rPr>
                  </w:pPr>
                </w:p>
              </w:tc>
              <w:tc>
                <w:tcPr>
                  <w:tcW w:w="707" w:type="pct"/>
                  <w:vAlign w:val="center"/>
                </w:tcPr>
                <w:p w14:paraId="71CD594B">
                  <w:pPr>
                    <w:keepNext w:val="0"/>
                    <w:keepLines w:val="0"/>
                    <w:suppressLineNumbers w:val="0"/>
                    <w:adjustRightInd w:val="0"/>
                    <w:snapToGrid w:val="0"/>
                    <w:spacing w:before="0" w:beforeAutospacing="0" w:after="0" w:afterAutospacing="0" w:line="240" w:lineRule="exact"/>
                    <w:ind w:left="0" w:right="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水浴复热器</w:t>
                  </w:r>
                </w:p>
              </w:tc>
              <w:tc>
                <w:tcPr>
                  <w:tcW w:w="3409" w:type="pct"/>
                  <w:vAlign w:val="center"/>
                </w:tcPr>
                <w:p w14:paraId="2E4609E2">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水浴复热器（依托原有）的控制是其设备自带温度控制仪进行控制，当温度低于设定55温度复热器启动，当温度高于设定60温度停止温度复热器。</w:t>
                  </w:r>
                </w:p>
              </w:tc>
              <w:tc>
                <w:tcPr>
                  <w:tcW w:w="575" w:type="pct"/>
                  <w:vAlign w:val="center"/>
                </w:tcPr>
                <w:p w14:paraId="064CCB31">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依托现有</w:t>
                  </w:r>
                </w:p>
              </w:tc>
            </w:tr>
            <w:tr w14:paraId="5CC0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07" w:type="pct"/>
                  <w:vMerge w:val="continue"/>
                  <w:vAlign w:val="center"/>
                </w:tcPr>
                <w:p w14:paraId="49BFC0ED">
                  <w:pPr>
                    <w:keepNext w:val="0"/>
                    <w:keepLines w:val="0"/>
                    <w:suppressLineNumbers w:val="0"/>
                    <w:adjustRightInd w:val="0"/>
                    <w:snapToGrid w:val="0"/>
                    <w:spacing w:before="0" w:beforeAutospacing="0" w:after="0" w:afterAutospacing="0" w:line="360" w:lineRule="exact"/>
                    <w:ind w:left="0" w:right="0"/>
                    <w:jc w:val="center"/>
                    <w:textAlignment w:val="baseline"/>
                    <w:rPr>
                      <w:rFonts w:hint="eastAsia" w:ascii="Times New Roman" w:hAnsi="Times New Roman" w:eastAsia="宋体" w:cs="Times New Roman"/>
                      <w:color w:val="auto"/>
                      <w:szCs w:val="21"/>
                      <w:highlight w:val="none"/>
                      <w:lang w:val="en-US" w:eastAsia="zh-CN"/>
                    </w:rPr>
                  </w:pPr>
                </w:p>
              </w:tc>
              <w:tc>
                <w:tcPr>
                  <w:tcW w:w="707" w:type="pct"/>
                  <w:vAlign w:val="center"/>
                </w:tcPr>
                <w:p w14:paraId="2CDD1D34">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液氮管道</w:t>
                  </w:r>
                </w:p>
              </w:tc>
              <w:tc>
                <w:tcPr>
                  <w:tcW w:w="3409" w:type="pct"/>
                  <w:vAlign w:val="center"/>
                </w:tcPr>
                <w:p w14:paraId="3094C362">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液氮输送管道φ32mm。操作温度-171</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，操作压力0.8</w:t>
                  </w:r>
                  <w:r>
                    <w:rPr>
                      <w:rFonts w:hint="default" w:ascii="Times New Roman" w:hAnsi="Times New Roman" w:eastAsia="宋体" w:cs="Times New Roman"/>
                      <w:color w:val="auto"/>
                      <w:szCs w:val="21"/>
                      <w:highlight w:val="none"/>
                      <w:lang w:val="en-US" w:eastAsia="zh-CN"/>
                    </w:rPr>
                    <w:t>MPa</w:t>
                  </w:r>
                  <w:r>
                    <w:rPr>
                      <w:rFonts w:hint="eastAsia" w:ascii="Times New Roman" w:hAnsi="Times New Roman" w:eastAsia="宋体" w:cs="Times New Roman"/>
                      <w:color w:val="auto"/>
                      <w:szCs w:val="21"/>
                      <w:highlight w:val="none"/>
                      <w:lang w:val="en-US" w:eastAsia="zh-CN"/>
                    </w:rPr>
                    <w:t>，自储罐液相出口至N28103管线，长度8m</w:t>
                  </w:r>
                </w:p>
              </w:tc>
              <w:tc>
                <w:tcPr>
                  <w:tcW w:w="575" w:type="pct"/>
                  <w:vAlign w:val="center"/>
                </w:tcPr>
                <w:p w14:paraId="3EE60CCA">
                  <w:pPr>
                    <w:keepNext w:val="0"/>
                    <w:keepLines w:val="0"/>
                    <w:suppressLineNumbers w:val="0"/>
                    <w:spacing w:before="0" w:beforeAutospacing="0" w:after="0" w:afterAutospacing="0" w:line="360" w:lineRule="exact"/>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新建</w:t>
                  </w:r>
                </w:p>
              </w:tc>
            </w:tr>
            <w:tr w14:paraId="32B14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07" w:type="pct"/>
                  <w:vMerge w:val="continue"/>
                  <w:vAlign w:val="center"/>
                </w:tcPr>
                <w:p w14:paraId="271CFA87">
                  <w:pPr>
                    <w:keepNext w:val="0"/>
                    <w:keepLines w:val="0"/>
                    <w:suppressLineNumbers w:val="0"/>
                    <w:adjustRightInd w:val="0"/>
                    <w:snapToGrid w:val="0"/>
                    <w:spacing w:before="0" w:beforeAutospacing="0" w:after="0" w:afterAutospacing="0" w:line="360" w:lineRule="exact"/>
                    <w:ind w:left="0" w:right="0"/>
                    <w:jc w:val="center"/>
                    <w:textAlignment w:val="baseline"/>
                    <w:rPr>
                      <w:rFonts w:hint="eastAsia" w:ascii="Times New Roman" w:hAnsi="Times New Roman" w:eastAsia="宋体" w:cs="Times New Roman"/>
                      <w:color w:val="auto"/>
                      <w:szCs w:val="21"/>
                      <w:highlight w:val="none"/>
                      <w:lang w:val="en-US" w:eastAsia="zh-CN"/>
                    </w:rPr>
                  </w:pPr>
                </w:p>
              </w:tc>
              <w:tc>
                <w:tcPr>
                  <w:tcW w:w="707" w:type="pct"/>
                  <w:vAlign w:val="center"/>
                </w:tcPr>
                <w:p w14:paraId="46B3C6CE">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氮气管道</w:t>
                  </w:r>
                </w:p>
              </w:tc>
              <w:tc>
                <w:tcPr>
                  <w:tcW w:w="3409" w:type="pct"/>
                  <w:vAlign w:val="center"/>
                </w:tcPr>
                <w:p w14:paraId="05286E3B">
                  <w:pPr>
                    <w:keepNext w:val="0"/>
                    <w:keepLines w:val="0"/>
                    <w:suppressLineNumbers w:val="0"/>
                    <w:adjustRightInd w:val="0"/>
                    <w:snapToGrid w:val="0"/>
                    <w:spacing w:before="0" w:beforeAutospacing="0" w:after="0" w:afterAutospacing="0" w:line="240" w:lineRule="exact"/>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氮气输送管道φ25mm。操作温度-171</w:t>
                  </w:r>
                  <w:r>
                    <w:rPr>
                      <w:rFonts w:hint="default"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，操作压力0.8</w:t>
                  </w:r>
                  <w:r>
                    <w:rPr>
                      <w:rFonts w:hint="default" w:ascii="Times New Roman" w:hAnsi="Times New Roman" w:eastAsia="宋体" w:cs="Times New Roman"/>
                      <w:color w:val="auto"/>
                      <w:szCs w:val="21"/>
                      <w:highlight w:val="none"/>
                      <w:lang w:val="en-US" w:eastAsia="zh-CN"/>
                    </w:rPr>
                    <w:t>MPa</w:t>
                  </w:r>
                  <w:r>
                    <w:rPr>
                      <w:rFonts w:hint="eastAsia" w:ascii="Times New Roman" w:hAnsi="Times New Roman" w:eastAsia="宋体" w:cs="Times New Roman"/>
                      <w:color w:val="auto"/>
                      <w:szCs w:val="21"/>
                      <w:highlight w:val="none"/>
                      <w:lang w:val="en-US" w:eastAsia="zh-CN"/>
                    </w:rPr>
                    <w:t>，自N28104管线至储罐气相口，长度8m</w:t>
                  </w:r>
                </w:p>
              </w:tc>
              <w:tc>
                <w:tcPr>
                  <w:tcW w:w="575" w:type="pct"/>
                  <w:vAlign w:val="center"/>
                </w:tcPr>
                <w:p w14:paraId="3FEB3538">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新建</w:t>
                  </w:r>
                </w:p>
              </w:tc>
            </w:tr>
            <w:tr w14:paraId="2782F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 w:hRule="atLeast"/>
                <w:jc w:val="center"/>
              </w:trPr>
              <w:tc>
                <w:tcPr>
                  <w:tcW w:w="307" w:type="pct"/>
                  <w:vMerge w:val="restart"/>
                  <w:vAlign w:val="center"/>
                </w:tcPr>
                <w:p w14:paraId="7B285EA6">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公用工程</w:t>
                  </w:r>
                </w:p>
              </w:tc>
              <w:tc>
                <w:tcPr>
                  <w:tcW w:w="707" w:type="pct"/>
                  <w:tcBorders>
                    <w:top w:val="single" w:color="auto" w:sz="4" w:space="0"/>
                    <w:left w:val="single" w:color="auto" w:sz="4" w:space="0"/>
                    <w:right w:val="single" w:color="auto" w:sz="4" w:space="0"/>
                  </w:tcBorders>
                  <w:vAlign w:val="center"/>
                </w:tcPr>
                <w:p w14:paraId="1E27A11C">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供电</w:t>
                  </w:r>
                </w:p>
              </w:tc>
              <w:tc>
                <w:tcPr>
                  <w:tcW w:w="3409" w:type="pct"/>
                  <w:tcBorders>
                    <w:top w:val="single" w:color="auto" w:sz="4" w:space="0"/>
                    <w:left w:val="single" w:color="auto" w:sz="4" w:space="0"/>
                    <w:bottom w:val="single" w:color="auto" w:sz="4" w:space="0"/>
                    <w:right w:val="single" w:color="auto" w:sz="4" w:space="0"/>
                  </w:tcBorders>
                  <w:vAlign w:val="center"/>
                </w:tcPr>
                <w:p w14:paraId="5F3BCC8E">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项目用电依托厂内现有供电设施，电源为园区供电网络</w:t>
                  </w:r>
                </w:p>
              </w:tc>
              <w:tc>
                <w:tcPr>
                  <w:tcW w:w="575" w:type="pct"/>
                  <w:tcBorders>
                    <w:top w:val="single" w:color="auto" w:sz="4" w:space="0"/>
                    <w:left w:val="single" w:color="auto" w:sz="4" w:space="0"/>
                    <w:bottom w:val="single" w:color="auto" w:sz="4" w:space="0"/>
                    <w:right w:val="single" w:color="auto" w:sz="4" w:space="0"/>
                  </w:tcBorders>
                  <w:vAlign w:val="center"/>
                </w:tcPr>
                <w:p w14:paraId="27F3AEF1">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依托现有</w:t>
                  </w:r>
                </w:p>
              </w:tc>
            </w:tr>
            <w:tr w14:paraId="7F8E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 w:hRule="atLeast"/>
                <w:jc w:val="center"/>
              </w:trPr>
              <w:tc>
                <w:tcPr>
                  <w:tcW w:w="307" w:type="pct"/>
                  <w:vMerge w:val="continue"/>
                  <w:vAlign w:val="center"/>
                </w:tcPr>
                <w:p w14:paraId="32C4F712">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p>
              </w:tc>
              <w:tc>
                <w:tcPr>
                  <w:tcW w:w="707" w:type="pct"/>
                  <w:tcBorders>
                    <w:top w:val="single" w:color="auto" w:sz="4" w:space="0"/>
                    <w:left w:val="single" w:color="auto" w:sz="4" w:space="0"/>
                    <w:right w:val="single" w:color="auto" w:sz="4" w:space="0"/>
                  </w:tcBorders>
                  <w:vAlign w:val="center"/>
                </w:tcPr>
                <w:p w14:paraId="0D2C0DEF">
                  <w:pPr>
                    <w:keepNext w:val="0"/>
                    <w:keepLines w:val="0"/>
                    <w:suppressLineNumbers w:val="0"/>
                    <w:adjustRightInd w:val="0"/>
                    <w:snapToGrid w:val="0"/>
                    <w:spacing w:before="0" w:beforeAutospacing="0" w:after="0" w:afterAutospacing="0" w:line="360" w:lineRule="exact"/>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消防</w:t>
                  </w:r>
                </w:p>
              </w:tc>
              <w:tc>
                <w:tcPr>
                  <w:tcW w:w="3409" w:type="pct"/>
                  <w:tcBorders>
                    <w:top w:val="single" w:color="auto" w:sz="4" w:space="0"/>
                    <w:left w:val="single" w:color="auto" w:sz="4" w:space="0"/>
                    <w:bottom w:val="single" w:color="auto" w:sz="4" w:space="0"/>
                    <w:right w:val="single" w:color="auto" w:sz="4" w:space="0"/>
                  </w:tcBorders>
                  <w:vAlign w:val="center"/>
                </w:tcPr>
                <w:p w14:paraId="7DBD41E9">
                  <w:pPr>
                    <w:keepNext w:val="0"/>
                    <w:keepLines w:val="0"/>
                    <w:suppressLineNumbers w:val="0"/>
                    <w:adjustRightInd w:val="0"/>
                    <w:snapToGrid w:val="0"/>
                    <w:spacing w:before="0" w:beforeAutospacing="0" w:after="0" w:afterAutospacing="0" w:line="360" w:lineRule="exact"/>
                    <w:ind w:left="0" w:right="0"/>
                    <w:jc w:val="center"/>
                    <w:textAlignment w:val="baseline"/>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消防水系统拟依托厂内现有</w:t>
                  </w:r>
                  <w:r>
                    <w:rPr>
                      <w:rFonts w:hint="eastAsia" w:ascii="Times New Roman" w:hAnsi="Times New Roman" w:eastAsia="宋体" w:cs="Times New Roman"/>
                      <w:color w:val="auto"/>
                      <w:szCs w:val="21"/>
                      <w:highlight w:val="none"/>
                      <w:lang w:val="en-US" w:eastAsia="zh-CN"/>
                    </w:rPr>
                    <w:t>消防系统</w:t>
                  </w:r>
                </w:p>
              </w:tc>
              <w:tc>
                <w:tcPr>
                  <w:tcW w:w="575" w:type="pct"/>
                  <w:tcBorders>
                    <w:top w:val="single" w:color="auto" w:sz="4" w:space="0"/>
                    <w:left w:val="single" w:color="auto" w:sz="4" w:space="0"/>
                    <w:bottom w:val="single" w:color="auto" w:sz="4" w:space="0"/>
                    <w:right w:val="single" w:color="auto" w:sz="4" w:space="0"/>
                  </w:tcBorders>
                  <w:vAlign w:val="center"/>
                </w:tcPr>
                <w:p w14:paraId="5F4E9568">
                  <w:pPr>
                    <w:keepNext w:val="0"/>
                    <w:keepLines w:val="0"/>
                    <w:suppressLineNumbers w:val="0"/>
                    <w:adjustRightInd w:val="0"/>
                    <w:snapToGrid w:val="0"/>
                    <w:spacing w:before="0" w:beforeAutospacing="0" w:after="0" w:afterAutospacing="0" w:line="360" w:lineRule="exact"/>
                    <w:ind w:left="0" w:right="0"/>
                    <w:jc w:val="center"/>
                    <w:textAlignment w:val="baseline"/>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依托现有</w:t>
                  </w:r>
                </w:p>
              </w:tc>
            </w:tr>
            <w:tr w14:paraId="78E2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307" w:type="pct"/>
                  <w:vMerge w:val="restart"/>
                  <w:vAlign w:val="center"/>
                </w:tcPr>
                <w:p w14:paraId="066316ED">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环保工程</w:t>
                  </w:r>
                </w:p>
              </w:tc>
              <w:tc>
                <w:tcPr>
                  <w:tcW w:w="707" w:type="pct"/>
                  <w:tcBorders>
                    <w:top w:val="single" w:color="auto" w:sz="4" w:space="0"/>
                    <w:left w:val="single" w:color="auto" w:sz="4" w:space="0"/>
                    <w:right w:val="single" w:color="auto" w:sz="4" w:space="0"/>
                  </w:tcBorders>
                  <w:vAlign w:val="center"/>
                </w:tcPr>
                <w:p w14:paraId="289F1DFB">
                  <w:pPr>
                    <w:pStyle w:val="16"/>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w:t>
                  </w:r>
                </w:p>
              </w:tc>
              <w:tc>
                <w:tcPr>
                  <w:tcW w:w="3409" w:type="pct"/>
                  <w:tcBorders>
                    <w:top w:val="single" w:color="auto" w:sz="4" w:space="0"/>
                    <w:left w:val="single" w:color="auto" w:sz="4" w:space="0"/>
                    <w:right w:val="single" w:color="auto" w:sz="4" w:space="0"/>
                  </w:tcBorders>
                  <w:vAlign w:val="center"/>
                </w:tcPr>
                <w:p w14:paraId="6D7A25A9">
                  <w:pPr>
                    <w:pStyle w:val="16"/>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color w:val="auto"/>
                      <w:szCs w:val="21"/>
                      <w:highlight w:val="none"/>
                    </w:rPr>
                  </w:pPr>
                  <w:r>
                    <w:rPr>
                      <w:rFonts w:hint="eastAsia" w:ascii="Times New Roman" w:hAnsi="Times New Roman" w:eastAsia="宋体" w:cs="Times New Roman"/>
                      <w:color w:val="auto"/>
                      <w:kern w:val="2"/>
                      <w:sz w:val="21"/>
                      <w:szCs w:val="21"/>
                      <w:highlight w:val="none"/>
                      <w:lang w:val="en-US" w:eastAsia="zh-CN" w:bidi="ar-SA"/>
                    </w:rPr>
                    <w:t>氮气为环境空气组成成分，无污染，通过采取加强生产管理、加强车间通排风等措施后无组织排放</w:t>
                  </w:r>
                </w:p>
              </w:tc>
              <w:tc>
                <w:tcPr>
                  <w:tcW w:w="575" w:type="pct"/>
                  <w:tcBorders>
                    <w:top w:val="single" w:color="auto" w:sz="4" w:space="0"/>
                    <w:left w:val="single" w:color="auto" w:sz="4" w:space="0"/>
                    <w:right w:val="single" w:color="auto" w:sz="4" w:space="0"/>
                  </w:tcBorders>
                  <w:vAlign w:val="center"/>
                </w:tcPr>
                <w:p w14:paraId="084F3367">
                  <w:pPr>
                    <w:pStyle w:val="16"/>
                    <w:keepNext w:val="0"/>
                    <w:keepLines w:val="0"/>
                    <w:suppressLineNumbers w:val="0"/>
                    <w:spacing w:before="0" w:beforeAutospacing="0" w:after="0" w:afterAutospacing="0" w:line="360" w:lineRule="exact"/>
                    <w:ind w:left="0" w:leftChars="0" w:right="0" w:firstLine="0" w:firstLineChars="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w:t>
                  </w:r>
                </w:p>
              </w:tc>
            </w:tr>
            <w:tr w14:paraId="30119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307" w:type="pct"/>
                  <w:vMerge w:val="continue"/>
                  <w:vAlign w:val="center"/>
                </w:tcPr>
                <w:p w14:paraId="56B14A75">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p>
              </w:tc>
              <w:tc>
                <w:tcPr>
                  <w:tcW w:w="707" w:type="pct"/>
                  <w:tcBorders>
                    <w:top w:val="single" w:color="auto" w:sz="4" w:space="0"/>
                    <w:left w:val="single" w:color="auto" w:sz="4" w:space="0"/>
                    <w:right w:val="single" w:color="auto" w:sz="4" w:space="0"/>
                  </w:tcBorders>
                  <w:vAlign w:val="center"/>
                </w:tcPr>
                <w:p w14:paraId="149DB82E">
                  <w:pPr>
                    <w:keepNext w:val="0"/>
                    <w:keepLines w:val="0"/>
                    <w:suppressLineNumbers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废水</w:t>
                  </w:r>
                </w:p>
              </w:tc>
              <w:tc>
                <w:tcPr>
                  <w:tcW w:w="3409" w:type="pct"/>
                  <w:tcBorders>
                    <w:top w:val="single" w:color="auto" w:sz="4" w:space="0"/>
                    <w:left w:val="single" w:color="auto" w:sz="4" w:space="0"/>
                    <w:right w:val="single" w:color="auto" w:sz="4" w:space="0"/>
                  </w:tcBorders>
                  <w:vAlign w:val="center"/>
                </w:tcPr>
                <w:p w14:paraId="49CE3C48">
                  <w:pPr>
                    <w:pStyle w:val="16"/>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本次</w:t>
                  </w:r>
                  <w:r>
                    <w:rPr>
                      <w:rFonts w:hint="eastAsia" w:ascii="Times New Roman" w:hAnsi="Times New Roman" w:cs="Times New Roman"/>
                      <w:color w:val="auto"/>
                      <w:szCs w:val="21"/>
                      <w:highlight w:val="none"/>
                      <w:lang w:eastAsia="zh-CN"/>
                    </w:rPr>
                    <w:t>扩建项目</w:t>
                  </w:r>
                  <w:r>
                    <w:rPr>
                      <w:rFonts w:hint="eastAsia" w:ascii="Times New Roman" w:hAnsi="Times New Roman" w:cs="Times New Roman"/>
                      <w:color w:val="auto"/>
                      <w:szCs w:val="21"/>
                      <w:highlight w:val="none"/>
                    </w:rPr>
                    <w:t>不新增劳动定员，无生活污水新增</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rPr>
                    <w:t>也不涉及生产废水排放</w:t>
                  </w:r>
                </w:p>
              </w:tc>
              <w:tc>
                <w:tcPr>
                  <w:tcW w:w="575" w:type="pct"/>
                  <w:tcBorders>
                    <w:top w:val="single" w:color="auto" w:sz="4" w:space="0"/>
                    <w:left w:val="single" w:color="auto" w:sz="4" w:space="0"/>
                    <w:right w:val="single" w:color="auto" w:sz="4" w:space="0"/>
                  </w:tcBorders>
                  <w:vAlign w:val="center"/>
                </w:tcPr>
                <w:p w14:paraId="3430EF33">
                  <w:pPr>
                    <w:pStyle w:val="16"/>
                    <w:keepNext w:val="0"/>
                    <w:keepLines w:val="0"/>
                    <w:suppressLineNumbers w:val="0"/>
                    <w:spacing w:before="0" w:beforeAutospacing="0" w:after="0" w:afterAutospacing="0" w:line="360" w:lineRule="exact"/>
                    <w:ind w:left="0" w:leftChars="0" w:right="0" w:firstLine="0" w:firstLineChars="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rPr>
                    <w:t>依托现有</w:t>
                  </w:r>
                </w:p>
              </w:tc>
            </w:tr>
          </w:tbl>
          <w:p w14:paraId="52414FB9">
            <w:pPr>
              <w:keepNext w:val="0"/>
              <w:keepLines w:val="0"/>
              <w:suppressLineNumbers w:val="0"/>
              <w:spacing w:before="0" w:beforeAutospacing="0" w:after="0" w:afterAutospacing="0" w:line="440" w:lineRule="exact"/>
              <w:ind w:left="0" w:right="0"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w:t>
            </w:r>
            <w:r>
              <w:rPr>
                <w:rFonts w:hint="eastAsia" w:ascii="Times New Roman" w:hAnsi="Times New Roman" w:eastAsia="宋体" w:cs="Times New Roman"/>
                <w:b/>
                <w:color w:val="auto"/>
                <w:sz w:val="24"/>
                <w:szCs w:val="24"/>
                <w:highlight w:val="none"/>
              </w:rPr>
              <w:t>、主要生产设备</w:t>
            </w:r>
          </w:p>
          <w:p w14:paraId="3DF9DB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本次</w:t>
            </w:r>
            <w:r>
              <w:rPr>
                <w:rFonts w:hint="eastAsia" w:ascii="Times New Roman" w:hAnsi="Times New Roman" w:eastAsia="宋体" w:cs="Times New Roman"/>
                <w:color w:val="auto"/>
                <w:sz w:val="24"/>
                <w:szCs w:val="24"/>
                <w:highlight w:val="none"/>
                <w:lang w:val="en-US" w:eastAsia="zh-CN"/>
              </w:rPr>
              <w:t>扩建</w:t>
            </w:r>
            <w:r>
              <w:rPr>
                <w:rFonts w:hint="eastAsia" w:ascii="Times New Roman" w:hAnsi="Times New Roman" w:eastAsia="宋体" w:cs="Times New Roman"/>
                <w:color w:val="auto"/>
                <w:sz w:val="24"/>
                <w:szCs w:val="24"/>
                <w:highlight w:val="none"/>
              </w:rPr>
              <w:t>涉及的主要生产设备如下。</w:t>
            </w:r>
          </w:p>
          <w:p w14:paraId="062C6900">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7  项目设备一览表</w:t>
            </w:r>
          </w:p>
          <w:tbl>
            <w:tblPr>
              <w:tblStyle w:val="17"/>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77"/>
              <w:gridCol w:w="1655"/>
              <w:gridCol w:w="1557"/>
              <w:gridCol w:w="1398"/>
              <w:gridCol w:w="1726"/>
              <w:gridCol w:w="571"/>
              <w:gridCol w:w="571"/>
              <w:gridCol w:w="1122"/>
            </w:tblGrid>
            <w:tr w14:paraId="358ACF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4" w:type="pct"/>
                  <w:noWrap w:val="0"/>
                  <w:tcMar>
                    <w:top w:w="10" w:type="dxa"/>
                    <w:left w:w="10" w:type="dxa"/>
                    <w:right w:w="10" w:type="dxa"/>
                  </w:tcMar>
                  <w:vAlign w:val="center"/>
                </w:tcPr>
                <w:p w14:paraId="172B6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序号</w:t>
                  </w:r>
                </w:p>
              </w:tc>
              <w:tc>
                <w:tcPr>
                  <w:tcW w:w="901" w:type="pct"/>
                  <w:noWrap w:val="0"/>
                  <w:tcMar>
                    <w:top w:w="10" w:type="dxa"/>
                    <w:left w:w="10" w:type="dxa"/>
                    <w:right w:w="10" w:type="dxa"/>
                  </w:tcMar>
                  <w:vAlign w:val="center"/>
                </w:tcPr>
                <w:p w14:paraId="07C11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产品名称</w:t>
                  </w:r>
                </w:p>
              </w:tc>
              <w:tc>
                <w:tcPr>
                  <w:tcW w:w="848" w:type="pct"/>
                  <w:noWrap w:val="0"/>
                  <w:tcMar>
                    <w:top w:w="10" w:type="dxa"/>
                    <w:left w:w="10" w:type="dxa"/>
                    <w:right w:w="10" w:type="dxa"/>
                  </w:tcMar>
                  <w:vAlign w:val="center"/>
                </w:tcPr>
                <w:p w14:paraId="4125D4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外形尺寸</w:t>
                  </w:r>
                </w:p>
              </w:tc>
              <w:tc>
                <w:tcPr>
                  <w:tcW w:w="761" w:type="pct"/>
                  <w:noWrap w:val="0"/>
                  <w:tcMar>
                    <w:top w:w="10" w:type="dxa"/>
                    <w:left w:w="10" w:type="dxa"/>
                    <w:right w:w="10" w:type="dxa"/>
                  </w:tcMar>
                  <w:vAlign w:val="center"/>
                </w:tcPr>
                <w:p w14:paraId="0FF6D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b/>
                      <w:color w:val="auto"/>
                      <w:kern w:val="0"/>
                      <w:sz w:val="21"/>
                      <w:szCs w:val="21"/>
                      <w:highlight w:val="none"/>
                      <w:lang w:bidi="ar"/>
                    </w:rPr>
                  </w:pPr>
                  <w:r>
                    <w:rPr>
                      <w:rFonts w:hint="eastAsia" w:ascii="Times New Roman" w:hAnsi="Times New Roman" w:eastAsia="宋体" w:cs="Times New Roman"/>
                      <w:b/>
                      <w:color w:val="auto"/>
                      <w:spacing w:val="-1"/>
                      <w:sz w:val="21"/>
                      <w:szCs w:val="21"/>
                      <w:highlight w:val="none"/>
                      <w:lang w:val="en-US" w:eastAsia="zh-CN"/>
                    </w:rPr>
                    <w:t>操作</w:t>
                  </w:r>
                  <w:r>
                    <w:rPr>
                      <w:rFonts w:hint="default" w:ascii="Times New Roman" w:hAnsi="Times New Roman" w:cs="Times New Roman"/>
                      <w:b/>
                      <w:color w:val="auto"/>
                      <w:spacing w:val="-1"/>
                      <w:sz w:val="21"/>
                      <w:szCs w:val="21"/>
                      <w:highlight w:val="none"/>
                    </w:rPr>
                    <w:t>温度℃</w:t>
                  </w:r>
                </w:p>
              </w:tc>
              <w:tc>
                <w:tcPr>
                  <w:tcW w:w="940" w:type="pct"/>
                  <w:noWrap w:val="0"/>
                  <w:tcMar>
                    <w:top w:w="10" w:type="dxa"/>
                    <w:left w:w="10" w:type="dxa"/>
                    <w:right w:w="10" w:type="dxa"/>
                  </w:tcMar>
                  <w:vAlign w:val="center"/>
                </w:tcPr>
                <w:p w14:paraId="57662C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b/>
                      <w:color w:val="auto"/>
                      <w:kern w:val="0"/>
                      <w:sz w:val="21"/>
                      <w:szCs w:val="21"/>
                      <w:highlight w:val="none"/>
                      <w:lang w:bidi="ar"/>
                    </w:rPr>
                  </w:pPr>
                  <w:r>
                    <w:rPr>
                      <w:rFonts w:hint="eastAsia" w:ascii="Times New Roman" w:hAnsi="Times New Roman" w:eastAsia="宋体" w:cs="Times New Roman"/>
                      <w:b/>
                      <w:color w:val="auto"/>
                      <w:spacing w:val="-1"/>
                      <w:sz w:val="21"/>
                      <w:szCs w:val="21"/>
                      <w:highlight w:val="none"/>
                      <w:lang w:val="en-US" w:eastAsia="zh-CN"/>
                    </w:rPr>
                    <w:t>操作</w:t>
                  </w:r>
                  <w:r>
                    <w:rPr>
                      <w:rFonts w:hint="default" w:ascii="Times New Roman" w:hAnsi="Times New Roman" w:cs="Times New Roman"/>
                      <w:b/>
                      <w:color w:val="auto"/>
                      <w:spacing w:val="-1"/>
                      <w:sz w:val="21"/>
                      <w:szCs w:val="21"/>
                      <w:highlight w:val="none"/>
                    </w:rPr>
                    <w:t>压力MPa</w:t>
                  </w:r>
                </w:p>
              </w:tc>
              <w:tc>
                <w:tcPr>
                  <w:tcW w:w="311" w:type="pct"/>
                  <w:noWrap w:val="0"/>
                  <w:tcMar>
                    <w:top w:w="10" w:type="dxa"/>
                    <w:left w:w="10" w:type="dxa"/>
                    <w:right w:w="10" w:type="dxa"/>
                  </w:tcMar>
                  <w:vAlign w:val="center"/>
                </w:tcPr>
                <w:p w14:paraId="11B707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单位</w:t>
                  </w:r>
                </w:p>
              </w:tc>
              <w:tc>
                <w:tcPr>
                  <w:tcW w:w="311" w:type="pct"/>
                  <w:noWrap w:val="0"/>
                  <w:tcMar>
                    <w:top w:w="10" w:type="dxa"/>
                    <w:left w:w="10" w:type="dxa"/>
                    <w:right w:w="10" w:type="dxa"/>
                  </w:tcMar>
                  <w:vAlign w:val="center"/>
                </w:tcPr>
                <w:p w14:paraId="33783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kern w:val="0"/>
                      <w:sz w:val="21"/>
                      <w:szCs w:val="21"/>
                      <w:highlight w:val="none"/>
                      <w:lang w:bidi="ar"/>
                    </w:rPr>
                    <w:t>数量</w:t>
                  </w:r>
                </w:p>
              </w:tc>
              <w:tc>
                <w:tcPr>
                  <w:tcW w:w="611" w:type="pct"/>
                  <w:noWrap w:val="0"/>
                  <w:tcMar>
                    <w:top w:w="10" w:type="dxa"/>
                    <w:left w:w="10" w:type="dxa"/>
                    <w:right w:w="10" w:type="dxa"/>
                  </w:tcMar>
                  <w:vAlign w:val="center"/>
                </w:tcPr>
                <w:p w14:paraId="2C2B90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b/>
                      <w:color w:val="auto"/>
                      <w:kern w:val="0"/>
                      <w:sz w:val="21"/>
                      <w:szCs w:val="21"/>
                      <w:highlight w:val="none"/>
                      <w:lang w:eastAsia="zh-CN" w:bidi="ar"/>
                    </w:rPr>
                  </w:pPr>
                  <w:r>
                    <w:rPr>
                      <w:rFonts w:hint="eastAsia" w:ascii="Times New Roman" w:hAnsi="Times New Roman" w:eastAsia="宋体" w:cs="Times New Roman"/>
                      <w:b/>
                      <w:color w:val="auto"/>
                      <w:kern w:val="0"/>
                      <w:sz w:val="21"/>
                      <w:szCs w:val="21"/>
                      <w:highlight w:val="none"/>
                      <w:lang w:eastAsia="zh-CN" w:bidi="ar"/>
                    </w:rPr>
                    <w:t>备注</w:t>
                  </w:r>
                </w:p>
              </w:tc>
            </w:tr>
            <w:tr w14:paraId="15730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4" w:type="pct"/>
                  <w:noWrap w:val="0"/>
                  <w:tcMar>
                    <w:top w:w="10" w:type="dxa"/>
                    <w:left w:w="10" w:type="dxa"/>
                    <w:right w:w="10" w:type="dxa"/>
                  </w:tcMar>
                  <w:vAlign w:val="center"/>
                </w:tcPr>
                <w:p w14:paraId="4C79E6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p>
              </w:tc>
              <w:tc>
                <w:tcPr>
                  <w:tcW w:w="901" w:type="pct"/>
                  <w:noWrap w:val="0"/>
                  <w:tcMar>
                    <w:top w:w="10" w:type="dxa"/>
                    <w:left w:w="10" w:type="dxa"/>
                    <w:right w:w="10" w:type="dxa"/>
                  </w:tcMar>
                  <w:vAlign w:val="center"/>
                </w:tcPr>
                <w:p w14:paraId="5EBBB7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液氮储罐</w:t>
                  </w:r>
                </w:p>
              </w:tc>
              <w:tc>
                <w:tcPr>
                  <w:tcW w:w="848" w:type="pct"/>
                  <w:noWrap w:val="0"/>
                  <w:tcMar>
                    <w:top w:w="10" w:type="dxa"/>
                    <w:left w:w="10" w:type="dxa"/>
                    <w:right w:w="10" w:type="dxa"/>
                  </w:tcMar>
                  <w:vAlign w:val="center"/>
                </w:tcPr>
                <w:p w14:paraId="40566C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bidi="ar"/>
                    </w:rPr>
                    <w:t>φ3</w:t>
                  </w:r>
                  <w:r>
                    <w:rPr>
                      <w:rFonts w:hint="eastAsia" w:ascii="Times New Roman" w:hAnsi="Times New Roman" w:eastAsia="宋体" w:cs="Times New Roman"/>
                      <w:color w:val="auto"/>
                      <w:kern w:val="0"/>
                      <w:sz w:val="21"/>
                      <w:szCs w:val="21"/>
                      <w:highlight w:val="none"/>
                      <w:lang w:val="en-US" w:eastAsia="zh-CN" w:bidi="ar"/>
                    </w:rPr>
                    <w:t>0</w:t>
                  </w:r>
                  <w:r>
                    <w:rPr>
                      <w:rFonts w:hint="default" w:ascii="Times New Roman" w:hAnsi="Times New Roman" w:eastAsia="宋体" w:cs="Times New Roman"/>
                      <w:color w:val="auto"/>
                      <w:kern w:val="0"/>
                      <w:sz w:val="21"/>
                      <w:szCs w:val="21"/>
                      <w:highlight w:val="none"/>
                      <w:lang w:bidi="ar"/>
                    </w:rPr>
                    <w:t>00×</w:t>
                  </w:r>
                  <w:r>
                    <w:rPr>
                      <w:rFonts w:hint="eastAsia" w:ascii="Times New Roman" w:hAnsi="Times New Roman" w:eastAsia="宋体" w:cs="Times New Roman"/>
                      <w:color w:val="auto"/>
                      <w:kern w:val="0"/>
                      <w:sz w:val="21"/>
                      <w:szCs w:val="21"/>
                      <w:highlight w:val="none"/>
                      <w:lang w:val="en-US" w:eastAsia="zh-CN" w:bidi="ar"/>
                    </w:rPr>
                    <w:t>10750</w:t>
                  </w:r>
                </w:p>
              </w:tc>
              <w:tc>
                <w:tcPr>
                  <w:tcW w:w="761" w:type="pct"/>
                  <w:noWrap w:val="0"/>
                  <w:tcMar>
                    <w:top w:w="10" w:type="dxa"/>
                    <w:left w:w="10" w:type="dxa"/>
                    <w:right w:w="10" w:type="dxa"/>
                  </w:tcMar>
                  <w:vAlign w:val="center"/>
                </w:tcPr>
                <w:p w14:paraId="7127F4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pacing w:val="-1"/>
                      <w:sz w:val="21"/>
                      <w:szCs w:val="21"/>
                      <w:highlight w:val="none"/>
                      <w:lang w:val="en-US" w:eastAsia="zh-CN"/>
                    </w:rPr>
                    <w:t>-171</w:t>
                  </w:r>
                </w:p>
              </w:tc>
              <w:tc>
                <w:tcPr>
                  <w:tcW w:w="940" w:type="pct"/>
                  <w:noWrap w:val="0"/>
                  <w:tcMar>
                    <w:top w:w="10" w:type="dxa"/>
                    <w:left w:w="10" w:type="dxa"/>
                    <w:right w:w="10" w:type="dxa"/>
                  </w:tcMar>
                  <w:vAlign w:val="center"/>
                </w:tcPr>
                <w:p w14:paraId="4B5465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spacing w:val="-1"/>
                      <w:sz w:val="21"/>
                      <w:szCs w:val="21"/>
                      <w:highlight w:val="none"/>
                      <w:lang w:val="en-US" w:eastAsia="zh-CN"/>
                    </w:rPr>
                    <w:t>0.8</w:t>
                  </w:r>
                </w:p>
              </w:tc>
              <w:tc>
                <w:tcPr>
                  <w:tcW w:w="311" w:type="pct"/>
                  <w:noWrap w:val="0"/>
                  <w:tcMar>
                    <w:top w:w="10" w:type="dxa"/>
                    <w:left w:w="10" w:type="dxa"/>
                    <w:right w:w="10" w:type="dxa"/>
                  </w:tcMar>
                  <w:vAlign w:val="center"/>
                </w:tcPr>
                <w:p w14:paraId="75C4B6CE">
                  <w:pPr>
                    <w:pStyle w:val="7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kern w:val="24"/>
                      <w:sz w:val="21"/>
                      <w:szCs w:val="21"/>
                      <w:highlight w:val="none"/>
                    </w:rPr>
                    <w:t>台</w:t>
                  </w:r>
                </w:p>
              </w:tc>
              <w:tc>
                <w:tcPr>
                  <w:tcW w:w="311" w:type="pct"/>
                  <w:noWrap w:val="0"/>
                  <w:tcMar>
                    <w:top w:w="10" w:type="dxa"/>
                    <w:left w:w="10" w:type="dxa"/>
                    <w:right w:w="10" w:type="dxa"/>
                  </w:tcMar>
                  <w:vAlign w:val="center"/>
                </w:tcPr>
                <w:p w14:paraId="26A58D9F">
                  <w:pPr>
                    <w:pStyle w:val="7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eastAsia" w:ascii="Times New Roman" w:hAnsi="Times New Roman" w:eastAsia="宋体" w:cs="Times New Roman"/>
                      <w:color w:val="auto"/>
                      <w:kern w:val="24"/>
                      <w:sz w:val="21"/>
                      <w:szCs w:val="21"/>
                      <w:highlight w:val="none"/>
                      <w:lang w:val="en-US" w:eastAsia="zh-CN" w:bidi="ar-SA"/>
                    </w:rPr>
                  </w:pPr>
                  <w:r>
                    <w:rPr>
                      <w:rFonts w:hint="default" w:ascii="Times New Roman" w:hAnsi="Times New Roman" w:eastAsia="宋体" w:cs="Times New Roman"/>
                      <w:color w:val="auto"/>
                      <w:kern w:val="24"/>
                      <w:sz w:val="21"/>
                      <w:szCs w:val="21"/>
                      <w:highlight w:val="none"/>
                    </w:rPr>
                    <w:t>1</w:t>
                  </w:r>
                </w:p>
              </w:tc>
              <w:tc>
                <w:tcPr>
                  <w:tcW w:w="611" w:type="pct"/>
                  <w:noWrap w:val="0"/>
                  <w:tcMar>
                    <w:top w:w="10" w:type="dxa"/>
                    <w:left w:w="10" w:type="dxa"/>
                    <w:right w:w="10" w:type="dxa"/>
                  </w:tcMar>
                  <w:vAlign w:val="center"/>
                </w:tcPr>
                <w:p w14:paraId="146403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color w:val="auto"/>
                      <w:kern w:val="0"/>
                      <w:sz w:val="21"/>
                      <w:szCs w:val="21"/>
                      <w:highlight w:val="none"/>
                      <w:lang w:eastAsia="zh-CN" w:bidi="ar"/>
                    </w:rPr>
                  </w:pPr>
                  <w:r>
                    <w:rPr>
                      <w:rFonts w:hint="eastAsia" w:ascii="Times New Roman" w:hAnsi="Times New Roman" w:eastAsia="宋体" w:cs="Times New Roman"/>
                      <w:color w:val="auto"/>
                      <w:kern w:val="0"/>
                      <w:sz w:val="21"/>
                      <w:szCs w:val="21"/>
                      <w:highlight w:val="none"/>
                      <w:lang w:eastAsia="zh-CN" w:bidi="ar"/>
                    </w:rPr>
                    <w:t>新建</w:t>
                  </w:r>
                </w:p>
              </w:tc>
            </w:tr>
            <w:tr w14:paraId="4648C7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4" w:type="pct"/>
                  <w:noWrap w:val="0"/>
                  <w:tcMar>
                    <w:top w:w="10" w:type="dxa"/>
                    <w:left w:w="10" w:type="dxa"/>
                    <w:right w:w="10" w:type="dxa"/>
                  </w:tcMar>
                  <w:vAlign w:val="center"/>
                </w:tcPr>
                <w:p w14:paraId="3A7F1C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w:t>
                  </w:r>
                </w:p>
              </w:tc>
              <w:tc>
                <w:tcPr>
                  <w:tcW w:w="901" w:type="pct"/>
                  <w:noWrap w:val="0"/>
                  <w:tcMar>
                    <w:top w:w="10" w:type="dxa"/>
                    <w:left w:w="10" w:type="dxa"/>
                    <w:right w:w="10" w:type="dxa"/>
                  </w:tcMar>
                  <w:vAlign w:val="center"/>
                </w:tcPr>
                <w:p w14:paraId="584E6E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水浴式复热器</w:t>
                  </w:r>
                </w:p>
              </w:tc>
              <w:tc>
                <w:tcPr>
                  <w:tcW w:w="848" w:type="pct"/>
                  <w:noWrap w:val="0"/>
                  <w:tcMar>
                    <w:top w:w="10" w:type="dxa"/>
                    <w:left w:w="10" w:type="dxa"/>
                    <w:right w:w="10" w:type="dxa"/>
                  </w:tcMar>
                  <w:vAlign w:val="center"/>
                </w:tcPr>
                <w:p w14:paraId="62E1C4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w:t>
                  </w:r>
                </w:p>
              </w:tc>
              <w:tc>
                <w:tcPr>
                  <w:tcW w:w="761" w:type="pct"/>
                  <w:noWrap w:val="0"/>
                  <w:tcMar>
                    <w:top w:w="10" w:type="dxa"/>
                    <w:left w:w="10" w:type="dxa"/>
                    <w:right w:w="10" w:type="dxa"/>
                  </w:tcMar>
                  <w:vAlign w:val="center"/>
                </w:tcPr>
                <w:p w14:paraId="55DA5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cs="Times New Roman"/>
                      <w:color w:val="auto"/>
                      <w:spacing w:val="-1"/>
                      <w:sz w:val="21"/>
                      <w:szCs w:val="21"/>
                      <w:highlight w:val="none"/>
                      <w:lang w:val="en-US" w:eastAsia="zh-CN"/>
                    </w:rPr>
                  </w:pPr>
                  <w:r>
                    <w:rPr>
                      <w:rFonts w:hint="eastAsia" w:ascii="Times New Roman" w:hAnsi="Times New Roman" w:cs="Times New Roman"/>
                      <w:color w:val="auto"/>
                      <w:spacing w:val="-1"/>
                      <w:sz w:val="21"/>
                      <w:szCs w:val="21"/>
                      <w:highlight w:val="none"/>
                      <w:lang w:val="en-US" w:eastAsia="zh-CN"/>
                    </w:rPr>
                    <w:t>/</w:t>
                  </w:r>
                </w:p>
              </w:tc>
              <w:tc>
                <w:tcPr>
                  <w:tcW w:w="940" w:type="pct"/>
                  <w:noWrap w:val="0"/>
                  <w:tcMar>
                    <w:top w:w="10" w:type="dxa"/>
                    <w:left w:w="10" w:type="dxa"/>
                    <w:right w:w="10" w:type="dxa"/>
                  </w:tcMar>
                  <w:vAlign w:val="center"/>
                </w:tcPr>
                <w:p w14:paraId="2CA746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w:t>
                  </w:r>
                </w:p>
              </w:tc>
              <w:tc>
                <w:tcPr>
                  <w:tcW w:w="311" w:type="pct"/>
                  <w:noWrap w:val="0"/>
                  <w:tcMar>
                    <w:top w:w="10" w:type="dxa"/>
                    <w:left w:w="10" w:type="dxa"/>
                    <w:right w:w="10" w:type="dxa"/>
                  </w:tcMar>
                  <w:vAlign w:val="center"/>
                </w:tcPr>
                <w:p w14:paraId="144D023C">
                  <w:pPr>
                    <w:pStyle w:val="7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eastAsia" w:ascii="Times New Roman" w:hAnsi="Times New Roman" w:eastAsia="宋体" w:cs="Times New Roman"/>
                      <w:color w:val="auto"/>
                      <w:kern w:val="24"/>
                      <w:sz w:val="21"/>
                      <w:szCs w:val="21"/>
                      <w:highlight w:val="none"/>
                      <w:lang w:val="en-US" w:eastAsia="zh-CN"/>
                    </w:rPr>
                  </w:pPr>
                  <w:r>
                    <w:rPr>
                      <w:rFonts w:hint="eastAsia" w:ascii="Times New Roman" w:hAnsi="Times New Roman" w:eastAsia="宋体" w:cs="Times New Roman"/>
                      <w:color w:val="auto"/>
                      <w:kern w:val="24"/>
                      <w:sz w:val="21"/>
                      <w:szCs w:val="21"/>
                      <w:highlight w:val="none"/>
                      <w:lang w:val="en-US" w:eastAsia="zh-CN"/>
                    </w:rPr>
                    <w:t>台</w:t>
                  </w:r>
                </w:p>
              </w:tc>
              <w:tc>
                <w:tcPr>
                  <w:tcW w:w="311" w:type="pct"/>
                  <w:noWrap w:val="0"/>
                  <w:tcMar>
                    <w:top w:w="10" w:type="dxa"/>
                    <w:left w:w="10" w:type="dxa"/>
                    <w:right w:w="10" w:type="dxa"/>
                  </w:tcMar>
                  <w:vAlign w:val="center"/>
                </w:tcPr>
                <w:p w14:paraId="758ACA87">
                  <w:pPr>
                    <w:pStyle w:val="7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eastAsia" w:ascii="Times New Roman" w:hAnsi="Times New Roman" w:eastAsia="宋体" w:cs="Times New Roman"/>
                      <w:color w:val="auto"/>
                      <w:kern w:val="24"/>
                      <w:sz w:val="21"/>
                      <w:szCs w:val="21"/>
                      <w:highlight w:val="none"/>
                      <w:lang w:val="en-US" w:eastAsia="zh-CN"/>
                    </w:rPr>
                  </w:pPr>
                  <w:r>
                    <w:rPr>
                      <w:rFonts w:hint="eastAsia" w:ascii="Times New Roman" w:hAnsi="Times New Roman" w:eastAsia="宋体" w:cs="Times New Roman"/>
                      <w:color w:val="auto"/>
                      <w:kern w:val="24"/>
                      <w:sz w:val="21"/>
                      <w:szCs w:val="21"/>
                      <w:highlight w:val="none"/>
                      <w:lang w:val="en-US" w:eastAsia="zh-CN"/>
                    </w:rPr>
                    <w:t>1</w:t>
                  </w:r>
                </w:p>
              </w:tc>
              <w:tc>
                <w:tcPr>
                  <w:tcW w:w="611" w:type="pct"/>
                  <w:noWrap w:val="0"/>
                  <w:tcMar>
                    <w:top w:w="10" w:type="dxa"/>
                    <w:left w:w="10" w:type="dxa"/>
                    <w:right w:w="10" w:type="dxa"/>
                  </w:tcMar>
                  <w:vAlign w:val="center"/>
                </w:tcPr>
                <w:p w14:paraId="081E1A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olor w:val="auto"/>
                      <w:kern w:val="24"/>
                      <w:sz w:val="21"/>
                      <w:szCs w:val="21"/>
                      <w:highlight w:val="none"/>
                      <w:lang w:val="en-US" w:eastAsia="zh-CN"/>
                    </w:rPr>
                  </w:pPr>
                  <w:r>
                    <w:rPr>
                      <w:rFonts w:hint="eastAsia" w:ascii="Times New Roman" w:hAnsi="Times New Roman" w:eastAsia="宋体" w:cs="Times New Roman"/>
                      <w:color w:val="auto"/>
                      <w:kern w:val="24"/>
                      <w:sz w:val="21"/>
                      <w:szCs w:val="21"/>
                      <w:highlight w:val="none"/>
                      <w:lang w:val="en-US" w:eastAsia="zh-CN"/>
                    </w:rPr>
                    <w:t>依托原有</w:t>
                  </w:r>
                </w:p>
              </w:tc>
            </w:tr>
            <w:tr w14:paraId="7294BB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4" w:type="pct"/>
                  <w:noWrap w:val="0"/>
                  <w:tcMar>
                    <w:top w:w="10" w:type="dxa"/>
                    <w:left w:w="10" w:type="dxa"/>
                    <w:right w:w="10" w:type="dxa"/>
                  </w:tcMar>
                  <w:vAlign w:val="center"/>
                </w:tcPr>
                <w:p w14:paraId="2F2EAF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w:t>
                  </w:r>
                </w:p>
              </w:tc>
              <w:tc>
                <w:tcPr>
                  <w:tcW w:w="901" w:type="pct"/>
                  <w:noWrap w:val="0"/>
                  <w:tcMar>
                    <w:top w:w="10" w:type="dxa"/>
                    <w:left w:w="10" w:type="dxa"/>
                    <w:right w:w="10" w:type="dxa"/>
                  </w:tcMar>
                  <w:vAlign w:val="center"/>
                </w:tcPr>
                <w:p w14:paraId="1428D5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rPr>
                    <w:t>液氮管道</w:t>
                  </w:r>
                </w:p>
              </w:tc>
              <w:tc>
                <w:tcPr>
                  <w:tcW w:w="848" w:type="pct"/>
                  <w:noWrap w:val="0"/>
                  <w:tcMar>
                    <w:top w:w="10" w:type="dxa"/>
                    <w:left w:w="10" w:type="dxa"/>
                    <w:right w:w="10" w:type="dxa"/>
                  </w:tcMar>
                  <w:vAlign w:val="center"/>
                </w:tcPr>
                <w:p w14:paraId="48F714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32mm</w:t>
                  </w:r>
                </w:p>
              </w:tc>
              <w:tc>
                <w:tcPr>
                  <w:tcW w:w="761" w:type="pct"/>
                  <w:noWrap w:val="0"/>
                  <w:tcMar>
                    <w:top w:w="10" w:type="dxa"/>
                    <w:left w:w="10" w:type="dxa"/>
                    <w:right w:w="10" w:type="dxa"/>
                  </w:tcMar>
                  <w:vAlign w:val="center"/>
                </w:tcPr>
                <w:p w14:paraId="0C321A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pacing w:val="-1"/>
                      <w:sz w:val="21"/>
                      <w:szCs w:val="21"/>
                      <w:highlight w:val="none"/>
                      <w:lang w:val="en-US" w:eastAsia="zh-CN"/>
                    </w:rPr>
                    <w:t>-171</w:t>
                  </w:r>
                </w:p>
              </w:tc>
              <w:tc>
                <w:tcPr>
                  <w:tcW w:w="940" w:type="pct"/>
                  <w:noWrap w:val="0"/>
                  <w:tcMar>
                    <w:top w:w="10" w:type="dxa"/>
                    <w:left w:w="10" w:type="dxa"/>
                    <w:right w:w="10" w:type="dxa"/>
                  </w:tcMar>
                  <w:vAlign w:val="center"/>
                </w:tcPr>
                <w:p w14:paraId="41E12D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spacing w:val="-1"/>
                      <w:sz w:val="21"/>
                      <w:szCs w:val="21"/>
                      <w:highlight w:val="none"/>
                      <w:lang w:val="en-US" w:eastAsia="zh-CN"/>
                    </w:rPr>
                    <w:t>0.8</w:t>
                  </w:r>
                </w:p>
              </w:tc>
              <w:tc>
                <w:tcPr>
                  <w:tcW w:w="311" w:type="pct"/>
                  <w:noWrap w:val="0"/>
                  <w:tcMar>
                    <w:top w:w="10" w:type="dxa"/>
                    <w:left w:w="10" w:type="dxa"/>
                    <w:right w:w="10" w:type="dxa"/>
                  </w:tcMar>
                  <w:vAlign w:val="center"/>
                </w:tcPr>
                <w:p w14:paraId="0701F906">
                  <w:pPr>
                    <w:pStyle w:val="7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rPr>
                    <w:t>m</w:t>
                  </w:r>
                </w:p>
              </w:tc>
              <w:tc>
                <w:tcPr>
                  <w:tcW w:w="311" w:type="pct"/>
                  <w:noWrap w:val="0"/>
                  <w:tcMar>
                    <w:top w:w="10" w:type="dxa"/>
                    <w:left w:w="10" w:type="dxa"/>
                    <w:right w:w="10" w:type="dxa"/>
                  </w:tcMar>
                  <w:vAlign w:val="center"/>
                </w:tcPr>
                <w:p w14:paraId="58907F43">
                  <w:pPr>
                    <w:pStyle w:val="7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eastAsia"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rPr>
                    <w:t>8</w:t>
                  </w:r>
                </w:p>
              </w:tc>
              <w:tc>
                <w:tcPr>
                  <w:tcW w:w="611" w:type="pct"/>
                  <w:noWrap w:val="0"/>
                  <w:tcMar>
                    <w:top w:w="10" w:type="dxa"/>
                    <w:left w:w="10" w:type="dxa"/>
                    <w:right w:w="10" w:type="dxa"/>
                  </w:tcMar>
                  <w:vAlign w:val="center"/>
                </w:tcPr>
                <w:p w14:paraId="3185D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color w:val="auto"/>
                      <w:kern w:val="24"/>
                      <w:sz w:val="21"/>
                      <w:szCs w:val="21"/>
                      <w:highlight w:val="none"/>
                      <w:lang w:eastAsia="zh-CN"/>
                    </w:rPr>
                  </w:pPr>
                  <w:r>
                    <w:rPr>
                      <w:rFonts w:hint="eastAsia" w:ascii="Times New Roman" w:hAnsi="Times New Roman" w:eastAsia="宋体" w:cs="Times New Roman"/>
                      <w:color w:val="auto"/>
                      <w:kern w:val="24"/>
                      <w:sz w:val="21"/>
                      <w:szCs w:val="21"/>
                      <w:highlight w:val="none"/>
                      <w:lang w:eastAsia="zh-CN"/>
                    </w:rPr>
                    <w:t>新建</w:t>
                  </w:r>
                </w:p>
              </w:tc>
            </w:tr>
            <w:tr w14:paraId="259DC9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14" w:type="pct"/>
                  <w:noWrap w:val="0"/>
                  <w:tcMar>
                    <w:top w:w="10" w:type="dxa"/>
                    <w:left w:w="10" w:type="dxa"/>
                    <w:right w:w="10" w:type="dxa"/>
                  </w:tcMar>
                  <w:vAlign w:val="center"/>
                </w:tcPr>
                <w:p w14:paraId="4A772A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w:t>
                  </w:r>
                </w:p>
              </w:tc>
              <w:tc>
                <w:tcPr>
                  <w:tcW w:w="901" w:type="pct"/>
                  <w:noWrap w:val="0"/>
                  <w:tcMar>
                    <w:top w:w="10" w:type="dxa"/>
                    <w:left w:w="10" w:type="dxa"/>
                    <w:right w:w="10" w:type="dxa"/>
                  </w:tcMar>
                  <w:vAlign w:val="center"/>
                </w:tcPr>
                <w:p w14:paraId="3BA051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rPr>
                    <w:t>氮气管道</w:t>
                  </w:r>
                </w:p>
              </w:tc>
              <w:tc>
                <w:tcPr>
                  <w:tcW w:w="848" w:type="pct"/>
                  <w:noWrap w:val="0"/>
                  <w:tcMar>
                    <w:top w:w="10" w:type="dxa"/>
                    <w:left w:w="10" w:type="dxa"/>
                    <w:right w:w="10" w:type="dxa"/>
                  </w:tcMar>
                  <w:vAlign w:val="center"/>
                </w:tcPr>
                <w:p w14:paraId="27CED0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25mm</w:t>
                  </w:r>
                </w:p>
              </w:tc>
              <w:tc>
                <w:tcPr>
                  <w:tcW w:w="761" w:type="pct"/>
                  <w:noWrap w:val="0"/>
                  <w:tcMar>
                    <w:top w:w="10" w:type="dxa"/>
                    <w:left w:w="10" w:type="dxa"/>
                    <w:right w:w="10" w:type="dxa"/>
                  </w:tcMar>
                  <w:vAlign w:val="center"/>
                </w:tcPr>
                <w:p w14:paraId="615980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spacing w:val="-1"/>
                      <w:sz w:val="21"/>
                      <w:szCs w:val="21"/>
                      <w:highlight w:val="none"/>
                      <w:lang w:val="en-US" w:eastAsia="zh-CN"/>
                    </w:rPr>
                    <w:t>-171</w:t>
                  </w:r>
                </w:p>
              </w:tc>
              <w:tc>
                <w:tcPr>
                  <w:tcW w:w="940" w:type="pct"/>
                  <w:noWrap w:val="0"/>
                  <w:tcMar>
                    <w:top w:w="10" w:type="dxa"/>
                    <w:left w:w="10" w:type="dxa"/>
                    <w:right w:w="10" w:type="dxa"/>
                  </w:tcMar>
                  <w:vAlign w:val="center"/>
                </w:tcPr>
                <w:p w14:paraId="6875AD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s="Times New Roman"/>
                      <w:color w:val="auto"/>
                      <w:spacing w:val="-1"/>
                      <w:sz w:val="21"/>
                      <w:szCs w:val="21"/>
                      <w:highlight w:val="none"/>
                      <w:lang w:val="en-US" w:eastAsia="zh-CN"/>
                    </w:rPr>
                    <w:t>0.8</w:t>
                  </w:r>
                </w:p>
              </w:tc>
              <w:tc>
                <w:tcPr>
                  <w:tcW w:w="311" w:type="pct"/>
                  <w:noWrap w:val="0"/>
                  <w:tcMar>
                    <w:top w:w="10" w:type="dxa"/>
                    <w:left w:w="10" w:type="dxa"/>
                    <w:right w:w="10" w:type="dxa"/>
                  </w:tcMar>
                  <w:vAlign w:val="center"/>
                </w:tcPr>
                <w:p w14:paraId="666455C7">
                  <w:pPr>
                    <w:pStyle w:val="7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default"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rPr>
                    <w:t>m</w:t>
                  </w:r>
                </w:p>
              </w:tc>
              <w:tc>
                <w:tcPr>
                  <w:tcW w:w="311" w:type="pct"/>
                  <w:noWrap w:val="0"/>
                  <w:tcMar>
                    <w:top w:w="10" w:type="dxa"/>
                    <w:left w:w="10" w:type="dxa"/>
                    <w:right w:w="10" w:type="dxa"/>
                  </w:tcMar>
                  <w:vAlign w:val="center"/>
                </w:tcPr>
                <w:p w14:paraId="4EBD14D6">
                  <w:pPr>
                    <w:pStyle w:val="7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rPr>
                      <w:rFonts w:hint="eastAsia" w:ascii="Times New Roman" w:hAnsi="Times New Roman" w:eastAsia="宋体" w:cs="Times New Roman"/>
                      <w:color w:val="auto"/>
                      <w:kern w:val="24"/>
                      <w:sz w:val="21"/>
                      <w:szCs w:val="21"/>
                      <w:highlight w:val="none"/>
                      <w:lang w:val="en-US" w:eastAsia="zh-CN" w:bidi="ar-SA"/>
                    </w:rPr>
                  </w:pPr>
                  <w:r>
                    <w:rPr>
                      <w:rFonts w:hint="eastAsia" w:ascii="Times New Roman" w:hAnsi="Times New Roman" w:eastAsia="宋体" w:cs="Times New Roman"/>
                      <w:color w:val="auto"/>
                      <w:kern w:val="24"/>
                      <w:sz w:val="21"/>
                      <w:szCs w:val="21"/>
                      <w:highlight w:val="none"/>
                      <w:lang w:val="en-US" w:eastAsia="zh-CN"/>
                    </w:rPr>
                    <w:t>8</w:t>
                  </w:r>
                </w:p>
              </w:tc>
              <w:tc>
                <w:tcPr>
                  <w:tcW w:w="611" w:type="pct"/>
                  <w:noWrap w:val="0"/>
                  <w:tcMar>
                    <w:top w:w="10" w:type="dxa"/>
                    <w:left w:w="10" w:type="dxa"/>
                    <w:right w:w="10" w:type="dxa"/>
                  </w:tcMar>
                  <w:vAlign w:val="center"/>
                </w:tcPr>
                <w:p w14:paraId="323F65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color w:val="auto"/>
                      <w:kern w:val="24"/>
                      <w:sz w:val="21"/>
                      <w:szCs w:val="21"/>
                      <w:highlight w:val="none"/>
                      <w:lang w:eastAsia="zh-CN"/>
                    </w:rPr>
                  </w:pPr>
                  <w:r>
                    <w:rPr>
                      <w:rFonts w:hint="eastAsia" w:ascii="Times New Roman" w:hAnsi="Times New Roman" w:eastAsia="宋体" w:cs="Times New Roman"/>
                      <w:color w:val="auto"/>
                      <w:kern w:val="24"/>
                      <w:sz w:val="21"/>
                      <w:szCs w:val="21"/>
                      <w:highlight w:val="none"/>
                      <w:lang w:eastAsia="zh-CN"/>
                    </w:rPr>
                    <w:t>新建</w:t>
                  </w:r>
                </w:p>
              </w:tc>
            </w:tr>
          </w:tbl>
          <w:p w14:paraId="4FF3E196">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表2-8  储罐参数表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1312"/>
              <w:gridCol w:w="1438"/>
              <w:gridCol w:w="1521"/>
              <w:gridCol w:w="1604"/>
              <w:gridCol w:w="1918"/>
            </w:tblGrid>
            <w:tr w14:paraId="3259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vMerge w:val="restart"/>
                  <w:vAlign w:val="center"/>
                </w:tcPr>
                <w:p w14:paraId="152E613B">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液氮储罐</w:t>
                  </w:r>
                </w:p>
              </w:tc>
              <w:tc>
                <w:tcPr>
                  <w:tcW w:w="713" w:type="pct"/>
                  <w:vAlign w:val="center"/>
                </w:tcPr>
                <w:p w14:paraId="68B3DCAB">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有效容积</w:t>
                  </w:r>
                </w:p>
              </w:tc>
              <w:tc>
                <w:tcPr>
                  <w:tcW w:w="781" w:type="pct"/>
                  <w:vAlign w:val="center"/>
                </w:tcPr>
                <w:p w14:paraId="3D6DADAF">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操作温度</w:t>
                  </w:r>
                </w:p>
              </w:tc>
              <w:tc>
                <w:tcPr>
                  <w:tcW w:w="826" w:type="pct"/>
                  <w:vAlign w:val="center"/>
                </w:tcPr>
                <w:p w14:paraId="2E92B82C">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设计温度</w:t>
                  </w:r>
                </w:p>
              </w:tc>
              <w:tc>
                <w:tcPr>
                  <w:tcW w:w="871" w:type="pct"/>
                  <w:vAlign w:val="center"/>
                </w:tcPr>
                <w:p w14:paraId="323CC848">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操作压力</w:t>
                  </w:r>
                </w:p>
              </w:tc>
              <w:tc>
                <w:tcPr>
                  <w:tcW w:w="1042" w:type="pct"/>
                  <w:vAlign w:val="center"/>
                </w:tcPr>
                <w:p w14:paraId="4764141B">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设计压力</w:t>
                  </w:r>
                </w:p>
              </w:tc>
            </w:tr>
            <w:tr w14:paraId="0AD7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vMerge w:val="continue"/>
                  <w:vAlign w:val="center"/>
                </w:tcPr>
                <w:p w14:paraId="586CA153">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vertAlign w:val="baseline"/>
                      <w:lang w:val="en-US" w:eastAsia="zh-CN"/>
                    </w:rPr>
                  </w:pPr>
                </w:p>
              </w:tc>
              <w:tc>
                <w:tcPr>
                  <w:tcW w:w="713" w:type="pct"/>
                  <w:vAlign w:val="center"/>
                </w:tcPr>
                <w:p w14:paraId="7D074D53">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30m</w:t>
                  </w:r>
                  <w:r>
                    <w:rPr>
                      <w:rFonts w:hint="eastAsia" w:ascii="Times New Roman" w:hAnsi="Times New Roman" w:eastAsia="宋体" w:cs="Times New Roman"/>
                      <w:b w:val="0"/>
                      <w:bCs w:val="0"/>
                      <w:color w:val="auto"/>
                      <w:sz w:val="21"/>
                      <w:szCs w:val="21"/>
                      <w:highlight w:val="none"/>
                      <w:vertAlign w:val="superscript"/>
                      <w:lang w:val="en-US" w:eastAsia="zh-CN"/>
                    </w:rPr>
                    <w:t>3</w:t>
                  </w:r>
                </w:p>
              </w:tc>
              <w:tc>
                <w:tcPr>
                  <w:tcW w:w="781" w:type="pct"/>
                  <w:vAlign w:val="center"/>
                </w:tcPr>
                <w:p w14:paraId="0180949C">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-171℃</w:t>
                  </w:r>
                </w:p>
              </w:tc>
              <w:tc>
                <w:tcPr>
                  <w:tcW w:w="826" w:type="pct"/>
                  <w:vAlign w:val="center"/>
                </w:tcPr>
                <w:p w14:paraId="3D890AD9">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-196℃</w:t>
                  </w:r>
                </w:p>
              </w:tc>
              <w:tc>
                <w:tcPr>
                  <w:tcW w:w="871" w:type="pct"/>
                  <w:vAlign w:val="center"/>
                </w:tcPr>
                <w:p w14:paraId="60C54591">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0.8MPa（G）</w:t>
                  </w:r>
                </w:p>
              </w:tc>
              <w:tc>
                <w:tcPr>
                  <w:tcW w:w="1042" w:type="pct"/>
                  <w:vAlign w:val="center"/>
                </w:tcPr>
                <w:p w14:paraId="26D58597">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0.88MPa（G）</w:t>
                  </w:r>
                </w:p>
              </w:tc>
            </w:tr>
          </w:tbl>
          <w:p w14:paraId="0F970D40">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highlight w:val="none"/>
                <w:lang w:val="en-US" w:eastAsia="zh-CN"/>
              </w:rPr>
            </w:pPr>
          </w:p>
          <w:p w14:paraId="438557CD">
            <w:pPr>
              <w:keepNext w:val="0"/>
              <w:keepLines w:val="0"/>
              <w:suppressLineNumbers w:val="0"/>
              <w:spacing w:before="0" w:beforeAutospacing="0" w:after="0" w:afterAutospacing="0" w:line="440" w:lineRule="exact"/>
              <w:ind w:left="0" w:right="0"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3</w:t>
            </w:r>
            <w:r>
              <w:rPr>
                <w:rFonts w:hint="eastAsia" w:ascii="Times New Roman" w:hAnsi="Times New Roman" w:eastAsia="宋体" w:cs="Times New Roman"/>
                <w:b/>
                <w:color w:val="auto"/>
                <w:sz w:val="24"/>
                <w:szCs w:val="24"/>
                <w:highlight w:val="none"/>
              </w:rPr>
              <w:t>、原辅材料及能源消耗</w:t>
            </w:r>
          </w:p>
          <w:p w14:paraId="7F52EF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项目各原辅材料及能源消耗情况如下。</w:t>
            </w:r>
          </w:p>
          <w:p w14:paraId="75F76D57">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w:t>
            </w:r>
            <w:r>
              <w:rPr>
                <w:rFonts w:hint="default" w:ascii="Times New Roman" w:hAnsi="Times New Roman" w:eastAsia="宋体" w:cs="Times New Roman"/>
                <w:b/>
                <w:bCs/>
                <w:color w:val="auto"/>
                <w:sz w:val="21"/>
                <w:szCs w:val="21"/>
                <w:highlight w:val="none"/>
                <w:lang w:val="en-US" w:eastAsia="zh-CN"/>
              </w:rPr>
              <w:t>-</w:t>
            </w:r>
            <w:r>
              <w:rPr>
                <w:rFonts w:hint="eastAsia"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项目原辅材料及能源消耗情况一览表</w:t>
            </w:r>
          </w:p>
          <w:tbl>
            <w:tblPr>
              <w:tblStyle w:val="17"/>
              <w:tblW w:w="9207" w:type="dxa"/>
              <w:jc w:val="center"/>
              <w:tblLayout w:type="autofit"/>
              <w:tblCellMar>
                <w:top w:w="15" w:type="dxa"/>
                <w:left w:w="15" w:type="dxa"/>
                <w:bottom w:w="15" w:type="dxa"/>
                <w:right w:w="15" w:type="dxa"/>
              </w:tblCellMar>
            </w:tblPr>
            <w:tblGrid>
              <w:gridCol w:w="668"/>
              <w:gridCol w:w="1076"/>
              <w:gridCol w:w="848"/>
              <w:gridCol w:w="1415"/>
              <w:gridCol w:w="1581"/>
              <w:gridCol w:w="3619"/>
            </w:tblGrid>
            <w:tr w14:paraId="1B48B756">
              <w:tblPrEx>
                <w:tblCellMar>
                  <w:top w:w="15" w:type="dxa"/>
                  <w:left w:w="15" w:type="dxa"/>
                  <w:bottom w:w="15" w:type="dxa"/>
                  <w:right w:w="15" w:type="dxa"/>
                </w:tblCellMar>
              </w:tblPrEx>
              <w:trPr>
                <w:trHeight w:val="23" w:hRule="atLeast"/>
                <w:jc w:val="center"/>
              </w:trPr>
              <w:tc>
                <w:tcPr>
                  <w:tcW w:w="363" w:type="pct"/>
                  <w:tcBorders>
                    <w:top w:val="single" w:color="000000" w:sz="4" w:space="0"/>
                    <w:left w:val="single" w:color="000000" w:sz="4" w:space="0"/>
                    <w:bottom w:val="single" w:color="000000" w:sz="4" w:space="0"/>
                    <w:right w:val="single" w:color="000000" w:sz="4" w:space="0"/>
                  </w:tcBorders>
                  <w:vAlign w:val="center"/>
                </w:tcPr>
                <w:p w14:paraId="004087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序号</w:t>
                  </w:r>
                </w:p>
              </w:tc>
              <w:tc>
                <w:tcPr>
                  <w:tcW w:w="584" w:type="pct"/>
                  <w:tcBorders>
                    <w:top w:val="single" w:color="000000" w:sz="4" w:space="0"/>
                    <w:left w:val="single" w:color="000000" w:sz="4" w:space="0"/>
                    <w:bottom w:val="single" w:color="000000" w:sz="4" w:space="0"/>
                    <w:right w:val="single" w:color="000000" w:sz="4" w:space="0"/>
                  </w:tcBorders>
                  <w:vAlign w:val="center"/>
                </w:tcPr>
                <w:p w14:paraId="271CCE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产品名称</w:t>
                  </w:r>
                </w:p>
              </w:tc>
              <w:tc>
                <w:tcPr>
                  <w:tcW w:w="460" w:type="pct"/>
                  <w:tcBorders>
                    <w:top w:val="single" w:color="000000" w:sz="4" w:space="0"/>
                    <w:left w:val="single" w:color="000000" w:sz="4" w:space="0"/>
                    <w:bottom w:val="single" w:color="000000" w:sz="4" w:space="0"/>
                    <w:right w:val="single" w:color="000000" w:sz="4" w:space="0"/>
                  </w:tcBorders>
                  <w:vAlign w:val="center"/>
                </w:tcPr>
                <w:p w14:paraId="7F183D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单位</w:t>
                  </w:r>
                </w:p>
              </w:tc>
              <w:tc>
                <w:tcPr>
                  <w:tcW w:w="768" w:type="pct"/>
                  <w:tcBorders>
                    <w:top w:val="single" w:color="000000" w:sz="4" w:space="0"/>
                    <w:left w:val="single" w:color="000000" w:sz="4" w:space="0"/>
                    <w:bottom w:val="single" w:color="000000" w:sz="4" w:space="0"/>
                    <w:right w:val="single" w:color="000000" w:sz="4" w:space="0"/>
                  </w:tcBorders>
                  <w:vAlign w:val="center"/>
                </w:tcPr>
                <w:p w14:paraId="34871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现有储存能力</w:t>
                  </w:r>
                </w:p>
              </w:tc>
              <w:tc>
                <w:tcPr>
                  <w:tcW w:w="858" w:type="pct"/>
                  <w:tcBorders>
                    <w:top w:val="single" w:color="000000" w:sz="4" w:space="0"/>
                    <w:left w:val="single" w:color="000000" w:sz="4" w:space="0"/>
                    <w:bottom w:val="single" w:color="000000" w:sz="4" w:space="0"/>
                    <w:right w:val="single" w:color="000000" w:sz="4" w:space="0"/>
                  </w:tcBorders>
                  <w:vAlign w:val="center"/>
                </w:tcPr>
                <w:p w14:paraId="74430A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扩建后储存能力</w:t>
                  </w:r>
                </w:p>
              </w:tc>
              <w:tc>
                <w:tcPr>
                  <w:tcW w:w="1964" w:type="pct"/>
                  <w:tcBorders>
                    <w:top w:val="single" w:color="000000" w:sz="4" w:space="0"/>
                    <w:left w:val="single" w:color="000000" w:sz="4" w:space="0"/>
                    <w:bottom w:val="single" w:color="000000" w:sz="4" w:space="0"/>
                    <w:right w:val="single" w:color="000000" w:sz="4" w:space="0"/>
                  </w:tcBorders>
                  <w:vAlign w:val="center"/>
                </w:tcPr>
                <w:p w14:paraId="0F42FF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备注</w:t>
                  </w:r>
                </w:p>
              </w:tc>
            </w:tr>
            <w:tr w14:paraId="24BF9688">
              <w:tblPrEx>
                <w:tblCellMar>
                  <w:top w:w="15" w:type="dxa"/>
                  <w:left w:w="15" w:type="dxa"/>
                  <w:bottom w:w="15" w:type="dxa"/>
                  <w:right w:w="15" w:type="dxa"/>
                </w:tblCellMar>
              </w:tblPrEx>
              <w:trPr>
                <w:trHeight w:val="23" w:hRule="atLeast"/>
                <w:jc w:val="center"/>
              </w:trPr>
              <w:tc>
                <w:tcPr>
                  <w:tcW w:w="363" w:type="pct"/>
                  <w:tcBorders>
                    <w:top w:val="single" w:color="000000" w:sz="4" w:space="0"/>
                    <w:left w:val="single" w:color="000000" w:sz="4" w:space="0"/>
                    <w:bottom w:val="single" w:color="000000" w:sz="4" w:space="0"/>
                    <w:right w:val="single" w:color="000000" w:sz="4" w:space="0"/>
                  </w:tcBorders>
                  <w:vAlign w:val="center"/>
                </w:tcPr>
                <w:p w14:paraId="2DDF2F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w:t>
                  </w:r>
                </w:p>
              </w:tc>
              <w:tc>
                <w:tcPr>
                  <w:tcW w:w="584" w:type="pct"/>
                  <w:tcBorders>
                    <w:top w:val="single" w:color="000000" w:sz="4" w:space="0"/>
                    <w:left w:val="single" w:color="000000" w:sz="4" w:space="0"/>
                    <w:bottom w:val="single" w:color="000000" w:sz="4" w:space="0"/>
                    <w:right w:val="single" w:color="000000" w:sz="4" w:space="0"/>
                  </w:tcBorders>
                  <w:vAlign w:val="center"/>
                </w:tcPr>
                <w:p w14:paraId="2DF4B9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液氮</w:t>
                  </w:r>
                </w:p>
              </w:tc>
              <w:tc>
                <w:tcPr>
                  <w:tcW w:w="460" w:type="pct"/>
                  <w:tcBorders>
                    <w:top w:val="single" w:color="000000" w:sz="4" w:space="0"/>
                    <w:left w:val="single" w:color="000000" w:sz="4" w:space="0"/>
                    <w:bottom w:val="single" w:color="000000" w:sz="4" w:space="0"/>
                    <w:right w:val="single" w:color="000000" w:sz="4" w:space="0"/>
                  </w:tcBorders>
                  <w:vAlign w:val="center"/>
                </w:tcPr>
                <w:p w14:paraId="34E42F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m³</w:t>
                  </w:r>
                </w:p>
              </w:tc>
              <w:tc>
                <w:tcPr>
                  <w:tcW w:w="768" w:type="pct"/>
                  <w:tcBorders>
                    <w:top w:val="single" w:color="000000" w:sz="4" w:space="0"/>
                    <w:left w:val="single" w:color="000000" w:sz="4" w:space="0"/>
                    <w:bottom w:val="single" w:color="000000" w:sz="4" w:space="0"/>
                    <w:right w:val="single" w:color="000000" w:sz="4" w:space="0"/>
                  </w:tcBorders>
                  <w:vAlign w:val="center"/>
                </w:tcPr>
                <w:p w14:paraId="060136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10</w:t>
                  </w:r>
                </w:p>
              </w:tc>
              <w:tc>
                <w:tcPr>
                  <w:tcW w:w="858" w:type="pct"/>
                  <w:tcBorders>
                    <w:top w:val="single" w:color="000000" w:sz="4" w:space="0"/>
                    <w:left w:val="single" w:color="000000" w:sz="4" w:space="0"/>
                    <w:bottom w:val="single" w:color="000000" w:sz="4" w:space="0"/>
                    <w:right w:val="single" w:color="000000" w:sz="4" w:space="0"/>
                  </w:tcBorders>
                  <w:vAlign w:val="center"/>
                </w:tcPr>
                <w:p w14:paraId="581CDB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40</w:t>
                  </w:r>
                </w:p>
              </w:tc>
              <w:tc>
                <w:tcPr>
                  <w:tcW w:w="1964" w:type="pct"/>
                  <w:tcBorders>
                    <w:top w:val="single" w:color="000000" w:sz="4" w:space="0"/>
                    <w:left w:val="single" w:color="000000" w:sz="4" w:space="0"/>
                    <w:bottom w:val="single" w:color="000000" w:sz="4" w:space="0"/>
                    <w:right w:val="single" w:color="000000" w:sz="4" w:space="0"/>
                  </w:tcBorders>
                  <w:vAlign w:val="center"/>
                </w:tcPr>
                <w:p w14:paraId="1F817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外购厂家槽车运输，储存于液氮储罐，项目公司例行性检修1次/年，每次30天,周转次数为4次</w:t>
                  </w:r>
                </w:p>
              </w:tc>
            </w:tr>
          </w:tbl>
          <w:p w14:paraId="605004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主要原辅材料性质</w:t>
            </w:r>
          </w:p>
          <w:p w14:paraId="7A9B74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液氮：无色无臭的液体；相对密度0.808（-195.8℃）；熔点-209.8℃；沸点-195.8℃。用于稀有气体的提制过程以及作为仪器或机件需要深度冷冻处理时的冷冻剂。</w:t>
            </w:r>
          </w:p>
          <w:p w14:paraId="693271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4</w:t>
            </w:r>
            <w:r>
              <w:rPr>
                <w:rFonts w:hint="eastAsia" w:ascii="Times New Roman" w:hAnsi="Times New Roman" w:eastAsia="宋体" w:cs="Times New Roman"/>
                <w:b/>
                <w:color w:val="auto"/>
                <w:sz w:val="24"/>
                <w:szCs w:val="24"/>
                <w:highlight w:val="none"/>
              </w:rPr>
              <w:t>、公用工程</w:t>
            </w:r>
          </w:p>
          <w:p w14:paraId="718520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（1）给水</w:t>
            </w:r>
          </w:p>
          <w:p w14:paraId="6F4073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本</w:t>
            </w:r>
            <w:r>
              <w:rPr>
                <w:rFonts w:hint="eastAsia" w:ascii="Times New Roman" w:hAnsi="Times New Roman" w:eastAsia="宋体"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rPr>
              <w:t>无生产用水</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不新增定员，无生活用水新增</w:t>
            </w:r>
            <w:r>
              <w:rPr>
                <w:rFonts w:hint="eastAsia" w:ascii="Times New Roman" w:hAnsi="Times New Roman" w:eastAsia="宋体" w:cs="Times New Roman"/>
                <w:color w:val="auto"/>
                <w:sz w:val="24"/>
                <w:szCs w:val="24"/>
                <w:highlight w:val="none"/>
                <w:lang w:eastAsia="zh-CN"/>
              </w:rPr>
              <w:t xml:space="preserve">。现有员工生活用水依托厂内现有供水设施及开发区供水管网。 </w:t>
            </w:r>
          </w:p>
          <w:p w14:paraId="4ABE69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（2）排水</w:t>
            </w:r>
          </w:p>
          <w:p w14:paraId="599CEB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本项目无生产废水，不新增员工，不新增生活污水，现有员工产生的生活污水</w:t>
            </w:r>
            <w:r>
              <w:rPr>
                <w:rFonts w:hint="eastAsia" w:ascii="Times New Roman" w:hAnsi="Times New Roman" w:eastAsia="宋体" w:cs="Times New Roman"/>
                <w:color w:val="auto"/>
                <w:sz w:val="24"/>
                <w:szCs w:val="24"/>
                <w:highlight w:val="none"/>
                <w:lang w:val="en-US" w:eastAsia="zh-CN"/>
              </w:rPr>
              <w:t>经</w:t>
            </w:r>
            <w:r>
              <w:rPr>
                <w:rFonts w:hint="eastAsia" w:ascii="Times New Roman" w:hAnsi="Times New Roman" w:eastAsia="宋体" w:cs="Times New Roman"/>
                <w:color w:val="auto"/>
                <w:sz w:val="24"/>
                <w:szCs w:val="24"/>
                <w:highlight w:val="none"/>
              </w:rPr>
              <w:t>厂内化粪池处理后</w:t>
            </w:r>
            <w:r>
              <w:rPr>
                <w:rFonts w:hint="eastAsia" w:ascii="Times New Roman" w:hAnsi="Times New Roman" w:eastAsia="宋体" w:cs="Times New Roman"/>
                <w:color w:val="auto"/>
                <w:sz w:val="24"/>
                <w:szCs w:val="24"/>
                <w:highlight w:val="none"/>
                <w:lang w:val="en-US" w:eastAsia="zh-CN"/>
              </w:rPr>
              <w:t>，由磴口县环卫局定期用罐车运到城市污水处理厂集中处理</w:t>
            </w:r>
            <w:r>
              <w:rPr>
                <w:rFonts w:hint="eastAsia" w:ascii="Times New Roman" w:hAnsi="Times New Roman" w:eastAsia="宋体" w:cs="Times New Roman"/>
                <w:color w:val="auto"/>
                <w:sz w:val="24"/>
                <w:szCs w:val="24"/>
                <w:highlight w:val="none"/>
              </w:rPr>
              <w:t>。</w:t>
            </w:r>
          </w:p>
          <w:p w14:paraId="1C1739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（3）供电</w:t>
            </w:r>
          </w:p>
          <w:p w14:paraId="10D2EA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项目用电由当地供电网络提供电源。</w:t>
            </w:r>
          </w:p>
          <w:p w14:paraId="7C5AC2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5</w:t>
            </w:r>
            <w:r>
              <w:rPr>
                <w:rFonts w:hint="eastAsia" w:ascii="Times New Roman" w:hAnsi="Times New Roman" w:eastAsia="宋体" w:cs="Times New Roman"/>
                <w:b/>
                <w:color w:val="auto"/>
                <w:sz w:val="24"/>
                <w:szCs w:val="24"/>
                <w:highlight w:val="none"/>
              </w:rPr>
              <w:t>、工程总平面布置</w:t>
            </w:r>
          </w:p>
          <w:p w14:paraId="33DDC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项目位于</w:t>
            </w:r>
            <w:r>
              <w:rPr>
                <w:rFonts w:hint="eastAsia" w:ascii="Times New Roman" w:hAnsi="Times New Roman" w:eastAsia="宋体" w:cs="Times New Roman"/>
                <w:color w:val="auto"/>
                <w:sz w:val="24"/>
                <w:szCs w:val="24"/>
                <w:highlight w:val="none"/>
                <w:lang w:eastAsia="zh-CN"/>
              </w:rPr>
              <w:t>内蒙古巴彦淖尔市磴口县工业园区</w:t>
            </w:r>
            <w:r>
              <w:rPr>
                <w:rFonts w:hint="eastAsia" w:ascii="Times New Roman" w:hAnsi="Times New Roman" w:eastAsia="宋体" w:cs="Times New Roman"/>
                <w:color w:val="auto"/>
                <w:sz w:val="24"/>
                <w:szCs w:val="24"/>
                <w:highlight w:val="none"/>
                <w:lang w:val="en-US" w:eastAsia="zh-CN"/>
              </w:rPr>
              <w:t>巴彦淖尔华油天然气有限责任公司生产区西南，现有液氮储罐西侧</w:t>
            </w:r>
            <w:r>
              <w:rPr>
                <w:rFonts w:hint="eastAsia" w:ascii="Times New Roman" w:hAnsi="Times New Roman" w:eastAsia="宋体" w:cs="Times New Roman"/>
                <w:color w:val="auto"/>
                <w:sz w:val="24"/>
                <w:szCs w:val="24"/>
                <w:highlight w:val="none"/>
              </w:rPr>
              <w:t>，项目平面布置见附图</w:t>
            </w:r>
            <w:r>
              <w:rPr>
                <w:rFonts w:hint="default" w:ascii="Times New Roman" w:hAnsi="Times New Roman" w:eastAsia="宋体" w:cs="Times New Roman"/>
                <w:color w:val="auto"/>
                <w:sz w:val="24"/>
                <w:szCs w:val="24"/>
                <w:highlight w:val="none"/>
              </w:rPr>
              <w:t>3</w:t>
            </w:r>
            <w:r>
              <w:rPr>
                <w:rFonts w:hint="eastAsia" w:ascii="Times New Roman" w:hAnsi="Times New Roman" w:eastAsia="宋体" w:cs="Times New Roman"/>
                <w:color w:val="auto"/>
                <w:sz w:val="24"/>
                <w:szCs w:val="24"/>
                <w:highlight w:val="none"/>
              </w:rPr>
              <w:t>。</w:t>
            </w:r>
          </w:p>
          <w:p w14:paraId="163061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6</w:t>
            </w:r>
            <w:r>
              <w:rPr>
                <w:rFonts w:hint="eastAsia" w:ascii="Times New Roman" w:hAnsi="Times New Roman" w:eastAsia="宋体" w:cs="Times New Roman"/>
                <w:b/>
                <w:color w:val="auto"/>
                <w:sz w:val="24"/>
                <w:szCs w:val="24"/>
                <w:highlight w:val="none"/>
              </w:rPr>
              <w:t>、劳动定员及工作制度</w:t>
            </w:r>
          </w:p>
          <w:p w14:paraId="4EEC69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本项目不新增劳动定员，依托公司原有员工，工作制度不变。</w:t>
            </w:r>
          </w:p>
        </w:tc>
      </w:tr>
      <w:tr w14:paraId="4A0D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1B92F7C">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工艺流程和产排污环节</w:t>
            </w:r>
          </w:p>
        </w:tc>
        <w:tc>
          <w:tcPr>
            <w:tcW w:w="8505" w:type="dxa"/>
          </w:tcPr>
          <w:p w14:paraId="1E286617">
            <w:pPr>
              <w:keepNext w:val="0"/>
              <w:keepLines w:val="0"/>
              <w:suppressLineNumbers w:val="0"/>
              <w:spacing w:before="0" w:beforeAutospacing="0" w:after="0" w:afterAutospacing="0" w:line="440" w:lineRule="exact"/>
              <w:ind w:left="0" w:right="0"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1、施工期</w:t>
            </w:r>
          </w:p>
          <w:p w14:paraId="52FC18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本项目施工期间的设备安</w:t>
            </w:r>
            <w:r>
              <w:rPr>
                <w:rFonts w:hint="eastAsia" w:ascii="Times New Roman" w:hAnsi="Times New Roman" w:eastAsia="宋体" w:cs="Times New Roman"/>
                <w:color w:val="auto"/>
                <w:sz w:val="24"/>
                <w:szCs w:val="24"/>
                <w:highlight w:val="none"/>
                <w:lang w:eastAsia="zh-CN"/>
              </w:rPr>
              <w:t>装</w:t>
            </w:r>
            <w:r>
              <w:rPr>
                <w:rFonts w:hint="default" w:ascii="Times New Roman" w:hAnsi="Times New Roman" w:eastAsia="宋体" w:cs="Times New Roman"/>
                <w:color w:val="auto"/>
                <w:sz w:val="24"/>
                <w:szCs w:val="24"/>
                <w:highlight w:val="none"/>
              </w:rPr>
              <w:t>等工序将产生噪声、固体废物，项目施工期的工艺流程及产污情况见下图。</w:t>
            </w:r>
          </w:p>
          <w:p w14:paraId="5F04D01A">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highlight w:val="none"/>
                <w:lang w:val="en-US" w:eastAsia="zh-CN"/>
              </w:rPr>
            </w:pPr>
            <w:r>
              <w:rPr>
                <w:rFonts w:hint="default"/>
                <w:color w:val="auto"/>
                <w:sz w:val="21"/>
                <w:highlight w:val="none"/>
              </w:rPr>
              <mc:AlternateContent>
                <mc:Choice Requires="wpg">
                  <w:drawing>
                    <wp:anchor distT="0" distB="0" distL="114300" distR="114300" simplePos="0" relativeHeight="251666432" behindDoc="0" locked="0" layoutInCell="1" allowOverlap="1">
                      <wp:simplePos x="0" y="0"/>
                      <wp:positionH relativeFrom="column">
                        <wp:posOffset>942975</wp:posOffset>
                      </wp:positionH>
                      <wp:positionV relativeFrom="paragraph">
                        <wp:posOffset>163830</wp:posOffset>
                      </wp:positionV>
                      <wp:extent cx="3968115" cy="1017270"/>
                      <wp:effectExtent l="5080" t="0" r="8255" b="9525"/>
                      <wp:wrapTopAndBottom/>
                      <wp:docPr id="232" name="组合 232"/>
                      <wp:cNvGraphicFramePr/>
                      <a:graphic xmlns:a="http://schemas.openxmlformats.org/drawingml/2006/main">
                        <a:graphicData uri="http://schemas.microsoft.com/office/word/2010/wordprocessingGroup">
                          <wpg:wgp>
                            <wpg:cNvGrpSpPr/>
                            <wpg:grpSpPr>
                              <a:xfrm rot="0">
                                <a:off x="1574800" y="2993390"/>
                                <a:ext cx="3967983" cy="1017270"/>
                                <a:chOff x="5568" y="366603"/>
                                <a:chExt cx="4073" cy="1602"/>
                              </a:xfrm>
                            </wpg:grpSpPr>
                            <wpg:grpSp>
                              <wpg:cNvPr id="225" name="组合 225"/>
                              <wpg:cNvGrpSpPr/>
                              <wpg:grpSpPr>
                                <a:xfrm rot="0">
                                  <a:off x="5568" y="366603"/>
                                  <a:ext cx="2156" cy="1511"/>
                                  <a:chOff x="5281" y="620513"/>
                                  <a:chExt cx="2156" cy="1511"/>
                                </a:xfrm>
                              </wpg:grpSpPr>
                              <wps:wsp>
                                <wps:cNvPr id="210" name="直接连接符 210"/>
                                <wps:cNvCnPr/>
                                <wps:spPr>
                                  <a:xfrm>
                                    <a:off x="6832" y="621862"/>
                                    <a:ext cx="605" cy="0"/>
                                  </a:xfrm>
                                  <a:prstGeom prst="line">
                                    <a:avLst/>
                                  </a:prstGeom>
                                  <a:ln w="9525" cap="flat" cmpd="sng">
                                    <a:solidFill>
                                      <a:srgbClr val="000000"/>
                                    </a:solidFill>
                                    <a:prstDash val="solid"/>
                                    <a:headEnd type="none" w="med" len="med"/>
                                    <a:tailEnd type="triangle" w="med" len="med"/>
                                  </a:ln>
                                </wps:spPr>
                                <wps:bodyPr upright="1"/>
                              </wps:wsp>
                              <wps:wsp>
                                <wps:cNvPr id="212" name="直接连接符 212"/>
                                <wps:cNvCnPr/>
                                <wps:spPr>
                                  <a:xfrm flipV="1">
                                    <a:off x="5958" y="620958"/>
                                    <a:ext cx="0" cy="593"/>
                                  </a:xfrm>
                                  <a:prstGeom prst="line">
                                    <a:avLst/>
                                  </a:prstGeom>
                                  <a:ln w="9525" cap="flat" cmpd="sng">
                                    <a:solidFill>
                                      <a:srgbClr val="000000"/>
                                    </a:solidFill>
                                    <a:prstDash val="dash"/>
                                    <a:headEnd type="none" w="med" len="med"/>
                                    <a:tailEnd type="triangle" w="med" len="med"/>
                                  </a:ln>
                                </wps:spPr>
                                <wps:bodyPr upright="1"/>
                              </wps:wsp>
                              <wps:wsp>
                                <wps:cNvPr id="220" name="文本框 220"/>
                                <wps:cNvSpPr txBox="1"/>
                                <wps:spPr>
                                  <a:xfrm>
                                    <a:off x="5400" y="620513"/>
                                    <a:ext cx="1085" cy="467"/>
                                  </a:xfrm>
                                  <a:prstGeom prst="rect">
                                    <a:avLst/>
                                  </a:prstGeom>
                                  <a:solidFill>
                                    <a:srgbClr val="FFFFFF">
                                      <a:alpha val="0"/>
                                    </a:srgbClr>
                                  </a:solidFill>
                                  <a:ln>
                                    <a:noFill/>
                                  </a:ln>
                                </wps:spPr>
                                <wps:txbx>
                                  <w:txbxContent>
                                    <w:p w14:paraId="254BA20F">
                                      <w:pPr>
                                        <w:pStyle w:val="23"/>
                                        <w:numPr>
                                          <w:ilvl w:val="0"/>
                                          <w:numId w:val="0"/>
                                        </w:numPr>
                                        <w:spacing w:line="240" w:lineRule="exact"/>
                                        <w:rPr>
                                          <w:rFonts w:hint="eastAsia"/>
                                          <w:spacing w:val="0"/>
                                          <w:sz w:val="21"/>
                                          <w:szCs w:val="21"/>
                                          <w:lang w:eastAsia="zh-CN"/>
                                        </w:rPr>
                                      </w:pPr>
                                      <w:r>
                                        <w:rPr>
                                          <w:rFonts w:hint="eastAsia"/>
                                          <w:spacing w:val="0"/>
                                          <w:sz w:val="21"/>
                                          <w:szCs w:val="21"/>
                                          <w:lang w:eastAsia="zh-CN"/>
                                        </w:rPr>
                                        <w:t>噪声、固废</w:t>
                                      </w:r>
                                    </w:p>
                                  </w:txbxContent>
                                </wps:txbx>
                                <wps:bodyPr upright="1"/>
                              </wps:wsp>
                              <wps:wsp>
                                <wps:cNvPr id="221" name="文本框 221"/>
                                <wps:cNvSpPr txBox="1"/>
                                <wps:spPr>
                                  <a:xfrm>
                                    <a:off x="5281" y="621581"/>
                                    <a:ext cx="1454" cy="4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022B1D">
                                      <w:pPr>
                                        <w:pStyle w:val="23"/>
                                        <w:numPr>
                                          <w:ilvl w:val="0"/>
                                          <w:numId w:val="0"/>
                                        </w:numPr>
                                        <w:spacing w:line="240" w:lineRule="exact"/>
                                        <w:ind w:firstLine="211" w:firstLineChars="100"/>
                                        <w:jc w:val="both"/>
                                        <w:rPr>
                                          <w:rFonts w:hint="eastAsia"/>
                                          <w:spacing w:val="0"/>
                                          <w:sz w:val="21"/>
                                          <w:szCs w:val="21"/>
                                          <w:lang w:eastAsia="zh-CN"/>
                                        </w:rPr>
                                      </w:pPr>
                                      <w:r>
                                        <w:rPr>
                                          <w:rFonts w:hint="eastAsia"/>
                                          <w:spacing w:val="0"/>
                                          <w:sz w:val="21"/>
                                          <w:szCs w:val="21"/>
                                          <w:lang w:eastAsia="zh-CN"/>
                                        </w:rPr>
                                        <w:t>设备安装</w:t>
                                      </w:r>
                                    </w:p>
                                  </w:txbxContent>
                                </wps:txbx>
                                <wps:bodyPr upright="1"/>
                              </wps:wsp>
                            </wpg:grpSp>
                            <wps:wsp>
                              <wps:cNvPr id="230" name="文本框 230"/>
                              <wps:cNvSpPr txBox="1"/>
                              <wps:spPr>
                                <a:xfrm>
                                  <a:off x="7944" y="367762"/>
                                  <a:ext cx="1697" cy="4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6DF563">
                                    <w:pPr>
                                      <w:pStyle w:val="23"/>
                                      <w:numPr>
                                        <w:ilvl w:val="0"/>
                                        <w:numId w:val="0"/>
                                      </w:numPr>
                                      <w:spacing w:line="240" w:lineRule="exact"/>
                                      <w:jc w:val="center"/>
                                      <w:rPr>
                                        <w:rFonts w:hint="default"/>
                                        <w:spacing w:val="0"/>
                                        <w:sz w:val="21"/>
                                        <w:szCs w:val="21"/>
                                        <w:lang w:val="en-US" w:eastAsia="zh-CN"/>
                                      </w:rPr>
                                    </w:pPr>
                                    <w:r>
                                      <w:rPr>
                                        <w:rFonts w:hint="eastAsia"/>
                                        <w:spacing w:val="0"/>
                                        <w:sz w:val="21"/>
                                        <w:szCs w:val="21"/>
                                        <w:lang w:val="en-US" w:eastAsia="zh-CN"/>
                                      </w:rPr>
                                      <w:t>竣工验收使用</w:t>
                                    </w:r>
                                  </w:p>
                                </w:txbxContent>
                              </wps:txbx>
                              <wps:bodyPr upright="1"/>
                            </wps:wsp>
                          </wpg:wgp>
                        </a:graphicData>
                      </a:graphic>
                    </wp:anchor>
                  </w:drawing>
                </mc:Choice>
                <mc:Fallback>
                  <w:pict>
                    <v:group id="_x0000_s1026" o:spid="_x0000_s1026" o:spt="203" style="position:absolute;left:0pt;margin-left:74.25pt;margin-top:12.9pt;height:80.1pt;width:312.45pt;mso-wrap-distance-bottom:0pt;mso-wrap-distance-top:0pt;z-index:251666432;mso-width-relative:page;mso-height-relative:page;" coordorigin="5568,366603" coordsize="4073,1602" o:gfxdata="UEsDBAoAAAAAAIdO4kAAAAAAAAAAAAAAAAAEAAAAZHJzL1BLAwQUAAAACACHTuJAGm+betkAAAAK&#10;AQAADwAAAGRycy9kb3ducmV2LnhtbE2PQWvCQBSE74X+h+UJvdXdqNEQs5EibU9SqBZKb2vyTILZ&#10;tyG7Jvrv+3qqx2GGmW+yzdW2YsDeN440RFMFAqlwZUOVhq/D23MCwgdDpWkdoYYbetjkjw+ZSUs3&#10;0icO+1AJLiGfGg11CF0qpS9qtMZPXYfE3sn11gSWfSXL3oxcbls5U2oprWmIF2rT4bbG4ry/WA3v&#10;oxlf5tHrsDuftrefQ/zxvYtQ66dJpNYgAl7Dfxj+8BkdcmY6uguVXrSsF0nMUQ2zmC9wYLWaL0Ac&#10;2UmWCmSeyfsL+S9QSwMEFAAAAAgAh07iQJ0B4mLYAwAAEw8AAA4AAABkcnMvZTJvRG9jLnhtbO1X&#10;S2/cNhC+B+h/IHSv9Vg9VoJ3AzSOfSmSAElzpyXqAVAkQdLe9b1oeip66qVFgBzSU4659dBfU6c/&#10;o0OK2l3velPbQYwA7R4WFDUaznzzzTfS4cNlT9E5karjbOaFB4GHCCt51bFm5n334vjrqYeUxqzC&#10;lDMy8y6I8h7Ov3pwuBAFiXjLaUUkAidMFQsx81qtReH7qmxJj9UBF4TBzZrLHmu4lI1fSbwA7z31&#10;oyBI/QWXlZC8JErB7tFw03Me5U0c8rruSnLEy7OeMD14lYRiDSmpthPKm9to65qU+mldK6IRnXmQ&#10;qbb/cAisT82/Pz/ERSOxaLvShYBvEsJWTj3uGBy6cnWENUZnsttx1Xel5IrX+qDkvT8kYhGBLMJg&#10;C5sTyc+EzaUpFo1YgQ6F2kL9zm7LJ+fPJOqqmRdNIg8x3EPJP/zx/V8//4jMDuCzEE0BZidSPBfP&#10;pNtohiuT8rKWPZLcQmuuISm0BGYlWTwNAOcL8J3nk0nu0CZLjUowmORplk8nHirBIgzCLMqcRdlC&#10;0YyPJEmBjXB7kqZpMBmqVbaPnYc4yMbH08DG6g/hzA99E/UqyNXFZ4YwSrYhhJ27Q3ht+iN8UZik&#10;DrskDEdoRuCiaWiBS6MgCXeA2312L3DQ5GrNPPVpzHveYkEsoZWh1Mi8EFjimPfr+8uf3v7952v4&#10;//DudxTBLYuftX/EHP9UoYCKI/k2SJdODYuBMGkUTlNLCVyMiKUBlMeQzfpcZYwLIZU+IbxHZjHz&#10;aMdMkLjA598qDceD6WhitilDi5mXJ6baJQYJrEF6YNkLaCPFGvus4rSrjjtKzRNKNqePqETn2MiQ&#10;/Zm0wO8VM3PIEVbtYGdvDXVtCa4eswrpCwHtyUCXPRNCTyoPUQIyblbgEBcad3RtqWWHWUP3WMPx&#10;lNlWGfFcCFWc8uoCCnMmZNe0gIalFrSTJYJRg3thxFqLdhjhROljjEA17cRLE7vBxAlSkieDmEBP&#10;mKXFa+QGMNAwI8ltr3zx3KiAJf9RakQrsbj85dXlb+8u3/yAItiEchpugqyYMYX08htuptC4v0cw&#10;ktiNqE2hHEkRBlOnGHGaGUf7eSHhTeNjmnGlz6/IwbH9Dc9S0WInEu44Z7qrFaZzccG4kZghsmt6&#10;WS9Plw6XL6KtIxhKg9Bv1m5Vo9vWbj3kwgTmHWS6FvswTuKhp+P4X3r6k2s34H+lxPc/I/pOE2kh&#10;uOu02D9Xrp8UN2fX+m3svgbI5DqVgE3XDbdkWpbHQCb7Hppl268VYZpn/zPtVu8ln5lp8K1kBdN9&#10;15mPsc1rWG9+y87/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oGAABbQ29udGVudF9UeXBlc10ueG1sUEsBAhQACgAAAAAAh07iQAAAAAAAAAAA&#10;AAAAAAYAAAAAAAAAAAAQAAAALAUAAF9yZWxzL1BLAQIUABQAAAAIAIdO4kCKFGY80QAAAJQBAAAL&#10;AAAAAAAAAAEAIAAAAFAFAABfcmVscy8ucmVsc1BLAQIUAAoAAAAAAIdO4kAAAAAAAAAAAAAAAAAE&#10;AAAAAAAAAAAAEAAAAAAAAABkcnMvUEsBAhQAFAAAAAgAh07iQBpvm3rZAAAACgEAAA8AAAAAAAAA&#10;AQAgAAAAIgAAAGRycy9kb3ducmV2LnhtbFBLAQIUABQAAAAIAIdO4kCdAeJi2AMAABMPAAAOAAAA&#10;AAAAAAEAIAAAACgBAABkcnMvZTJvRG9jLnhtbFBLBQYAAAAABgAGAFkBAAByBwAAAAA=&#10;">
                      <o:lock v:ext="edit" aspectratio="f"/>
                      <v:group id="_x0000_s1026" o:spid="_x0000_s1026" o:spt="203" style="position:absolute;left:5568;top:366603;height:1511;width:2156;" coordorigin="5281,620513" coordsize="2156,1511"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line id="_x0000_s1026" o:spid="_x0000_s1026" o:spt="20" style="position:absolute;left:6832;top:621862;height:0;width:605;" filled="f" stroked="t" coordsize="21600,21600" o:gfxdata="UEsDBAoAAAAAAIdO4kAAAAAAAAAAAAAAAAAEAAAAZHJzL1BLAwQUAAAACACHTuJAuEEJF7sAAADc&#10;AAAADwAAAGRycy9kb3ducmV2LnhtbEVPTYvCMBC9C/sfwix407QepHSNHgRlQXdFK4vehmZsi82k&#10;JFG7/94cBI+P9z1b9KYVd3K+sawgHScgiEurG64UHIvVKAPhA7LG1jIp+CcPi/nHYIa5tg/e0/0Q&#10;KhFD2OeooA6hy6X0ZU0G/dh2xJG7WGcwROgqqR0+Yrhp5SRJptJgw7Ghxo6WNZXXw80o2G9Xm+xv&#10;c+tLd16nv8Vu+3PymVLDzzT5AhGoD2/xy/2tFUzSOD+ei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EJF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5958;top:620958;flip:y;height:593;width:0;" filled="f" stroked="t" coordsize="21600,21600" o:gfxdata="UEsDBAoAAAAAAIdO4kAAAAAAAAAAAAAAAAAEAAAAZHJzL1BLAwQUAAAACACHTuJAUDQCj7wAAADc&#10;AAAADwAAAGRycy9kb3ducmV2LnhtbEWPT2sCMRTE74LfITyhN012KUW3G/ewUJDeqoLXx+btH9y8&#10;bJNUbT+9EQoeh5n5DVNWNzuKC/kwONaQrRQI4saZgTsNx8PHcg0iRGSDo2PS8EsBqu18VmJh3JW/&#10;6LKPnUgQDgVq6GOcCilD05PFsHITcfJa5y3GJH0njcdrgttR5kq9SYsDp4UeJ6p7as77H6vhVX3/&#10;1YfPbtiMO9oE8tye40nrl0Wm3kFEusVn+L+9MxryLIfHmXQE5P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0Ao+8AAAA&#10;3A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shape id="_x0000_s1026" o:spid="_x0000_s1026" o:spt="202" type="#_x0000_t202" style="position:absolute;left:5400;top:620513;height:467;width:1085;" fillcolor="#FFFFFF" filled="t" stroked="f" coordsize="21600,21600" o:gfxdata="UEsDBAoAAAAAAIdO4kAAAAAAAAAAAAAAAAAEAAAAZHJzL1BLAwQUAAAACACHTuJAzSkXjrsAAADc&#10;AAAADwAAAGRycy9kb3ducmV2LnhtbEVPTWvCQBC9F/wPywheim7MoYTo6kEULNhCo97H7JhEs7Mh&#10;u9X033cOhR4f73u5HlyrHtSHxrOB+SwBRVx623Bl4HTcTTNQISJbbD2TgR8KsF6NXpaYW//kL3oU&#10;sVISwiFHA3WMXa51KGtyGGa+Ixbu6nuHUWBfadvjU8Jdq9MkedMOG5aGGjva1FTei28nvdsh686X&#10;w+b2XrxebuknNx8ZGzMZz5MFqEhD/Bf/uffWQJrKfDkjR0C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kXjrsAAADc&#10;AAAADwAAAAAAAAABACAAAAAiAAAAZHJzL2Rvd25yZXYueG1sUEsBAhQAFAAAAAgAh07iQDMvBZ47&#10;AAAAOQAAABAAAAAAAAAAAQAgAAAACgEAAGRycy9zaGFwZXhtbC54bWxQSwUGAAAAAAYABgBbAQAA&#10;tAMAAAAA&#10;">
                          <v:fill on="t" opacity="0f" focussize="0,0"/>
                          <v:stroke on="f"/>
                          <v:imagedata o:title=""/>
                          <o:lock v:ext="edit" aspectratio="f"/>
                          <v:textbox>
                            <w:txbxContent>
                              <w:p w14:paraId="254BA20F">
                                <w:pPr>
                                  <w:pStyle w:val="23"/>
                                  <w:numPr>
                                    <w:ilvl w:val="0"/>
                                    <w:numId w:val="0"/>
                                  </w:numPr>
                                  <w:spacing w:line="240" w:lineRule="exact"/>
                                  <w:rPr>
                                    <w:rFonts w:hint="eastAsia"/>
                                    <w:spacing w:val="0"/>
                                    <w:sz w:val="21"/>
                                    <w:szCs w:val="21"/>
                                    <w:lang w:eastAsia="zh-CN"/>
                                  </w:rPr>
                                </w:pPr>
                                <w:r>
                                  <w:rPr>
                                    <w:rFonts w:hint="eastAsia"/>
                                    <w:spacing w:val="0"/>
                                    <w:sz w:val="21"/>
                                    <w:szCs w:val="21"/>
                                    <w:lang w:eastAsia="zh-CN"/>
                                  </w:rPr>
                                  <w:t>噪声、固废</w:t>
                                </w:r>
                              </w:p>
                            </w:txbxContent>
                          </v:textbox>
                        </v:shape>
                        <v:shape id="_x0000_s1026" o:spid="_x0000_s1026" o:spt="202" type="#_x0000_t202" style="position:absolute;left:5281;top:621581;height:443;width:1454;" fillcolor="#FFFFFF" filled="t" stroked="t" coordsize="21600,21600" o:gfxdata="UEsDBAoAAAAAAIdO4kAAAAAAAAAAAAAAAAAEAAAAZHJzL1BLAwQUAAAACACHTuJAkFKjLL8AAADc&#10;AAAADwAAAGRycy9kb3ducmV2LnhtbEWPS2/CMBCE75X4D9YicanASVrxCBgOSFT0Vh6C6ypekoh4&#10;HWw30H9fV6rEcTQz32gWq4dpREfO15YVpKMEBHFhdc2lguNhM5yC8AFZY2OZFPyQh9Wy97LAXNs7&#10;76jbh1JECPscFVQhtLmUvqjIoB/Zljh6F+sMhihdKbXDe4SbRmZJMpYGa44LFba0rqi47r+Ngun7&#10;tjv7z7evUzG+NLPwOuk+bk6pQT9N5iACPcIz/N/eagVZlsLf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Soy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2022B1D">
                                <w:pPr>
                                  <w:pStyle w:val="23"/>
                                  <w:numPr>
                                    <w:ilvl w:val="0"/>
                                    <w:numId w:val="0"/>
                                  </w:numPr>
                                  <w:spacing w:line="240" w:lineRule="exact"/>
                                  <w:ind w:firstLine="211" w:firstLineChars="100"/>
                                  <w:jc w:val="both"/>
                                  <w:rPr>
                                    <w:rFonts w:hint="eastAsia"/>
                                    <w:spacing w:val="0"/>
                                    <w:sz w:val="21"/>
                                    <w:szCs w:val="21"/>
                                    <w:lang w:eastAsia="zh-CN"/>
                                  </w:rPr>
                                </w:pPr>
                                <w:r>
                                  <w:rPr>
                                    <w:rFonts w:hint="eastAsia"/>
                                    <w:spacing w:val="0"/>
                                    <w:sz w:val="21"/>
                                    <w:szCs w:val="21"/>
                                    <w:lang w:eastAsia="zh-CN"/>
                                  </w:rPr>
                                  <w:t>设备安装</w:t>
                                </w:r>
                              </w:p>
                            </w:txbxContent>
                          </v:textbox>
                        </v:shape>
                      </v:group>
                      <v:shape id="_x0000_s1026" o:spid="_x0000_s1026" o:spt="202" type="#_x0000_t202" style="position:absolute;left:7944;top:367762;height:443;width:1697;" fillcolor="#FFFFFF" filled="t" stroked="t" coordsize="21600,21600" o:gfxdata="UEsDBAoAAAAAAIdO4kAAAAAAAAAAAAAAAAAEAAAAZHJzL1BLAwQUAAAACACHTuJAeseQarwAAADc&#10;AAAADwAAAGRycy9kb3ducmV2LnhtbEVPyWrDMBC9F/oPYgq5lETOQpI6ln0opKS3bKTXwRovxBq5&#10;kuqkf18dCjk+3p4Vd9OJgZxvLSuYThIQxKXVLdcKzqfteA3CB2SNnWVS8Eseivz5KcNU2xsfaDiG&#10;WsQQ9ikqaELoUyl92ZBBP7E9ceQq6wyGCF0ttcNbDDednCXJUhpsOTY02NN7Q+X1+GMUrBe74ct/&#10;zveXcll1b+F1NXx8O6VGL9NkAyLQPTzE/+6dVjCbx/n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HkG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66DF563">
                              <w:pPr>
                                <w:pStyle w:val="23"/>
                                <w:numPr>
                                  <w:ilvl w:val="0"/>
                                  <w:numId w:val="0"/>
                                </w:numPr>
                                <w:spacing w:line="240" w:lineRule="exact"/>
                                <w:jc w:val="center"/>
                                <w:rPr>
                                  <w:rFonts w:hint="default"/>
                                  <w:spacing w:val="0"/>
                                  <w:sz w:val="21"/>
                                  <w:szCs w:val="21"/>
                                  <w:lang w:val="en-US" w:eastAsia="zh-CN"/>
                                </w:rPr>
                              </w:pPr>
                              <w:r>
                                <w:rPr>
                                  <w:rFonts w:hint="eastAsia"/>
                                  <w:spacing w:val="0"/>
                                  <w:sz w:val="21"/>
                                  <w:szCs w:val="21"/>
                                  <w:lang w:val="en-US" w:eastAsia="zh-CN"/>
                                </w:rPr>
                                <w:t>竣工验收使用</w:t>
                              </w:r>
                            </w:p>
                          </w:txbxContent>
                        </v:textbox>
                      </v:shape>
                      <w10:wrap type="topAndBottom"/>
                    </v:group>
                  </w:pict>
                </mc:Fallback>
              </mc:AlternateContent>
            </w:r>
            <w:r>
              <w:rPr>
                <w:rFonts w:hint="eastAsia" w:ascii="Times New Roman" w:hAnsi="Times New Roman" w:eastAsia="宋体" w:cs="Times New Roman"/>
                <w:b/>
                <w:color w:val="auto"/>
                <w:sz w:val="24"/>
                <w:szCs w:val="24"/>
                <w:highlight w:val="none"/>
                <w:lang w:val="en-US" w:eastAsia="zh-CN"/>
              </w:rPr>
              <w:t>图2-2项目施工期工艺流程及排污节点图</w:t>
            </w:r>
          </w:p>
          <w:p w14:paraId="2BAEEC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本项目施工期主要污染物如下：</w:t>
            </w:r>
          </w:p>
          <w:p w14:paraId="6FC45A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噪声：各施工设备作业过程中产生的设备机械噪声。</w:t>
            </w:r>
          </w:p>
          <w:p w14:paraId="443D0C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固废：施工建筑垃圾、施工人员生活垃圾。</w:t>
            </w:r>
          </w:p>
          <w:p w14:paraId="19A892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施工期主要污染工序如下表所示：</w:t>
            </w:r>
          </w:p>
          <w:p w14:paraId="544E4313">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表2-10 项目施工期污染因素分析表</w:t>
            </w:r>
          </w:p>
          <w:tbl>
            <w:tblPr>
              <w:tblStyle w:val="17"/>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721"/>
              <w:gridCol w:w="1172"/>
              <w:gridCol w:w="1457"/>
              <w:gridCol w:w="1717"/>
              <w:gridCol w:w="4129"/>
            </w:tblGrid>
            <w:tr w14:paraId="2F059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392" w:type="pct"/>
                  <w:tcBorders>
                    <w:tl2br w:val="nil"/>
                    <w:tr2bl w:val="nil"/>
                  </w:tcBorders>
                  <w:shd w:val="clear" w:color="auto" w:fill="auto"/>
                  <w:vAlign w:val="center"/>
                </w:tcPr>
                <w:p w14:paraId="47DC0EAB">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lang w:val="en-US" w:eastAsia="zh-CN"/>
                    </w:rPr>
                    <w:t>时段</w:t>
                  </w:r>
                </w:p>
              </w:tc>
              <w:tc>
                <w:tcPr>
                  <w:tcW w:w="637" w:type="pct"/>
                  <w:tcBorders>
                    <w:tl2br w:val="nil"/>
                    <w:tr2bl w:val="nil"/>
                  </w:tcBorders>
                  <w:shd w:val="clear" w:color="auto" w:fill="auto"/>
                  <w:vAlign w:val="center"/>
                </w:tcPr>
                <w:p w14:paraId="691F0852">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lang w:val="en-US" w:eastAsia="zh-CN"/>
                    </w:rPr>
                    <w:t>污染类别</w:t>
                  </w:r>
                </w:p>
              </w:tc>
              <w:tc>
                <w:tcPr>
                  <w:tcW w:w="792" w:type="pct"/>
                  <w:tcBorders>
                    <w:tl2br w:val="nil"/>
                    <w:tr2bl w:val="nil"/>
                  </w:tcBorders>
                  <w:shd w:val="clear" w:color="auto" w:fill="auto"/>
                  <w:vAlign w:val="center"/>
                </w:tcPr>
                <w:p w14:paraId="073E06FC">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lang w:val="en-US" w:eastAsia="zh-CN"/>
                    </w:rPr>
                    <w:t>主要污染物</w:t>
                  </w:r>
                </w:p>
              </w:tc>
              <w:tc>
                <w:tcPr>
                  <w:tcW w:w="933" w:type="pct"/>
                  <w:tcBorders>
                    <w:tl2br w:val="nil"/>
                    <w:tr2bl w:val="nil"/>
                  </w:tcBorders>
                  <w:shd w:val="clear" w:color="auto" w:fill="auto"/>
                  <w:vAlign w:val="center"/>
                </w:tcPr>
                <w:p w14:paraId="1D45597D">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lang w:val="en-US" w:eastAsia="zh-CN"/>
                    </w:rPr>
                    <w:t>产污工序</w:t>
                  </w:r>
                </w:p>
              </w:tc>
              <w:tc>
                <w:tcPr>
                  <w:tcW w:w="2244" w:type="pct"/>
                  <w:tcBorders>
                    <w:tl2br w:val="nil"/>
                    <w:tr2bl w:val="nil"/>
                  </w:tcBorders>
                  <w:shd w:val="clear" w:color="auto" w:fill="auto"/>
                  <w:vAlign w:val="center"/>
                </w:tcPr>
                <w:p w14:paraId="3FE3215E">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lang w:val="en-US" w:eastAsia="zh-CN"/>
                    </w:rPr>
                    <w:t>治理措施</w:t>
                  </w:r>
                </w:p>
              </w:tc>
            </w:tr>
            <w:tr w14:paraId="33A6E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0" w:hRule="atLeast"/>
                <w:jc w:val="center"/>
              </w:trPr>
              <w:tc>
                <w:tcPr>
                  <w:tcW w:w="392" w:type="pct"/>
                  <w:vMerge w:val="restart"/>
                  <w:tcBorders>
                    <w:tl2br w:val="nil"/>
                    <w:tr2bl w:val="nil"/>
                  </w:tcBorders>
                  <w:shd w:val="clear" w:color="auto" w:fill="auto"/>
                  <w:vAlign w:val="center"/>
                </w:tcPr>
                <w:p w14:paraId="7DE7564C">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施工期</w:t>
                  </w:r>
                </w:p>
              </w:tc>
              <w:tc>
                <w:tcPr>
                  <w:tcW w:w="637" w:type="pct"/>
                  <w:tcBorders>
                    <w:tl2br w:val="nil"/>
                    <w:tr2bl w:val="nil"/>
                  </w:tcBorders>
                  <w:shd w:val="clear" w:color="auto" w:fill="auto"/>
                  <w:vAlign w:val="center"/>
                </w:tcPr>
                <w:p w14:paraId="14839FF0">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噪声</w:t>
                  </w:r>
                </w:p>
              </w:tc>
              <w:tc>
                <w:tcPr>
                  <w:tcW w:w="792" w:type="pct"/>
                  <w:tcBorders>
                    <w:tl2br w:val="nil"/>
                    <w:tr2bl w:val="nil"/>
                  </w:tcBorders>
                  <w:shd w:val="clear" w:color="auto" w:fill="auto"/>
                  <w:vAlign w:val="center"/>
                </w:tcPr>
                <w:p w14:paraId="1C28C060">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等效声级</w:t>
                  </w:r>
                </w:p>
              </w:tc>
              <w:tc>
                <w:tcPr>
                  <w:tcW w:w="933" w:type="pct"/>
                  <w:tcBorders>
                    <w:tl2br w:val="nil"/>
                    <w:tr2bl w:val="nil"/>
                  </w:tcBorders>
                  <w:shd w:val="clear" w:color="auto" w:fill="auto"/>
                  <w:vAlign w:val="center"/>
                </w:tcPr>
                <w:p w14:paraId="09DFB654">
                  <w:pPr>
                    <w:keepNext w:val="0"/>
                    <w:keepLines w:val="0"/>
                    <w:suppressLineNumbers w:val="0"/>
                    <w:adjustRightInd w:val="0"/>
                    <w:snapToGrid w:val="0"/>
                    <w:spacing w:before="0" w:beforeAutospacing="0" w:after="0" w:afterAutospacing="0" w:line="360" w:lineRule="exact"/>
                    <w:ind w:left="0" w:right="0"/>
                    <w:jc w:val="center"/>
                    <w:textAlignment w:val="baseline"/>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建筑施工机械、</w:t>
                  </w:r>
                </w:p>
                <w:p w14:paraId="07C53FD4">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车辆作业</w:t>
                  </w:r>
                </w:p>
              </w:tc>
              <w:tc>
                <w:tcPr>
                  <w:tcW w:w="2244" w:type="pct"/>
                  <w:tcBorders>
                    <w:tl2br w:val="nil"/>
                    <w:tr2bl w:val="nil"/>
                  </w:tcBorders>
                  <w:shd w:val="clear" w:color="auto" w:fill="auto"/>
                  <w:vAlign w:val="center"/>
                </w:tcPr>
                <w:p w14:paraId="3F913E34">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选用低噪声施工机械、合理布置施工现场、合理安排施工时间、文明施工等</w:t>
                  </w:r>
                </w:p>
              </w:tc>
            </w:tr>
            <w:tr w14:paraId="7D1D4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392" w:type="pct"/>
                  <w:vMerge w:val="continue"/>
                  <w:tcBorders>
                    <w:tl2br w:val="nil"/>
                    <w:tr2bl w:val="nil"/>
                  </w:tcBorders>
                  <w:shd w:val="clear" w:color="auto" w:fill="auto"/>
                  <w:vAlign w:val="center"/>
                </w:tcPr>
                <w:p w14:paraId="44C8EED7">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p>
              </w:tc>
              <w:tc>
                <w:tcPr>
                  <w:tcW w:w="637" w:type="pct"/>
                  <w:vMerge w:val="restart"/>
                  <w:tcBorders>
                    <w:tl2br w:val="nil"/>
                    <w:tr2bl w:val="nil"/>
                  </w:tcBorders>
                  <w:shd w:val="clear" w:color="auto" w:fill="auto"/>
                  <w:vAlign w:val="center"/>
                </w:tcPr>
                <w:p w14:paraId="06D2CFFA">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固体废物</w:t>
                  </w:r>
                </w:p>
              </w:tc>
              <w:tc>
                <w:tcPr>
                  <w:tcW w:w="792" w:type="pct"/>
                  <w:tcBorders>
                    <w:tl2br w:val="nil"/>
                    <w:tr2bl w:val="nil"/>
                  </w:tcBorders>
                  <w:shd w:val="clear" w:color="auto" w:fill="auto"/>
                  <w:vAlign w:val="center"/>
                </w:tcPr>
                <w:p w14:paraId="0A1219DB">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建筑垃圾</w:t>
                  </w:r>
                </w:p>
              </w:tc>
              <w:tc>
                <w:tcPr>
                  <w:tcW w:w="933" w:type="pct"/>
                  <w:tcBorders>
                    <w:tl2br w:val="nil"/>
                    <w:tr2bl w:val="nil"/>
                  </w:tcBorders>
                  <w:shd w:val="clear" w:color="auto" w:fill="auto"/>
                  <w:vAlign w:val="center"/>
                </w:tcPr>
                <w:p w14:paraId="1BA2F7C9">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建筑施工</w:t>
                  </w:r>
                </w:p>
              </w:tc>
              <w:tc>
                <w:tcPr>
                  <w:tcW w:w="2244" w:type="pct"/>
                  <w:tcBorders>
                    <w:tl2br w:val="nil"/>
                    <w:tr2bl w:val="nil"/>
                  </w:tcBorders>
                  <w:shd w:val="clear" w:color="auto" w:fill="auto"/>
                  <w:vAlign w:val="center"/>
                </w:tcPr>
                <w:p w14:paraId="7CB78595">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送政府指定建筑垃圾处理厂处理</w:t>
                  </w:r>
                </w:p>
              </w:tc>
            </w:tr>
            <w:tr w14:paraId="42A82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jc w:val="center"/>
              </w:trPr>
              <w:tc>
                <w:tcPr>
                  <w:tcW w:w="392" w:type="pct"/>
                  <w:vMerge w:val="continue"/>
                  <w:tcBorders>
                    <w:tl2br w:val="nil"/>
                    <w:tr2bl w:val="nil"/>
                  </w:tcBorders>
                  <w:shd w:val="clear" w:color="auto" w:fill="auto"/>
                  <w:vAlign w:val="center"/>
                </w:tcPr>
                <w:p w14:paraId="03EC3F9D">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p>
              </w:tc>
              <w:tc>
                <w:tcPr>
                  <w:tcW w:w="637" w:type="pct"/>
                  <w:vMerge w:val="continue"/>
                  <w:tcBorders>
                    <w:tl2br w:val="nil"/>
                    <w:tr2bl w:val="nil"/>
                  </w:tcBorders>
                  <w:shd w:val="clear" w:color="auto" w:fill="auto"/>
                  <w:vAlign w:val="center"/>
                </w:tcPr>
                <w:p w14:paraId="4B1DE864">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p>
              </w:tc>
              <w:tc>
                <w:tcPr>
                  <w:tcW w:w="792" w:type="pct"/>
                  <w:tcBorders>
                    <w:tl2br w:val="nil"/>
                    <w:tr2bl w:val="nil"/>
                  </w:tcBorders>
                  <w:shd w:val="clear" w:color="auto" w:fill="auto"/>
                  <w:vAlign w:val="center"/>
                </w:tcPr>
                <w:p w14:paraId="4B9B22E1">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生活垃圾</w:t>
                  </w:r>
                </w:p>
              </w:tc>
              <w:tc>
                <w:tcPr>
                  <w:tcW w:w="933" w:type="pct"/>
                  <w:tcBorders>
                    <w:tl2br w:val="nil"/>
                    <w:tr2bl w:val="nil"/>
                  </w:tcBorders>
                  <w:shd w:val="clear" w:color="auto" w:fill="auto"/>
                  <w:vAlign w:val="center"/>
                </w:tcPr>
                <w:p w14:paraId="1470C283">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施工人员</w:t>
                  </w:r>
                </w:p>
              </w:tc>
              <w:tc>
                <w:tcPr>
                  <w:tcW w:w="2244" w:type="pct"/>
                  <w:tcBorders>
                    <w:tl2br w:val="nil"/>
                    <w:tr2bl w:val="nil"/>
                  </w:tcBorders>
                  <w:shd w:val="clear" w:color="auto" w:fill="auto"/>
                  <w:vAlign w:val="center"/>
                </w:tcPr>
                <w:p w14:paraId="6A26D916">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收集后由环卫部门处理</w:t>
                  </w:r>
                </w:p>
              </w:tc>
            </w:tr>
          </w:tbl>
          <w:p w14:paraId="6750602C">
            <w:pPr>
              <w:keepNext w:val="0"/>
              <w:keepLines w:val="0"/>
              <w:suppressLineNumbers w:val="0"/>
              <w:spacing w:before="0" w:beforeAutospacing="0" w:after="0" w:afterAutospacing="0" w:line="440" w:lineRule="exact"/>
              <w:ind w:left="0" w:right="0" w:firstLine="482" w:firstLineChars="200"/>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2、营运期</w:t>
            </w:r>
          </w:p>
          <w:p w14:paraId="762C6405">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val="en-US" w:eastAsia="zh-CN"/>
              </w:rPr>
              <w:t>营运期</w:t>
            </w:r>
            <w:r>
              <w:rPr>
                <w:rFonts w:hint="eastAsia" w:ascii="Times New Roman" w:hAnsi="Times New Roman" w:eastAsia="宋体" w:cs="Times New Roman"/>
                <w:color w:val="auto"/>
                <w:sz w:val="24"/>
                <w:szCs w:val="24"/>
                <w:highlight w:val="none"/>
              </w:rPr>
              <w:t>主要工艺流程如下。</w:t>
            </w:r>
          </w:p>
          <w:p w14:paraId="634E3CD9">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项目液氮从厂外购进，由供货厂家选择具有危险化学品运输资质的槽车运送进入厂区，利用液氮泵加压后将低温液化气体打入储罐储存。</w:t>
            </w:r>
          </w:p>
          <w:p w14:paraId="0E7360BF">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外购</w:t>
            </w:r>
            <w:r>
              <w:rPr>
                <w:rFonts w:hint="eastAsia" w:ascii="Times New Roman" w:hAnsi="Times New Roman" w:eastAsia="宋体" w:cs="Times New Roman"/>
                <w:color w:val="auto"/>
                <w:sz w:val="24"/>
                <w:szCs w:val="24"/>
                <w:highlight w:val="none"/>
                <w:lang w:val="en-US" w:eastAsia="zh-CN"/>
              </w:rPr>
              <w:t>液氮</w:t>
            </w:r>
            <w:r>
              <w:rPr>
                <w:rFonts w:hint="default" w:ascii="Times New Roman" w:hAnsi="Times New Roman" w:eastAsia="宋体" w:cs="Times New Roman"/>
                <w:color w:val="auto"/>
                <w:sz w:val="24"/>
                <w:szCs w:val="24"/>
                <w:highlight w:val="none"/>
                <w:lang w:val="en-US" w:eastAsia="zh-CN"/>
              </w:rPr>
              <w:t>槽车进站停靠指定位置之后，发动机熄火，检查储槽接口是否完好无损。用快速接头把</w:t>
            </w:r>
            <w:r>
              <w:rPr>
                <w:rFonts w:hint="eastAsia" w:ascii="Times New Roman" w:hAnsi="Times New Roman" w:eastAsia="宋体" w:cs="Times New Roman"/>
                <w:color w:val="auto"/>
                <w:sz w:val="24"/>
                <w:szCs w:val="24"/>
                <w:highlight w:val="none"/>
                <w:lang w:val="en-US" w:eastAsia="zh-CN"/>
              </w:rPr>
              <w:t>液氮</w:t>
            </w:r>
            <w:r>
              <w:rPr>
                <w:rFonts w:hint="default" w:ascii="Times New Roman" w:hAnsi="Times New Roman" w:eastAsia="宋体" w:cs="Times New Roman"/>
                <w:color w:val="auto"/>
                <w:sz w:val="24"/>
                <w:szCs w:val="24"/>
                <w:highlight w:val="none"/>
                <w:lang w:val="en-US" w:eastAsia="zh-CN"/>
              </w:rPr>
              <w:t>槽车的卸料管与</w:t>
            </w:r>
            <w:r>
              <w:rPr>
                <w:rFonts w:hint="eastAsia" w:ascii="Times New Roman" w:hAnsi="Times New Roman" w:eastAsia="宋体" w:cs="Times New Roman"/>
                <w:color w:val="auto"/>
                <w:sz w:val="24"/>
                <w:szCs w:val="24"/>
                <w:highlight w:val="none"/>
                <w:lang w:val="en-US" w:eastAsia="zh-CN"/>
              </w:rPr>
              <w:t>液氮</w:t>
            </w:r>
            <w:r>
              <w:rPr>
                <w:rFonts w:hint="default" w:ascii="Times New Roman" w:hAnsi="Times New Roman" w:eastAsia="宋体" w:cs="Times New Roman"/>
                <w:color w:val="auto"/>
                <w:sz w:val="24"/>
                <w:szCs w:val="24"/>
                <w:highlight w:val="none"/>
                <w:lang w:val="en-US" w:eastAsia="zh-CN"/>
              </w:rPr>
              <w:t>储罐的进料口连接，并检查连接无误后，向储罐卸料。卸料过程中，应注意观察管线，阀门等相关设备运行情况。观察液位仪，在储罐内液位即将到达上限时，停止卸料。</w:t>
            </w:r>
          </w:p>
          <w:p w14:paraId="6AC65BB7">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利用压力差导入液氮储罐，用时打开储罐液相阀门，经低温液体泵（依托原有）将低温液化气体打入</w:t>
            </w:r>
            <w:r>
              <w:rPr>
                <w:rFonts w:hint="eastAsia" w:ascii="Times New Roman" w:hAnsi="Times New Roman" w:eastAsia="宋体" w:cs="Times New Roman"/>
                <w:color w:val="auto"/>
                <w:sz w:val="24"/>
                <w:szCs w:val="24"/>
                <w:highlight w:val="none"/>
                <w:lang w:val="en-US" w:eastAsia="zh-CN"/>
              </w:rPr>
              <w:t>水浴复热器</w:t>
            </w:r>
            <w:r>
              <w:rPr>
                <w:rFonts w:hint="default" w:ascii="Times New Roman" w:hAnsi="Times New Roman" w:eastAsia="宋体" w:cs="Times New Roman"/>
                <w:color w:val="auto"/>
                <w:sz w:val="24"/>
                <w:szCs w:val="24"/>
                <w:highlight w:val="none"/>
                <w:lang w:val="en-US" w:eastAsia="zh-CN"/>
              </w:rPr>
              <w:t>（依托原有）</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低温液体通过气化器进行热交换转换为气体，通过管道提供给相应的设备。</w:t>
            </w:r>
          </w:p>
          <w:p w14:paraId="120913C1">
            <w:pPr>
              <w:keepNext w:val="0"/>
              <w:keepLines w:val="0"/>
              <w:suppressLineNumbers w:val="0"/>
              <w:spacing w:before="0" w:beforeAutospacing="0" w:after="0" w:afterAutospacing="0" w:line="440" w:lineRule="exact"/>
              <w:ind w:left="0" w:right="0" w:firstLine="420" w:firstLineChars="200"/>
              <w:jc w:val="center"/>
              <w:rPr>
                <w:rFonts w:hint="eastAsia" w:ascii="Times New Roman" w:hAnsi="Times New Roman" w:eastAsia="宋体" w:cs="Times New Roman"/>
                <w:b/>
                <w:color w:val="auto"/>
                <w:sz w:val="24"/>
                <w:szCs w:val="24"/>
                <w:highlight w:val="none"/>
              </w:rPr>
            </w:pPr>
            <w:r>
              <w:rPr>
                <w:rFonts w:hint="default"/>
                <w:color w:val="auto"/>
                <w:sz w:val="21"/>
                <w:highlight w:val="none"/>
              </w:rPr>
              <mc:AlternateContent>
                <mc:Choice Requires="wpg">
                  <w:drawing>
                    <wp:anchor distT="0" distB="0" distL="114300" distR="114300" simplePos="0" relativeHeight="251672576" behindDoc="0" locked="0" layoutInCell="1" allowOverlap="1">
                      <wp:simplePos x="0" y="0"/>
                      <wp:positionH relativeFrom="column">
                        <wp:posOffset>439420</wp:posOffset>
                      </wp:positionH>
                      <wp:positionV relativeFrom="paragraph">
                        <wp:posOffset>79375</wp:posOffset>
                      </wp:positionV>
                      <wp:extent cx="4820920" cy="1894205"/>
                      <wp:effectExtent l="0" t="0" r="17780" b="0"/>
                      <wp:wrapTopAndBottom/>
                      <wp:docPr id="1" name="组合 1"/>
                      <wp:cNvGraphicFramePr/>
                      <a:graphic xmlns:a="http://schemas.openxmlformats.org/drawingml/2006/main">
                        <a:graphicData uri="http://schemas.microsoft.com/office/word/2010/wordprocessingGroup">
                          <wpg:wgp>
                            <wpg:cNvGrpSpPr/>
                            <wpg:grpSpPr>
                              <a:xfrm>
                                <a:off x="0" y="0"/>
                                <a:ext cx="4820920" cy="1894205"/>
                                <a:chOff x="7180" y="2040"/>
                                <a:chExt cx="7592" cy="2519"/>
                              </a:xfrm>
                            </wpg:grpSpPr>
                            <wps:wsp>
                              <wps:cNvPr id="48" name="矩形 48"/>
                              <wps:cNvSpPr/>
                              <wps:spPr>
                                <a:xfrm>
                                  <a:off x="9343" y="3105"/>
                                  <a:ext cx="1380" cy="690"/>
                                </a:xfrm>
                                <a:prstGeom prst="rect">
                                  <a:avLst/>
                                </a:prstGeom>
                                <a:solidFill>
                                  <a:schemeClr val="accent1">
                                    <a:lumMod val="60000"/>
                                    <a:lumOff val="4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矩形 49"/>
                              <wps:cNvSpPr/>
                              <wps:spPr>
                                <a:xfrm>
                                  <a:off x="11308" y="3120"/>
                                  <a:ext cx="1380" cy="690"/>
                                </a:xfrm>
                                <a:prstGeom prst="rect">
                                  <a:avLst/>
                                </a:prstGeom>
                                <a:solidFill>
                                  <a:schemeClr val="accent1">
                                    <a:lumMod val="60000"/>
                                    <a:lumOff val="4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矩形 50"/>
                              <wps:cNvSpPr/>
                              <wps:spPr>
                                <a:xfrm>
                                  <a:off x="13363" y="3135"/>
                                  <a:ext cx="1380" cy="690"/>
                                </a:xfrm>
                                <a:prstGeom prst="rect">
                                  <a:avLst/>
                                </a:prstGeom>
                                <a:solidFill>
                                  <a:schemeClr val="accent1">
                                    <a:lumMod val="60000"/>
                                    <a:lumOff val="4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文本框 10"/>
                              <wps:cNvSpPr txBox="1"/>
                              <wps:spPr>
                                <a:xfrm>
                                  <a:off x="9358" y="3255"/>
                                  <a:ext cx="1365"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28DCD">
                                    <w:pPr>
                                      <w:jc w:val="center"/>
                                      <w:rPr>
                                        <w:rFonts w:hint="default" w:eastAsiaTheme="minorEastAsia"/>
                                        <w:lang w:val="en-US" w:eastAsia="zh-CN"/>
                                      </w:rPr>
                                    </w:pPr>
                                    <w:r>
                                      <w:rPr>
                                        <w:rFonts w:hint="eastAsia"/>
                                        <w:lang w:val="en-US" w:eastAsia="zh-CN"/>
                                      </w:rPr>
                                      <w:t>液氮储罐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11"/>
                              <wps:cNvSpPr txBox="1"/>
                              <wps:spPr>
                                <a:xfrm>
                                  <a:off x="11353" y="3105"/>
                                  <a:ext cx="1395" cy="7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90BAA">
                                    <w:pPr>
                                      <w:jc w:val="center"/>
                                      <w:rPr>
                                        <w:rFonts w:hint="default" w:eastAsiaTheme="minorEastAsia"/>
                                        <w:lang w:val="en-US" w:eastAsia="zh-CN"/>
                                      </w:rPr>
                                    </w:pPr>
                                    <w:r>
                                      <w:rPr>
                                        <w:rFonts w:hint="eastAsia"/>
                                        <w:lang w:val="en-US" w:eastAsia="zh-CN"/>
                                      </w:rPr>
                                      <w:t>水浴复热器汽化器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12"/>
                              <wps:cNvSpPr txBox="1"/>
                              <wps:spPr>
                                <a:xfrm>
                                  <a:off x="13408" y="3225"/>
                                  <a:ext cx="1365"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2F96AD">
                                    <w:pPr>
                                      <w:jc w:val="center"/>
                                      <w:rPr>
                                        <w:rFonts w:hint="default" w:eastAsiaTheme="minorEastAsia"/>
                                        <w:lang w:val="en-US" w:eastAsia="zh-CN"/>
                                      </w:rPr>
                                    </w:pPr>
                                    <w:r>
                                      <w:rPr>
                                        <w:rFonts w:hint="eastAsia"/>
                                        <w:lang w:val="en-US" w:eastAsia="zh-CN"/>
                                      </w:rPr>
                                      <w:t>用气设备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右箭头 14"/>
                              <wps:cNvSpPr/>
                              <wps:spPr>
                                <a:xfrm>
                                  <a:off x="10738" y="3421"/>
                                  <a:ext cx="555" cy="12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右箭头 15"/>
                              <wps:cNvSpPr/>
                              <wps:spPr>
                                <a:xfrm>
                                  <a:off x="12748" y="3391"/>
                                  <a:ext cx="555" cy="12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直接箭头连接符 18"/>
                              <wps:cNvCnPr/>
                              <wps:spPr>
                                <a:xfrm flipV="1">
                                  <a:off x="13018" y="2670"/>
                                  <a:ext cx="0" cy="691"/>
                                </a:xfrm>
                                <a:prstGeom prst="straightConnector1">
                                  <a:avLst/>
                                </a:prstGeom>
                                <a:ln>
                                  <a:prstDash val="dash"/>
                                  <a:tailEnd type="arrow"/>
                                </a:ln>
                              </wps:spPr>
                              <wps:style>
                                <a:lnRef idx="2">
                                  <a:schemeClr val="accent1"/>
                                </a:lnRef>
                                <a:fillRef idx="0">
                                  <a:srgbClr val="FFFFFF"/>
                                </a:fillRef>
                                <a:effectRef idx="0">
                                  <a:srgbClr val="FFFFFF"/>
                                </a:effectRef>
                                <a:fontRef idx="minor">
                                  <a:schemeClr val="tx1"/>
                                </a:fontRef>
                              </wps:style>
                              <wps:bodyPr/>
                            </wps:wsp>
                            <wps:wsp>
                              <wps:cNvPr id="33" name="直接箭头连接符 19"/>
                              <wps:cNvCnPr/>
                              <wps:spPr>
                                <a:xfrm flipV="1">
                                  <a:off x="11908" y="2520"/>
                                  <a:ext cx="0" cy="691"/>
                                </a:xfrm>
                                <a:prstGeom prst="straightConnector1">
                                  <a:avLst/>
                                </a:prstGeom>
                                <a:ln>
                                  <a:prstDash val="dash"/>
                                  <a:tailEnd type="arrow"/>
                                </a:ln>
                              </wps:spPr>
                              <wps:style>
                                <a:lnRef idx="2">
                                  <a:schemeClr val="accent1"/>
                                </a:lnRef>
                                <a:fillRef idx="0">
                                  <a:srgbClr val="FFFFFF"/>
                                </a:fillRef>
                                <a:effectRef idx="0">
                                  <a:srgbClr val="FFFFFF"/>
                                </a:effectRef>
                                <a:fontRef idx="minor">
                                  <a:schemeClr val="tx1"/>
                                </a:fontRef>
                              </wps:style>
                              <wps:bodyPr/>
                            </wps:wsp>
                            <wpg:grpSp>
                              <wpg:cNvPr id="11" name="组合 2"/>
                              <wpg:cNvGrpSpPr/>
                              <wpg:grpSpPr>
                                <a:xfrm>
                                  <a:off x="7180" y="2247"/>
                                  <a:ext cx="2295" cy="1664"/>
                                  <a:chOff x="5308" y="2265"/>
                                  <a:chExt cx="2295" cy="1664"/>
                                </a:xfrm>
                              </wpg:grpSpPr>
                              <wps:wsp>
                                <wps:cNvPr id="35" name="矩形 1"/>
                                <wps:cNvSpPr/>
                                <wps:spPr>
                                  <a:xfrm>
                                    <a:off x="5428" y="3135"/>
                                    <a:ext cx="1380" cy="690"/>
                                  </a:xfrm>
                                  <a:prstGeom prst="rect">
                                    <a:avLst/>
                                  </a:prstGeom>
                                  <a:solidFill>
                                    <a:schemeClr val="accent1">
                                      <a:lumMod val="60000"/>
                                      <a:lumOff val="40000"/>
                                    </a:schemeClr>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文本框 6"/>
                                <wps:cNvSpPr txBox="1"/>
                                <wps:spPr>
                                  <a:xfrm>
                                    <a:off x="5308" y="3255"/>
                                    <a:ext cx="1680"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606EF">
                                      <w:pPr>
                                        <w:jc w:val="both"/>
                                        <w:rPr>
                                          <w:rFonts w:hint="eastAsia" w:eastAsiaTheme="minorEastAsia"/>
                                          <w:lang w:val="en-US" w:eastAsia="zh-CN"/>
                                        </w:rPr>
                                      </w:pPr>
                                      <w:r>
                                        <w:rPr>
                                          <w:rFonts w:hint="eastAsia"/>
                                          <w:lang w:val="en-US" w:eastAsia="zh-CN"/>
                                        </w:rPr>
                                        <w:t>低温液体槽车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右箭头 7"/>
                                <wps:cNvSpPr/>
                                <wps:spPr>
                                  <a:xfrm>
                                    <a:off x="6838" y="3421"/>
                                    <a:ext cx="555" cy="12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文本框 8"/>
                                <wps:cNvSpPr txBox="1"/>
                                <wps:spPr>
                                  <a:xfrm>
                                    <a:off x="6748" y="3495"/>
                                    <a:ext cx="811"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49FCA">
                                      <w:pPr>
                                        <w:jc w:val="center"/>
                                        <w:rPr>
                                          <w:rFonts w:hint="default" w:eastAsiaTheme="minorEastAsia"/>
                                          <w:lang w:val="en-US" w:eastAsia="zh-CN"/>
                                        </w:rPr>
                                      </w:pPr>
                                      <w:r>
                                        <w:rPr>
                                          <w:rFonts w:hint="eastAsia"/>
                                          <w:lang w:val="en-US" w:eastAsia="zh-CN"/>
                                        </w:rPr>
                                        <w:t>卸车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直接箭头连接符 16"/>
                                <wps:cNvCnPr/>
                                <wps:spPr>
                                  <a:xfrm flipV="1">
                                    <a:off x="7123" y="2745"/>
                                    <a:ext cx="0" cy="691"/>
                                  </a:xfrm>
                                  <a:prstGeom prst="straightConnector1">
                                    <a:avLst/>
                                  </a:prstGeom>
                                  <a:ln>
                                    <a:prstDash val="dash"/>
                                    <a:tailEnd type="arrow"/>
                                  </a:ln>
                                </wps:spPr>
                                <wps:style>
                                  <a:lnRef idx="2">
                                    <a:schemeClr val="accent1"/>
                                  </a:lnRef>
                                  <a:fillRef idx="0">
                                    <a:srgbClr val="FFFFFF"/>
                                  </a:fillRef>
                                  <a:effectRef idx="0">
                                    <a:srgbClr val="FFFFFF"/>
                                  </a:effectRef>
                                  <a:fontRef idx="minor">
                                    <a:schemeClr val="tx1"/>
                                  </a:fontRef>
                                </wps:style>
                                <wps:bodyPr/>
                              </wps:wsp>
                              <wps:wsp>
                                <wps:cNvPr id="40" name="文本框 20"/>
                                <wps:cNvSpPr txBox="1"/>
                                <wps:spPr>
                                  <a:xfrm>
                                    <a:off x="6613" y="2265"/>
                                    <a:ext cx="991"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DC38B">
                                      <w:pPr>
                                        <w:jc w:val="center"/>
                                        <w:rPr>
                                          <w:rFonts w:hint="default" w:eastAsiaTheme="minorEastAsia"/>
                                          <w:b/>
                                          <w:bCs/>
                                          <w:lang w:val="en-US" w:eastAsia="zh-CN"/>
                                        </w:rPr>
                                      </w:pPr>
                                      <w:r>
                                        <w:rPr>
                                          <w:rFonts w:hint="eastAsia"/>
                                          <w:b/>
                                          <w:bCs/>
                                          <w:lang w:val="en-US" w:eastAsia="zh-CN"/>
                                        </w:rPr>
                                        <w:t>G、N</w:t>
                                      </w:r>
                                    </w:p>
                                    <w:p w14:paraId="674B0BE4">
                                      <w:pPr>
                                        <w:jc w:val="cente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1" name="文本框 21"/>
                              <wps:cNvSpPr txBox="1"/>
                              <wps:spPr>
                                <a:xfrm>
                                  <a:off x="12508" y="2220"/>
                                  <a:ext cx="991"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1CECF">
                                    <w:pPr>
                                      <w:jc w:val="center"/>
                                      <w:rPr>
                                        <w:rFonts w:hint="default" w:eastAsiaTheme="minorEastAsia"/>
                                        <w:b/>
                                        <w:bCs/>
                                        <w:lang w:val="en-US" w:eastAsia="zh-CN"/>
                                      </w:rPr>
                                    </w:pPr>
                                    <w:r>
                                      <w:rPr>
                                        <w:rFonts w:hint="eastAsia"/>
                                        <w:b/>
                                        <w:bCs/>
                                        <w:lang w:val="en-US" w:eastAsia="zh-CN"/>
                                      </w:rPr>
                                      <w:t>G、N</w:t>
                                    </w:r>
                                  </w:p>
                                  <w:p w14:paraId="70FCAAEC">
                                    <w:pPr>
                                      <w:jc w:val="center"/>
                                      <w:rPr>
                                        <w:rFonts w:hint="default" w:eastAsiaTheme="minorEastAsia"/>
                                        <w:b/>
                                        <w:bCs/>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22"/>
                              <wps:cNvSpPr txBox="1"/>
                              <wps:spPr>
                                <a:xfrm>
                                  <a:off x="11473" y="2040"/>
                                  <a:ext cx="991" cy="4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DE5F3F">
                                    <w:pPr>
                                      <w:jc w:val="center"/>
                                      <w:rPr>
                                        <w:rFonts w:hint="default" w:eastAsiaTheme="minorEastAsia"/>
                                        <w:b/>
                                        <w:bCs/>
                                        <w:lang w:val="en-US" w:eastAsia="zh-CN"/>
                                      </w:rPr>
                                    </w:pPr>
                                    <w:r>
                                      <w:rPr>
                                        <w:rFonts w:hint="eastAsia"/>
                                        <w:b/>
                                        <w:bCs/>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11653" y="4095"/>
                                  <a:ext cx="3090" cy="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D5754E">
                                    <w:pPr>
                                      <w:rPr>
                                        <w:rFonts w:hint="default" w:eastAsiaTheme="minorEastAsia"/>
                                        <w:lang w:val="en-US" w:eastAsia="zh-CN"/>
                                      </w:rPr>
                                    </w:pPr>
                                    <w:r>
                                      <w:rPr>
                                        <w:rFonts w:hint="eastAsia"/>
                                        <w:lang w:val="en-US" w:eastAsia="zh-CN"/>
                                      </w:rPr>
                                      <w:t>图例：G废气N噪声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4.6pt;margin-top:6.25pt;height:149.15pt;width:379.6pt;mso-wrap-distance-bottom:0pt;mso-wrap-distance-top:0pt;z-index:251672576;mso-width-relative:page;mso-height-relative:page;" coordorigin="7180,2040" coordsize="7592,2519" o:gfxdata="UEsDBAoAAAAAAIdO4kAAAAAAAAAAAAAAAAAEAAAAZHJzL1BLAwQUAAAACACHTuJAs6YdndoAAAAJ&#10;AQAADwAAAGRycy9kb3ducmV2LnhtbE2PwU7DMBBE70j8g7VI3KjjlFYhxKlQBZwqJFokxM2Nt0nU&#10;eB3FbtL+PcuJHmdnNPO2WJ1dJ0YcQutJg5olIJAqb1uqNXzt3h4yECEasqbzhBouGGBV3t4UJrd+&#10;ok8ct7EWXEIhNxqaGPtcylA16EyY+R6JvYMfnIksh1rawUxc7jqZJslSOtMSLzSmx3WD1XF7chre&#10;JzO9zNXruDke1pef3eLje6NQ6/s7lTyDiHiO/2H4w2d0KJlp709kg+g0LJ9STvI9XYBgP0uzRxB7&#10;DXOVZCDLQl5/UP4CUEsDBBQAAAAIAIdO4kBn8DCwywYAAN44AAAOAAAAZHJzL2Uyb0RvYy54bWzt&#10;W01v40QYviPxH0a+s4nHX0m07Sqk2xXSwq60fJynjp1Ysj1mPGnSPSPgBJy4gEAgQEJauLA3hPg1&#10;7fIzeOfDE9dJSlJIl67cQ2p77Pl4/bxfzzu+e2+Rpeg0YmVC8wPLvtO1UJSHdJzkkwPrvXeP3+hZ&#10;qOQkH5OU5tGBdRaV1r3D11+7Oy8GEaZTmo4jhqCTvBzMiwNrynkx6HTKcBplpLxDiyiHxpiyjHA4&#10;ZZPOmJE59J6lHdzt+p05ZeOC0TAqS7h6pBot3SPbpkMax0kYHdFwlkU5V72yKCUcllROk6K0DuVs&#10;4zgK+aM4LiOO0gMLVsrlLwwCxyfit3N4lwwmjBTTJNRTINtMobGmjCQ5DGq6OiKcoBlLVrrKkpDR&#10;ksb8TkizjlqIlAiswu42ZPOA0Vkh1zIZzCeFETq8qIbUr91t+M7pY4aSMSDBQjnJ4IW/+P2j8y8+&#10;RbaQzbyYDOCWB6x4Ujxm+sJEnYnlLmKWif+wELSQUj0zUo0WHIVw0e3hbh+DwENos3t9F3c9Jfdw&#10;Ci9HPBfYPWiHZtx19TsJp/f184HXx+ph7Nl98WSnGrgj5memMy8AkeVSTOW/E9OTKSkiKf1SyECL&#10;yQX10HL69ufzP75HcEHKRd5kpFQOShDYGhH1HdeRS3XsSgyVoGxHSEFIye9LKZh1kkHBSv4gohkS&#10;BwcWA2BLvJHThyVXIqluEYOWNE3Gx0mayhM2ORmlDJ0SUILe8XB4NJLPprPsbTpWl/0u/Km3ApfF&#10;a5F3u9VlmEqpupHiv9R/mqM5vFkcQA8oJGATYtBFOMwKwFWZTyxE0gkYm5AzOfClp3W3ajx87Hn9&#10;YGV2gadnd9U0xPqPSDlVPckx1IKyhIPFSpMMVi/WU8k2zWEtAjTqVYmjEzo+gxfNqDIUZREeJ9Dt&#10;Q1Lyx4SBZYAVgu3kj+AnTiksm+ojC00pe7ruurgfkAitFpqDpQGRfDgjLLJQ+lYOGO3bLoAecXni&#10;eoFQFVZvOam35LNsROE9grrC7OShuJ+n1WHMaPYBmNihGBWaSB7C2Er4+mTElQUEIx1Gw6G8DcxR&#10;QfjD/EkRis4FbnI6nHEaJxJfS+looYGmCftwEyrXb6qctAJibNDLf1Y523a6oLWgV44NwgVtIYNW&#10;54xFaHWu1TnQd61O2s15YDkuuTm4sIubsx3Hr/yco919q3OtzrV+TiQ960NLHFQ6d/HlJxdfP7v4&#10;7mNkN9UO8cWbFEJmHZ5XwUsVEZtQvO942udhb0X/fE/Fma5SzevHmTkVQab0qCoK9B0wFCp40C3Q&#10;+ZpAiy9OFtqevMIxFwTBKvy6ZREXNklODYkGcTro2haJEH55lStYTXn6GopBC0XIBfYX/t9aKJrg&#10;vwZF3IhFtoai41aZAMatVXxJmehthaJjYuLzz3978esv5z88R7bbgKJ2ahvYH7sbONotu1ga1GUq&#10;6oGfVhyZSlKv8MrJZMqHjNG5dLU7c0CuG+CRnLjgU+pUUUvlAKnTUjmC2d8Le+oYlrmmQtIQb8/m&#10;4EBwsILNcfqtCm0iZVs2VNKarx4b6kAxRDMzXz2/+OxH5Yj++vMbcfzsJ2TX6xGjXFdtLueJKE6T&#10;4v2K59XFG2BJ4VlZhfGDBk0Knk/VJaTCbfZMJWdEOKcRzXMoUVCmmOQNHmole/xPagjH8k+45aZ3&#10;u6wTY6gViLvIYG2BgAw4SdL7+RjxswLKYkT6W9XrmoRWZbGiWViymyPHHUitroRDnSvfCQ52X8fK&#10;2Guy5i0crgUHXavccx3XuFhdyNXJ0k6F3GVBFruBUpKKvcW4Stlt35dBJBmYQq5XVVowBo5JKtey&#10;kLv6pDEkL6GQC3xDpTiqkNvkN2D2QpU3RPKeK0gSWVNq+W1hRNs6blvHrTb1rOe3Hb/SuCWV4wsj&#10;UYv9t2VyjKFxVultv9pG0dLbYn9ByykahOnipmMKLcssVHq5GhCvtv5+r6VxzD6ajRuDLsfbkmi6&#10;IuCGYGBjXN3uyPlf7cgR4FdJx9KS19NOsSdnW0vuGzrHhcBShoxVqNmzIZYVeWdryFtDvm4zpmOK&#10;Qy/WcyH18GKX5DewsSpZAtnYAGWb+14r972JfYKmPrO0Soq5qPn1rc2Sb2sEmEy2Mkt9oJ1bswTC&#10;3veW1T0UCpdEgwoK979f3NAxNVA2qYZtQWljr+LkcJOTa1F5Qxup94BKYZ/2j0RTOKgh8do7KWw3&#10;0PbRfLLR2scb3tJ/a5G4hghy66HaLvmDbft6e5nbbSYQThc+pFGuWtHRhnDe+YualVpVu9PRAtlW&#10;X5fsAYrSVcNnb7KOpz/RE9/V1c9luW35WeLh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4JAABbQ29udGVudF9UeXBlc10ueG1sUEsBAhQACgAA&#10;AAAAh07iQAAAAAAAAAAAAAAAAAYAAAAAAAAAAAAQAAAAIAgAAF9yZWxzL1BLAQIUABQAAAAIAIdO&#10;4kCKFGY80QAAAJQBAAALAAAAAAAAAAEAIAAAAEQIAABfcmVscy8ucmVsc1BLAQIUAAoAAAAAAIdO&#10;4kAAAAAAAAAAAAAAAAAEAAAAAAAAAAAAEAAAAAAAAABkcnMvUEsBAhQAFAAAAAgAh07iQLOmHZ3a&#10;AAAACQEAAA8AAAAAAAAAAQAgAAAAIgAAAGRycy9kb3ducmV2LnhtbFBLAQIUABQAAAAIAIdO4kBn&#10;8DCwywYAAN44AAAOAAAAAAAAAAEAIAAAACkBAABkcnMvZTJvRG9jLnhtbFBLBQYAAAAABgAGAFkB&#10;AABmCgAAAAA=&#10;">
                      <o:lock v:ext="edit" aspectratio="f"/>
                      <v:rect id="_x0000_s1026" o:spid="_x0000_s1026" o:spt="1" style="position:absolute;left:9343;top:3105;height:690;width:1380;v-text-anchor:middle;" fillcolor="#8FAADC [1940]" filled="t" stroked="t" coordsize="21600,21600" o:gfxdata="UEsDBAoAAAAAAIdO4kAAAAAAAAAAAAAAAAAEAAAAZHJzL1BLAwQUAAAACACHTuJAQmDZELkAAADb&#10;AAAADwAAAGRycy9kb3ducmV2LnhtbEVPzWoCMRC+F3yHMIKXUpMVKWU1CoqCll66+gDDZtwsbiZL&#10;Eld9e3Mo9Pjx/S/XD9eJgUJsPWsopgoEce1Ny42G82n/8QUiJmSDnWfS8KQI69XobYml8Xf+paFK&#10;jcghHEvUYFPqSyljbclhnPqeOHMXHxymDEMjTcB7DnednCn1KR22nBss9rS1VF+rm9PQPd9Puw19&#10;q9CSnQ8/t+JcHQutJ+NCLUAkeqR/8Z/7YDTM89j8Jf8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g2RC5AAAA2wAA&#10;AA8AAAAAAAAAAQAgAAAAIgAAAGRycy9kb3ducmV2LnhtbFBLAQIUABQAAAAIAIdO4kAzLwWeOwAA&#10;ADkAAAAQAAAAAAAAAAEAIAAAAAgBAABkcnMvc2hhcGV4bWwueG1sUEsFBgAAAAAGAAYAWwEAALID&#10;AAAAAA==&#10;">
                        <v:fill on="t" focussize="0,0"/>
                        <v:stroke weight="1pt" color="#2F5597 [2404]" miterlimit="8" joinstyle="miter"/>
                        <v:imagedata o:title=""/>
                        <o:lock v:ext="edit" aspectratio="f"/>
                      </v:rect>
                      <v:rect id="_x0000_s1026" o:spid="_x0000_s1026" o:spt="1" style="position:absolute;left:11308;top:3120;height:690;width:1380;v-text-anchor:middle;" fillcolor="#8FAADC [1940]" filled="t" stroked="t" coordsize="21600,21600" o:gfxdata="UEsDBAoAAAAAAIdO4kAAAAAAAAAAAAAAAAAEAAAAZHJzL1BLAwQUAAAACACHTuJALSx8i7wAAADb&#10;AAAADwAAAGRycy9kb3ducmV2LnhtbEWP0WoCMRRE3wv9h3AFX0pNVqS0q1FoqaDSl65+wGVz3Sxu&#10;bpYkrvr3plDwcZiZM8xidXWdGCjE1rOGYqJAENfetNxoOOzXr+8gYkI22HkmDTeKsFo+Py2wNP7C&#10;vzRUqREZwrFEDTalvpQy1pYcxonvibN39MFhyjI00gS8ZLjr5FSpN+mw5bxgsacvS/WpOjsN3e1l&#10;//1JOxVasrPh51wcqm2h9XhUqDmIRNf0CP+3N0bD7AP+vuQf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sfIu8AAAA&#10;2wAAAA8AAAAAAAAAAQAgAAAAIgAAAGRycy9kb3ducmV2LnhtbFBLAQIUABQAAAAIAIdO4kAzLwWe&#10;OwAAADkAAAAQAAAAAAAAAAEAIAAAAAsBAABkcnMvc2hhcGV4bWwueG1sUEsFBgAAAAAGAAYAWwEA&#10;ALUDAAAAAA==&#10;">
                        <v:fill on="t" focussize="0,0"/>
                        <v:stroke weight="1pt" color="#2F5597 [2404]" miterlimit="8" joinstyle="miter"/>
                        <v:imagedata o:title=""/>
                        <o:lock v:ext="edit" aspectratio="f"/>
                      </v:rect>
                      <v:rect id="_x0000_s1026" o:spid="_x0000_s1026" o:spt="1" style="position:absolute;left:13363;top:3135;height:690;width:1380;v-text-anchor:middle;" fillcolor="#8FAADC [1940]" filled="t" stroked="t" coordsize="21600,21600" o:gfxdata="UEsDBAoAAAAAAIdO4kAAAAAAAAAAAAAAAAAEAAAAZHJzL1BLAwQUAAAACACHTuJAOc9Dy7kAAADb&#10;AAAADwAAAGRycy9kb3ducmV2LnhtbEVPzWoCMRC+F3yHMAUvUpOVKmU1CpYKWnpx9QGGzbhZupks&#10;SVz17c2h0OPH97/a3F0nBgqx9ayhmCoQxLU3LTcazqfd2weImJANdp5Jw4MibNajlxWWxt/4SEOV&#10;GpFDOJaowabUl1LG2pLDOPU9ceYuPjhMGYZGmoC3HO46OVNqIR22nBss9vRpqf6trk5D95icvrb0&#10;rUJL9n34uRbn6lBoPX4t1BJEonv6F/+590bDPK/PX/IPkO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nPQ8u5AAAA2wAA&#10;AA8AAAAAAAAAAQAgAAAAIgAAAGRycy9kb3ducmV2LnhtbFBLAQIUABQAAAAIAIdO4kAzLwWeOwAA&#10;ADkAAAAQAAAAAAAAAAEAIAAAAAgBAABkcnMvc2hhcGV4bWwueG1sUEsFBgAAAAAGAAYAWwEAALID&#10;AAAAAA==&#10;">
                        <v:fill on="t" focussize="0,0"/>
                        <v:stroke weight="1pt" color="#2F5597 [2404]" miterlimit="8" joinstyle="miter"/>
                        <v:imagedata o:title=""/>
                        <o:lock v:ext="edit" aspectratio="f"/>
                      </v:rect>
                      <v:shape id="文本框 10" o:spid="_x0000_s1026" o:spt="202" type="#_x0000_t202" style="position:absolute;left:9358;top:3255;height:435;width:1365;" filled="f" stroked="f" coordsize="21600,21600" o:gfxdata="UEsDBAoAAAAAAIdO4kAAAAAAAAAAAAAAAAAEAAAAZHJzL1BLAwQUAAAACACHTuJAiqEbSb4AAADb&#10;AAAADwAAAGRycy9kb3ducmV2LnhtbEWPS4vCQBCE74L/YWjBm04MuCvRUSQgiqwHHxdvbaZNgpme&#10;mBlf++t3hAWPRVV9RU1mT1OJOzWutKxg0I9AEGdWl5wrOOwXvREI55E1VpZJwYsczKbt1gQTbR+8&#10;pfvO5yJA2CWooPC+TqR0WUEGXd/WxME728agD7LJpW7wEeCmknEUfUmDJYeFAmtKC8ouu5tRsE4X&#10;G9yeYjP6rdLlz3leXw/HoVLdziAag/D09J/wf3ulFcTf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EbS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E428DCD">
                              <w:pPr>
                                <w:jc w:val="center"/>
                                <w:rPr>
                                  <w:rFonts w:hint="default" w:eastAsiaTheme="minorEastAsia"/>
                                  <w:lang w:val="en-US" w:eastAsia="zh-CN"/>
                                </w:rPr>
                              </w:pPr>
                              <w:r>
                                <w:rPr>
                                  <w:rFonts w:hint="eastAsia"/>
                                  <w:lang w:val="en-US" w:eastAsia="zh-CN"/>
                                </w:rPr>
                                <w:t>液氮储罐</w:t>
                              </w:r>
                            </w:p>
                          </w:txbxContent>
                        </v:textbox>
                      </v:shape>
                      <v:shape id="文本框 11" o:spid="_x0000_s1026" o:spt="202" type="#_x0000_t202" style="position:absolute;left:11353;top:3105;height:735;width:1395;" filled="f" stroked="f" coordsize="21600,21600" o:gfxdata="UEsDBAoAAAAAAIdO4kAAAAAAAAAAAAAAAAAEAAAAZHJzL1BLAwQUAAAACACHTuJA+z6PO7oAAADb&#10;AAAADwAAAGRycy9kb3ducmV2LnhtbEVPy4rCMBTdD/gP4QruxtSCItVUpCAziLPwsXF3bW4f2NzU&#10;Jr7m681CcHk47/niYRpxo87VlhWMhhEI4tzqmksFh/3qewrCeWSNjWVS8CQHi7T3NcdE2ztv6bbz&#10;pQgh7BJUUHnfJlK6vCKDbmhb4sAVtjPoA+xKqTu8h3DTyDiKJtJgzaGhwpayivLz7moUrLPVH25P&#10;sZn+N9nPpli2l8NxrNSgP4pmIDw9/Ef8dv9qBXE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Po87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31990BAA">
                              <w:pPr>
                                <w:jc w:val="center"/>
                                <w:rPr>
                                  <w:rFonts w:hint="default" w:eastAsiaTheme="minorEastAsia"/>
                                  <w:lang w:val="en-US" w:eastAsia="zh-CN"/>
                                </w:rPr>
                              </w:pPr>
                              <w:r>
                                <w:rPr>
                                  <w:rFonts w:hint="eastAsia"/>
                                  <w:lang w:val="en-US" w:eastAsia="zh-CN"/>
                                </w:rPr>
                                <w:t>水浴复热器汽化器</w:t>
                              </w:r>
                            </w:p>
                          </w:txbxContent>
                        </v:textbox>
                      </v:shape>
                      <v:shape id="文本框 12" o:spid="_x0000_s1026" o:spt="202" type="#_x0000_t202" style="position:absolute;left:13408;top:3225;height:435;width:1365;" filled="f" stroked="f" coordsize="21600,21600" o:gfxdata="UEsDBAoAAAAAAIdO4kAAAAAAAAAAAAAAAAAEAAAAZHJzL1BLAwQUAAAACACHTuJAlHIqoL8AAADb&#10;AAAADwAAAGRycy9kb3ducmV2LnhtbEWPQWvCQBSE7wX/w/IKvdWNgRaNrlICYin2kJhLb6/ZZxLM&#10;vo3Z1cT++m6h4HGYmW+Y1WY0rbhS7xrLCmbTCARxaXXDlYLisH2eg3AeWWNrmRTcyMFmPXlYYaLt&#10;wBldc1+JAGGXoILa+y6R0pU1GXRT2xEH72h7gz7IvpK6xyHATSvjKHqVBhsOCzV2lNZUnvKLUfCR&#10;bj8x+47N/KdNd/vjW3cuvl6UenqcRUsQnkZ/D/+337WCeAF/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yKq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A2F96AD">
                              <w:pPr>
                                <w:jc w:val="center"/>
                                <w:rPr>
                                  <w:rFonts w:hint="default" w:eastAsiaTheme="minorEastAsia"/>
                                  <w:lang w:val="en-US" w:eastAsia="zh-CN"/>
                                </w:rPr>
                              </w:pPr>
                              <w:r>
                                <w:rPr>
                                  <w:rFonts w:hint="eastAsia"/>
                                  <w:lang w:val="en-US" w:eastAsia="zh-CN"/>
                                </w:rPr>
                                <w:t>用气设备</w:t>
                              </w:r>
                            </w:p>
                          </w:txbxContent>
                        </v:textbox>
                      </v:shape>
                      <v:shape id="右箭头 14" o:spid="_x0000_s1026" o:spt="13" type="#_x0000_t13" style="position:absolute;left:10738;top:3421;height:120;width:555;v-text-anchor:middle;" fillcolor="#4472C4 [3204]" filled="t" stroked="t" coordsize="21600,21600" o:gfxdata="UEsDBAoAAAAAAIdO4kAAAAAAAAAAAAAAAAAEAAAAZHJzL1BLAwQUAAAACACHTuJAd9d0/LoAAADb&#10;AAAADwAAAGRycy9kb3ducmV2LnhtbEVPy4rCMBTdC/MP4Q64EU11wJFqKoyizEZEOwuX1+ZOW9rc&#10;hCa+/t4sBJeH814s76YVV+p8bVnBeJSAIC6srrlU8JdvhjMQPiBrbC2Tggd5WGYfvQWm2t74QNdj&#10;KEUMYZ+igioEl0rpi4oM+pF1xJH7t53BEGFXSt3hLYabVk6SZCoN1hwbKnS0qqhojhej4KfeuvNp&#10;pr/d3nGOg0a363ynVP9znMxBBLqHt/jl/tUKvuL6+CX+AJk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13T8ugAAANsA&#10;AAAPAAAAAAAAAAEAIAAAACIAAABkcnMvZG93bnJldi54bWxQSwECFAAUAAAACACHTuJAMy8FnjsA&#10;AAA5AAAAEAAAAAAAAAABACAAAAAJAQAAZHJzL3NoYXBleG1sLnhtbFBLBQYAAAAABgAGAFsBAACz&#10;AwAAAAA=&#10;" adj="19265,5400">
                        <v:fill on="t" focussize="0,0"/>
                        <v:stroke weight="1pt" color="#2F5597 [2404]" miterlimit="8" joinstyle="miter"/>
                        <v:imagedata o:title=""/>
                        <o:lock v:ext="edit" aspectratio="f"/>
                      </v:shape>
                      <v:shape id="右箭头 15" o:spid="_x0000_s1026" o:spt="13" type="#_x0000_t13" style="position:absolute;left:12748;top:3391;height:120;width:555;v-text-anchor:middle;" fillcolor="#4472C4 [3204]" filled="t" stroked="t" coordsize="21600,21600" o:gfxdata="UEsDBAoAAAAAAIdO4kAAAAAAAAAAAAAAAAAEAAAAZHJzL1BLAwQUAAAACACHTuJAGJvRZ70AAADb&#10;AAAADwAAAGRycy9kb3ducmV2LnhtbEWPT4vCMBTE7wt+h/AEL6JpXVCpRkEXxYssWg8en82zLTYv&#10;ocn659tvhIU9DjPzG2a+fJpG3Kn1tWUF6TABQVxYXXOp4JRvBlMQPiBrbCyTghd5WC46H3PMtH3w&#10;ge7HUIoIYZ+hgioEl0npi4oM+qF1xNG72tZgiLItpW7xEeGmkaMkGUuDNceFCh2tKypuxx+jYFVv&#10;3eU81RP37TjH/k03X/leqV43TWYgAj3Df/ivvdMKPlN4f4k/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m9FnvQAA&#10;ANsAAAAPAAAAAAAAAAEAIAAAACIAAABkcnMvZG93bnJldi54bWxQSwECFAAUAAAACACHTuJAMy8F&#10;njsAAAA5AAAAEAAAAAAAAAABACAAAAAMAQAAZHJzL3NoYXBleG1sLnhtbFBLBQYAAAAABgAGAFsB&#10;AAC2AwAAAAA=&#10;" adj="19265,5400">
                        <v:fill on="t" focussize="0,0"/>
                        <v:stroke weight="1pt" color="#2F5597 [2404]" miterlimit="8" joinstyle="miter"/>
                        <v:imagedata o:title=""/>
                        <o:lock v:ext="edit" aspectratio="f"/>
                      </v:shape>
                      <v:shape id="直接箭头连接符 18" o:spid="_x0000_s1026" o:spt="32" type="#_x0000_t32" style="position:absolute;left:13018;top:2670;flip:y;height:691;width:0;" filled="f" stroked="t" coordsize="21600,21600" o:gfxdata="UEsDBAoAAAAAAIdO4kAAAAAAAAAAAAAAAAAEAAAAZHJzL1BLAwQUAAAACACHTuJAY640W70AAADb&#10;AAAADwAAAGRycy9kb3ducmV2LnhtbEWPT2vCQBTE70K/w/IK3pqNiqVN3Yh/S/VWK3h9zb4ki9m3&#10;IbtG++27hYLHYWZ+w8zmN9uInjpvHCsYJSkI4sJpw5WC49f26QWED8gaG8ek4Ic8zPOHwQwz7a78&#10;Sf0hVCJC2GeooA6hzaT0RU0WfeJa4uiVrrMYouwqqTu8Rrht5DhNn6VFw3GhxpZWNRXnw8Uq0Pq8&#10;mepF+b6rXk/7PiwNfa+NUsPHUfoGItAt3MP/7Q+tYDKGvy/xB8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rjRbvQAA&#10;ANsAAAAPAAAAAAAAAAEAIAAAACIAAABkcnMvZG93bnJldi54bWxQSwECFAAUAAAACACHTuJAMy8F&#10;njsAAAA5AAAAEAAAAAAAAAABACAAAAAMAQAAZHJzL3NoYXBleG1sLnhtbFBLBQYAAAAABgAGAFsB&#10;AAC2AwAAAAA=&#10;">
                        <v:fill on="f" focussize="0,0"/>
                        <v:stroke weight="1pt" color="#4472C4 [3204]" miterlimit="8" joinstyle="miter" dashstyle="dash" endarrow="open"/>
                        <v:imagedata o:title=""/>
                        <o:lock v:ext="edit" aspectratio="f"/>
                      </v:shape>
                      <v:shape id="直接箭头连接符 19" o:spid="_x0000_s1026" o:spt="32" type="#_x0000_t32" style="position:absolute;left:11908;top:2520;flip:y;height:691;width:0;" filled="f" stroked="t" coordsize="21600,21600" o:gfxdata="UEsDBAoAAAAAAIdO4kAAAAAAAAAAAAAAAAAEAAAAZHJzL1BLAwQUAAAACACHTuJADOKRwL0AAADb&#10;AAAADwAAAGRycy9kb3ducmV2LnhtbEWPW2sCMRSE3wv+h3AE3zSr0qKrUby0YvvmBXw9bo67wc3J&#10;sklX/femIPRxmJlvmOn8bkvRUO2NYwX9XgKCOHPacK7gePjqjkD4gKyxdEwKHuRhPmu9TTHV7sY7&#10;avYhFxHCPkUFRQhVKqXPCrLoe64ijt7F1RZDlHUudY23CLelHCTJh7RoOC4UWNGqoOy6/7UKtL5+&#10;vuvFZfOdj08/TVgaOq+NUp12P5mACHQP/+FXe6sVDIfw9yX+AD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4pHAvQAA&#10;ANsAAAAPAAAAAAAAAAEAIAAAACIAAABkcnMvZG93bnJldi54bWxQSwECFAAUAAAACACHTuJAMy8F&#10;njsAAAA5AAAAEAAAAAAAAAABACAAAAAMAQAAZHJzL3NoYXBleG1sLnhtbFBLBQYAAAAABgAGAFsB&#10;AAC2AwAAAAA=&#10;">
                        <v:fill on="f" focussize="0,0"/>
                        <v:stroke weight="1pt" color="#4472C4 [3204]" miterlimit="8" joinstyle="miter" dashstyle="dash" endarrow="open"/>
                        <v:imagedata o:title=""/>
                        <o:lock v:ext="edit" aspectratio="f"/>
                      </v:shape>
                      <v:group id="组合 2" o:spid="_x0000_s1026" o:spt="203" style="position:absolute;left:7180;top:2247;height:1664;width:2295;" coordorigin="5308,2265" coordsize="2295,1664"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rect id="矩形 1" o:spid="_x0000_s1026" o:spt="1" style="position:absolute;left:5428;top:3135;height:690;width:1380;v-text-anchor:middle;" fillcolor="#8FAADC [1940]" filled="t" stroked="t" coordsize="21600,21600" o:gfxdata="UEsDBAoAAAAAAIdO4kAAAAAAAAAAAAAAAAAEAAAAZHJzL1BLAwQUAAAACACHTuJA9GcF870AAADb&#10;AAAADwAAAGRycy9kb3ducmV2LnhtbEWP3WoCMRSE7wt9h3AEb0pN1v5QtkahpUIt3rj6AIfN6WZx&#10;c7IkcdW3N4Lg5TAz3zCzxcl1YqAQW88aiokCQVx703KjYbddPn+AiAnZYOeZNJwpwmL++DDD0vgj&#10;b2ioUiMyhGOJGmxKfSllrC05jBPfE2fv3weHKcvQSBPwmOGuk1Ol3qXDlvOCxZ6+LdX76uA0dOen&#10;7c8X/anQkn0d1odiV60KrcejQn2CSHRK9/Ct/Ws0vLzB9Uv+AXJ+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ZwXzvQAA&#10;ANsAAAAPAAAAAAAAAAEAIAAAACIAAABkcnMvZG93bnJldi54bWxQSwECFAAUAAAACACHTuJAMy8F&#10;njsAAAA5AAAAEAAAAAAAAAABACAAAAAMAQAAZHJzL3NoYXBleG1sLnhtbFBLBQYAAAAABgAGAFsB&#10;AAC2AwAAAAA=&#10;">
                          <v:fill on="t" focussize="0,0"/>
                          <v:stroke weight="1pt" color="#2F5597 [2404]" miterlimit="8" joinstyle="miter"/>
                          <v:imagedata o:title=""/>
                          <o:lock v:ext="edit" aspectratio="f"/>
                        </v:rect>
                        <v:shape id="文本框 6" o:spid="_x0000_s1026" o:spt="202" type="#_x0000_t202" style="position:absolute;left:5308;top:3255;height:435;width:1680;" filled="f" stroked="f" coordsize="21600,21600" o:gfxdata="UEsDBAoAAAAAAIdO4kAAAAAAAAAAAAAAAAAEAAAAZHJzL1BLAwQUAAAACACHTuJAYDQoD78AAADb&#10;AAAADwAAAGRycy9kb3ducmV2LnhtbEWPQWvCQBSE7wX/w/IEb3UTS0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0K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B0606EF">
                                <w:pPr>
                                  <w:jc w:val="both"/>
                                  <w:rPr>
                                    <w:rFonts w:hint="eastAsia" w:eastAsiaTheme="minorEastAsia"/>
                                    <w:lang w:val="en-US" w:eastAsia="zh-CN"/>
                                  </w:rPr>
                                </w:pPr>
                                <w:r>
                                  <w:rPr>
                                    <w:rFonts w:hint="eastAsia"/>
                                    <w:lang w:val="en-US" w:eastAsia="zh-CN"/>
                                  </w:rPr>
                                  <w:t>低温液体槽车</w:t>
                                </w:r>
                              </w:p>
                            </w:txbxContent>
                          </v:textbox>
                        </v:shape>
                        <v:shape id="右箭头 7" o:spid="_x0000_s1026" o:spt="13" type="#_x0000_t13" style="position:absolute;left:6838;top:3421;height:120;width:555;v-text-anchor:middle;" fillcolor="#4472C4 [3204]" filled="t" stroked="t" coordsize="21600,21600" o:gfxdata="UEsDBAoAAAAAAIdO4kAAAAAAAAAAAAAAAAAEAAAAZHJzL1BLAwQUAAAACACHTuJA+D7siLwAAADb&#10;AAAADwAAAGRycy9kb3ducmV2LnhtbEWPT4vCMBTE7wt+h/AEL4umurBKNQoqyl5k0Xrw+GyebbF5&#10;CU389+2NIHgcZuY3zGR2N7W4UuMrywr6vQQEcW51xYWCfbbqjkD4gKyxtkwKHuRhNm19TTDV9sZb&#10;uu5CISKEfYoKyhBcKqXPSzLoe9YRR+9kG4MhyqaQusFbhJtaDpLkVxqsOC6U6GhRUn7eXYyCebV2&#10;x8NID92/4wy/z7peZhulOu1+MgYR6B4+4Xf7Tyv4GcLrS/wBcv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7Ii8AAAA&#10;2wAAAA8AAAAAAAAAAQAgAAAAIgAAAGRycy9kb3ducmV2LnhtbFBLAQIUABQAAAAIAIdO4kAzLwWe&#10;OwAAADkAAAAQAAAAAAAAAAEAIAAAAAsBAABkcnMvc2hhcGV4bWwueG1sUEsFBgAAAAAGAAYAWwEA&#10;ALUDAAAAAA==&#10;" adj="19265,5400">
                          <v:fill on="t" focussize="0,0"/>
                          <v:stroke weight="1pt" color="#2F5597 [2404]" miterlimit="8" joinstyle="miter"/>
                          <v:imagedata o:title=""/>
                          <o:lock v:ext="edit" aspectratio="f"/>
                        </v:shape>
                        <v:shape id="文本框 8" o:spid="_x0000_s1026" o:spt="202" type="#_x0000_t202" style="position:absolute;left:6748;top:3495;height:435;width:811;"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16149FCA">
                                <w:pPr>
                                  <w:jc w:val="center"/>
                                  <w:rPr>
                                    <w:rFonts w:hint="default" w:eastAsiaTheme="minorEastAsia"/>
                                    <w:lang w:val="en-US" w:eastAsia="zh-CN"/>
                                  </w:rPr>
                                </w:pPr>
                                <w:r>
                                  <w:rPr>
                                    <w:rFonts w:hint="eastAsia"/>
                                    <w:lang w:val="en-US" w:eastAsia="zh-CN"/>
                                  </w:rPr>
                                  <w:t>卸车</w:t>
                                </w:r>
                              </w:p>
                            </w:txbxContent>
                          </v:textbox>
                        </v:shape>
                        <v:shape id="直接箭头连接符 16" o:spid="_x0000_s1026" o:spt="32" type="#_x0000_t32" style="position:absolute;left:7123;top:2745;flip:y;height:691;width:0;" filled="f" stroked="t" coordsize="21600,21600" o:gfxdata="UEsDBAoAAAAAAIdO4kAAAAAAAAAAAAAAAAAEAAAAZHJzL1BLAwQUAAAACACHTuJAbQqmKr0AAADb&#10;AAAADwAAAGRycy9kb3ducmV2LnhtbEWPQWvCQBSE74L/YXlCb7rRYmliVtG2luqttuD1mX1JFrNv&#10;Q3Yb7b/vFgSPw8x8w+Srq21ET503jhVMJwkI4sJpw5WC76/t+BmED8gaG8ek4Jc8rJbDQY6Zdhf+&#10;pP4QKhEh7DNUUIfQZlL6oiaLfuJa4uiVrrMYouwqqTu8RLht5CxJnqRFw3GhxpZeairOhx+rQOvz&#10;21yvy/ddlR73fdgYOr0apR5G02QBItA13MO39odW8JjC/5f4A+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CqYqvQAA&#10;ANsAAAAPAAAAAAAAAAEAIAAAACIAAABkcnMvZG93bnJldi54bWxQSwECFAAUAAAACACHTuJAMy8F&#10;njsAAAA5AAAAEAAAAAAAAAABACAAAAAMAQAAZHJzL3NoYXBleG1sLnhtbFBLBQYAAAAABgAGAFsB&#10;AAC2AwAAAAA=&#10;">
                          <v:fill on="f" focussize="0,0"/>
                          <v:stroke weight="1pt" color="#4472C4 [3204]" miterlimit="8" joinstyle="miter" dashstyle="dash" endarrow="open"/>
                          <v:imagedata o:title=""/>
                          <o:lock v:ext="edit" aspectratio="f"/>
                        </v:shape>
                        <v:shape id="文本框 20" o:spid="_x0000_s1026" o:spt="202" type="#_x0000_t202" style="position:absolute;left:6613;top:2265;height:435;width:991;" filled="f" stroked="f" coordsize="21600,21600" o:gfxdata="UEsDBAoAAAAAAIdO4kAAAAAAAAAAAAAAAAAEAAAAZHJzL1BLAwQUAAAACACHTuJA2JdmnbsAAADb&#10;AAAADwAAAGRycy9kb3ducmV2LnhtbEVPy4rCMBTdC/MP4Qqz09Qy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dmnb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6F9DC38B">
                                <w:pPr>
                                  <w:jc w:val="center"/>
                                  <w:rPr>
                                    <w:rFonts w:hint="default" w:eastAsiaTheme="minorEastAsia"/>
                                    <w:b/>
                                    <w:bCs/>
                                    <w:lang w:val="en-US" w:eastAsia="zh-CN"/>
                                  </w:rPr>
                                </w:pPr>
                                <w:r>
                                  <w:rPr>
                                    <w:rFonts w:hint="eastAsia"/>
                                    <w:b/>
                                    <w:bCs/>
                                    <w:lang w:val="en-US" w:eastAsia="zh-CN"/>
                                  </w:rPr>
                                  <w:t>G、N</w:t>
                                </w:r>
                              </w:p>
                              <w:p w14:paraId="674B0BE4">
                                <w:pPr>
                                  <w:jc w:val="center"/>
                                  <w:rPr>
                                    <w:rFonts w:hint="default" w:eastAsiaTheme="minorEastAsia"/>
                                    <w:b/>
                                    <w:bCs/>
                                    <w:lang w:val="en-US" w:eastAsia="zh-CN"/>
                                  </w:rPr>
                                </w:pPr>
                              </w:p>
                            </w:txbxContent>
                          </v:textbox>
                        </v:shape>
                      </v:group>
                      <v:shape id="文本框 21" o:spid="_x0000_s1026" o:spt="202" type="#_x0000_t202" style="position:absolute;left:12508;top:2220;height:435;width:991;" filled="f" stroked="f" coordsize="21600,21600" o:gfxdata="UEsDBAoAAAAAAIdO4kAAAAAAAAAAAAAAAAAEAAAAZHJzL1BLAwQUAAAACACHTuJAt9vDBr4AAADb&#10;AAAADwAAAGRycy9kb3ducmV2LnhtbEWPS4vCQBCE74L/YWjBm04iKp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vDB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4A41CECF">
                              <w:pPr>
                                <w:jc w:val="center"/>
                                <w:rPr>
                                  <w:rFonts w:hint="default" w:eastAsiaTheme="minorEastAsia"/>
                                  <w:b/>
                                  <w:bCs/>
                                  <w:lang w:val="en-US" w:eastAsia="zh-CN"/>
                                </w:rPr>
                              </w:pPr>
                              <w:r>
                                <w:rPr>
                                  <w:rFonts w:hint="eastAsia"/>
                                  <w:b/>
                                  <w:bCs/>
                                  <w:lang w:val="en-US" w:eastAsia="zh-CN"/>
                                </w:rPr>
                                <w:t>G、N</w:t>
                              </w:r>
                            </w:p>
                            <w:p w14:paraId="70FCAAEC">
                              <w:pPr>
                                <w:jc w:val="center"/>
                                <w:rPr>
                                  <w:rFonts w:hint="default" w:eastAsiaTheme="minorEastAsia"/>
                                  <w:b/>
                                  <w:bCs/>
                                  <w:lang w:val="en-US" w:eastAsia="zh-CN"/>
                                </w:rPr>
                              </w:pPr>
                            </w:p>
                          </w:txbxContent>
                        </v:textbox>
                      </v:shape>
                      <v:shape id="文本框 22" o:spid="_x0000_s1026" o:spt="202" type="#_x0000_t202" style="position:absolute;left:11473;top:2040;height:435;width:991;" filled="f" stroked="f" coordsize="21600,21600" o:gfxdata="UEsDBAoAAAAAAIdO4kAAAAAAAAAAAAAAAAAEAAAAZHJzL1BLAwQUAAAACACHTuJARwldcb4AAADb&#10;AAAADwAAAGRycy9kb3ducmV2LnhtbEWPS4vCQBCE74L/YWjBm04M7i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c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7DE5F3F">
                              <w:pPr>
                                <w:jc w:val="center"/>
                                <w:rPr>
                                  <w:rFonts w:hint="default" w:eastAsiaTheme="minorEastAsia"/>
                                  <w:b/>
                                  <w:bCs/>
                                  <w:lang w:val="en-US" w:eastAsia="zh-CN"/>
                                </w:rPr>
                              </w:pPr>
                              <w:r>
                                <w:rPr>
                                  <w:rFonts w:hint="eastAsia"/>
                                  <w:b/>
                                  <w:bCs/>
                                  <w:lang w:val="en-US" w:eastAsia="zh-CN"/>
                                </w:rPr>
                                <w:t>N</w:t>
                              </w:r>
                            </w:p>
                          </w:txbxContent>
                        </v:textbox>
                      </v:shape>
                      <v:shape id="_x0000_s1026" o:spid="_x0000_s1026" o:spt="202" type="#_x0000_t202" style="position:absolute;left:11653;top:4095;height:465;width:3090;" filled="f" stroked="f" coordsize="21600,21600" o:gfxdata="UEsDBAoAAAAAAIdO4kAAAAAAAAAAAAAAAAAEAAAAZHJzL1BLAwQUAAAACACHTuJAODJbcr8AAADb&#10;AAAADwAAAGRycy9kb3ducmV2LnhtbEWPQWvCQBSE7wX/w/IEb3UTaU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yW3K/&#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AD5754E">
                              <w:pPr>
                                <w:rPr>
                                  <w:rFonts w:hint="default" w:eastAsiaTheme="minorEastAsia"/>
                                  <w:lang w:val="en-US" w:eastAsia="zh-CN"/>
                                </w:rPr>
                              </w:pPr>
                              <w:r>
                                <w:rPr>
                                  <w:rFonts w:hint="eastAsia"/>
                                  <w:lang w:val="en-US" w:eastAsia="zh-CN"/>
                                </w:rPr>
                                <w:t>图例：G废气N噪声</w:t>
                              </w:r>
                            </w:p>
                          </w:txbxContent>
                        </v:textbox>
                      </v:shape>
                      <w10:wrap type="topAndBottom"/>
                    </v:group>
                  </w:pict>
                </mc:Fallback>
              </mc:AlternateContent>
            </w:r>
            <w:r>
              <w:rPr>
                <w:rFonts w:hint="eastAsia" w:ascii="Times New Roman" w:hAnsi="Times New Roman" w:eastAsia="宋体" w:cs="Times New Roman"/>
                <w:b/>
                <w:color w:val="auto"/>
                <w:sz w:val="24"/>
                <w:szCs w:val="24"/>
                <w:highlight w:val="none"/>
              </w:rPr>
              <w:t>图2</w:t>
            </w:r>
            <w:r>
              <w:rPr>
                <w:rFonts w:hint="default" w:ascii="Times New Roman" w:hAnsi="Times New Roman" w:eastAsia="宋体" w:cs="Times New Roman"/>
                <w:b/>
                <w:color w:val="auto"/>
                <w:sz w:val="24"/>
                <w:szCs w:val="24"/>
                <w:highlight w:val="none"/>
              </w:rPr>
              <w:t>-</w:t>
            </w:r>
            <w:r>
              <w:rPr>
                <w:rFonts w:hint="eastAsia"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b/>
                <w:color w:val="auto"/>
                <w:sz w:val="24"/>
                <w:szCs w:val="24"/>
                <w:highlight w:val="none"/>
              </w:rPr>
              <w:t>项目运营期生产工艺流程及排污节点图</w:t>
            </w:r>
          </w:p>
          <w:p w14:paraId="592C8DDB">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运营期主要污染工序如下表所示：</w:t>
            </w:r>
          </w:p>
          <w:p w14:paraId="284ECA6D">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表2-11  项目运营期污染因素分析表</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1"/>
              <w:gridCol w:w="994"/>
              <w:gridCol w:w="886"/>
              <w:gridCol w:w="1086"/>
              <w:gridCol w:w="5346"/>
            </w:tblGrid>
            <w:tr w14:paraId="0205A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84" w:type="pct"/>
                  <w:noWrap w:val="0"/>
                  <w:vAlign w:val="center"/>
                </w:tcPr>
                <w:p w14:paraId="2D518E32">
                  <w:pPr>
                    <w:keepNext w:val="0"/>
                    <w:keepLines w:val="0"/>
                    <w:widowControl/>
                    <w:suppressLineNumbers w:val="0"/>
                    <w:snapToGrid w:val="0"/>
                    <w:spacing w:before="0" w:beforeAutospacing="0" w:after="0" w:afterAutospacing="0" w:line="240" w:lineRule="exact"/>
                    <w:ind w:left="-105" w:leftChars="-50" w:right="-105" w:rightChars="-5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时段</w:t>
                  </w:r>
                </w:p>
              </w:tc>
              <w:tc>
                <w:tcPr>
                  <w:tcW w:w="540" w:type="pct"/>
                  <w:noWrap w:val="0"/>
                  <w:vAlign w:val="center"/>
                </w:tcPr>
                <w:p w14:paraId="36D2E33A">
                  <w:pPr>
                    <w:keepNext w:val="0"/>
                    <w:keepLines w:val="0"/>
                    <w:widowControl/>
                    <w:suppressLineNumbers w:val="0"/>
                    <w:snapToGrid w:val="0"/>
                    <w:spacing w:before="0" w:beforeAutospacing="0" w:after="0" w:afterAutospacing="0" w:line="240" w:lineRule="exact"/>
                    <w:ind w:left="-105" w:leftChars="-50" w:right="-105" w:rightChars="-5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污染类别</w:t>
                  </w:r>
                </w:p>
              </w:tc>
              <w:tc>
                <w:tcPr>
                  <w:tcW w:w="481" w:type="pct"/>
                  <w:noWrap w:val="0"/>
                  <w:vAlign w:val="center"/>
                </w:tcPr>
                <w:p w14:paraId="7304420D">
                  <w:pPr>
                    <w:keepNext w:val="0"/>
                    <w:keepLines w:val="0"/>
                    <w:widowControl/>
                    <w:suppressLineNumbers w:val="0"/>
                    <w:snapToGrid w:val="0"/>
                    <w:spacing w:before="0" w:beforeAutospacing="0" w:after="0" w:afterAutospacing="0" w:line="240" w:lineRule="exact"/>
                    <w:ind w:left="0" w:right="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污染物</w:t>
                  </w:r>
                </w:p>
              </w:tc>
              <w:tc>
                <w:tcPr>
                  <w:tcW w:w="590" w:type="pct"/>
                  <w:noWrap w:val="0"/>
                  <w:vAlign w:val="center"/>
                </w:tcPr>
                <w:p w14:paraId="6A61795D">
                  <w:pPr>
                    <w:keepNext w:val="0"/>
                    <w:keepLines w:val="0"/>
                    <w:widowControl/>
                    <w:suppressLineNumbers w:val="0"/>
                    <w:snapToGrid w:val="0"/>
                    <w:spacing w:before="0" w:beforeAutospacing="0" w:after="0" w:afterAutospacing="0" w:line="240" w:lineRule="exact"/>
                    <w:ind w:left="0" w:right="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产污工序</w:t>
                  </w:r>
                </w:p>
              </w:tc>
              <w:tc>
                <w:tcPr>
                  <w:tcW w:w="2904" w:type="pct"/>
                  <w:noWrap w:val="0"/>
                  <w:vAlign w:val="center"/>
                </w:tcPr>
                <w:p w14:paraId="59158FD9">
                  <w:pPr>
                    <w:keepNext w:val="0"/>
                    <w:keepLines w:val="0"/>
                    <w:widowControl/>
                    <w:suppressLineNumbers w:val="0"/>
                    <w:snapToGrid w:val="0"/>
                    <w:spacing w:before="0" w:beforeAutospacing="0" w:after="0" w:afterAutospacing="0" w:line="240" w:lineRule="exact"/>
                    <w:ind w:left="0" w:right="0"/>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治理措施</w:t>
                  </w:r>
                </w:p>
              </w:tc>
            </w:tr>
            <w:tr w14:paraId="0D1BF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2" w:hRule="atLeast"/>
                <w:jc w:val="center"/>
              </w:trPr>
              <w:tc>
                <w:tcPr>
                  <w:tcW w:w="484" w:type="pct"/>
                  <w:noWrap w:val="0"/>
                  <w:vAlign w:val="center"/>
                </w:tcPr>
                <w:p w14:paraId="6C9E9B8A">
                  <w:pPr>
                    <w:keepNext w:val="0"/>
                    <w:keepLines w:val="0"/>
                    <w:suppressLineNumbers w:val="0"/>
                    <w:snapToGrid w:val="0"/>
                    <w:spacing w:before="0" w:beforeAutospacing="0" w:after="0" w:afterAutospacing="0" w:line="2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运营</w:t>
                  </w:r>
                </w:p>
                <w:p w14:paraId="3966F953">
                  <w:pPr>
                    <w:keepNext w:val="0"/>
                    <w:keepLines w:val="0"/>
                    <w:suppressLineNumbers w:val="0"/>
                    <w:snapToGrid w:val="0"/>
                    <w:spacing w:before="0" w:beforeAutospacing="0" w:after="0" w:afterAutospacing="0" w:line="2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期</w:t>
                  </w:r>
                </w:p>
              </w:tc>
              <w:tc>
                <w:tcPr>
                  <w:tcW w:w="540" w:type="pct"/>
                  <w:noWrap w:val="0"/>
                  <w:vAlign w:val="center"/>
                </w:tcPr>
                <w:p w14:paraId="028636EA">
                  <w:pPr>
                    <w:keepNext w:val="0"/>
                    <w:keepLines w:val="0"/>
                    <w:suppressLineNumbers w:val="0"/>
                    <w:snapToGrid w:val="0"/>
                    <w:spacing w:before="0" w:beforeAutospacing="0" w:after="0" w:afterAutospacing="0" w:line="2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废气</w:t>
                  </w:r>
                </w:p>
              </w:tc>
              <w:tc>
                <w:tcPr>
                  <w:tcW w:w="481" w:type="pct"/>
                  <w:noWrap w:val="0"/>
                  <w:vAlign w:val="center"/>
                </w:tcPr>
                <w:p w14:paraId="769A1F47">
                  <w:pPr>
                    <w:keepNext w:val="0"/>
                    <w:keepLines w:val="0"/>
                    <w:suppressLineNumbers w:val="0"/>
                    <w:snapToGrid w:val="0"/>
                    <w:spacing w:before="0" w:beforeAutospacing="0" w:after="0" w:afterAutospacing="0" w:line="2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590" w:type="pct"/>
                  <w:noWrap w:val="0"/>
                  <w:vAlign w:val="center"/>
                </w:tcPr>
                <w:p w14:paraId="63E6409C">
                  <w:pPr>
                    <w:keepNext w:val="0"/>
                    <w:keepLines w:val="0"/>
                    <w:suppressLineNumbers w:val="0"/>
                    <w:snapToGrid w:val="0"/>
                    <w:spacing w:before="0" w:beforeAutospacing="0" w:after="0" w:afterAutospacing="0" w:line="2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气体</w:t>
                  </w:r>
                  <w:r>
                    <w:rPr>
                      <w:rFonts w:hint="eastAsia" w:ascii="宋体" w:hAnsi="宋体" w:eastAsia="宋体" w:cs="宋体"/>
                      <w:color w:val="auto"/>
                      <w:szCs w:val="21"/>
                      <w:highlight w:val="none"/>
                    </w:rPr>
                    <w:t>充装</w:t>
                  </w:r>
                </w:p>
                <w:p w14:paraId="01C16DD3">
                  <w:pPr>
                    <w:keepNext w:val="0"/>
                    <w:keepLines w:val="0"/>
                    <w:suppressLineNumbers w:val="0"/>
                    <w:snapToGrid w:val="0"/>
                    <w:spacing w:before="0" w:beforeAutospacing="0" w:after="0" w:afterAutospacing="0" w:line="240" w:lineRule="exact"/>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接头</w:t>
                  </w:r>
                </w:p>
              </w:tc>
              <w:tc>
                <w:tcPr>
                  <w:tcW w:w="2904" w:type="pct"/>
                  <w:noWrap w:val="0"/>
                  <w:vAlign w:val="center"/>
                </w:tcPr>
                <w:p w14:paraId="0D8ADEBF">
                  <w:pPr>
                    <w:pStyle w:val="72"/>
                    <w:adjustRightInd w:val="0"/>
                    <w:snapToGrid w:val="0"/>
                    <w:spacing w:before="24" w:after="24" w:line="240" w:lineRule="exact"/>
                    <w:ind w:firstLine="0" w:firstLineChars="0"/>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本项目储罐充装过程中少量氮气无组织排放，氮气为空气中原有成分，不属于大气污染物。通过采取加强生产管理减少无组织排放，对环境影响较小。</w:t>
                  </w:r>
                </w:p>
              </w:tc>
            </w:tr>
          </w:tbl>
          <w:p w14:paraId="38EB6412">
            <w:pPr>
              <w:keepNext w:val="0"/>
              <w:keepLines w:val="0"/>
              <w:suppressLineNumbers w:val="0"/>
              <w:spacing w:before="0" w:beforeAutospacing="0" w:after="0" w:afterAutospacing="0" w:line="440" w:lineRule="exact"/>
              <w:ind w:left="0" w:right="0" w:firstLine="482" w:firstLineChars="200"/>
              <w:jc w:val="center"/>
              <w:rPr>
                <w:rFonts w:hint="default" w:ascii="Times New Roman" w:hAnsi="Times New Roman" w:eastAsia="宋体" w:cs="Times New Roman"/>
                <w:b/>
                <w:color w:val="auto"/>
                <w:sz w:val="24"/>
                <w:szCs w:val="24"/>
                <w:highlight w:val="none"/>
              </w:rPr>
            </w:pPr>
          </w:p>
        </w:tc>
      </w:tr>
      <w:tr w14:paraId="281A2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04" w:type="dxa"/>
            <w:vAlign w:val="center"/>
          </w:tcPr>
          <w:p w14:paraId="4752D909">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与项目有关的原有环境污染问题</w:t>
            </w:r>
          </w:p>
        </w:tc>
        <w:tc>
          <w:tcPr>
            <w:tcW w:w="8505" w:type="dxa"/>
          </w:tcPr>
          <w:p w14:paraId="2A7CD58D">
            <w:pPr>
              <w:keepNext w:val="0"/>
              <w:keepLines w:val="0"/>
              <w:suppressLineNumbers w:val="0"/>
              <w:spacing w:before="0" w:beforeAutospacing="0" w:after="0" w:afterAutospacing="0" w:line="440" w:lineRule="exact"/>
              <w:ind w:left="0" w:right="0" w:firstLine="482" w:firstLineChars="200"/>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1、现有工程环保手续履行情况</w:t>
            </w:r>
          </w:p>
          <w:p w14:paraId="7674F8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巴彦淖尔华油天然气有限责任公司</w:t>
            </w:r>
            <w:r>
              <w:rPr>
                <w:rFonts w:hint="eastAsia" w:ascii="Times New Roman" w:hAnsi="Times New Roman" w:eastAsia="宋体" w:cs="Times New Roman"/>
                <w:color w:val="auto"/>
                <w:sz w:val="24"/>
                <w:szCs w:val="24"/>
                <w:highlight w:val="none"/>
                <w:lang w:val="en-US" w:eastAsia="zh-CN"/>
              </w:rPr>
              <w:t>现有磴口县30×10</w:t>
            </w:r>
            <w:r>
              <w:rPr>
                <w:rFonts w:hint="eastAsia" w:ascii="Times New Roman" w:hAnsi="Times New Roman" w:eastAsia="宋体" w:cs="Times New Roman"/>
                <w:color w:val="auto"/>
                <w:sz w:val="24"/>
                <w:szCs w:val="24"/>
                <w:highlight w:val="none"/>
                <w:vertAlign w:val="superscript"/>
                <w:lang w:val="en-US" w:eastAsia="zh-CN"/>
              </w:rPr>
              <w:t>4</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/d液化天然气项目</w:t>
            </w:r>
            <w:r>
              <w:rPr>
                <w:rFonts w:hint="eastAsia" w:ascii="Times New Roman" w:hAnsi="Times New Roman" w:eastAsia="宋体" w:cs="Times New Roman"/>
                <w:color w:val="auto"/>
                <w:sz w:val="24"/>
                <w:szCs w:val="24"/>
                <w:highlight w:val="none"/>
              </w:rPr>
              <w:t>于2</w:t>
            </w:r>
            <w:r>
              <w:rPr>
                <w:rFonts w:hint="default" w:ascii="Times New Roman" w:hAnsi="Times New Roman" w:eastAsia="宋体" w:cs="Times New Roman"/>
                <w:color w:val="auto"/>
                <w:sz w:val="24"/>
                <w:szCs w:val="24"/>
                <w:highlight w:val="none"/>
              </w:rPr>
              <w:t>0</w:t>
            </w:r>
            <w:r>
              <w:rPr>
                <w:rFonts w:hint="eastAsia" w:ascii="Times New Roman" w:hAnsi="Times New Roman" w:eastAsia="宋体"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rPr>
              <w:t>9</w:t>
            </w:r>
            <w:r>
              <w:rPr>
                <w:rFonts w:hint="eastAsia"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9</w:t>
            </w:r>
            <w:r>
              <w:rPr>
                <w:rFonts w:hint="eastAsia" w:ascii="Times New Roman" w:hAnsi="Times New Roman" w:eastAsia="宋体" w:cs="Times New Roman"/>
                <w:color w:val="auto"/>
                <w:sz w:val="24"/>
                <w:szCs w:val="24"/>
                <w:highlight w:val="none"/>
              </w:rPr>
              <w:t>月委托</w:t>
            </w:r>
            <w:r>
              <w:rPr>
                <w:rFonts w:hint="eastAsia" w:ascii="Times New Roman" w:hAnsi="Times New Roman" w:eastAsia="宋体" w:cs="Times New Roman"/>
                <w:color w:val="auto"/>
                <w:sz w:val="24"/>
                <w:szCs w:val="24"/>
                <w:highlight w:val="none"/>
                <w:lang w:val="en-US" w:eastAsia="zh-CN"/>
              </w:rPr>
              <w:t>巴彦淖尔市环境科学研究院</w:t>
            </w:r>
            <w:r>
              <w:rPr>
                <w:rFonts w:hint="eastAsia" w:ascii="Times New Roman" w:hAnsi="Times New Roman" w:eastAsia="宋体" w:cs="Times New Roman"/>
                <w:color w:val="auto"/>
                <w:sz w:val="24"/>
                <w:szCs w:val="24"/>
                <w:highlight w:val="none"/>
              </w:rPr>
              <w:t>编制了《</w:t>
            </w:r>
            <w:r>
              <w:rPr>
                <w:rFonts w:hint="eastAsia" w:ascii="Times New Roman" w:hAnsi="Times New Roman" w:eastAsia="宋体" w:cs="Times New Roman"/>
                <w:color w:val="auto"/>
                <w:sz w:val="24"/>
                <w:szCs w:val="24"/>
                <w:highlight w:val="none"/>
                <w:lang w:val="en-US" w:eastAsia="zh-CN"/>
              </w:rPr>
              <w:t>磴口县30×10</w:t>
            </w:r>
            <w:r>
              <w:rPr>
                <w:rFonts w:hint="eastAsia" w:ascii="Times New Roman" w:hAnsi="Times New Roman" w:eastAsia="宋体" w:cs="Times New Roman"/>
                <w:color w:val="auto"/>
                <w:sz w:val="24"/>
                <w:szCs w:val="24"/>
                <w:highlight w:val="none"/>
                <w:vertAlign w:val="superscript"/>
                <w:lang w:val="en-US" w:eastAsia="zh-CN"/>
              </w:rPr>
              <w:t>4</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/d液化天然气项目</w:t>
            </w:r>
            <w:r>
              <w:rPr>
                <w:rFonts w:hint="eastAsia" w:ascii="Times New Roman" w:hAnsi="Times New Roman" w:eastAsia="宋体" w:cs="Times New Roman"/>
                <w:color w:val="auto"/>
                <w:sz w:val="24"/>
                <w:szCs w:val="24"/>
                <w:highlight w:val="none"/>
              </w:rPr>
              <w:t>环境影响报告表》，同年</w:t>
            </w:r>
            <w:r>
              <w:rPr>
                <w:rFonts w:hint="eastAsia" w:ascii="Times New Roman" w:hAnsi="Times New Roman" w:eastAsia="宋体" w:cs="Times New Roman"/>
                <w:color w:val="auto"/>
                <w:sz w:val="24"/>
                <w:szCs w:val="24"/>
                <w:highlight w:val="none"/>
                <w:lang w:val="en-US" w:eastAsia="zh-CN"/>
              </w:rPr>
              <w:t>11</w:t>
            </w:r>
            <w:r>
              <w:rPr>
                <w:rFonts w:hint="eastAsia"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rPr>
              <w:t>日取得了</w:t>
            </w:r>
            <w:r>
              <w:rPr>
                <w:rFonts w:hint="eastAsia" w:ascii="Times New Roman" w:hAnsi="Times New Roman" w:eastAsia="宋体" w:cs="Times New Roman"/>
                <w:color w:val="auto"/>
                <w:sz w:val="24"/>
                <w:szCs w:val="24"/>
                <w:highlight w:val="none"/>
                <w:lang w:val="en-US" w:eastAsia="zh-CN"/>
              </w:rPr>
              <w:t>原巴彦淖尔市环境保护局</w:t>
            </w:r>
            <w:r>
              <w:rPr>
                <w:rFonts w:hint="eastAsia" w:ascii="Times New Roman" w:hAnsi="Times New Roman" w:eastAsia="宋体" w:cs="Times New Roman"/>
                <w:color w:val="auto"/>
                <w:sz w:val="24"/>
                <w:szCs w:val="24"/>
                <w:highlight w:val="none"/>
              </w:rPr>
              <w:t>出具的《</w:t>
            </w:r>
            <w:r>
              <w:rPr>
                <w:rFonts w:hint="eastAsia" w:ascii="Times New Roman" w:hAnsi="Times New Roman" w:eastAsia="宋体" w:cs="Times New Roman"/>
                <w:color w:val="auto"/>
                <w:sz w:val="24"/>
                <w:szCs w:val="24"/>
                <w:highlight w:val="none"/>
                <w:lang w:val="en-US" w:eastAsia="zh-CN"/>
              </w:rPr>
              <w:t>审批意见</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巴环审表〔2009〕104号</w:t>
            </w:r>
            <w:r>
              <w:rPr>
                <w:rFonts w:hint="eastAsia" w:ascii="Times New Roman" w:hAnsi="Times New Roman" w:eastAsia="宋体" w:cs="Times New Roman"/>
                <w:color w:val="auto"/>
                <w:sz w:val="24"/>
                <w:szCs w:val="24"/>
                <w:highlight w:val="none"/>
              </w:rPr>
              <w:t>），项目建成投产后，建设单位委托</w:t>
            </w:r>
            <w:r>
              <w:rPr>
                <w:rFonts w:hint="eastAsia" w:ascii="Times New Roman" w:hAnsi="Times New Roman" w:eastAsia="宋体" w:cs="Times New Roman"/>
                <w:color w:val="auto"/>
                <w:sz w:val="24"/>
                <w:szCs w:val="24"/>
                <w:highlight w:val="none"/>
                <w:lang w:val="en-US" w:eastAsia="zh-CN"/>
              </w:rPr>
              <w:t>磴口县环境保护监测站</w:t>
            </w:r>
            <w:r>
              <w:rPr>
                <w:rFonts w:hint="eastAsia" w:ascii="Times New Roman" w:hAnsi="Times New Roman" w:eastAsia="宋体" w:cs="Times New Roman"/>
                <w:color w:val="auto"/>
                <w:sz w:val="24"/>
                <w:szCs w:val="24"/>
                <w:highlight w:val="none"/>
              </w:rPr>
              <w:t>于</w:t>
            </w:r>
            <w:r>
              <w:rPr>
                <w:rFonts w:hint="eastAsia" w:ascii="Times New Roman" w:hAnsi="Times New Roman" w:eastAsia="宋体" w:cs="Times New Roman"/>
                <w:color w:val="auto"/>
                <w:sz w:val="24"/>
                <w:szCs w:val="24"/>
                <w:highlight w:val="none"/>
                <w:lang w:val="en-US" w:eastAsia="zh-CN"/>
              </w:rPr>
              <w:t>2011</w:t>
            </w:r>
            <w:r>
              <w:rPr>
                <w:rFonts w:hint="eastAsia"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13</w:t>
            </w:r>
            <w:r>
              <w:rPr>
                <w:rFonts w:hint="eastAsia" w:ascii="Times New Roman" w:hAnsi="Times New Roman" w:eastAsia="宋体" w:cs="Times New Roman"/>
                <w:color w:val="auto"/>
                <w:sz w:val="24"/>
                <w:szCs w:val="24"/>
                <w:highlight w:val="none"/>
              </w:rPr>
              <w:t>日</w:t>
            </w:r>
            <w:r>
              <w:rPr>
                <w:rFonts w:hint="eastAsia" w:ascii="Times New Roman" w:hAnsi="Times New Roman" w:eastAsia="宋体" w:cs="Times New Roman"/>
                <w:color w:val="auto"/>
                <w:sz w:val="24"/>
                <w:szCs w:val="24"/>
                <w:highlight w:val="none"/>
                <w:lang w:val="en-US" w:eastAsia="zh-CN"/>
              </w:rPr>
              <w:t>编制了《磴口县30×10</w:t>
            </w:r>
            <w:r>
              <w:rPr>
                <w:rFonts w:hint="eastAsia" w:ascii="Times New Roman" w:hAnsi="Times New Roman" w:eastAsia="宋体" w:cs="Times New Roman"/>
                <w:color w:val="auto"/>
                <w:sz w:val="24"/>
                <w:szCs w:val="24"/>
                <w:highlight w:val="none"/>
                <w:vertAlign w:val="superscript"/>
                <w:lang w:val="en-US" w:eastAsia="zh-CN"/>
              </w:rPr>
              <w:t>4</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/d液化天然气项目建设项目竣工环境保护验收监测表》，同年2011年12月12日取得了原巴彦淖尔市环保局《关于磴口县30×10</w:t>
            </w:r>
            <w:r>
              <w:rPr>
                <w:rFonts w:hint="eastAsia" w:ascii="Times New Roman" w:hAnsi="Times New Roman" w:eastAsia="宋体" w:cs="Times New Roman"/>
                <w:color w:val="auto"/>
                <w:sz w:val="24"/>
                <w:szCs w:val="24"/>
                <w:highlight w:val="none"/>
                <w:vertAlign w:val="superscript"/>
                <w:lang w:val="en-US" w:eastAsia="zh-CN"/>
              </w:rPr>
              <w:t>4</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/d液化天然气项目竣工环境保护验收意见》（巴环验〔2011〕56号）；建设单位于2020年5月27日</w:t>
            </w:r>
            <w:r>
              <w:rPr>
                <w:rFonts w:hint="eastAsia" w:ascii="Times New Roman" w:hAnsi="Times New Roman" w:eastAsia="宋体" w:cs="Times New Roman"/>
                <w:color w:val="auto"/>
                <w:sz w:val="24"/>
                <w:szCs w:val="24"/>
                <w:highlight w:val="none"/>
              </w:rPr>
              <w:t>办理了排污登记证（登记编号：</w:t>
            </w:r>
            <w:r>
              <w:rPr>
                <w:rFonts w:hint="eastAsia" w:ascii="Times New Roman" w:hAnsi="Times New Roman" w:eastAsia="宋体" w:cs="Times New Roman"/>
                <w:color w:val="auto"/>
                <w:sz w:val="24"/>
                <w:szCs w:val="24"/>
                <w:highlight w:val="none"/>
                <w:lang w:val="en-US" w:eastAsia="zh-CN"/>
              </w:rPr>
              <w:t>91150822692866226M001X</w:t>
            </w:r>
            <w:r>
              <w:rPr>
                <w:rFonts w:hint="eastAsia" w:ascii="Times New Roman" w:hAnsi="Times New Roman" w:eastAsia="宋体" w:cs="Times New Roman"/>
                <w:color w:val="auto"/>
                <w:sz w:val="24"/>
                <w:szCs w:val="24"/>
                <w:highlight w:val="none"/>
              </w:rPr>
              <w:t>）。</w:t>
            </w:r>
          </w:p>
          <w:p w14:paraId="19BA110D">
            <w:pPr>
              <w:keepNext w:val="0"/>
              <w:keepLines w:val="0"/>
              <w:suppressLineNumbers w:val="0"/>
              <w:spacing w:before="0" w:beforeAutospacing="0" w:after="0" w:afterAutospacing="0" w:line="440" w:lineRule="exact"/>
              <w:ind w:left="0" w:right="0" w:firstLine="482" w:firstLineChars="20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w:t>
            </w:r>
            <w:r>
              <w:rPr>
                <w:rFonts w:hint="eastAsia" w:ascii="Times New Roman" w:hAnsi="Times New Roman" w:eastAsia="宋体" w:cs="Times New Roman"/>
                <w:b/>
                <w:color w:val="auto"/>
                <w:sz w:val="24"/>
                <w:szCs w:val="24"/>
                <w:highlight w:val="none"/>
              </w:rPr>
              <w:t>、现有工程污染物排放情况</w:t>
            </w:r>
          </w:p>
          <w:p w14:paraId="0279C70E">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（1）废气</w:t>
            </w:r>
          </w:p>
          <w:p w14:paraId="4C21610A">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根据2025年1月11日例行监测数据可知</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天然气加热炉</w:t>
            </w:r>
            <w:r>
              <w:rPr>
                <w:rFonts w:hint="eastAsia" w:ascii="Times New Roman" w:hAnsi="Times New Roman" w:eastAsia="宋体" w:cs="Times New Roman"/>
                <w:color w:val="auto"/>
                <w:sz w:val="24"/>
                <w:szCs w:val="24"/>
                <w:highlight w:val="none"/>
              </w:rPr>
              <w:t>二氧化硫排放浓度</w:t>
            </w:r>
            <w:r>
              <w:rPr>
                <w:rFonts w:hint="eastAsia" w:ascii="Times New Roman" w:hAnsi="Times New Roman" w:eastAsia="宋体" w:cs="Times New Roman"/>
                <w:color w:val="auto"/>
                <w:sz w:val="24"/>
                <w:szCs w:val="24"/>
                <w:highlight w:val="none"/>
                <w:lang w:val="en-US" w:eastAsia="zh-CN"/>
              </w:rPr>
              <w:t>22—26</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；氮氧化物排放浓度为</w:t>
            </w:r>
            <w:r>
              <w:rPr>
                <w:rFonts w:hint="eastAsia" w:ascii="Times New Roman" w:hAnsi="Times New Roman" w:eastAsia="宋体" w:cs="Times New Roman"/>
                <w:color w:val="auto"/>
                <w:sz w:val="24"/>
                <w:szCs w:val="24"/>
                <w:highlight w:val="none"/>
                <w:lang w:val="en-US" w:eastAsia="zh-CN"/>
              </w:rPr>
              <w:t>24—28</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；颗粒物排放浓度为</w:t>
            </w:r>
            <w:r>
              <w:rPr>
                <w:rFonts w:hint="eastAsia" w:ascii="Times New Roman" w:hAnsi="Times New Roman" w:eastAsia="宋体" w:cs="Times New Roman"/>
                <w:color w:val="auto"/>
                <w:sz w:val="24"/>
                <w:szCs w:val="24"/>
                <w:highlight w:val="none"/>
                <w:lang w:val="en-US" w:eastAsia="zh-CN"/>
              </w:rPr>
              <w:t>3.8—4.2</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；烟气黑度</w:t>
            </w:r>
            <w:r>
              <w:rPr>
                <w:rFonts w:hint="default" w:ascii="Times New Roman" w:hAnsi="Times New Roman" w:eastAsia="宋体" w:cs="Times New Roman"/>
                <w:color w:val="auto"/>
                <w:sz w:val="24"/>
                <w:szCs w:val="24"/>
                <w:highlight w:val="none"/>
              </w:rPr>
              <w:t>&lt;1</w:t>
            </w:r>
            <w:r>
              <w:rPr>
                <w:rFonts w:hint="eastAsia" w:ascii="Times New Roman" w:hAnsi="Times New Roman" w:eastAsia="宋体" w:cs="Times New Roman"/>
                <w:color w:val="auto"/>
                <w:sz w:val="24"/>
                <w:szCs w:val="24"/>
                <w:highlight w:val="none"/>
              </w:rPr>
              <w:t>级。锅炉烟囱二氧化硫、氮氧化物、颗粒物、汞及其化合物排放浓度及烟气黑度（林格曼黑度）均符合《锅炉大气污染物排放标准》（</w:t>
            </w:r>
            <w:r>
              <w:rPr>
                <w:rFonts w:hint="default" w:ascii="Times New Roman" w:hAnsi="Times New Roman" w:eastAsia="宋体" w:cs="Times New Roman"/>
                <w:color w:val="auto"/>
                <w:sz w:val="24"/>
                <w:szCs w:val="24"/>
                <w:highlight w:val="none"/>
              </w:rPr>
              <w:t>GB1321-2014</w:t>
            </w:r>
            <w:r>
              <w:rPr>
                <w:rFonts w:hint="eastAsia"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中新建燃煤锅炉排放标准排放限值。</w:t>
            </w:r>
          </w:p>
          <w:p w14:paraId="001D1D73">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（2）废水</w:t>
            </w:r>
          </w:p>
          <w:p w14:paraId="7E64EC06">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项目废水主要为员工生活污水。办公生活区设冲水厕所，生活污水经</w:t>
            </w:r>
            <w:r>
              <w:rPr>
                <w:rFonts w:hint="default"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rPr>
              <w:t>座化粪池</w:t>
            </w:r>
            <w:r>
              <w:rPr>
                <w:rFonts w:hint="eastAsia" w:ascii="Times New Roman" w:hAnsi="Times New Roman" w:eastAsia="宋体" w:cs="Times New Roman"/>
                <w:color w:val="auto"/>
                <w:sz w:val="24"/>
                <w:szCs w:val="24"/>
                <w:highlight w:val="none"/>
                <w:lang w:val="en-US" w:eastAsia="zh-CN"/>
              </w:rPr>
              <w:t>后</w:t>
            </w:r>
            <w:r>
              <w:rPr>
                <w:rFonts w:hint="eastAsia" w:ascii="Times New Roman" w:hAnsi="Times New Roman" w:eastAsia="宋体" w:cs="Times New Roman"/>
                <w:color w:val="auto"/>
                <w:sz w:val="24"/>
                <w:szCs w:val="24"/>
                <w:highlight w:val="none"/>
              </w:rPr>
              <w:t>排入园区污水管网。</w:t>
            </w:r>
          </w:p>
          <w:p w14:paraId="71F7615F">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2025年1月11日例行监测报告可知，</w:t>
            </w:r>
            <w:r>
              <w:rPr>
                <w:rFonts w:hint="eastAsia" w:ascii="Times New Roman" w:hAnsi="Times New Roman" w:eastAsia="宋体" w:cs="Times New Roman"/>
                <w:color w:val="auto"/>
                <w:sz w:val="24"/>
                <w:szCs w:val="24"/>
                <w:highlight w:val="none"/>
              </w:rPr>
              <w:t>厂区</w:t>
            </w:r>
            <w:r>
              <w:rPr>
                <w:rFonts w:hint="eastAsia" w:ascii="Times New Roman" w:hAnsi="Times New Roman" w:eastAsia="宋体" w:cs="Times New Roman"/>
                <w:color w:val="auto"/>
                <w:sz w:val="24"/>
                <w:szCs w:val="24"/>
                <w:highlight w:val="none"/>
                <w:lang w:val="en-US" w:eastAsia="zh-CN"/>
              </w:rPr>
              <w:t>软化水高盐水排口</w:t>
            </w:r>
            <w:r>
              <w:rPr>
                <w:rFonts w:hint="default" w:ascii="Times New Roman" w:hAnsi="Times New Roman" w:eastAsia="宋体" w:cs="Times New Roman"/>
                <w:color w:val="auto"/>
                <w:sz w:val="24"/>
                <w:szCs w:val="24"/>
                <w:highlight w:val="none"/>
              </w:rPr>
              <w:t>PH</w:t>
            </w:r>
            <w:r>
              <w:rPr>
                <w:rFonts w:hint="eastAsia" w:ascii="Times New Roman" w:hAnsi="Times New Roman" w:eastAsia="宋体" w:cs="Times New Roman"/>
                <w:color w:val="auto"/>
                <w:sz w:val="24"/>
                <w:szCs w:val="24"/>
                <w:highlight w:val="none"/>
                <w:lang w:val="en-US" w:eastAsia="zh-CN"/>
              </w:rPr>
              <w:t>为7.5（无纲量）</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全盐量为1840mg/L、溶解性总固体为1900mg/L、化学需氧量为49mg/L</w:t>
            </w:r>
            <w:r>
              <w:rPr>
                <w:rFonts w:hint="eastAsia" w:ascii="Times New Roman" w:hAnsi="Times New Roman" w:eastAsia="宋体" w:cs="Times New Roman"/>
                <w:color w:val="auto"/>
                <w:sz w:val="24"/>
                <w:szCs w:val="24"/>
                <w:highlight w:val="none"/>
              </w:rPr>
              <w:t>均符合《污水综合排放标准》</w:t>
            </w:r>
            <w:r>
              <w:rPr>
                <w:rFonts w:hint="default" w:ascii="Times New Roman" w:hAnsi="Times New Roman" w:eastAsia="宋体" w:cs="Times New Roman"/>
                <w:color w:val="auto"/>
                <w:sz w:val="24"/>
                <w:szCs w:val="24"/>
                <w:highlight w:val="none"/>
              </w:rPr>
              <w:t xml:space="preserve">GB8978-1996 </w:t>
            </w:r>
            <w:r>
              <w:rPr>
                <w:rFonts w:hint="eastAsia" w:ascii="Times New Roman" w:hAnsi="Times New Roman" w:eastAsia="宋体" w:cs="Times New Roman"/>
                <w:color w:val="auto"/>
                <w:sz w:val="24"/>
                <w:szCs w:val="24"/>
                <w:highlight w:val="none"/>
              </w:rPr>
              <w:t>中表</w:t>
            </w:r>
            <w:r>
              <w:rPr>
                <w:rFonts w:hint="default" w:ascii="Times New Roman" w:hAnsi="Times New Roman" w:eastAsia="宋体" w:cs="Times New Roman"/>
                <w:color w:val="auto"/>
                <w:sz w:val="24"/>
                <w:szCs w:val="24"/>
                <w:highlight w:val="none"/>
              </w:rPr>
              <w:t>4</w:t>
            </w:r>
            <w:r>
              <w:rPr>
                <w:rFonts w:hint="eastAsia" w:ascii="Times New Roman" w:hAnsi="Times New Roman" w:eastAsia="宋体" w:cs="Times New Roman"/>
                <w:color w:val="auto"/>
                <w:sz w:val="24"/>
                <w:szCs w:val="24"/>
                <w:highlight w:val="none"/>
                <w:lang w:val="en-US" w:eastAsia="zh-CN"/>
              </w:rPr>
              <w:t>三</w:t>
            </w:r>
            <w:r>
              <w:rPr>
                <w:rFonts w:hint="eastAsia" w:ascii="Times New Roman" w:hAnsi="Times New Roman" w:eastAsia="宋体" w:cs="Times New Roman"/>
                <w:color w:val="auto"/>
                <w:sz w:val="24"/>
                <w:szCs w:val="24"/>
                <w:highlight w:val="none"/>
              </w:rPr>
              <w:t>级标准。</w:t>
            </w:r>
            <w:r>
              <w:rPr>
                <w:rFonts w:hint="eastAsia" w:ascii="Times New Roman" w:hAnsi="Times New Roman" w:eastAsia="宋体" w:cs="Times New Roman"/>
                <w:color w:val="auto"/>
                <w:sz w:val="24"/>
                <w:szCs w:val="24"/>
                <w:highlight w:val="none"/>
                <w:lang w:val="en-US" w:eastAsia="zh-CN"/>
              </w:rPr>
              <w:t>废水排放量为2000t/a。</w:t>
            </w:r>
          </w:p>
          <w:p w14:paraId="73534641">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（3）噪声</w:t>
            </w:r>
          </w:p>
          <w:p w14:paraId="244F9092">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2025年3月9日监测结果可知，</w:t>
            </w:r>
            <w:r>
              <w:rPr>
                <w:rFonts w:hint="eastAsia" w:ascii="Times New Roman" w:hAnsi="Times New Roman" w:eastAsia="宋体" w:cs="Times New Roman"/>
                <w:color w:val="auto"/>
                <w:sz w:val="24"/>
                <w:szCs w:val="24"/>
                <w:highlight w:val="none"/>
              </w:rPr>
              <w:t>项目厂界噪声值昼间值为</w:t>
            </w:r>
            <w:r>
              <w:rPr>
                <w:rFonts w:hint="eastAsia" w:ascii="Times New Roman" w:hAnsi="Times New Roman" w:eastAsia="宋体" w:cs="Times New Roman"/>
                <w:color w:val="auto"/>
                <w:sz w:val="24"/>
                <w:szCs w:val="24"/>
                <w:highlight w:val="none"/>
                <w:lang w:val="en-US" w:eastAsia="zh-CN"/>
              </w:rPr>
              <w:t>51.8</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53.5</w:t>
            </w:r>
            <w:r>
              <w:rPr>
                <w:rFonts w:hint="default" w:ascii="Times New Roman" w:hAnsi="Times New Roman" w:eastAsia="宋体" w:cs="Times New Roman"/>
                <w:color w:val="auto"/>
                <w:sz w:val="24"/>
                <w:szCs w:val="24"/>
                <w:highlight w:val="none"/>
              </w:rPr>
              <w:t>dB(A)</w:t>
            </w:r>
            <w:r>
              <w:rPr>
                <w:rFonts w:hint="eastAsia" w:ascii="Times New Roman" w:hAnsi="Times New Roman" w:eastAsia="宋体" w:cs="Times New Roman"/>
                <w:color w:val="auto"/>
                <w:sz w:val="24"/>
                <w:szCs w:val="24"/>
                <w:highlight w:val="none"/>
              </w:rPr>
              <w:t>，夜间值为</w:t>
            </w:r>
            <w:r>
              <w:rPr>
                <w:rFonts w:hint="eastAsia" w:ascii="Times New Roman" w:hAnsi="Times New Roman" w:eastAsia="宋体" w:cs="Times New Roman"/>
                <w:color w:val="auto"/>
                <w:sz w:val="24"/>
                <w:szCs w:val="24"/>
                <w:highlight w:val="none"/>
                <w:lang w:val="en-US" w:eastAsia="zh-CN"/>
              </w:rPr>
              <w:t>43.6</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46.1</w:t>
            </w:r>
            <w:r>
              <w:rPr>
                <w:rFonts w:hint="default" w:ascii="Times New Roman" w:hAnsi="Times New Roman" w:eastAsia="宋体" w:cs="Times New Roman"/>
                <w:color w:val="auto"/>
                <w:sz w:val="24"/>
                <w:szCs w:val="24"/>
                <w:highlight w:val="none"/>
              </w:rPr>
              <w:t>dB(A)</w:t>
            </w:r>
            <w:r>
              <w:rPr>
                <w:rFonts w:hint="eastAsia" w:ascii="Times New Roman" w:hAnsi="Times New Roman" w:eastAsia="宋体" w:cs="Times New Roman"/>
                <w:color w:val="auto"/>
                <w:sz w:val="24"/>
                <w:szCs w:val="24"/>
                <w:highlight w:val="none"/>
              </w:rPr>
              <w:t>，均满足《工业企业厂界环境噪声排放标准》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GB12348-2008</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rPr>
              <w:t>类标准要求。</w:t>
            </w:r>
          </w:p>
          <w:p w14:paraId="7025E8DE">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（4）固废</w:t>
            </w:r>
          </w:p>
          <w:p w14:paraId="3478383A">
            <w:pPr>
              <w:keepNext w:val="0"/>
              <w:keepLines w:val="0"/>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现有工程产生的</w:t>
            </w:r>
            <w:r>
              <w:rPr>
                <w:rFonts w:hint="eastAsia" w:ascii="Times New Roman" w:hAnsi="Times New Roman" w:eastAsia="宋体" w:cs="Times New Roman"/>
                <w:color w:val="auto"/>
                <w:sz w:val="24"/>
                <w:szCs w:val="24"/>
                <w:highlight w:val="none"/>
                <w:lang w:val="en-US" w:eastAsia="zh-CN"/>
              </w:rPr>
              <w:t>废旧分子筛由厂家回收处置；废硅铝酸盐由厂家回收；</w:t>
            </w:r>
            <w:r>
              <w:rPr>
                <w:rFonts w:hint="eastAsia" w:ascii="Times New Roman" w:hAnsi="Times New Roman" w:eastAsia="宋体" w:cs="Times New Roman"/>
                <w:color w:val="auto"/>
                <w:sz w:val="24"/>
                <w:szCs w:val="24"/>
                <w:highlight w:val="none"/>
              </w:rPr>
              <w:t>生活垃圾集中收集后交</w:t>
            </w:r>
            <w:r>
              <w:rPr>
                <w:rFonts w:hint="eastAsia" w:ascii="Times New Roman" w:hAnsi="Times New Roman" w:eastAsia="宋体" w:cs="Times New Roman"/>
                <w:color w:val="auto"/>
                <w:sz w:val="24"/>
                <w:szCs w:val="24"/>
                <w:highlight w:val="none"/>
                <w:lang w:val="en-US" w:eastAsia="zh-CN"/>
              </w:rPr>
              <w:t>磴口县环卫部门</w:t>
            </w:r>
            <w:r>
              <w:rPr>
                <w:rFonts w:hint="eastAsia" w:ascii="Times New Roman" w:hAnsi="Times New Roman" w:eastAsia="宋体" w:cs="Times New Roman"/>
                <w:color w:val="auto"/>
                <w:sz w:val="24"/>
                <w:szCs w:val="24"/>
                <w:highlight w:val="none"/>
              </w:rPr>
              <w:t>处置</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废矿物油委托有资质的单位处置，不落地</w:t>
            </w:r>
            <w:r>
              <w:rPr>
                <w:rFonts w:hint="eastAsia" w:ascii="Times New Roman" w:hAnsi="Times New Roman" w:eastAsia="宋体" w:cs="Times New Roman"/>
                <w:color w:val="auto"/>
                <w:sz w:val="24"/>
                <w:szCs w:val="24"/>
                <w:highlight w:val="none"/>
              </w:rPr>
              <w:t>。</w:t>
            </w:r>
          </w:p>
          <w:p w14:paraId="5159DB24">
            <w:pPr>
              <w:keepNext w:val="0"/>
              <w:keepLines w:val="0"/>
              <w:numPr>
                <w:ilvl w:val="0"/>
                <w:numId w:val="7"/>
              </w:numPr>
              <w:suppressLineNumbers w:val="0"/>
              <w:spacing w:before="0" w:beforeAutospacing="0" w:after="0" w:afterAutospacing="0" w:line="440" w:lineRule="exact"/>
              <w:ind w:left="0" w:right="0"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环境风险</w:t>
            </w:r>
          </w:p>
          <w:p w14:paraId="6F2C0D96">
            <w:pPr>
              <w:keepNext w:val="0"/>
              <w:keepLines w:val="0"/>
              <w:numPr>
                <w:ilvl w:val="0"/>
                <w:numId w:val="0"/>
              </w:numPr>
              <w:suppressLineNumbers w:val="0"/>
              <w:spacing w:before="0" w:beforeAutospacing="0" w:after="0" w:afterAutospacing="0" w:line="440" w:lineRule="exact"/>
              <w:ind w:left="0" w:right="0" w:rightChars="0"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企业现有液氮储罐为10m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vertAlign w:val="baseline"/>
                <w:lang w:val="en-US" w:eastAsia="zh-CN"/>
              </w:rPr>
              <w:t>，该储罐地面采用水泥硬化的一般防渗，对地下水、土壤环境影响风险较小。</w:t>
            </w:r>
          </w:p>
          <w:p w14:paraId="37FAD7EF">
            <w:pPr>
              <w:keepNext w:val="0"/>
              <w:keepLines w:val="0"/>
              <w:suppressLineNumbers w:val="0"/>
              <w:spacing w:before="0" w:beforeAutospacing="0" w:after="0" w:afterAutospacing="0" w:line="440" w:lineRule="exact"/>
              <w:ind w:left="0" w:right="0" w:firstLine="482" w:firstLineChars="200"/>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3、现存主要环境问题及整改措施</w:t>
            </w:r>
          </w:p>
          <w:p w14:paraId="5A1AD127">
            <w:pPr>
              <w:keepNext w:val="0"/>
              <w:keepLines w:val="0"/>
              <w:suppressLineNumbers w:val="0"/>
              <w:spacing w:before="0" w:beforeAutospacing="0" w:after="0" w:afterAutospacing="0" w:line="440" w:lineRule="exact"/>
              <w:ind w:left="0" w:right="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 xml:space="preserve">   根据例行监测数据可知，企业原有项目无历史环境问题。</w:t>
            </w:r>
          </w:p>
        </w:tc>
      </w:tr>
    </w:tbl>
    <w:p w14:paraId="608BB3BF">
      <w:pPr>
        <w:jc w:val="center"/>
        <w:rPr>
          <w:rFonts w:ascii="Times New Roman" w:hAnsi="Times New Roman" w:eastAsia="宋体" w:cs="Times New Roman"/>
          <w:b/>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5E6D0CB">
      <w:pPr>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三、区域环境质量现状、环境保护目标及评价标准</w:t>
      </w:r>
    </w:p>
    <w:tbl>
      <w:tblPr>
        <w:tblStyle w:val="18"/>
        <w:tblW w:w="9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9198"/>
      </w:tblGrid>
      <w:tr w14:paraId="7F9C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14:paraId="3BD61C66">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区域环境质量现状</w:t>
            </w:r>
          </w:p>
        </w:tc>
        <w:tc>
          <w:tcPr>
            <w:tcW w:w="9198" w:type="dxa"/>
          </w:tcPr>
          <w:p w14:paraId="555278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1、环境空气</w:t>
            </w:r>
          </w:p>
          <w:p w14:paraId="362BE86D">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480"/>
              <w:jc w:val="both"/>
              <w:textAlignment w:val="auto"/>
              <w:rPr>
                <w:rFonts w:hint="default"/>
                <w:color w:val="auto"/>
              </w:rPr>
            </w:pPr>
            <w:r>
              <w:rPr>
                <w:rFonts w:hint="default"/>
                <w:color w:val="auto"/>
              </w:rPr>
              <w:t>项目选址位于</w:t>
            </w:r>
            <w:r>
              <w:rPr>
                <w:rFonts w:hint="eastAsia"/>
                <w:color w:val="auto"/>
                <w:szCs w:val="24"/>
              </w:rPr>
              <w:t>内蒙古巴彦淖尔市磴口县工业园区</w:t>
            </w:r>
            <w:r>
              <w:rPr>
                <w:rFonts w:hint="default"/>
                <w:color w:val="auto"/>
              </w:rPr>
              <w:t>，</w:t>
            </w:r>
            <w:r>
              <w:rPr>
                <w:rFonts w:hint="eastAsia"/>
                <w:color w:val="auto"/>
              </w:rPr>
              <w:t>本次评价引用《巴彦淖尔市生态环境质量状况公报》（2</w:t>
            </w:r>
            <w:r>
              <w:rPr>
                <w:rFonts w:hint="default"/>
                <w:color w:val="auto"/>
              </w:rPr>
              <w:t>023</w:t>
            </w:r>
            <w:r>
              <w:rPr>
                <w:rFonts w:hint="eastAsia"/>
                <w:color w:val="auto"/>
              </w:rPr>
              <w:t>年）中</w:t>
            </w:r>
            <w:r>
              <w:rPr>
                <w:rFonts w:hint="eastAsia"/>
                <w:color w:val="auto"/>
                <w:lang w:val="en-US" w:eastAsia="zh-CN"/>
              </w:rPr>
              <w:t>巴彦高勒镇</w:t>
            </w:r>
            <w:r>
              <w:rPr>
                <w:rFonts w:hint="eastAsia"/>
                <w:color w:val="auto"/>
              </w:rPr>
              <w:t>的相关统计结果。经统计，基本污染物年均浓度和相应百分位数24h平均或8h平均质量浓度见表</w:t>
            </w:r>
            <w:r>
              <w:rPr>
                <w:rFonts w:hint="default"/>
                <w:color w:val="auto"/>
              </w:rPr>
              <w:t>3-1。</w:t>
            </w:r>
          </w:p>
          <w:p w14:paraId="1FE7C2B1">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w:t>
            </w:r>
            <w:r>
              <w:rPr>
                <w:rFonts w:hint="default" w:ascii="Times New Roman" w:hAnsi="Times New Roman" w:eastAsia="宋体" w:cs="Times New Roman"/>
                <w:b/>
                <w:bCs/>
                <w:color w:val="auto"/>
                <w:sz w:val="21"/>
                <w:szCs w:val="21"/>
                <w:lang w:val="en-US" w:eastAsia="zh-CN"/>
              </w:rPr>
              <w:t xml:space="preserve">3-1    </w:t>
            </w:r>
            <w:r>
              <w:rPr>
                <w:rFonts w:hint="eastAsia" w:ascii="Times New Roman" w:hAnsi="Times New Roman" w:eastAsia="宋体" w:cs="Times New Roman"/>
                <w:b/>
                <w:bCs/>
                <w:color w:val="auto"/>
                <w:sz w:val="21"/>
                <w:szCs w:val="21"/>
                <w:lang w:val="en-US" w:eastAsia="zh-CN"/>
              </w:rPr>
              <w:t>基本污染物环境质量现状</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9"/>
              <w:gridCol w:w="2005"/>
              <w:gridCol w:w="1390"/>
              <w:gridCol w:w="1668"/>
              <w:gridCol w:w="1262"/>
              <w:gridCol w:w="1068"/>
            </w:tblGrid>
            <w:tr w14:paraId="18BB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pct"/>
                  <w:vAlign w:val="center"/>
                </w:tcPr>
                <w:p w14:paraId="339B6667">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污染物</w:t>
                  </w:r>
                </w:p>
              </w:tc>
              <w:tc>
                <w:tcPr>
                  <w:tcW w:w="1117" w:type="pct"/>
                  <w:vAlign w:val="center"/>
                </w:tcPr>
                <w:p w14:paraId="25FEDFBE">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评价指标</w:t>
                  </w:r>
                </w:p>
              </w:tc>
              <w:tc>
                <w:tcPr>
                  <w:tcW w:w="774" w:type="pct"/>
                  <w:vAlign w:val="center"/>
                </w:tcPr>
                <w:p w14:paraId="4919DF0C">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现状浓度（ug</w:t>
                  </w:r>
                  <w:r>
                    <w:rPr>
                      <w:rFonts w:hint="default" w:ascii="Times New Roman" w:hAnsi="Times New Roman" w:eastAsia="宋体" w:cs="Times New Roman"/>
                      <w:b/>
                      <w:bCs/>
                      <w:color w:val="auto"/>
                      <w:szCs w:val="21"/>
                    </w:rPr>
                    <w:t>/</w:t>
                  </w:r>
                  <w:r>
                    <w:rPr>
                      <w:rFonts w:hint="eastAsia" w:ascii="Times New Roman" w:hAnsi="Times New Roman" w:eastAsia="宋体" w:cs="Times New Roman"/>
                      <w:b/>
                      <w:bCs/>
                      <w:color w:val="auto"/>
                      <w:szCs w:val="21"/>
                    </w:rPr>
                    <w:t>m</w:t>
                  </w:r>
                  <w:r>
                    <w:rPr>
                      <w:rFonts w:hint="default" w:ascii="Times New Roman" w:hAnsi="Times New Roman" w:eastAsia="宋体" w:cs="Times New Roman"/>
                      <w:b/>
                      <w:bCs/>
                      <w:color w:val="auto"/>
                      <w:szCs w:val="21"/>
                      <w:vertAlign w:val="superscript"/>
                    </w:rPr>
                    <w:t>3</w:t>
                  </w:r>
                  <w:r>
                    <w:rPr>
                      <w:rFonts w:hint="eastAsia" w:ascii="Times New Roman" w:hAnsi="Times New Roman" w:eastAsia="宋体" w:cs="Times New Roman"/>
                      <w:b/>
                      <w:bCs/>
                      <w:color w:val="auto"/>
                      <w:szCs w:val="21"/>
                    </w:rPr>
                    <w:t>）</w:t>
                  </w:r>
                </w:p>
              </w:tc>
              <w:tc>
                <w:tcPr>
                  <w:tcW w:w="929" w:type="pct"/>
                  <w:vAlign w:val="center"/>
                </w:tcPr>
                <w:p w14:paraId="4E1329C1">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标准值（ug</w:t>
                  </w:r>
                  <w:r>
                    <w:rPr>
                      <w:rFonts w:hint="default" w:ascii="Times New Roman" w:hAnsi="Times New Roman" w:eastAsia="宋体" w:cs="Times New Roman"/>
                      <w:b/>
                      <w:bCs/>
                      <w:color w:val="auto"/>
                      <w:szCs w:val="21"/>
                    </w:rPr>
                    <w:t>/</w:t>
                  </w:r>
                  <w:r>
                    <w:rPr>
                      <w:rFonts w:hint="eastAsia" w:ascii="Times New Roman" w:hAnsi="Times New Roman" w:eastAsia="宋体" w:cs="Times New Roman"/>
                      <w:b/>
                      <w:bCs/>
                      <w:color w:val="auto"/>
                      <w:szCs w:val="21"/>
                    </w:rPr>
                    <w:t>m</w:t>
                  </w:r>
                  <w:r>
                    <w:rPr>
                      <w:rFonts w:hint="default" w:ascii="Times New Roman" w:hAnsi="Times New Roman" w:eastAsia="宋体" w:cs="Times New Roman"/>
                      <w:b/>
                      <w:bCs/>
                      <w:color w:val="auto"/>
                      <w:szCs w:val="21"/>
                      <w:vertAlign w:val="superscript"/>
                    </w:rPr>
                    <w:t>3</w:t>
                  </w:r>
                  <w:r>
                    <w:rPr>
                      <w:rFonts w:hint="eastAsia" w:ascii="Times New Roman" w:hAnsi="Times New Roman" w:eastAsia="宋体" w:cs="Times New Roman"/>
                      <w:b/>
                      <w:bCs/>
                      <w:color w:val="auto"/>
                      <w:szCs w:val="21"/>
                    </w:rPr>
                    <w:t>）</w:t>
                  </w:r>
                </w:p>
              </w:tc>
              <w:tc>
                <w:tcPr>
                  <w:tcW w:w="703" w:type="pct"/>
                  <w:vAlign w:val="center"/>
                </w:tcPr>
                <w:p w14:paraId="6FF01CFC">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占标率（%）</w:t>
                  </w:r>
                </w:p>
              </w:tc>
              <w:tc>
                <w:tcPr>
                  <w:tcW w:w="595" w:type="pct"/>
                  <w:vAlign w:val="center"/>
                </w:tcPr>
                <w:p w14:paraId="3FDD5071">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达标情况</w:t>
                  </w:r>
                </w:p>
              </w:tc>
            </w:tr>
            <w:tr w14:paraId="74A4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80" w:type="pct"/>
                  <w:vAlign w:val="center"/>
                </w:tcPr>
                <w:p w14:paraId="13EF578A">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二氧化硫</w:t>
                  </w:r>
                </w:p>
              </w:tc>
              <w:tc>
                <w:tcPr>
                  <w:tcW w:w="1117" w:type="pct"/>
                  <w:vAlign w:val="center"/>
                </w:tcPr>
                <w:p w14:paraId="47B78893">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年平均质量浓度</w:t>
                  </w:r>
                </w:p>
              </w:tc>
              <w:tc>
                <w:tcPr>
                  <w:tcW w:w="774" w:type="pct"/>
                  <w:vAlign w:val="center"/>
                </w:tcPr>
                <w:p w14:paraId="1744B879">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w:t>
                  </w:r>
                </w:p>
              </w:tc>
              <w:tc>
                <w:tcPr>
                  <w:tcW w:w="929" w:type="pct"/>
                  <w:vAlign w:val="center"/>
                </w:tcPr>
                <w:p w14:paraId="43715F5D">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6</w:t>
                  </w:r>
                  <w:r>
                    <w:rPr>
                      <w:rFonts w:hint="default" w:ascii="Times New Roman" w:hAnsi="Times New Roman" w:eastAsia="宋体" w:cs="Times New Roman"/>
                      <w:color w:val="auto"/>
                      <w:szCs w:val="21"/>
                    </w:rPr>
                    <w:t>0</w:t>
                  </w:r>
                </w:p>
              </w:tc>
              <w:tc>
                <w:tcPr>
                  <w:tcW w:w="703" w:type="pct"/>
                  <w:vAlign w:val="center"/>
                </w:tcPr>
                <w:p w14:paraId="048F958A">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18.33</w:t>
                  </w:r>
                </w:p>
              </w:tc>
              <w:tc>
                <w:tcPr>
                  <w:tcW w:w="595" w:type="pct"/>
                  <w:vAlign w:val="center"/>
                </w:tcPr>
                <w:p w14:paraId="0EB8707B">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r>
            <w:tr w14:paraId="7AB8B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880" w:type="pct"/>
                  <w:vAlign w:val="center"/>
                </w:tcPr>
                <w:p w14:paraId="4605DC39">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二氧化氮</w:t>
                  </w:r>
                </w:p>
              </w:tc>
              <w:tc>
                <w:tcPr>
                  <w:tcW w:w="1117" w:type="pct"/>
                  <w:vAlign w:val="center"/>
                </w:tcPr>
                <w:p w14:paraId="4C8DAC30">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年平均质量浓度</w:t>
                  </w:r>
                </w:p>
              </w:tc>
              <w:tc>
                <w:tcPr>
                  <w:tcW w:w="774" w:type="pct"/>
                  <w:vAlign w:val="center"/>
                </w:tcPr>
                <w:p w14:paraId="775E5195">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17</w:t>
                  </w:r>
                </w:p>
              </w:tc>
              <w:tc>
                <w:tcPr>
                  <w:tcW w:w="929" w:type="pct"/>
                  <w:vAlign w:val="center"/>
                </w:tcPr>
                <w:p w14:paraId="6F4CC7C6">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4</w:t>
                  </w:r>
                  <w:r>
                    <w:rPr>
                      <w:rFonts w:hint="default" w:ascii="Times New Roman" w:hAnsi="Times New Roman" w:eastAsia="宋体" w:cs="Times New Roman"/>
                      <w:color w:val="auto"/>
                      <w:szCs w:val="21"/>
                    </w:rPr>
                    <w:t>0</w:t>
                  </w:r>
                </w:p>
              </w:tc>
              <w:tc>
                <w:tcPr>
                  <w:tcW w:w="703" w:type="pct"/>
                  <w:vAlign w:val="center"/>
                </w:tcPr>
                <w:p w14:paraId="4E10B425">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42.5</w:t>
                  </w:r>
                </w:p>
              </w:tc>
              <w:tc>
                <w:tcPr>
                  <w:tcW w:w="595" w:type="pct"/>
                  <w:vAlign w:val="center"/>
                </w:tcPr>
                <w:p w14:paraId="725218A3">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r>
            <w:tr w14:paraId="536AD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80" w:type="pct"/>
                  <w:vAlign w:val="center"/>
                </w:tcPr>
                <w:p w14:paraId="6D1FB15E">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可吸入颗粒物</w:t>
                  </w:r>
                </w:p>
              </w:tc>
              <w:tc>
                <w:tcPr>
                  <w:tcW w:w="1117" w:type="pct"/>
                  <w:vAlign w:val="center"/>
                </w:tcPr>
                <w:p w14:paraId="59AE5AC7">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年平均质量浓度</w:t>
                  </w:r>
                </w:p>
              </w:tc>
              <w:tc>
                <w:tcPr>
                  <w:tcW w:w="774" w:type="pct"/>
                  <w:vAlign w:val="center"/>
                </w:tcPr>
                <w:p w14:paraId="4D55D4CB">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62</w:t>
                  </w:r>
                </w:p>
              </w:tc>
              <w:tc>
                <w:tcPr>
                  <w:tcW w:w="929" w:type="pct"/>
                  <w:vAlign w:val="center"/>
                </w:tcPr>
                <w:p w14:paraId="56FDB463">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7</w:t>
                  </w:r>
                  <w:r>
                    <w:rPr>
                      <w:rFonts w:hint="default" w:ascii="Times New Roman" w:hAnsi="Times New Roman" w:eastAsia="宋体" w:cs="Times New Roman"/>
                      <w:color w:val="auto"/>
                      <w:szCs w:val="21"/>
                    </w:rPr>
                    <w:t>0</w:t>
                  </w:r>
                </w:p>
              </w:tc>
              <w:tc>
                <w:tcPr>
                  <w:tcW w:w="703" w:type="pct"/>
                  <w:vAlign w:val="center"/>
                </w:tcPr>
                <w:p w14:paraId="253800A3">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88.57</w:t>
                  </w:r>
                </w:p>
              </w:tc>
              <w:tc>
                <w:tcPr>
                  <w:tcW w:w="595" w:type="pct"/>
                  <w:vAlign w:val="center"/>
                </w:tcPr>
                <w:p w14:paraId="50B72CA3">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r>
            <w:tr w14:paraId="62AD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880" w:type="pct"/>
                  <w:vAlign w:val="center"/>
                </w:tcPr>
                <w:p w14:paraId="1CF3B90A">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细颗粒物</w:t>
                  </w:r>
                </w:p>
              </w:tc>
              <w:tc>
                <w:tcPr>
                  <w:tcW w:w="1117" w:type="pct"/>
                  <w:vAlign w:val="center"/>
                </w:tcPr>
                <w:p w14:paraId="77B0F183">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年平均质量浓度</w:t>
                  </w:r>
                </w:p>
              </w:tc>
              <w:tc>
                <w:tcPr>
                  <w:tcW w:w="774" w:type="pct"/>
                  <w:vAlign w:val="center"/>
                </w:tcPr>
                <w:p w14:paraId="38E26C3C">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929" w:type="pct"/>
                  <w:vAlign w:val="center"/>
                </w:tcPr>
                <w:p w14:paraId="69FC5FED">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hint="default" w:ascii="Times New Roman" w:hAnsi="Times New Roman" w:eastAsia="宋体" w:cs="Times New Roman"/>
                      <w:color w:val="auto"/>
                      <w:szCs w:val="21"/>
                    </w:rPr>
                    <w:t>5</w:t>
                  </w:r>
                </w:p>
              </w:tc>
              <w:tc>
                <w:tcPr>
                  <w:tcW w:w="703" w:type="pct"/>
                  <w:vAlign w:val="center"/>
                </w:tcPr>
                <w:p w14:paraId="288C8A87">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42.85</w:t>
                  </w:r>
                </w:p>
              </w:tc>
              <w:tc>
                <w:tcPr>
                  <w:tcW w:w="595" w:type="pct"/>
                  <w:vAlign w:val="center"/>
                </w:tcPr>
                <w:p w14:paraId="71F543CC">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r>
            <w:tr w14:paraId="3B25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pct"/>
                  <w:vAlign w:val="center"/>
                </w:tcPr>
                <w:p w14:paraId="0FAAC8CB">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一氧化碳</w:t>
                  </w:r>
                </w:p>
              </w:tc>
              <w:tc>
                <w:tcPr>
                  <w:tcW w:w="1117" w:type="pct"/>
                  <w:vAlign w:val="center"/>
                </w:tcPr>
                <w:p w14:paraId="3D44559F">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2</w:t>
                  </w:r>
                  <w:r>
                    <w:rPr>
                      <w:rFonts w:hint="default" w:ascii="Times New Roman" w:hAnsi="Times New Roman" w:eastAsia="宋体" w:cs="Times New Roman"/>
                      <w:color w:val="auto"/>
                      <w:szCs w:val="21"/>
                    </w:rPr>
                    <w:t>4</w:t>
                  </w:r>
                  <w:r>
                    <w:rPr>
                      <w:rFonts w:hint="eastAsia" w:ascii="Times New Roman" w:hAnsi="Times New Roman" w:eastAsia="宋体" w:cs="Times New Roman"/>
                      <w:color w:val="auto"/>
                      <w:szCs w:val="21"/>
                    </w:rPr>
                    <w:t>h平均第9</w:t>
                  </w:r>
                  <w:r>
                    <w:rPr>
                      <w:rFonts w:hint="default" w:ascii="Times New Roman" w:hAnsi="Times New Roman" w:eastAsia="宋体" w:cs="Times New Roman"/>
                      <w:color w:val="auto"/>
                      <w:szCs w:val="21"/>
                    </w:rPr>
                    <w:t>5</w:t>
                  </w:r>
                  <w:r>
                    <w:rPr>
                      <w:rFonts w:hint="eastAsia" w:ascii="Times New Roman" w:hAnsi="Times New Roman" w:eastAsia="宋体" w:cs="Times New Roman"/>
                      <w:color w:val="auto"/>
                      <w:szCs w:val="21"/>
                    </w:rPr>
                    <w:t>百分位数质量浓度</w:t>
                  </w:r>
                </w:p>
              </w:tc>
              <w:tc>
                <w:tcPr>
                  <w:tcW w:w="774" w:type="pct"/>
                  <w:vAlign w:val="center"/>
                </w:tcPr>
                <w:p w14:paraId="179CBC25">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1.0</w:t>
                  </w:r>
                  <w:r>
                    <w:rPr>
                      <w:rFonts w:hint="eastAsia" w:ascii="Times New Roman" w:hAnsi="Times New Roman" w:eastAsia="宋体" w:cs="Times New Roman"/>
                      <w:color w:val="auto"/>
                      <w:szCs w:val="21"/>
                    </w:rPr>
                    <w:t>mg</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p>
              </w:tc>
              <w:tc>
                <w:tcPr>
                  <w:tcW w:w="929" w:type="pct"/>
                  <w:vAlign w:val="center"/>
                </w:tcPr>
                <w:p w14:paraId="025A93D6">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4</w:t>
                  </w:r>
                  <w:r>
                    <w:rPr>
                      <w:rFonts w:hint="default" w:ascii="Times New Roman" w:hAnsi="Times New Roman" w:eastAsia="宋体" w:cs="Times New Roman"/>
                      <w:color w:val="auto"/>
                      <w:szCs w:val="21"/>
                    </w:rPr>
                    <w:t>.0</w:t>
                  </w:r>
                  <w:r>
                    <w:rPr>
                      <w:rFonts w:hint="eastAsia" w:ascii="Times New Roman" w:hAnsi="Times New Roman" w:eastAsia="宋体" w:cs="Times New Roman"/>
                      <w:color w:val="auto"/>
                      <w:szCs w:val="21"/>
                    </w:rPr>
                    <w:t>mg</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p>
              </w:tc>
              <w:tc>
                <w:tcPr>
                  <w:tcW w:w="703" w:type="pct"/>
                  <w:vAlign w:val="center"/>
                </w:tcPr>
                <w:p w14:paraId="0D4BC835">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w:t>
                  </w:r>
                </w:p>
              </w:tc>
              <w:tc>
                <w:tcPr>
                  <w:tcW w:w="595" w:type="pct"/>
                  <w:vAlign w:val="center"/>
                </w:tcPr>
                <w:p w14:paraId="0DAC8EC7">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r>
            <w:tr w14:paraId="2525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rPr>
              <w:tc>
                <w:tcPr>
                  <w:tcW w:w="880" w:type="pct"/>
                  <w:vAlign w:val="center"/>
                </w:tcPr>
                <w:p w14:paraId="477CC075">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臭氧</w:t>
                  </w:r>
                </w:p>
              </w:tc>
              <w:tc>
                <w:tcPr>
                  <w:tcW w:w="1117" w:type="pct"/>
                  <w:vAlign w:val="center"/>
                </w:tcPr>
                <w:p w14:paraId="1FC793E7">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日最大8h平均第9</w:t>
                  </w:r>
                  <w:r>
                    <w:rPr>
                      <w:rFonts w:hint="default" w:ascii="Times New Roman" w:hAnsi="Times New Roman" w:eastAsia="宋体" w:cs="Times New Roman"/>
                      <w:color w:val="auto"/>
                      <w:szCs w:val="21"/>
                    </w:rPr>
                    <w:t>0</w:t>
                  </w:r>
                  <w:r>
                    <w:rPr>
                      <w:rFonts w:hint="eastAsia" w:ascii="Times New Roman" w:hAnsi="Times New Roman" w:eastAsia="宋体" w:cs="Times New Roman"/>
                      <w:color w:val="auto"/>
                      <w:szCs w:val="21"/>
                    </w:rPr>
                    <w:t>百分位数质量浓度</w:t>
                  </w:r>
                </w:p>
              </w:tc>
              <w:tc>
                <w:tcPr>
                  <w:tcW w:w="774" w:type="pct"/>
                  <w:vAlign w:val="center"/>
                </w:tcPr>
                <w:p w14:paraId="763487FD">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134</w:t>
                  </w:r>
                </w:p>
              </w:tc>
              <w:tc>
                <w:tcPr>
                  <w:tcW w:w="929" w:type="pct"/>
                  <w:vAlign w:val="center"/>
                </w:tcPr>
                <w:p w14:paraId="7E8F1779">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hint="default" w:ascii="Times New Roman" w:hAnsi="Times New Roman" w:eastAsia="宋体" w:cs="Times New Roman"/>
                      <w:color w:val="auto"/>
                      <w:szCs w:val="21"/>
                    </w:rPr>
                    <w:t>60</w:t>
                  </w:r>
                </w:p>
              </w:tc>
              <w:tc>
                <w:tcPr>
                  <w:tcW w:w="703" w:type="pct"/>
                  <w:vAlign w:val="center"/>
                </w:tcPr>
                <w:p w14:paraId="469DCCC5">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83.75</w:t>
                  </w:r>
                </w:p>
              </w:tc>
              <w:tc>
                <w:tcPr>
                  <w:tcW w:w="595" w:type="pct"/>
                  <w:vAlign w:val="center"/>
                </w:tcPr>
                <w:p w14:paraId="62D7CFD7">
                  <w:pPr>
                    <w:keepNext w:val="0"/>
                    <w:keepLines w:val="0"/>
                    <w:suppressLineNumbers w:val="0"/>
                    <w:adjustRightInd w:val="0"/>
                    <w:snapToGrid w:val="0"/>
                    <w:spacing w:before="0" w:beforeAutospacing="0" w:after="0" w:afterAutospacing="0" w:line="360" w:lineRule="exact"/>
                    <w:ind w:left="0" w:right="0"/>
                    <w:jc w:val="center"/>
                    <w:textAlignment w:val="baseline"/>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达标</w:t>
                  </w:r>
                </w:p>
              </w:tc>
            </w:tr>
          </w:tbl>
          <w:p w14:paraId="031454D0">
            <w:pPr>
              <w:pStyle w:val="4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right="0" w:firstLine="480"/>
              <w:jc w:val="both"/>
              <w:textAlignment w:val="auto"/>
              <w:rPr>
                <w:rFonts w:hint="default"/>
                <w:color w:val="auto"/>
              </w:rPr>
            </w:pPr>
            <w:r>
              <w:rPr>
                <w:rFonts w:hint="eastAsia"/>
                <w:bCs/>
                <w:color w:val="auto"/>
              </w:rPr>
              <w:t>从上表可以看出，各基本污染物年评价指标均符合《环境空气质量标准》（GB3095-2012）中二级标准及2018年修改单中的相关规定，项目所在区域的城市环境空气质量达标，判定为达标区。</w:t>
            </w:r>
          </w:p>
          <w:p w14:paraId="1FD67A5C">
            <w:pPr>
              <w:keepNext w:val="0"/>
              <w:keepLines w:val="0"/>
              <w:pageBreakBefore w:val="0"/>
              <w:suppressLineNumbers w:val="0"/>
              <w:wordWrap/>
              <w:topLinePunct w:val="0"/>
              <w:autoSpaceDE/>
              <w:autoSpaceDN/>
              <w:bidi w:val="0"/>
              <w:spacing w:before="0" w:beforeAutospacing="0" w:after="0" w:afterAutospacing="0" w:line="500" w:lineRule="exact"/>
              <w:ind w:left="0" w:right="0"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2</w:t>
            </w:r>
            <w:r>
              <w:rPr>
                <w:rFonts w:hint="eastAsia" w:ascii="Times New Roman" w:hAnsi="Times New Roman" w:eastAsia="宋体" w:cs="Times New Roman"/>
                <w:b/>
                <w:color w:val="auto"/>
                <w:sz w:val="24"/>
                <w:szCs w:val="24"/>
              </w:rPr>
              <w:t>、声环境</w:t>
            </w:r>
          </w:p>
          <w:p w14:paraId="57AC1B90">
            <w:pPr>
              <w:keepNext/>
              <w:keepLines/>
              <w:pageBreakBefore w:val="0"/>
              <w:widowControl/>
              <w:suppressLineNumbers w:val="0"/>
              <w:tabs>
                <w:tab w:val="left" w:pos="0"/>
              </w:tabs>
              <w:kinsoku w:val="0"/>
              <w:wordWrap/>
              <w:overflowPunct w:val="0"/>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为了解项目所在地的声环境质量，本项目委托</w:t>
            </w:r>
            <w:r>
              <w:rPr>
                <w:rFonts w:hint="eastAsia" w:ascii="Times New Roman" w:hAnsi="Times New Roman" w:eastAsia="宋体" w:cs="Times New Roman"/>
                <w:color w:val="auto"/>
                <w:kern w:val="1"/>
                <w:sz w:val="24"/>
                <w:szCs w:val="24"/>
                <w:lang w:val="en-US" w:eastAsia="zh-CN" w:bidi="ar-SA"/>
              </w:rPr>
              <w:t>内蒙古航峰检测技术有限公司</w:t>
            </w:r>
            <w:r>
              <w:rPr>
                <w:rFonts w:hint="eastAsia" w:ascii="Times New Roman" w:hAnsi="Times New Roman" w:eastAsia="宋体" w:cs="Times New Roman"/>
                <w:color w:val="auto"/>
                <w:sz w:val="24"/>
                <w:szCs w:val="24"/>
                <w:highlight w:val="none"/>
                <w:lang w:val="en-US" w:eastAsia="zh-CN"/>
              </w:rPr>
              <w:t>于2025年1月6日对厂界四周进行了声环境质量现状监测</w:t>
            </w:r>
            <w:r>
              <w:rPr>
                <w:rFonts w:hint="eastAsia" w:ascii="Times New Roman" w:hAnsi="Times New Roman" w:eastAsia="宋体" w:cs="Times New Roman"/>
                <w:color w:val="auto"/>
                <w:sz w:val="24"/>
                <w:szCs w:val="24"/>
                <w:lang w:val="en-US" w:eastAsia="zh-CN"/>
              </w:rPr>
              <w:t>。</w:t>
            </w:r>
          </w:p>
          <w:p w14:paraId="0EB20644">
            <w:pPr>
              <w:keepNext/>
              <w:keepLines/>
              <w:pageBreakBefore w:val="0"/>
              <w:widowControl/>
              <w:numPr>
                <w:ilvl w:val="0"/>
                <w:numId w:val="8"/>
              </w:numPr>
              <w:suppressLineNumbers w:val="0"/>
              <w:kinsoku w:val="0"/>
              <w:wordWrap/>
              <w:overflowPunct w:val="0"/>
              <w:topLinePunct w:val="0"/>
              <w:autoSpaceDE/>
              <w:autoSpaceDN/>
              <w:bidi w:val="0"/>
              <w:spacing w:before="0" w:beforeAutospacing="0" w:after="0" w:afterAutospacing="0" w:line="500" w:lineRule="exact"/>
              <w:ind w:left="0" w:right="0" w:firstLine="480" w:firstLineChars="200"/>
              <w:textAlignment w:val="auto"/>
              <w:rPr>
                <w:rFonts w:hint="eastAsia"/>
                <w:color w:val="auto"/>
                <w:lang w:eastAsia="zh-CN"/>
              </w:rPr>
            </w:pPr>
            <w:r>
              <w:rPr>
                <w:rFonts w:hint="default" w:ascii="Times New Roman" w:hAnsi="Times New Roman" w:eastAsia="宋体" w:cs="Times New Roman"/>
                <w:bCs/>
                <w:color w:val="auto"/>
                <w:sz w:val="24"/>
                <w:szCs w:val="24"/>
              </w:rPr>
              <w:t>监测点位：根据本项目周围的声环境现状，在</w:t>
            </w:r>
            <w:r>
              <w:rPr>
                <w:rFonts w:hint="eastAsia" w:ascii="Times New Roman" w:hAnsi="Times New Roman" w:eastAsia="宋体" w:cs="Times New Roman"/>
                <w:bCs/>
                <w:color w:val="auto"/>
                <w:sz w:val="24"/>
                <w:szCs w:val="24"/>
                <w:lang w:val="en-US" w:eastAsia="zh-CN"/>
              </w:rPr>
              <w:t>厂界</w:t>
            </w:r>
            <w:r>
              <w:rPr>
                <w:rFonts w:hint="default" w:ascii="Times New Roman" w:hAnsi="Times New Roman" w:eastAsia="宋体" w:cs="Times New Roman"/>
                <w:bCs/>
                <w:color w:val="auto"/>
                <w:sz w:val="24"/>
                <w:szCs w:val="24"/>
              </w:rPr>
              <w:t>四周共设置4个噪声监测点位</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具体点位见图3-1。</w:t>
            </w:r>
          </w:p>
          <w:p w14:paraId="5CF808A6">
            <w:pPr>
              <w:keepNext/>
              <w:keepLines/>
              <w:pageBreakBefore w:val="0"/>
              <w:widowControl/>
              <w:numPr>
                <w:ilvl w:val="0"/>
                <w:numId w:val="8"/>
              </w:numPr>
              <w:suppressLineNumbers w:val="0"/>
              <w:kinsoku w:val="0"/>
              <w:wordWrap/>
              <w:overflowPunct w:val="0"/>
              <w:topLinePunct w:val="0"/>
              <w:autoSpaceDE/>
              <w:autoSpaceDN/>
              <w:bidi w:val="0"/>
              <w:spacing w:before="0" w:beforeAutospacing="0" w:after="0" w:afterAutospacing="0" w:line="500" w:lineRule="exact"/>
              <w:ind w:left="0" w:right="0" w:firstLine="480" w:firstLineChars="200"/>
              <w:textAlignment w:val="auto"/>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监测因子、监测时间及频次</w:t>
            </w:r>
          </w:p>
          <w:p w14:paraId="2628E66B">
            <w:pPr>
              <w:keepNext/>
              <w:keepLines/>
              <w:pageBreakBefore w:val="0"/>
              <w:widowControl/>
              <w:numPr>
                <w:ilvl w:val="0"/>
                <w:numId w:val="0"/>
              </w:numPr>
              <w:suppressLineNumbers w:val="0"/>
              <w:kinsoku w:val="0"/>
              <w:wordWrap/>
              <w:overflowPunct w:val="0"/>
              <w:topLinePunct w:val="0"/>
              <w:autoSpaceDE/>
              <w:autoSpaceDN/>
              <w:bidi w:val="0"/>
              <w:spacing w:before="0" w:beforeAutospacing="0" w:after="0" w:afterAutospacing="0" w:line="500" w:lineRule="exact"/>
              <w:ind w:left="0" w:right="0" w:firstLine="480" w:firstLineChars="200"/>
              <w:textAlignment w:val="auto"/>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监测因子为等效连续A声级，监测1天，昼、夜各监测1次，昼间6: 00~22:00夜间 22:00~6:00。</w:t>
            </w:r>
          </w:p>
          <w:p w14:paraId="3B797697">
            <w:pPr>
              <w:keepNext/>
              <w:keepLines/>
              <w:pageBreakBefore w:val="0"/>
              <w:widowControl/>
              <w:numPr>
                <w:ilvl w:val="0"/>
                <w:numId w:val="8"/>
              </w:numPr>
              <w:suppressLineNumbers w:val="0"/>
              <w:kinsoku w:val="0"/>
              <w:wordWrap/>
              <w:overflowPunct w:val="0"/>
              <w:topLinePunct w:val="0"/>
              <w:autoSpaceDE/>
              <w:autoSpaceDN/>
              <w:bidi w:val="0"/>
              <w:spacing w:before="0" w:beforeAutospacing="0" w:after="0" w:afterAutospacing="0" w:line="500" w:lineRule="exact"/>
              <w:ind w:left="0" w:right="0" w:firstLine="480" w:firstLineChars="200"/>
              <w:textAlignment w:val="auto"/>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bCs/>
                <w:color w:val="auto"/>
                <w:sz w:val="24"/>
                <w:szCs w:val="24"/>
                <w:lang w:eastAsia="zh-CN"/>
              </w:rPr>
              <w:t>监测方法：按照《声环境质量标准》(GB3096-2008)中的规定进行</w:t>
            </w:r>
            <w:r>
              <w:rPr>
                <w:rFonts w:hint="eastAsia" w:ascii="Times New Roman" w:hAnsi="Times New Roman" w:eastAsia="宋体" w:cs="Times New Roman"/>
                <w:bCs/>
                <w:color w:val="auto"/>
                <w:sz w:val="24"/>
                <w:szCs w:val="24"/>
                <w:lang w:val="en-US" w:eastAsia="zh-CN"/>
              </w:rPr>
              <w:t>监测。</w:t>
            </w:r>
          </w:p>
          <w:p w14:paraId="1E82D6A6">
            <w:pPr>
              <w:keepNext/>
              <w:keepLines/>
              <w:pageBreakBefore w:val="0"/>
              <w:widowControl/>
              <w:numPr>
                <w:ilvl w:val="0"/>
                <w:numId w:val="8"/>
              </w:numPr>
              <w:suppressLineNumbers w:val="0"/>
              <w:kinsoku w:val="0"/>
              <w:wordWrap/>
              <w:overflowPunct w:val="0"/>
              <w:topLinePunct w:val="0"/>
              <w:autoSpaceDE/>
              <w:autoSpaceDN/>
              <w:bidi w:val="0"/>
              <w:spacing w:before="0" w:beforeAutospacing="0" w:after="0" w:afterAutospacing="0" w:line="500" w:lineRule="exact"/>
              <w:ind w:left="0" w:right="0" w:firstLine="480" w:firstLineChars="200"/>
              <w:textAlignment w:val="auto"/>
              <w:rPr>
                <w:rFonts w:hint="default"/>
                <w:color w:val="auto"/>
                <w:lang w:val="en-US" w:eastAsia="zh-CN"/>
              </w:rPr>
            </w:pPr>
            <w:r>
              <w:rPr>
                <w:rFonts w:hint="eastAsia" w:ascii="Times New Roman" w:hAnsi="Times New Roman" w:eastAsia="宋体" w:cs="Times New Roman"/>
                <w:bCs/>
                <w:color w:val="auto"/>
                <w:sz w:val="24"/>
                <w:szCs w:val="24"/>
                <w:lang w:eastAsia="zh-CN"/>
              </w:rPr>
              <w:t>监测结果：本次声环境现状监测结果见</w:t>
            </w:r>
            <w:r>
              <w:rPr>
                <w:rFonts w:hint="eastAsia" w:ascii="Times New Roman" w:hAnsi="Times New Roman" w:eastAsia="宋体" w:cs="Times New Roman"/>
                <w:bCs/>
                <w:color w:val="auto"/>
                <w:sz w:val="24"/>
                <w:szCs w:val="24"/>
                <w:highlight w:val="none"/>
                <w:lang w:eastAsia="zh-CN"/>
              </w:rPr>
              <w:t>表3-</w:t>
            </w:r>
            <w:r>
              <w:rPr>
                <w:rFonts w:hint="eastAsia" w:ascii="Times New Roman" w:hAnsi="Times New Roman" w:eastAsia="宋体" w:cs="Times New Roman"/>
                <w:bCs/>
                <w:color w:val="auto"/>
                <w:sz w:val="24"/>
                <w:szCs w:val="24"/>
                <w:highlight w:val="none"/>
                <w:lang w:val="en-US" w:eastAsia="zh-CN"/>
              </w:rPr>
              <w:t>2</w:t>
            </w:r>
            <w:r>
              <w:rPr>
                <w:rFonts w:hint="eastAsia" w:ascii="Times New Roman" w:hAnsi="Times New Roman" w:eastAsia="宋体" w:cs="Times New Roman"/>
                <w:bCs/>
                <w:color w:val="auto"/>
                <w:sz w:val="24"/>
                <w:szCs w:val="24"/>
                <w:highlight w:val="none"/>
                <w:lang w:eastAsia="zh-CN"/>
              </w:rPr>
              <w:t>。</w:t>
            </w:r>
          </w:p>
          <w:p w14:paraId="049ABD8A">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color w:val="auto"/>
              </w:rPr>
              <w:drawing>
                <wp:inline distT="0" distB="0" distL="114300" distR="114300">
                  <wp:extent cx="5278120" cy="2873375"/>
                  <wp:effectExtent l="0" t="0" r="17780" b="31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6"/>
                          <a:stretch>
                            <a:fillRect/>
                          </a:stretch>
                        </pic:blipFill>
                        <pic:spPr>
                          <a:xfrm>
                            <a:off x="0" y="0"/>
                            <a:ext cx="5278120" cy="2873375"/>
                          </a:xfrm>
                          <a:prstGeom prst="rect">
                            <a:avLst/>
                          </a:prstGeom>
                          <a:noFill/>
                          <a:ln>
                            <a:noFill/>
                          </a:ln>
                        </pic:spPr>
                      </pic:pic>
                    </a:graphicData>
                  </a:graphic>
                </wp:inline>
              </w:drawing>
            </w:r>
          </w:p>
          <w:p w14:paraId="25919159">
            <w:pPr>
              <w:keepNext w:val="0"/>
              <w:keepLines w:val="0"/>
              <w:suppressLineNumbers w:val="0"/>
              <w:spacing w:before="0" w:beforeAutospacing="0" w:after="0" w:afterAutospacing="0" w:line="440" w:lineRule="exact"/>
              <w:ind w:left="0" w:right="0" w:firstLine="482" w:firstLineChars="200"/>
              <w:jc w:val="center"/>
              <w:rPr>
                <w:rFonts w:hint="eastAsia"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图</w:t>
            </w:r>
            <w:r>
              <w:rPr>
                <w:rFonts w:hint="eastAsia" w:ascii="Times New Roman" w:hAnsi="Times New Roman" w:eastAsia="宋体" w:cs="Times New Roman"/>
                <w:b/>
                <w:color w:val="auto"/>
                <w:sz w:val="24"/>
                <w:szCs w:val="24"/>
                <w:lang w:val="en-US" w:eastAsia="zh-CN"/>
              </w:rPr>
              <w:t>3-1</w:t>
            </w:r>
            <w:r>
              <w:rPr>
                <w:rFonts w:hint="default"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val="en-US" w:eastAsia="zh-CN"/>
              </w:rPr>
              <w:t>声环境监测点位示意</w:t>
            </w:r>
            <w:r>
              <w:rPr>
                <w:rFonts w:hint="eastAsia" w:ascii="Times New Roman" w:hAnsi="Times New Roman" w:eastAsia="宋体" w:cs="Times New Roman"/>
                <w:b/>
                <w:color w:val="auto"/>
                <w:sz w:val="24"/>
                <w:szCs w:val="24"/>
              </w:rPr>
              <w:t>图</w:t>
            </w:r>
          </w:p>
          <w:p w14:paraId="503C6B03">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p>
          <w:p w14:paraId="78055911">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ascii="Times New Roman" w:hAnsi="Times New Roman" w:eastAsia="宋体" w:cs="Times New Roman"/>
                <w:b/>
                <w:bCs/>
                <w:color w:val="auto"/>
                <w:sz w:val="21"/>
                <w:szCs w:val="21"/>
                <w:lang w:val="en-US" w:eastAsia="zh-CN"/>
              </w:rPr>
              <w:t>-2 声环境监测结果统计表  单位dB（A）</w:t>
            </w:r>
          </w:p>
          <w:tbl>
            <w:tblPr>
              <w:tblStyle w:val="17"/>
              <w:tblW w:w="9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9"/>
              <w:gridCol w:w="2437"/>
              <w:gridCol w:w="1095"/>
              <w:gridCol w:w="1436"/>
              <w:gridCol w:w="1001"/>
              <w:gridCol w:w="1241"/>
            </w:tblGrid>
            <w:tr w14:paraId="53F8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9" w:type="dxa"/>
                  <w:noWrap w:val="0"/>
                  <w:vAlign w:val="center"/>
                </w:tcPr>
                <w:p w14:paraId="5F3A2F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leftChars="0" w:right="0"/>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样品编号</w:t>
                  </w:r>
                </w:p>
              </w:tc>
              <w:tc>
                <w:tcPr>
                  <w:tcW w:w="2437" w:type="dxa"/>
                  <w:noWrap w:val="0"/>
                  <w:vAlign w:val="center"/>
                </w:tcPr>
                <w:p w14:paraId="1CDA95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leftChars="0" w:right="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检测点位名称</w:t>
                  </w:r>
                </w:p>
              </w:tc>
              <w:tc>
                <w:tcPr>
                  <w:tcW w:w="1095" w:type="dxa"/>
                  <w:noWrap w:val="0"/>
                  <w:vAlign w:val="center"/>
                </w:tcPr>
                <w:p w14:paraId="3A6C7F7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leftChars="0" w:right="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时间</w:t>
                  </w:r>
                </w:p>
              </w:tc>
              <w:tc>
                <w:tcPr>
                  <w:tcW w:w="1436" w:type="dxa"/>
                  <w:noWrap w:val="0"/>
                  <w:vAlign w:val="center"/>
                </w:tcPr>
                <w:p w14:paraId="66EF407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leftChars="0" w:right="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Leq</w:t>
                  </w:r>
                  <w:r>
                    <w:rPr>
                      <w:rFonts w:hint="eastAsia" w:ascii="Times New Roman" w:hAnsi="Times New Roman" w:eastAsia="宋体" w:cs="Times New Roman"/>
                      <w:b/>
                      <w:bCs w:val="0"/>
                      <w:color w:val="auto"/>
                      <w:sz w:val="21"/>
                      <w:szCs w:val="21"/>
                      <w:lang w:val="en-US" w:eastAsia="zh-CN"/>
                    </w:rPr>
                    <w:t xml:space="preserve"> </w:t>
                  </w:r>
                  <w:r>
                    <w:rPr>
                      <w:rFonts w:hint="default" w:ascii="Times New Roman" w:hAnsi="Times New Roman" w:eastAsia="宋体" w:cs="Times New Roman"/>
                      <w:b/>
                      <w:bCs w:val="0"/>
                      <w:color w:val="auto"/>
                      <w:sz w:val="21"/>
                      <w:szCs w:val="21"/>
                      <w:lang w:val="en-US" w:eastAsia="zh-CN"/>
                    </w:rPr>
                    <w:t>dB(A)</w:t>
                  </w:r>
                </w:p>
              </w:tc>
              <w:tc>
                <w:tcPr>
                  <w:tcW w:w="1001" w:type="dxa"/>
                  <w:noWrap w:val="0"/>
                  <w:vAlign w:val="center"/>
                </w:tcPr>
                <w:p w14:paraId="6FAC09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leftChars="0" w:right="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时间</w:t>
                  </w:r>
                </w:p>
              </w:tc>
              <w:tc>
                <w:tcPr>
                  <w:tcW w:w="1241" w:type="dxa"/>
                  <w:noWrap w:val="0"/>
                  <w:vAlign w:val="center"/>
                </w:tcPr>
                <w:p w14:paraId="050B361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leftChars="0" w:right="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Leq</w:t>
                  </w:r>
                  <w:r>
                    <w:rPr>
                      <w:rFonts w:hint="eastAsia" w:ascii="Times New Roman" w:hAnsi="Times New Roman" w:eastAsia="宋体" w:cs="Times New Roman"/>
                      <w:b/>
                      <w:bCs w:val="0"/>
                      <w:color w:val="auto"/>
                      <w:sz w:val="21"/>
                      <w:szCs w:val="21"/>
                      <w:lang w:val="en-US" w:eastAsia="zh-CN"/>
                    </w:rPr>
                    <w:t xml:space="preserve"> </w:t>
                  </w:r>
                  <w:r>
                    <w:rPr>
                      <w:rFonts w:hint="default" w:ascii="Times New Roman" w:hAnsi="Times New Roman" w:eastAsia="宋体" w:cs="Times New Roman"/>
                      <w:b/>
                      <w:bCs w:val="0"/>
                      <w:color w:val="auto"/>
                      <w:sz w:val="21"/>
                      <w:szCs w:val="21"/>
                      <w:lang w:val="en-US" w:eastAsia="zh-CN"/>
                    </w:rPr>
                    <w:t>dB(A)</w:t>
                  </w:r>
                </w:p>
              </w:tc>
            </w:tr>
            <w:tr w14:paraId="6933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9" w:type="dxa"/>
                  <w:vMerge w:val="restart"/>
                  <w:noWrap w:val="0"/>
                  <w:vAlign w:val="center"/>
                </w:tcPr>
                <w:p w14:paraId="0315C3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0104Z01~Z08</w:t>
                  </w:r>
                </w:p>
              </w:tc>
              <w:tc>
                <w:tcPr>
                  <w:tcW w:w="2437" w:type="dxa"/>
                  <w:noWrap w:val="0"/>
                  <w:vAlign w:val="center"/>
                </w:tcPr>
                <w:p w14:paraId="6A0716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1#厂界东侧外1米处</w:t>
                  </w:r>
                </w:p>
              </w:tc>
              <w:tc>
                <w:tcPr>
                  <w:tcW w:w="1095" w:type="dxa"/>
                  <w:vMerge w:val="restart"/>
                  <w:noWrap w:val="0"/>
                  <w:vAlign w:val="center"/>
                </w:tcPr>
                <w:p w14:paraId="1CD3C12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leftChars="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color w:val="auto"/>
                      <w:sz w:val="21"/>
                      <w:szCs w:val="21"/>
                      <w:lang w:val="en-US" w:eastAsia="zh-CN"/>
                    </w:rPr>
                    <w:t>昼间</w:t>
                  </w:r>
                </w:p>
              </w:tc>
              <w:tc>
                <w:tcPr>
                  <w:tcW w:w="1436" w:type="dxa"/>
                  <w:noWrap w:val="0"/>
                  <w:vAlign w:val="center"/>
                </w:tcPr>
                <w:p w14:paraId="6BC1C5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54</w:t>
                  </w:r>
                </w:p>
              </w:tc>
              <w:tc>
                <w:tcPr>
                  <w:tcW w:w="1001" w:type="dxa"/>
                  <w:vMerge w:val="restart"/>
                  <w:noWrap w:val="0"/>
                  <w:vAlign w:val="center"/>
                </w:tcPr>
                <w:p w14:paraId="0CE6C93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leftChars="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color w:val="auto"/>
                      <w:sz w:val="21"/>
                      <w:szCs w:val="21"/>
                      <w:lang w:val="en-US" w:eastAsia="zh-CN"/>
                    </w:rPr>
                    <w:t>夜间</w:t>
                  </w:r>
                </w:p>
              </w:tc>
              <w:tc>
                <w:tcPr>
                  <w:tcW w:w="1241" w:type="dxa"/>
                  <w:noWrap w:val="0"/>
                  <w:vAlign w:val="center"/>
                </w:tcPr>
                <w:p w14:paraId="3C2EBD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color w:val="auto"/>
                      <w:sz w:val="21"/>
                      <w:szCs w:val="21"/>
                      <w:lang w:val="en-US" w:eastAsia="zh-CN"/>
                    </w:rPr>
                    <w:t>47</w:t>
                  </w:r>
                </w:p>
              </w:tc>
            </w:tr>
            <w:tr w14:paraId="7968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9" w:type="dxa"/>
                  <w:vMerge w:val="continue"/>
                  <w:noWrap w:val="0"/>
                  <w:vAlign w:val="center"/>
                </w:tcPr>
                <w:p w14:paraId="1B58D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lang w:val="en-US" w:eastAsia="zh-CN"/>
                    </w:rPr>
                  </w:pPr>
                </w:p>
              </w:tc>
              <w:tc>
                <w:tcPr>
                  <w:tcW w:w="2437" w:type="dxa"/>
                  <w:noWrap w:val="0"/>
                  <w:vAlign w:val="center"/>
                </w:tcPr>
                <w:p w14:paraId="785BEF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2#厂界南侧外1米处</w:t>
                  </w:r>
                </w:p>
              </w:tc>
              <w:tc>
                <w:tcPr>
                  <w:tcW w:w="1095" w:type="dxa"/>
                  <w:vMerge w:val="continue"/>
                  <w:noWrap w:val="0"/>
                  <w:vAlign w:val="center"/>
                </w:tcPr>
                <w:p w14:paraId="7C11CE5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leftChars="0" w:right="0"/>
                    <w:jc w:val="center"/>
                    <w:textAlignment w:val="auto"/>
                    <w:rPr>
                      <w:rFonts w:hint="default" w:ascii="Times New Roman" w:hAnsi="Times New Roman" w:eastAsia="宋体" w:cs="Times New Roman"/>
                      <w:b w:val="0"/>
                      <w:bCs/>
                      <w:color w:val="auto"/>
                      <w:sz w:val="21"/>
                      <w:szCs w:val="21"/>
                      <w:lang w:val="en-US" w:eastAsia="zh-CN"/>
                    </w:rPr>
                  </w:pPr>
                </w:p>
              </w:tc>
              <w:tc>
                <w:tcPr>
                  <w:tcW w:w="1436" w:type="dxa"/>
                  <w:noWrap w:val="0"/>
                  <w:vAlign w:val="center"/>
                </w:tcPr>
                <w:p w14:paraId="367FDA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54</w:t>
                  </w:r>
                </w:p>
              </w:tc>
              <w:tc>
                <w:tcPr>
                  <w:tcW w:w="1001" w:type="dxa"/>
                  <w:vMerge w:val="continue"/>
                  <w:noWrap w:val="0"/>
                  <w:vAlign w:val="center"/>
                </w:tcPr>
                <w:p w14:paraId="3608F73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leftChars="0" w:right="0"/>
                    <w:jc w:val="center"/>
                    <w:textAlignment w:val="auto"/>
                    <w:rPr>
                      <w:rFonts w:hint="default" w:ascii="Times New Roman" w:hAnsi="Times New Roman" w:eastAsia="宋体" w:cs="Times New Roman"/>
                      <w:b w:val="0"/>
                      <w:bCs/>
                      <w:color w:val="auto"/>
                      <w:sz w:val="21"/>
                      <w:szCs w:val="21"/>
                      <w:lang w:val="en-US" w:eastAsia="zh-CN"/>
                    </w:rPr>
                  </w:pPr>
                </w:p>
              </w:tc>
              <w:tc>
                <w:tcPr>
                  <w:tcW w:w="1241" w:type="dxa"/>
                  <w:noWrap w:val="0"/>
                  <w:vAlign w:val="center"/>
                </w:tcPr>
                <w:p w14:paraId="6FF6CF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color w:val="auto"/>
                      <w:sz w:val="21"/>
                      <w:szCs w:val="21"/>
                      <w:lang w:val="en-US" w:eastAsia="zh-CN"/>
                    </w:rPr>
                    <w:t>46</w:t>
                  </w:r>
                </w:p>
              </w:tc>
            </w:tr>
            <w:tr w14:paraId="01DF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9" w:type="dxa"/>
                  <w:vMerge w:val="continue"/>
                  <w:noWrap w:val="0"/>
                  <w:vAlign w:val="center"/>
                </w:tcPr>
                <w:p w14:paraId="3A5FE4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lang w:val="en-US" w:eastAsia="zh-CN"/>
                    </w:rPr>
                  </w:pPr>
                </w:p>
              </w:tc>
              <w:tc>
                <w:tcPr>
                  <w:tcW w:w="2437" w:type="dxa"/>
                  <w:noWrap w:val="0"/>
                  <w:vAlign w:val="center"/>
                </w:tcPr>
                <w:p w14:paraId="3AC3BF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3#厂界西侧外1米处</w:t>
                  </w:r>
                </w:p>
              </w:tc>
              <w:tc>
                <w:tcPr>
                  <w:tcW w:w="1095" w:type="dxa"/>
                  <w:vMerge w:val="continue"/>
                  <w:noWrap w:val="0"/>
                  <w:vAlign w:val="center"/>
                </w:tcPr>
                <w:p w14:paraId="3A1B1C4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leftChars="0" w:right="0"/>
                    <w:jc w:val="center"/>
                    <w:textAlignment w:val="auto"/>
                    <w:rPr>
                      <w:rFonts w:hint="default" w:ascii="Times New Roman" w:hAnsi="Times New Roman" w:eastAsia="宋体" w:cs="Times New Roman"/>
                      <w:b w:val="0"/>
                      <w:bCs/>
                      <w:color w:val="auto"/>
                      <w:sz w:val="21"/>
                      <w:szCs w:val="21"/>
                      <w:lang w:val="en-US" w:eastAsia="zh-CN"/>
                    </w:rPr>
                  </w:pPr>
                </w:p>
              </w:tc>
              <w:tc>
                <w:tcPr>
                  <w:tcW w:w="1436" w:type="dxa"/>
                  <w:noWrap w:val="0"/>
                  <w:vAlign w:val="center"/>
                </w:tcPr>
                <w:p w14:paraId="57486E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54</w:t>
                  </w:r>
                </w:p>
              </w:tc>
              <w:tc>
                <w:tcPr>
                  <w:tcW w:w="1001" w:type="dxa"/>
                  <w:vMerge w:val="continue"/>
                  <w:noWrap w:val="0"/>
                  <w:vAlign w:val="center"/>
                </w:tcPr>
                <w:p w14:paraId="5688414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leftChars="0" w:right="0"/>
                    <w:jc w:val="center"/>
                    <w:textAlignment w:val="auto"/>
                    <w:rPr>
                      <w:rFonts w:hint="default" w:ascii="Times New Roman" w:hAnsi="Times New Roman" w:eastAsia="宋体" w:cs="Times New Roman"/>
                      <w:b w:val="0"/>
                      <w:bCs/>
                      <w:color w:val="auto"/>
                      <w:sz w:val="21"/>
                      <w:szCs w:val="21"/>
                      <w:lang w:val="en-US" w:eastAsia="zh-CN"/>
                    </w:rPr>
                  </w:pPr>
                </w:p>
              </w:tc>
              <w:tc>
                <w:tcPr>
                  <w:tcW w:w="1241" w:type="dxa"/>
                  <w:noWrap w:val="0"/>
                  <w:vAlign w:val="center"/>
                </w:tcPr>
                <w:p w14:paraId="48C27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45</w:t>
                  </w:r>
                </w:p>
              </w:tc>
            </w:tr>
            <w:tr w14:paraId="3D30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859" w:type="dxa"/>
                  <w:vMerge w:val="continue"/>
                  <w:noWrap w:val="0"/>
                  <w:vAlign w:val="center"/>
                </w:tcPr>
                <w:p w14:paraId="7A74A7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lang w:val="en-US" w:eastAsia="zh-CN"/>
                    </w:rPr>
                  </w:pPr>
                </w:p>
              </w:tc>
              <w:tc>
                <w:tcPr>
                  <w:tcW w:w="2437" w:type="dxa"/>
                  <w:noWrap w:val="0"/>
                  <w:vAlign w:val="center"/>
                </w:tcPr>
                <w:p w14:paraId="5B848B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4#厂界北侧外1米处</w:t>
                  </w:r>
                </w:p>
              </w:tc>
              <w:tc>
                <w:tcPr>
                  <w:tcW w:w="1095" w:type="dxa"/>
                  <w:vMerge w:val="continue"/>
                  <w:noWrap w:val="0"/>
                  <w:vAlign w:val="center"/>
                </w:tcPr>
                <w:p w14:paraId="5FC4768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leftChars="0" w:right="0"/>
                    <w:jc w:val="center"/>
                    <w:textAlignment w:val="auto"/>
                    <w:rPr>
                      <w:rFonts w:hint="default" w:ascii="Times New Roman" w:hAnsi="Times New Roman" w:eastAsia="宋体" w:cs="Times New Roman"/>
                      <w:b w:val="0"/>
                      <w:bCs/>
                      <w:color w:val="auto"/>
                      <w:sz w:val="21"/>
                      <w:szCs w:val="21"/>
                      <w:lang w:val="en-US" w:eastAsia="zh-CN"/>
                    </w:rPr>
                  </w:pPr>
                </w:p>
              </w:tc>
              <w:tc>
                <w:tcPr>
                  <w:tcW w:w="1436" w:type="dxa"/>
                  <w:noWrap w:val="0"/>
                  <w:vAlign w:val="center"/>
                </w:tcPr>
                <w:p w14:paraId="6CE11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53</w:t>
                  </w:r>
                </w:p>
              </w:tc>
              <w:tc>
                <w:tcPr>
                  <w:tcW w:w="1001" w:type="dxa"/>
                  <w:vMerge w:val="continue"/>
                  <w:noWrap w:val="0"/>
                  <w:vAlign w:val="center"/>
                </w:tcPr>
                <w:p w14:paraId="3183F3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tLeast"/>
                    <w:ind w:left="0" w:leftChars="0" w:right="0"/>
                    <w:jc w:val="center"/>
                    <w:textAlignment w:val="auto"/>
                    <w:rPr>
                      <w:rFonts w:hint="default" w:ascii="Times New Roman" w:hAnsi="Times New Roman" w:eastAsia="宋体" w:cs="Times New Roman"/>
                      <w:b w:val="0"/>
                      <w:bCs/>
                      <w:color w:val="auto"/>
                      <w:sz w:val="21"/>
                      <w:szCs w:val="21"/>
                      <w:lang w:val="en-US" w:eastAsia="zh-CN"/>
                    </w:rPr>
                  </w:pPr>
                </w:p>
              </w:tc>
              <w:tc>
                <w:tcPr>
                  <w:tcW w:w="1241" w:type="dxa"/>
                  <w:noWrap w:val="0"/>
                  <w:vAlign w:val="center"/>
                </w:tcPr>
                <w:p w14:paraId="1AD561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45</w:t>
                  </w:r>
                </w:p>
              </w:tc>
            </w:tr>
          </w:tbl>
          <w:p w14:paraId="5F0128D5">
            <w:pPr>
              <w:pStyle w:val="5"/>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bCs/>
                <w:color w:val="auto"/>
                <w:sz w:val="24"/>
                <w:szCs w:val="24"/>
                <w:vertAlign w:val="baseline"/>
                <w:lang w:val="en-US" w:eastAsia="zh-CN"/>
              </w:rPr>
            </w:pPr>
            <w:r>
              <w:rPr>
                <w:rFonts w:hint="eastAsia" w:ascii="Times New Roman" w:hAnsi="Times New Roman" w:eastAsia="宋体" w:cs="Times New Roman"/>
                <w:bCs/>
                <w:color w:val="auto"/>
                <w:sz w:val="24"/>
                <w:szCs w:val="24"/>
                <w:lang w:val="en-US" w:eastAsia="zh-CN"/>
              </w:rPr>
              <w:t>监测结果和标准比较可知，厂界四周东、南、西、北厂界环境昼间噪声值在53~5</w:t>
            </w:r>
            <w:r>
              <w:rPr>
                <w:rFonts w:hint="eastAsia" w:ascii="Times New Roman" w:hAnsi="Times New Roman" w:cs="Times New Roman"/>
                <w:bCs/>
                <w:color w:val="auto"/>
                <w:sz w:val="24"/>
                <w:szCs w:val="24"/>
                <w:lang w:val="en-US" w:eastAsia="zh-CN"/>
              </w:rPr>
              <w:t>4</w:t>
            </w:r>
            <w:r>
              <w:rPr>
                <w:rFonts w:hint="eastAsia" w:ascii="Times New Roman" w:hAnsi="Times New Roman" w:eastAsia="宋体" w:cs="Times New Roman"/>
                <w:bCs/>
                <w:color w:val="auto"/>
                <w:sz w:val="24"/>
                <w:szCs w:val="24"/>
                <w:lang w:val="en-US" w:eastAsia="zh-CN"/>
              </w:rPr>
              <w:t>范围内，夜间噪声值在45~47范围内所有监测点都能达到《声环境质量标准》</w:t>
            </w:r>
            <w:r>
              <w:rPr>
                <w:rFonts w:hint="eastAsia" w:ascii="Times New Roman" w:hAnsi="Times New Roman" w:cs="Times New Roman"/>
                <w:bCs/>
                <w:color w:val="auto"/>
                <w:sz w:val="24"/>
                <w:szCs w:val="24"/>
                <w:lang w:val="en-US" w:eastAsia="zh-CN"/>
              </w:rPr>
              <w:t xml:space="preserve"> （</w:t>
            </w:r>
            <w:r>
              <w:rPr>
                <w:rFonts w:hint="eastAsia" w:ascii="Times New Roman" w:hAnsi="Times New Roman" w:eastAsia="宋体" w:cs="Times New Roman"/>
                <w:bCs/>
                <w:color w:val="auto"/>
                <w:sz w:val="24"/>
                <w:szCs w:val="24"/>
                <w:lang w:val="en-US" w:eastAsia="zh-CN"/>
              </w:rPr>
              <w:t>GB3096-2008</w:t>
            </w:r>
            <w:r>
              <w:rPr>
                <w:rFonts w:hint="eastAsia" w:ascii="Times New Roman" w:hAnsi="Times New Roman" w:cs="Times New Roman"/>
                <w:bCs/>
                <w:color w:val="auto"/>
                <w:sz w:val="24"/>
                <w:szCs w:val="24"/>
                <w:lang w:val="en-US" w:eastAsia="zh-CN"/>
              </w:rPr>
              <w:t>）2</w:t>
            </w:r>
            <w:r>
              <w:rPr>
                <w:rFonts w:hint="eastAsia" w:ascii="Times New Roman" w:hAnsi="Times New Roman" w:eastAsia="宋体" w:cs="Times New Roman"/>
                <w:bCs/>
                <w:color w:val="auto"/>
                <w:sz w:val="24"/>
                <w:szCs w:val="24"/>
                <w:lang w:val="en-US" w:eastAsia="zh-CN"/>
              </w:rPr>
              <w:t>类区标准，表明项目所在地声环境质量较好。</w:t>
            </w:r>
          </w:p>
          <w:p w14:paraId="71F80498">
            <w:pPr>
              <w:keepNext w:val="0"/>
              <w:keepLines w:val="0"/>
              <w:pageBreakBefore w:val="0"/>
              <w:suppressLineNumbers w:val="0"/>
              <w:wordWrap/>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3、地表水</w:t>
            </w:r>
          </w:p>
          <w:p w14:paraId="6E7EF774">
            <w:pPr>
              <w:keepNext w:val="0"/>
              <w:keepLines w:val="0"/>
              <w:pageBreakBefore w:val="0"/>
              <w:suppressLineNumbers w:val="0"/>
              <w:wordWrap/>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项目运营期无废水产生，本次评价不进行地表水现状监测。</w:t>
            </w:r>
          </w:p>
          <w:p w14:paraId="0904DF93">
            <w:pPr>
              <w:keepNext w:val="0"/>
              <w:keepLines w:val="0"/>
              <w:pageBreakBefore w:val="0"/>
              <w:suppressLineNumbers w:val="0"/>
              <w:wordWrap/>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4、地下水、土壤</w:t>
            </w:r>
          </w:p>
          <w:p w14:paraId="34538D33">
            <w:pPr>
              <w:keepNext w:val="0"/>
              <w:keepLines w:val="0"/>
              <w:pageBreakBefore w:val="0"/>
              <w:suppressLineNumbers w:val="0"/>
              <w:wordWrap/>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项目运营期正常工况下不存在地下水及土壤污染源及污染途径，根据《建设项目环境影响报告表编制技术指南（污染影响类）》（试行）中的相关规定，本次评价不进行地下水、土壤环境现状监测。</w:t>
            </w:r>
          </w:p>
          <w:p w14:paraId="75B6A1F2">
            <w:pPr>
              <w:keepNext w:val="0"/>
              <w:keepLines w:val="0"/>
              <w:pageBreakBefore w:val="0"/>
              <w:suppressLineNumbers w:val="0"/>
              <w:wordWrap/>
              <w:topLinePunct w:val="0"/>
              <w:autoSpaceDE/>
              <w:autoSpaceDN/>
              <w:bidi w:val="0"/>
              <w:adjustRightInd/>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5、生态</w:t>
            </w:r>
          </w:p>
          <w:p w14:paraId="0E44E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val="en-US" w:eastAsia="zh-CN"/>
              </w:rPr>
              <w:t>建设地点位于巴彦淖尔华油天然气有限责任公司现有厂区内，</w:t>
            </w:r>
            <w:r>
              <w:rPr>
                <w:rFonts w:hint="eastAsia" w:ascii="Times New Roman" w:hAnsi="Times New Roman" w:eastAsia="宋体" w:cs="Times New Roman"/>
                <w:color w:val="auto"/>
                <w:sz w:val="24"/>
                <w:szCs w:val="24"/>
              </w:rPr>
              <w:t>厂址位于园区规划范围内，不新增占地，周边无生态环境敏感目标，根据《建设项目环境影响报告表编制技术指南（污染影响类）》（试行）中的相关规定，本次不进行生态环境质量现状调查工作。</w:t>
            </w:r>
          </w:p>
        </w:tc>
      </w:tr>
      <w:tr w14:paraId="3503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14:paraId="1B69B168">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环境保护目标</w:t>
            </w:r>
          </w:p>
        </w:tc>
        <w:tc>
          <w:tcPr>
            <w:tcW w:w="9198" w:type="dxa"/>
          </w:tcPr>
          <w:p w14:paraId="2717D6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本项目建设地点位于巴彦淖尔华油天然气有限责任公司现有厂区内，</w:t>
            </w:r>
            <w:r>
              <w:rPr>
                <w:rFonts w:hint="eastAsia" w:ascii="Times New Roman" w:hAnsi="Times New Roman" w:eastAsia="宋体" w:cs="Times New Roman"/>
                <w:color w:val="auto"/>
                <w:sz w:val="24"/>
                <w:szCs w:val="24"/>
                <w:highlight w:val="none"/>
                <w:lang w:val="en-US" w:eastAsia="zh-CN"/>
              </w:rPr>
              <w:t>根据现场调查，本项目评价区域内无濒危动植物、风景名胜区、水源地保护区、自然保护区、其他著名旅游景点和文物古迹、珍稀动植物资源、温泉、疗养地等国家明令规定的保护对象。本项目厂界外50m范围内无声环境敏感目标；厂界外500m范围内无地下水集中饮用水水源和热水、矿泉水、温泉等特殊地下水资源。</w:t>
            </w:r>
            <w:r>
              <w:rPr>
                <w:rFonts w:hint="eastAsia" w:ascii="Times New Roman" w:hAnsi="Times New Roman" w:eastAsia="宋体" w:cs="Times New Roman"/>
                <w:color w:val="auto"/>
                <w:sz w:val="24"/>
                <w:szCs w:val="24"/>
              </w:rPr>
              <w:t>根据项目工程特点、评价区域环境特征，确定本项目环境保护目标及保护级别见表</w:t>
            </w:r>
            <w:r>
              <w:rPr>
                <w:rFonts w:hint="default"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w:t>
            </w:r>
          </w:p>
          <w:p w14:paraId="1B6BE27D">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w:t>
            </w:r>
            <w:r>
              <w:rPr>
                <w:rFonts w:hint="default" w:ascii="Times New Roman" w:hAnsi="Times New Roman" w:eastAsia="宋体"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 xml:space="preserve">3    </w:t>
            </w:r>
            <w:r>
              <w:rPr>
                <w:rFonts w:hint="default" w:ascii="Times New Roman" w:hAnsi="Times New Roman" w:eastAsia="宋体" w:cs="Times New Roman"/>
                <w:b/>
                <w:bCs/>
                <w:color w:val="auto"/>
                <w:sz w:val="21"/>
                <w:szCs w:val="21"/>
                <w:lang w:val="en-US" w:eastAsia="zh-CN"/>
              </w:rPr>
              <w:t>主要环境保护目标及保护级别</w:t>
            </w:r>
            <w:r>
              <w:rPr>
                <w:rFonts w:hint="eastAsia" w:ascii="Times New Roman" w:hAnsi="Times New Roman" w:eastAsia="宋体" w:cs="Times New Roman"/>
                <w:b/>
                <w:bCs/>
                <w:color w:val="auto"/>
                <w:sz w:val="21"/>
                <w:szCs w:val="21"/>
                <w:lang w:val="en-US" w:eastAsia="zh-CN"/>
              </w:rPr>
              <w:t>一览表</w:t>
            </w:r>
          </w:p>
          <w:tbl>
            <w:tblPr>
              <w:tblStyle w:val="17"/>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29"/>
              <w:gridCol w:w="904"/>
              <w:gridCol w:w="809"/>
              <w:gridCol w:w="632"/>
              <w:gridCol w:w="780"/>
              <w:gridCol w:w="968"/>
              <w:gridCol w:w="1040"/>
              <w:gridCol w:w="579"/>
              <w:gridCol w:w="2205"/>
            </w:tblGrid>
            <w:tr w14:paraId="4C4EC4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9" w:hRule="atLeast"/>
                <w:tblHeader/>
                <w:jc w:val="center"/>
              </w:trPr>
              <w:tc>
                <w:tcPr>
                  <w:tcW w:w="575" w:type="pct"/>
                  <w:vMerge w:val="restart"/>
                  <w:tcBorders>
                    <w:tl2br w:val="nil"/>
                    <w:tr2bl w:val="nil"/>
                  </w:tcBorders>
                  <w:noWrap w:val="0"/>
                  <w:vAlign w:val="center"/>
                </w:tcPr>
                <w:p w14:paraId="243D39DD">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环境要素</w:t>
                  </w:r>
                </w:p>
              </w:tc>
              <w:tc>
                <w:tcPr>
                  <w:tcW w:w="505" w:type="pct"/>
                  <w:vMerge w:val="restart"/>
                  <w:tcBorders>
                    <w:tl2br w:val="nil"/>
                    <w:tr2bl w:val="nil"/>
                  </w:tcBorders>
                  <w:noWrap w:val="0"/>
                  <w:vAlign w:val="center"/>
                </w:tcPr>
                <w:p w14:paraId="416CD656">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敏感</w:t>
                  </w:r>
                </w:p>
                <w:p w14:paraId="28A235BF">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目标</w:t>
                  </w:r>
                </w:p>
              </w:tc>
              <w:tc>
                <w:tcPr>
                  <w:tcW w:w="805" w:type="pct"/>
                  <w:gridSpan w:val="2"/>
                  <w:tcBorders>
                    <w:tl2br w:val="nil"/>
                    <w:tr2bl w:val="nil"/>
                  </w:tcBorders>
                  <w:noWrap w:val="0"/>
                  <w:vAlign w:val="center"/>
                </w:tcPr>
                <w:p w14:paraId="28F7F019">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坐标</w:t>
                  </w:r>
                </w:p>
              </w:tc>
              <w:tc>
                <w:tcPr>
                  <w:tcW w:w="436" w:type="pct"/>
                  <w:vMerge w:val="restart"/>
                  <w:tcBorders>
                    <w:tl2br w:val="nil"/>
                    <w:tr2bl w:val="nil"/>
                  </w:tcBorders>
                  <w:noWrap w:val="0"/>
                  <w:vAlign w:val="center"/>
                </w:tcPr>
                <w:p w14:paraId="0E4AF81A">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方位</w:t>
                  </w:r>
                </w:p>
              </w:tc>
              <w:tc>
                <w:tcPr>
                  <w:tcW w:w="541" w:type="pct"/>
                  <w:vMerge w:val="restart"/>
                  <w:tcBorders>
                    <w:tl2br w:val="nil"/>
                    <w:tr2bl w:val="nil"/>
                  </w:tcBorders>
                  <w:noWrap w:val="0"/>
                  <w:vAlign w:val="center"/>
                </w:tcPr>
                <w:p w14:paraId="500478D0">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距项目区域的距离（m）</w:t>
                  </w:r>
                </w:p>
              </w:tc>
              <w:tc>
                <w:tcPr>
                  <w:tcW w:w="581" w:type="pct"/>
                  <w:vMerge w:val="restart"/>
                  <w:tcBorders>
                    <w:tl2br w:val="nil"/>
                    <w:tr2bl w:val="nil"/>
                  </w:tcBorders>
                  <w:noWrap w:val="0"/>
                  <w:vAlign w:val="center"/>
                </w:tcPr>
                <w:p w14:paraId="0B119CE5">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人口</w:t>
                  </w:r>
                </w:p>
                <w:p w14:paraId="690103DB">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（户/人）</w:t>
                  </w:r>
                </w:p>
              </w:tc>
              <w:tc>
                <w:tcPr>
                  <w:tcW w:w="322" w:type="pct"/>
                  <w:vMerge w:val="restart"/>
                  <w:tcBorders>
                    <w:tl2br w:val="nil"/>
                    <w:tr2bl w:val="nil"/>
                  </w:tcBorders>
                  <w:noWrap w:val="0"/>
                  <w:vAlign w:val="center"/>
                </w:tcPr>
                <w:p w14:paraId="117414C8">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保护</w:t>
                  </w:r>
                </w:p>
                <w:p w14:paraId="0C110EFC">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对象</w:t>
                  </w:r>
                </w:p>
              </w:tc>
              <w:tc>
                <w:tcPr>
                  <w:tcW w:w="1232" w:type="pct"/>
                  <w:vMerge w:val="restart"/>
                  <w:tcBorders>
                    <w:tl2br w:val="nil"/>
                    <w:tr2bl w:val="nil"/>
                  </w:tcBorders>
                  <w:noWrap w:val="0"/>
                  <w:vAlign w:val="center"/>
                </w:tcPr>
                <w:p w14:paraId="4DFAB26A">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环境功能区</w:t>
                  </w:r>
                </w:p>
              </w:tc>
            </w:tr>
            <w:tr w14:paraId="5E4CB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5" w:hRule="atLeast"/>
                <w:tblHeader/>
                <w:jc w:val="center"/>
              </w:trPr>
              <w:tc>
                <w:tcPr>
                  <w:tcW w:w="575" w:type="pct"/>
                  <w:vMerge w:val="continue"/>
                  <w:tcBorders>
                    <w:tl2br w:val="nil"/>
                    <w:tr2bl w:val="nil"/>
                  </w:tcBorders>
                  <w:noWrap w:val="0"/>
                  <w:vAlign w:val="center"/>
                </w:tcPr>
                <w:p w14:paraId="70699CAA">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50" w:right="-50" w:firstLine="0" w:firstLineChars="0"/>
                    <w:jc w:val="center"/>
                    <w:textAlignment w:val="auto"/>
                    <w:rPr>
                      <w:rFonts w:hint="eastAsia" w:ascii="宋体" w:hAnsi="宋体" w:eastAsia="宋体" w:cs="宋体"/>
                      <w:color w:val="auto"/>
                      <w:sz w:val="21"/>
                      <w:szCs w:val="21"/>
                    </w:rPr>
                  </w:pPr>
                </w:p>
              </w:tc>
              <w:tc>
                <w:tcPr>
                  <w:tcW w:w="505" w:type="pct"/>
                  <w:vMerge w:val="continue"/>
                  <w:tcBorders>
                    <w:tl2br w:val="nil"/>
                    <w:tr2bl w:val="nil"/>
                  </w:tcBorders>
                  <w:noWrap w:val="0"/>
                  <w:vAlign w:val="center"/>
                </w:tcPr>
                <w:p w14:paraId="29E18640">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color w:val="auto"/>
                      <w:sz w:val="21"/>
                      <w:szCs w:val="21"/>
                    </w:rPr>
                  </w:pPr>
                </w:p>
              </w:tc>
              <w:tc>
                <w:tcPr>
                  <w:tcW w:w="452" w:type="pct"/>
                  <w:tcBorders>
                    <w:tl2br w:val="nil"/>
                    <w:tr2bl w:val="nil"/>
                  </w:tcBorders>
                  <w:noWrap w:val="0"/>
                  <w:vAlign w:val="center"/>
                </w:tcPr>
                <w:p w14:paraId="7D3CFD9A">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东经</w:t>
                  </w:r>
                </w:p>
              </w:tc>
              <w:tc>
                <w:tcPr>
                  <w:tcW w:w="353" w:type="pct"/>
                  <w:tcBorders>
                    <w:tl2br w:val="nil"/>
                    <w:tr2bl w:val="nil"/>
                  </w:tcBorders>
                  <w:noWrap w:val="0"/>
                  <w:vAlign w:val="center"/>
                </w:tcPr>
                <w:p w14:paraId="2BDB89D7">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b/>
                      <w:bCs/>
                      <w:color w:val="auto"/>
                      <w:sz w:val="21"/>
                      <w:szCs w:val="21"/>
                    </w:rPr>
                  </w:pPr>
                  <w:r>
                    <w:rPr>
                      <w:rFonts w:hint="eastAsia" w:ascii="宋体" w:hAnsi="宋体" w:eastAsia="宋体" w:cs="宋体"/>
                      <w:b/>
                      <w:bCs/>
                      <w:color w:val="auto"/>
                      <w:sz w:val="21"/>
                      <w:szCs w:val="21"/>
                    </w:rPr>
                    <w:t>北纬</w:t>
                  </w:r>
                </w:p>
              </w:tc>
              <w:tc>
                <w:tcPr>
                  <w:tcW w:w="436" w:type="pct"/>
                  <w:vMerge w:val="continue"/>
                  <w:tcBorders>
                    <w:tl2br w:val="nil"/>
                    <w:tr2bl w:val="nil"/>
                  </w:tcBorders>
                  <w:noWrap w:val="0"/>
                  <w:vAlign w:val="center"/>
                </w:tcPr>
                <w:p w14:paraId="2C1D138C">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50" w:right="-50" w:firstLine="0" w:firstLineChars="0"/>
                    <w:jc w:val="center"/>
                    <w:textAlignment w:val="auto"/>
                    <w:rPr>
                      <w:rFonts w:hint="eastAsia" w:ascii="宋体" w:hAnsi="宋体" w:eastAsia="宋体" w:cs="宋体"/>
                      <w:color w:val="auto"/>
                      <w:sz w:val="21"/>
                      <w:szCs w:val="21"/>
                    </w:rPr>
                  </w:pPr>
                </w:p>
              </w:tc>
              <w:tc>
                <w:tcPr>
                  <w:tcW w:w="541" w:type="pct"/>
                  <w:vMerge w:val="continue"/>
                  <w:tcBorders>
                    <w:tl2br w:val="nil"/>
                    <w:tr2bl w:val="nil"/>
                  </w:tcBorders>
                  <w:noWrap w:val="0"/>
                  <w:vAlign w:val="center"/>
                </w:tcPr>
                <w:p w14:paraId="07E8667F">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50" w:right="-50" w:firstLine="0" w:firstLineChars="0"/>
                    <w:jc w:val="center"/>
                    <w:textAlignment w:val="auto"/>
                    <w:rPr>
                      <w:rFonts w:hint="eastAsia" w:ascii="宋体" w:hAnsi="宋体" w:eastAsia="宋体" w:cs="宋体"/>
                      <w:color w:val="auto"/>
                      <w:sz w:val="21"/>
                      <w:szCs w:val="21"/>
                    </w:rPr>
                  </w:pPr>
                </w:p>
              </w:tc>
              <w:tc>
                <w:tcPr>
                  <w:tcW w:w="581" w:type="pct"/>
                  <w:vMerge w:val="continue"/>
                  <w:tcBorders>
                    <w:tl2br w:val="nil"/>
                    <w:tr2bl w:val="nil"/>
                  </w:tcBorders>
                  <w:noWrap w:val="0"/>
                  <w:vAlign w:val="center"/>
                </w:tcPr>
                <w:p w14:paraId="44F199BB">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50" w:right="-50" w:firstLine="0" w:firstLineChars="0"/>
                    <w:jc w:val="center"/>
                    <w:textAlignment w:val="auto"/>
                    <w:rPr>
                      <w:rFonts w:hint="eastAsia" w:ascii="宋体" w:hAnsi="宋体" w:eastAsia="宋体" w:cs="宋体"/>
                      <w:color w:val="auto"/>
                      <w:sz w:val="21"/>
                      <w:szCs w:val="21"/>
                    </w:rPr>
                  </w:pPr>
                </w:p>
              </w:tc>
              <w:tc>
                <w:tcPr>
                  <w:tcW w:w="322" w:type="pct"/>
                  <w:vMerge w:val="continue"/>
                  <w:tcBorders>
                    <w:tl2br w:val="nil"/>
                    <w:tr2bl w:val="nil"/>
                  </w:tcBorders>
                  <w:noWrap w:val="0"/>
                  <w:vAlign w:val="center"/>
                </w:tcPr>
                <w:p w14:paraId="5D2D0079">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50" w:right="-50" w:firstLine="0" w:firstLineChars="0"/>
                    <w:jc w:val="center"/>
                    <w:textAlignment w:val="auto"/>
                    <w:rPr>
                      <w:rFonts w:hint="eastAsia" w:ascii="宋体" w:hAnsi="宋体" w:eastAsia="宋体" w:cs="宋体"/>
                      <w:color w:val="auto"/>
                      <w:sz w:val="21"/>
                      <w:szCs w:val="21"/>
                    </w:rPr>
                  </w:pPr>
                </w:p>
              </w:tc>
              <w:tc>
                <w:tcPr>
                  <w:tcW w:w="1232" w:type="pct"/>
                  <w:vMerge w:val="continue"/>
                  <w:tcBorders>
                    <w:tl2br w:val="nil"/>
                    <w:tr2bl w:val="nil"/>
                  </w:tcBorders>
                  <w:noWrap w:val="0"/>
                  <w:vAlign w:val="center"/>
                </w:tcPr>
                <w:p w14:paraId="1467EA85">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50" w:right="-50" w:firstLine="0" w:firstLineChars="0"/>
                    <w:jc w:val="center"/>
                    <w:textAlignment w:val="auto"/>
                    <w:rPr>
                      <w:rFonts w:hint="eastAsia" w:ascii="宋体" w:hAnsi="宋体" w:eastAsia="宋体" w:cs="宋体"/>
                      <w:color w:val="auto"/>
                      <w:sz w:val="21"/>
                      <w:szCs w:val="21"/>
                    </w:rPr>
                  </w:pPr>
                </w:p>
              </w:tc>
            </w:tr>
            <w:tr w14:paraId="519670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56" w:hRule="atLeast"/>
                <w:jc w:val="center"/>
              </w:trPr>
              <w:tc>
                <w:tcPr>
                  <w:tcW w:w="575" w:type="pct"/>
                  <w:tcBorders>
                    <w:tl2br w:val="nil"/>
                    <w:tr2bl w:val="nil"/>
                  </w:tcBorders>
                  <w:noWrap w:val="0"/>
                  <w:vAlign w:val="center"/>
                </w:tcPr>
                <w:p w14:paraId="5B9F321E">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环境空气</w:t>
                  </w:r>
                </w:p>
              </w:tc>
              <w:tc>
                <w:tcPr>
                  <w:tcW w:w="3192" w:type="pct"/>
                  <w:gridSpan w:val="7"/>
                  <w:tcBorders>
                    <w:tl2br w:val="nil"/>
                    <w:tr2bl w:val="nil"/>
                  </w:tcBorders>
                  <w:noWrap w:val="0"/>
                  <w:vAlign w:val="center"/>
                </w:tcPr>
                <w:p w14:paraId="071BCD7C">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厂界500米范围内无自然保护区、风景名胜区、居住区、文化区和农村地区中人群较集中的区域</w:t>
                  </w:r>
                </w:p>
              </w:tc>
              <w:tc>
                <w:tcPr>
                  <w:tcW w:w="1232" w:type="pct"/>
                  <w:tcBorders>
                    <w:tl2br w:val="nil"/>
                    <w:tr2bl w:val="nil"/>
                  </w:tcBorders>
                  <w:noWrap w:val="0"/>
                  <w:vAlign w:val="center"/>
                </w:tcPr>
                <w:p w14:paraId="68C54196">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《环境空气质量标准）》(GB3095-2012)中二类区</w:t>
                  </w:r>
                </w:p>
              </w:tc>
            </w:tr>
            <w:tr w14:paraId="11BFE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4" w:hRule="atLeast"/>
                <w:jc w:val="center"/>
              </w:trPr>
              <w:tc>
                <w:tcPr>
                  <w:tcW w:w="575" w:type="pct"/>
                  <w:tcBorders>
                    <w:tl2br w:val="nil"/>
                    <w:tr2bl w:val="nil"/>
                  </w:tcBorders>
                  <w:noWrap w:val="0"/>
                  <w:vAlign w:val="center"/>
                </w:tcPr>
                <w:p w14:paraId="40EA83AF">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声环境</w:t>
                  </w:r>
                </w:p>
              </w:tc>
              <w:tc>
                <w:tcPr>
                  <w:tcW w:w="3192" w:type="pct"/>
                  <w:gridSpan w:val="7"/>
                  <w:tcBorders>
                    <w:tl2br w:val="nil"/>
                    <w:tr2bl w:val="nil"/>
                  </w:tcBorders>
                  <w:noWrap w:val="0"/>
                  <w:vAlign w:val="center"/>
                </w:tcPr>
                <w:p w14:paraId="3964DAFB">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Style w:val="22"/>
                      <w:rFonts w:hint="eastAsia" w:ascii="宋体" w:hAnsi="宋体" w:eastAsia="宋体" w:cs="宋体"/>
                      <w:color w:val="auto"/>
                      <w:sz w:val="21"/>
                      <w:szCs w:val="21"/>
                      <w:lang w:val="en-US" w:eastAsia="zh-CN"/>
                    </w:rPr>
                  </w:pPr>
                  <w:r>
                    <w:rPr>
                      <w:rStyle w:val="22"/>
                      <w:rFonts w:hint="eastAsia" w:ascii="宋体" w:hAnsi="宋体" w:eastAsia="宋体" w:cs="宋体"/>
                      <w:color w:val="auto"/>
                      <w:sz w:val="21"/>
                      <w:szCs w:val="21"/>
                      <w:lang w:val="en-US" w:eastAsia="zh-CN"/>
                    </w:rPr>
                    <w:t>厂界外 50 米范围内无声环境保护目标</w:t>
                  </w:r>
                </w:p>
              </w:tc>
              <w:tc>
                <w:tcPr>
                  <w:tcW w:w="1232" w:type="pct"/>
                  <w:tcBorders>
                    <w:tl2br w:val="nil"/>
                    <w:tr2bl w:val="nil"/>
                  </w:tcBorders>
                  <w:noWrap w:val="0"/>
                  <w:vAlign w:val="center"/>
                </w:tcPr>
                <w:p w14:paraId="25D4760E">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《声环境质量标准》</w:t>
                  </w:r>
                </w:p>
                <w:p w14:paraId="79ACEA20">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Style w:val="22"/>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（GB3096-2008）2类标准</w:t>
                  </w:r>
                </w:p>
              </w:tc>
            </w:tr>
            <w:tr w14:paraId="187CB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575" w:type="pct"/>
                  <w:tcBorders>
                    <w:tl2br w:val="nil"/>
                    <w:tr2bl w:val="nil"/>
                  </w:tcBorders>
                  <w:noWrap w:val="0"/>
                  <w:vAlign w:val="center"/>
                </w:tcPr>
                <w:p w14:paraId="2D886FB6">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地下水</w:t>
                  </w:r>
                </w:p>
              </w:tc>
              <w:tc>
                <w:tcPr>
                  <w:tcW w:w="4424" w:type="pct"/>
                  <w:gridSpan w:val="8"/>
                  <w:tcBorders>
                    <w:tl2br w:val="nil"/>
                    <w:tr2bl w:val="nil"/>
                  </w:tcBorders>
                  <w:noWrap w:val="0"/>
                  <w:vAlign w:val="center"/>
                </w:tcPr>
                <w:p w14:paraId="20AF2213">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Style w:val="22"/>
                      <w:rFonts w:hint="eastAsia" w:ascii="宋体" w:hAnsi="宋体" w:eastAsia="宋体" w:cs="宋体"/>
                      <w:color w:val="auto"/>
                      <w:sz w:val="21"/>
                      <w:szCs w:val="21"/>
                      <w:lang w:val="en-US" w:eastAsia="zh-CN"/>
                    </w:rPr>
                  </w:pPr>
                  <w:r>
                    <w:rPr>
                      <w:rStyle w:val="22"/>
                      <w:rFonts w:hint="eastAsia" w:ascii="宋体" w:hAnsi="宋体" w:eastAsia="宋体" w:cs="宋体"/>
                      <w:color w:val="auto"/>
                      <w:sz w:val="21"/>
                      <w:szCs w:val="21"/>
                      <w:lang w:val="en-US" w:eastAsia="zh-CN"/>
                    </w:rPr>
                    <w:t>厂界外 500 米范围内</w:t>
                  </w:r>
                  <w:r>
                    <w:rPr>
                      <w:rStyle w:val="22"/>
                      <w:rFonts w:hint="eastAsia" w:ascii="宋体" w:hAnsi="宋体" w:eastAsia="宋体" w:cs="宋体"/>
                      <w:color w:val="auto"/>
                      <w:sz w:val="21"/>
                      <w:szCs w:val="21"/>
                      <w:highlight w:val="none"/>
                      <w:lang w:val="en-US" w:eastAsia="zh-CN"/>
                    </w:rPr>
                    <w:t>无地下水集中式饮用</w:t>
                  </w:r>
                  <w:r>
                    <w:rPr>
                      <w:rStyle w:val="22"/>
                      <w:rFonts w:hint="eastAsia" w:ascii="宋体" w:hAnsi="宋体" w:eastAsia="宋体" w:cs="宋体"/>
                      <w:color w:val="auto"/>
                      <w:sz w:val="21"/>
                      <w:szCs w:val="21"/>
                      <w:lang w:val="en-US" w:eastAsia="zh-CN"/>
                    </w:rPr>
                    <w:t>水源和热水、矿泉水、温泉等特殊地下水资源</w:t>
                  </w:r>
                </w:p>
              </w:tc>
            </w:tr>
            <w:tr w14:paraId="412637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575" w:type="pct"/>
                  <w:tcBorders>
                    <w:tl2br w:val="nil"/>
                    <w:tr2bl w:val="nil"/>
                  </w:tcBorders>
                  <w:noWrap w:val="0"/>
                  <w:vAlign w:val="center"/>
                </w:tcPr>
                <w:p w14:paraId="79453B1D">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Fonts w:hint="eastAsia" w:ascii="宋体" w:hAnsi="宋体" w:eastAsia="宋体" w:cs="宋体"/>
                      <w:color w:val="auto"/>
                      <w:sz w:val="21"/>
                      <w:szCs w:val="21"/>
                      <w:lang w:val="en-US" w:eastAsia="zh-CN"/>
                    </w:rPr>
                  </w:pPr>
                  <w:r>
                    <w:rPr>
                      <w:rStyle w:val="22"/>
                      <w:rFonts w:hint="eastAsia" w:ascii="宋体" w:hAnsi="宋体" w:eastAsia="宋体" w:cs="宋体"/>
                      <w:color w:val="auto"/>
                      <w:sz w:val="21"/>
                      <w:szCs w:val="21"/>
                      <w:lang w:val="en-US" w:eastAsia="zh-CN"/>
                    </w:rPr>
                    <w:t>生态环境</w:t>
                  </w:r>
                </w:p>
              </w:tc>
              <w:tc>
                <w:tcPr>
                  <w:tcW w:w="4424" w:type="pct"/>
                  <w:gridSpan w:val="8"/>
                  <w:tcBorders>
                    <w:tl2br w:val="nil"/>
                    <w:tr2bl w:val="nil"/>
                  </w:tcBorders>
                  <w:noWrap w:val="0"/>
                  <w:vAlign w:val="center"/>
                </w:tcPr>
                <w:p w14:paraId="29837F86">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240" w:lineRule="atLeast"/>
                    <w:ind w:left="-105" w:leftChars="-50" w:right="-105" w:rightChars="-50" w:firstLine="0" w:firstLineChars="0"/>
                    <w:jc w:val="center"/>
                    <w:textAlignment w:val="auto"/>
                    <w:rPr>
                      <w:rStyle w:val="22"/>
                      <w:rFonts w:hint="eastAsia" w:ascii="宋体" w:hAnsi="宋体" w:eastAsia="宋体" w:cs="宋体"/>
                      <w:color w:val="auto"/>
                      <w:sz w:val="21"/>
                      <w:szCs w:val="21"/>
                      <w:lang w:val="en-US" w:eastAsia="zh-CN"/>
                    </w:rPr>
                  </w:pPr>
                  <w:r>
                    <w:rPr>
                      <w:rStyle w:val="22"/>
                      <w:rFonts w:hint="eastAsia" w:ascii="宋体" w:hAnsi="宋体" w:eastAsia="宋体" w:cs="宋体"/>
                      <w:color w:val="auto"/>
                      <w:sz w:val="21"/>
                      <w:szCs w:val="21"/>
                      <w:lang w:val="en-US" w:eastAsia="zh-CN"/>
                    </w:rPr>
                    <w:t>本项目位于巴彦淖尔华油天然气有限责任公司现有厂区内，不新增占地，无生态环境保护目标</w:t>
                  </w:r>
                </w:p>
              </w:tc>
            </w:tr>
          </w:tbl>
          <w:p w14:paraId="124DCA86">
            <w:pPr>
              <w:keepNext w:val="0"/>
              <w:keepLines w:val="0"/>
              <w:suppressLineNumbers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szCs w:val="24"/>
              </w:rPr>
            </w:pPr>
          </w:p>
        </w:tc>
      </w:tr>
      <w:tr w14:paraId="2080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4" w:type="dxa"/>
            <w:vAlign w:val="center"/>
          </w:tcPr>
          <w:p w14:paraId="43F49878">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污染物排放控制标准</w:t>
            </w:r>
          </w:p>
        </w:tc>
        <w:tc>
          <w:tcPr>
            <w:tcW w:w="9198" w:type="dxa"/>
          </w:tcPr>
          <w:p w14:paraId="2AE2B336">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1、噪声排放标准</w:t>
            </w:r>
          </w:p>
          <w:p w14:paraId="18D8FAAC">
            <w:pPr>
              <w:keepNext/>
              <w:keepLines/>
              <w:pageBreakBefore w:val="0"/>
              <w:widowControl/>
              <w:suppressLineNumbers w:val="0"/>
              <w:kinsoku w:val="0"/>
              <w:wordWrap/>
              <w:overflowPunct w:val="0"/>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根据项目区域现有环境影响评价执行标准，</w:t>
            </w:r>
            <w:r>
              <w:rPr>
                <w:rFonts w:hint="eastAsia" w:ascii="Times New Roman" w:hAnsi="Times New Roman" w:eastAsia="宋体" w:cs="Times New Roman"/>
                <w:color w:val="auto"/>
                <w:sz w:val="24"/>
                <w:szCs w:val="24"/>
              </w:rPr>
              <w:t>本项目厂界施工期执行《建筑施工场界环境噪声排放标准》（GB12523－2011）标准；</w:t>
            </w:r>
          </w:p>
          <w:p w14:paraId="4B2F4542">
            <w:pPr>
              <w:keepNext/>
              <w:keepLines/>
              <w:pageBreakBefore w:val="0"/>
              <w:widowControl/>
              <w:suppressLineNumbers w:val="0"/>
              <w:kinsoku/>
              <w:wordWrap w:val="0"/>
              <w:overflowPunct/>
              <w:topLinePunct/>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巴彦淖尔华油天然气有限责任公司现有厂区属于巴彦淖尔市磴口县工业园区项目执行</w:t>
            </w:r>
            <w:r>
              <w:rPr>
                <w:rFonts w:hint="eastAsia" w:ascii="Times New Roman" w:hAnsi="Times New Roman" w:eastAsia="宋体" w:cs="Times New Roman"/>
                <w:color w:val="auto"/>
                <w:sz w:val="24"/>
                <w:szCs w:val="24"/>
              </w:rPr>
              <w:t>《工业企业厂界环境噪声排放标准》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GB12348－2008</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中的</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类标准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rPr>
              <w:t>《巴彦淖尔市人民政府办公室关于巴彦淖尔市</w:t>
            </w:r>
            <w:r>
              <w:rPr>
                <w:rFonts w:hint="default" w:ascii="Times New Roman" w:hAnsi="Times New Roman" w:eastAsia="宋体" w:cs="Times New Roman"/>
                <w:color w:val="auto"/>
                <w:sz w:val="24"/>
                <w:szCs w:val="24"/>
              </w:rPr>
              <w:t>2023年生态环境分区管控成果动态更新的通知》（巴政办字</w:t>
            </w:r>
            <w:r>
              <w:rPr>
                <w:rFonts w:hint="eastAsia" w:ascii="Times New Roman" w:hAnsi="Times New Roman" w:eastAsia="宋体" w:cs="Times New Roman"/>
                <w:color w:val="auto"/>
                <w:sz w:val="24"/>
                <w:szCs w:val="24"/>
                <w:lang w:eastAsia="zh-CN"/>
              </w:rPr>
              <w:t>〔2023〕106号</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，同时查询内蒙古自治区“三线一单”数据应用平台，</w:t>
            </w:r>
            <w:r>
              <w:rPr>
                <w:rFonts w:hint="eastAsia" w:ascii="Times New Roman" w:hAnsi="Times New Roman" w:eastAsia="宋体" w:cs="Times New Roman"/>
                <w:color w:val="auto"/>
                <w:sz w:val="24"/>
                <w:szCs w:val="24"/>
                <w:lang w:val="en-US" w:eastAsia="zh-CN"/>
              </w:rPr>
              <w:t>本项目位于“磴口县城镇空间”，按照《工业企业厂界环境噪声排放标准</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GB12348-2008），</w:t>
            </w:r>
            <w:r>
              <w:rPr>
                <w:rFonts w:hint="eastAsia" w:ascii="Times New Roman" w:hAnsi="Times New Roman" w:eastAsia="宋体" w:cs="Times New Roman"/>
                <w:color w:val="auto"/>
                <w:sz w:val="24"/>
                <w:szCs w:val="24"/>
              </w:rPr>
              <w:t>运营期噪声执行《工业企业厂界环境噪声排放标准》</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GB12348－2008</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中的</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类标准，标准值见表</w:t>
            </w:r>
            <w:r>
              <w:rPr>
                <w:rFonts w:hint="eastAsia" w:ascii="Times New Roman" w:hAnsi="Times New Roman" w:eastAsia="宋体" w:cs="Times New Roman"/>
                <w:color w:val="auto"/>
                <w:sz w:val="24"/>
                <w:szCs w:val="24"/>
                <w:lang w:val="en-US" w:eastAsia="zh-CN"/>
              </w:rPr>
              <w:t>3-4</w:t>
            </w:r>
            <w:r>
              <w:rPr>
                <w:rFonts w:hint="eastAsia" w:ascii="Times New Roman" w:hAnsi="Times New Roman" w:eastAsia="宋体" w:cs="Times New Roman"/>
                <w:color w:val="auto"/>
                <w:sz w:val="24"/>
                <w:szCs w:val="24"/>
              </w:rPr>
              <w:t>。</w:t>
            </w:r>
          </w:p>
          <w:p w14:paraId="7672A76F">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bookmarkStart w:id="0" w:name="_Toc24546870"/>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3-4</w:t>
            </w:r>
            <w:r>
              <w:rPr>
                <w:rFonts w:hint="default" w:ascii="Times New Roman" w:hAnsi="Times New Roman" w:eastAsia="宋体" w:cs="Times New Roman"/>
                <w:b/>
                <w:bCs/>
                <w:color w:val="auto"/>
                <w:sz w:val="21"/>
                <w:szCs w:val="21"/>
                <w:lang w:val="en-US" w:eastAsia="zh-CN"/>
              </w:rPr>
              <w:t>工业企业厂界噪声排放标准</w:t>
            </w:r>
            <w:bookmarkEnd w:id="0"/>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19"/>
              <w:gridCol w:w="3208"/>
              <w:gridCol w:w="2407"/>
              <w:gridCol w:w="1282"/>
              <w:gridCol w:w="1136"/>
            </w:tblGrid>
            <w:tr w14:paraId="337A29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17" w:hRule="atLeast"/>
                <w:jc w:val="center"/>
              </w:trPr>
              <w:tc>
                <w:tcPr>
                  <w:tcW w:w="513" w:type="pct"/>
                  <w:vMerge w:val="restart"/>
                  <w:tcBorders>
                    <w:tl2br w:val="nil"/>
                    <w:tr2bl w:val="nil"/>
                  </w:tcBorders>
                  <w:noWrap w:val="0"/>
                  <w:vAlign w:val="center"/>
                </w:tcPr>
                <w:p w14:paraId="6BBCD72F">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噪声类别</w:t>
                  </w:r>
                </w:p>
              </w:tc>
              <w:tc>
                <w:tcPr>
                  <w:tcW w:w="3135" w:type="pct"/>
                  <w:gridSpan w:val="2"/>
                  <w:tcBorders>
                    <w:tl2br w:val="nil"/>
                    <w:tr2bl w:val="nil"/>
                  </w:tcBorders>
                  <w:noWrap w:val="0"/>
                  <w:vAlign w:val="center"/>
                </w:tcPr>
                <w:p w14:paraId="562A2BA8">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执行标准</w:t>
                  </w:r>
                </w:p>
              </w:tc>
              <w:tc>
                <w:tcPr>
                  <w:tcW w:w="1350" w:type="pct"/>
                  <w:gridSpan w:val="2"/>
                  <w:tcBorders>
                    <w:tl2br w:val="nil"/>
                    <w:tr2bl w:val="nil"/>
                  </w:tcBorders>
                  <w:noWrap w:val="0"/>
                  <w:vAlign w:val="center"/>
                </w:tcPr>
                <w:p w14:paraId="401F355D">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标准限值</w:t>
                  </w:r>
                </w:p>
              </w:tc>
            </w:tr>
            <w:tr w14:paraId="0EDCB8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35" w:hRule="atLeast"/>
                <w:jc w:val="center"/>
              </w:trPr>
              <w:tc>
                <w:tcPr>
                  <w:tcW w:w="513" w:type="pct"/>
                  <w:vMerge w:val="continue"/>
                  <w:tcBorders>
                    <w:tl2br w:val="nil"/>
                    <w:tr2bl w:val="nil"/>
                  </w:tcBorders>
                  <w:noWrap w:val="0"/>
                  <w:vAlign w:val="center"/>
                </w:tcPr>
                <w:p w14:paraId="540D55EC">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rPr>
                  </w:pPr>
                </w:p>
              </w:tc>
              <w:tc>
                <w:tcPr>
                  <w:tcW w:w="1791" w:type="pct"/>
                  <w:tcBorders>
                    <w:tl2br w:val="nil"/>
                    <w:tr2bl w:val="nil"/>
                  </w:tcBorders>
                  <w:noWrap w:val="0"/>
                  <w:vAlign w:val="center"/>
                </w:tcPr>
                <w:p w14:paraId="3F42F54F">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标准名称</w:t>
                  </w:r>
                </w:p>
              </w:tc>
              <w:tc>
                <w:tcPr>
                  <w:tcW w:w="1343" w:type="pct"/>
                  <w:tcBorders>
                    <w:tl2br w:val="nil"/>
                    <w:tr2bl w:val="nil"/>
                  </w:tcBorders>
                  <w:noWrap w:val="0"/>
                  <w:vAlign w:val="center"/>
                </w:tcPr>
                <w:p w14:paraId="11AE7EFC">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标准及级别</w:t>
                  </w:r>
                </w:p>
              </w:tc>
              <w:tc>
                <w:tcPr>
                  <w:tcW w:w="716" w:type="pct"/>
                  <w:tcBorders>
                    <w:tl2br w:val="nil"/>
                    <w:tr2bl w:val="nil"/>
                  </w:tcBorders>
                  <w:noWrap w:val="0"/>
                  <w:vAlign w:val="center"/>
                </w:tcPr>
                <w:p w14:paraId="7B8E3899">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昼间dB(A)</w:t>
                  </w:r>
                </w:p>
              </w:tc>
              <w:tc>
                <w:tcPr>
                  <w:tcW w:w="634" w:type="pct"/>
                  <w:tcBorders>
                    <w:tl2br w:val="nil"/>
                    <w:tr2bl w:val="nil"/>
                  </w:tcBorders>
                  <w:noWrap w:val="0"/>
                  <w:vAlign w:val="center"/>
                </w:tcPr>
                <w:p w14:paraId="1EB9C786">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夜间dB(A)</w:t>
                  </w:r>
                </w:p>
              </w:tc>
            </w:tr>
            <w:tr w14:paraId="452D02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513" w:type="pct"/>
                  <w:vMerge w:val="restart"/>
                  <w:tcBorders>
                    <w:tl2br w:val="nil"/>
                    <w:tr2bl w:val="nil"/>
                  </w:tcBorders>
                  <w:noWrap w:val="0"/>
                  <w:vAlign w:val="center"/>
                </w:tcPr>
                <w:p w14:paraId="2B1630F9">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厂界噪声</w:t>
                  </w:r>
                </w:p>
              </w:tc>
              <w:tc>
                <w:tcPr>
                  <w:tcW w:w="1791" w:type="pct"/>
                  <w:tcBorders>
                    <w:tl2br w:val="nil"/>
                    <w:tr2bl w:val="nil"/>
                  </w:tcBorders>
                  <w:noWrap w:val="0"/>
                  <w:vAlign w:val="center"/>
                </w:tcPr>
                <w:p w14:paraId="2AC70EF8">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工业企业厂界噪声排放标准</w:t>
                  </w:r>
                </w:p>
              </w:tc>
              <w:tc>
                <w:tcPr>
                  <w:tcW w:w="1343" w:type="pct"/>
                  <w:tcBorders>
                    <w:tl2br w:val="nil"/>
                    <w:tr2bl w:val="nil"/>
                  </w:tcBorders>
                  <w:noWrap w:val="0"/>
                  <w:vAlign w:val="center"/>
                </w:tcPr>
                <w:p w14:paraId="734040B5">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（GB12348-2008）</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类</w:t>
                  </w:r>
                </w:p>
              </w:tc>
              <w:tc>
                <w:tcPr>
                  <w:tcW w:w="716" w:type="pct"/>
                  <w:tcBorders>
                    <w:tl2br w:val="nil"/>
                    <w:tr2bl w:val="nil"/>
                  </w:tcBorders>
                  <w:noWrap w:val="0"/>
                  <w:vAlign w:val="center"/>
                </w:tcPr>
                <w:p w14:paraId="5B2E9832">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60</w:t>
                  </w:r>
                </w:p>
              </w:tc>
              <w:tc>
                <w:tcPr>
                  <w:tcW w:w="634" w:type="pct"/>
                  <w:tcBorders>
                    <w:tl2br w:val="nil"/>
                    <w:tr2bl w:val="nil"/>
                  </w:tcBorders>
                  <w:noWrap w:val="0"/>
                  <w:vAlign w:val="center"/>
                </w:tcPr>
                <w:p w14:paraId="6ADAB918">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50</w:t>
                  </w:r>
                </w:p>
              </w:tc>
            </w:tr>
            <w:tr w14:paraId="6A0FF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513" w:type="pct"/>
                  <w:vMerge w:val="continue"/>
                  <w:tcBorders>
                    <w:tl2br w:val="nil"/>
                    <w:tr2bl w:val="nil"/>
                  </w:tcBorders>
                  <w:noWrap w:val="0"/>
                  <w:vAlign w:val="center"/>
                </w:tcPr>
                <w:p w14:paraId="6FE33004">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eastAsia" w:ascii="宋体" w:hAnsi="宋体" w:eastAsia="宋体" w:cs="宋体"/>
                      <w:color w:val="auto"/>
                      <w:sz w:val="21"/>
                      <w:szCs w:val="21"/>
                    </w:rPr>
                  </w:pPr>
                </w:p>
              </w:tc>
              <w:tc>
                <w:tcPr>
                  <w:tcW w:w="1791" w:type="pct"/>
                  <w:tcBorders>
                    <w:tl2br w:val="nil"/>
                    <w:tr2bl w:val="nil"/>
                  </w:tcBorders>
                  <w:noWrap w:val="0"/>
                  <w:vAlign w:val="center"/>
                </w:tcPr>
                <w:p w14:paraId="64B1EB4A">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建筑施工场界环境噪声排放标准</w:t>
                  </w:r>
                </w:p>
              </w:tc>
              <w:tc>
                <w:tcPr>
                  <w:tcW w:w="1343" w:type="pct"/>
                  <w:tcBorders>
                    <w:tl2br w:val="nil"/>
                    <w:tr2bl w:val="nil"/>
                  </w:tcBorders>
                  <w:noWrap w:val="0"/>
                  <w:vAlign w:val="center"/>
                </w:tcPr>
                <w:p w14:paraId="4DDE2040">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GB12523－2011</w:t>
                  </w:r>
                </w:p>
              </w:tc>
              <w:tc>
                <w:tcPr>
                  <w:tcW w:w="716" w:type="pct"/>
                  <w:tcBorders>
                    <w:tl2br w:val="nil"/>
                    <w:tr2bl w:val="nil"/>
                  </w:tcBorders>
                  <w:noWrap w:val="0"/>
                  <w:vAlign w:val="center"/>
                </w:tcPr>
                <w:p w14:paraId="085AEEE3">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70</w:t>
                  </w:r>
                </w:p>
              </w:tc>
              <w:tc>
                <w:tcPr>
                  <w:tcW w:w="634" w:type="pct"/>
                  <w:tcBorders>
                    <w:tl2br w:val="nil"/>
                    <w:tr2bl w:val="nil"/>
                  </w:tcBorders>
                  <w:noWrap w:val="0"/>
                  <w:vAlign w:val="center"/>
                </w:tcPr>
                <w:p w14:paraId="7D1287E0">
                  <w:pPr>
                    <w:keepNext/>
                    <w:keepLines/>
                    <w:pageBreakBefore w:val="0"/>
                    <w:widowControl/>
                    <w:suppressLineNumbers w:val="0"/>
                    <w:kinsoku w:val="0"/>
                    <w:wordWrap/>
                    <w:overflowPunct w:val="0"/>
                    <w:topLinePunct w:val="0"/>
                    <w:bidi w:val="0"/>
                    <w:snapToGrid w:val="0"/>
                    <w:spacing w:before="0" w:beforeAutospacing="0" w:after="0" w:afterAutospacing="0" w:line="240" w:lineRule="auto"/>
                    <w:ind w:left="0" w:right="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55</w:t>
                  </w:r>
                </w:p>
              </w:tc>
            </w:tr>
          </w:tbl>
          <w:p w14:paraId="08841DAF">
            <w:pPr>
              <w:keepNext/>
              <w:keepLines/>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eastAsia" w:ascii="Times New Roman" w:hAnsi="Times New Roman" w:eastAsia="宋体" w:cs="Times New Roman"/>
                <w:b w:val="0"/>
                <w:bCs w:val="0"/>
                <w:color w:val="auto"/>
                <w:sz w:val="24"/>
                <w:szCs w:val="24"/>
                <w:highlight w:val="none"/>
              </w:rPr>
            </w:pPr>
            <w:r>
              <w:rPr>
                <w:rFonts w:hint="eastAsia" w:ascii="Times New Roman" w:hAnsi="Times New Roman" w:eastAsia="宋体" w:cs="Times New Roman"/>
                <w:b w:val="0"/>
                <w:bCs w:val="0"/>
                <w:color w:val="auto"/>
                <w:sz w:val="24"/>
                <w:szCs w:val="24"/>
                <w:lang w:val="en-US" w:eastAsia="zh-CN"/>
              </w:rPr>
              <w:t>2</w:t>
            </w:r>
            <w:r>
              <w:rPr>
                <w:rFonts w:hint="eastAsia"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highlight w:val="none"/>
              </w:rPr>
              <w:t>固体废物排放标准</w:t>
            </w:r>
          </w:p>
          <w:p w14:paraId="0244D51D">
            <w:pPr>
              <w:keepNext/>
              <w:keepLines/>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一般固体废弃物排放执行《一般工业固体废物贮存和填埋污染控制标准》（GB18599-2020）的相关要求</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rPr>
              <w:t>危险废物执行</w:t>
            </w:r>
            <w:r>
              <w:rPr>
                <w:rFonts w:hint="eastAsia" w:ascii="Times New Roman" w:hAnsi="Times New Roman" w:eastAsia="宋体" w:cs="Times New Roman"/>
                <w:color w:val="auto"/>
                <w:sz w:val="24"/>
                <w:szCs w:val="24"/>
                <w:lang w:val="en-US" w:eastAsia="zh-CN"/>
              </w:rPr>
              <w:t>《危险废物贮存污染控制标准》（GB18597-2023）。</w:t>
            </w:r>
          </w:p>
        </w:tc>
      </w:tr>
      <w:tr w14:paraId="6E64C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554" w:type="dxa"/>
            <w:vAlign w:val="center"/>
          </w:tcPr>
          <w:p w14:paraId="1F6C8929">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总量控制指标</w:t>
            </w:r>
          </w:p>
        </w:tc>
        <w:tc>
          <w:tcPr>
            <w:tcW w:w="9198" w:type="dxa"/>
            <w:vAlign w:val="center"/>
          </w:tcPr>
          <w:p w14:paraId="078D2D88">
            <w:pPr>
              <w:keepNext w:val="0"/>
              <w:keepLines w:val="0"/>
              <w:suppressLineNumbers w:val="0"/>
              <w:spacing w:before="0" w:beforeAutospacing="0" w:after="0" w:afterAutospacing="0" w:line="440" w:lineRule="exact"/>
              <w:ind w:left="0" w:right="0" w:firstLine="48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根据《国务院关于印发</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十四五</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节能减排综合工作方案的通知》</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国发〔2021〕33号</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中的规定</w:t>
            </w:r>
            <w:r>
              <w:rPr>
                <w:rFonts w:hint="default" w:ascii="Times New Roman" w:hAnsi="Times New Roman" w:eastAsia="宋体" w:cs="Times New Roman"/>
                <w:color w:val="auto"/>
                <w:sz w:val="24"/>
                <w:szCs w:val="24"/>
                <w:highlight w:val="none"/>
              </w:rPr>
              <w:t>，主要控制的污染物为化学需氧量、氨氮、氮氧化物、挥发性有机物</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二氧化硫。</w:t>
            </w:r>
          </w:p>
          <w:p w14:paraId="2E8AEB56">
            <w:pPr>
              <w:keepNext w:val="0"/>
              <w:keepLines w:val="0"/>
              <w:suppressLineNumbers w:val="0"/>
              <w:spacing w:before="0" w:beforeAutospacing="0" w:after="0" w:afterAutospacing="0" w:line="440" w:lineRule="exact"/>
              <w:ind w:left="0" w:right="0" w:firstLine="480"/>
              <w:rPr>
                <w:rFonts w:hint="default" w:ascii="Times New Roman" w:hAnsi="Times New Roman" w:eastAsia="宋体" w:cs="Times New Roman"/>
                <w:color w:val="auto"/>
                <w:sz w:val="24"/>
                <w:szCs w:val="24"/>
                <w:highlight w:val="yellow"/>
              </w:rPr>
            </w:pPr>
            <w:r>
              <w:rPr>
                <w:rFonts w:hint="eastAsia" w:ascii="Times New Roman" w:hAnsi="Times New Roman" w:eastAsia="宋体" w:cs="Times New Roman"/>
                <w:color w:val="auto"/>
                <w:sz w:val="24"/>
                <w:szCs w:val="24"/>
                <w:highlight w:val="none"/>
                <w:lang w:val="en-US" w:eastAsia="zh-CN"/>
              </w:rPr>
              <w:t>本项目运营期</w:t>
            </w:r>
            <w:r>
              <w:rPr>
                <w:rFonts w:hint="eastAsia" w:ascii="Times New Roman" w:hAnsi="Times New Roman" w:eastAsia="宋体" w:cs="Times New Roman"/>
                <w:color w:val="auto"/>
                <w:sz w:val="24"/>
                <w:szCs w:val="24"/>
              </w:rPr>
              <w:t>不新增劳动定员，无新增生活污水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highlight w:val="none"/>
                <w:lang w:val="en-US" w:eastAsia="zh-CN"/>
              </w:rPr>
              <w:t>无废水产生，故无</w:t>
            </w:r>
            <w:r>
              <w:rPr>
                <w:rFonts w:hint="default" w:ascii="Times New Roman" w:hAnsi="Times New Roman" w:eastAsia="宋体" w:cs="Times New Roman"/>
                <w:color w:val="auto"/>
                <w:sz w:val="24"/>
                <w:szCs w:val="24"/>
                <w:highlight w:val="none"/>
              </w:rPr>
              <w:t>化学需氧量、氨氮</w:t>
            </w:r>
            <w:r>
              <w:rPr>
                <w:rFonts w:hint="eastAsia" w:ascii="Times New Roman" w:hAnsi="Times New Roman" w:eastAsia="宋体" w:cs="Times New Roman"/>
                <w:color w:val="auto"/>
                <w:sz w:val="24"/>
                <w:szCs w:val="24"/>
                <w:highlight w:val="none"/>
                <w:lang w:val="en-US" w:eastAsia="zh-CN"/>
              </w:rPr>
              <w:t>总量控制要求；本项目运营期不产生废气，因此项目无需申请总量。</w:t>
            </w:r>
          </w:p>
        </w:tc>
      </w:tr>
    </w:tbl>
    <w:p w14:paraId="65682600">
      <w:pPr>
        <w:jc w:val="center"/>
        <w:rPr>
          <w:rFonts w:ascii="Times New Roman" w:hAnsi="Times New Roman" w:eastAsia="宋体" w:cs="Times New Roman"/>
          <w:b/>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E5AF3A2">
      <w:pPr>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四、主要环境影响和保护措施</w:t>
      </w:r>
    </w:p>
    <w:tbl>
      <w:tblPr>
        <w:tblStyle w:val="18"/>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2"/>
        <w:gridCol w:w="8809"/>
      </w:tblGrid>
      <w:tr w14:paraId="39D5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2" w:type="dxa"/>
            <w:vAlign w:val="center"/>
          </w:tcPr>
          <w:p w14:paraId="1380A46F">
            <w:pPr>
              <w:keepNext w:val="0"/>
              <w:keepLines w:val="0"/>
              <w:suppressLineNumbers w:val="0"/>
              <w:spacing w:before="0" w:beforeAutospacing="0" w:after="0" w:afterAutospacing="0" w:line="440" w:lineRule="exact"/>
              <w:ind w:left="0" w:right="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施工期环境保护措施</w:t>
            </w:r>
          </w:p>
        </w:tc>
        <w:tc>
          <w:tcPr>
            <w:tcW w:w="8809" w:type="dxa"/>
          </w:tcPr>
          <w:p w14:paraId="404F3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本项目施工期</w:t>
            </w:r>
            <w:r>
              <w:rPr>
                <w:rFonts w:hint="eastAsia" w:ascii="Times New Roman" w:hAnsi="Times New Roman" w:eastAsia="宋体" w:cs="Times New Roman"/>
                <w:color w:val="auto"/>
                <w:sz w:val="24"/>
                <w:szCs w:val="24"/>
                <w:highlight w:val="none"/>
                <w:lang w:val="en-US" w:eastAsia="zh-CN"/>
              </w:rPr>
              <w:t>主要为</w:t>
            </w:r>
            <w:r>
              <w:rPr>
                <w:rFonts w:hint="default" w:ascii="Times New Roman" w:hAnsi="Times New Roman" w:eastAsia="宋体" w:cs="Times New Roman"/>
                <w:color w:val="auto"/>
                <w:sz w:val="24"/>
                <w:szCs w:val="24"/>
                <w:highlight w:val="none"/>
              </w:rPr>
              <w:t>设备安装。施工期主要环境影响为噪声</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固废。本项目工程量较小，施工工序较短，随施工期的结束，环境影响也随之结束。</w:t>
            </w:r>
          </w:p>
          <w:p w14:paraId="3ECF19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本项目施工期拟采取的环境保护措施如下：</w:t>
            </w:r>
          </w:p>
          <w:p w14:paraId="36CA6BFB">
            <w:pPr>
              <w:keepNext/>
              <w:keepLines/>
              <w:pageBreakBefore w:val="0"/>
              <w:widowControl/>
              <w:suppressLineNumbers w:val="0"/>
              <w:kinsoku w:val="0"/>
              <w:wordWrap/>
              <w:overflowPunct w:val="0"/>
              <w:topLinePunct w:val="0"/>
              <w:autoSpaceDE/>
              <w:autoSpaceDN/>
              <w:bidi w:val="0"/>
              <w:adjustRightInd/>
              <w:snapToGrid w:val="0"/>
              <w:spacing w:before="0" w:beforeAutospacing="0" w:after="0" w:afterAutospacing="0" w:line="240" w:lineRule="auto"/>
              <w:ind w:left="0" w:right="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表4-1</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施工期环保措施一览表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85"/>
              <w:gridCol w:w="725"/>
              <w:gridCol w:w="883"/>
              <w:gridCol w:w="6290"/>
            </w:tblGrid>
            <w:tr w14:paraId="755AE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05CEE861">
                  <w:pPr>
                    <w:pStyle w:val="13"/>
                    <w:keepNext w:val="0"/>
                    <w:keepLines w:val="0"/>
                    <w:widowControl w:val="0"/>
                    <w:suppressLineNumbers w:val="0"/>
                    <w:adjustRightInd w:val="0"/>
                    <w:snapToGrid w:val="0"/>
                    <w:spacing w:before="0" w:beforeAutospacing="0" w:after="0" w:afterAutospacing="0" w:line="240" w:lineRule="auto"/>
                    <w:ind w:left="-105" w:leftChars="-50" w:right="-105" w:rightChars="-50" w:firstLine="0" w:firstLineChars="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污染</w:t>
                  </w:r>
                </w:p>
                <w:p w14:paraId="10DBE6C0">
                  <w:pPr>
                    <w:pStyle w:val="13"/>
                    <w:keepNext w:val="0"/>
                    <w:keepLines w:val="0"/>
                    <w:widowControl w:val="0"/>
                    <w:suppressLineNumbers w:val="0"/>
                    <w:adjustRightInd w:val="0"/>
                    <w:snapToGrid w:val="0"/>
                    <w:spacing w:before="0" w:beforeAutospacing="0" w:after="0" w:afterAutospacing="0" w:line="240" w:lineRule="auto"/>
                    <w:ind w:left="-105" w:leftChars="-50" w:right="-105" w:rightChars="-50" w:firstLine="0" w:firstLineChars="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类别</w:t>
                  </w:r>
                </w:p>
              </w:tc>
              <w:tc>
                <w:tcPr>
                  <w:tcW w:w="422" w:type="pct"/>
                  <w:tcBorders>
                    <w:top w:val="single" w:color="auto" w:sz="4" w:space="0"/>
                    <w:left w:val="single" w:color="auto" w:sz="4" w:space="0"/>
                    <w:bottom w:val="single" w:color="auto" w:sz="4" w:space="0"/>
                    <w:right w:val="single" w:color="auto" w:sz="4" w:space="0"/>
                  </w:tcBorders>
                  <w:shd w:val="clear" w:color="auto" w:fill="auto"/>
                  <w:vAlign w:val="center"/>
                </w:tcPr>
                <w:p w14:paraId="366A86F9">
                  <w:pPr>
                    <w:pStyle w:val="13"/>
                    <w:keepNext w:val="0"/>
                    <w:keepLines w:val="0"/>
                    <w:widowControl w:val="0"/>
                    <w:suppressLineNumbers w:val="0"/>
                    <w:adjustRightInd w:val="0"/>
                    <w:snapToGrid w:val="0"/>
                    <w:spacing w:before="0" w:beforeAutospacing="0" w:after="0" w:afterAutospacing="0" w:line="240" w:lineRule="auto"/>
                    <w:ind w:left="-105" w:leftChars="-50" w:right="-105" w:rightChars="-50" w:firstLine="0" w:firstLineChars="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污染工序</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1979FAEE">
                  <w:pPr>
                    <w:pStyle w:val="13"/>
                    <w:keepNext w:val="0"/>
                    <w:keepLines w:val="0"/>
                    <w:widowControl w:val="0"/>
                    <w:suppressLineNumbers w:val="0"/>
                    <w:adjustRightInd w:val="0"/>
                    <w:snapToGrid w:val="0"/>
                    <w:spacing w:before="0" w:beforeAutospacing="0" w:after="0" w:afterAutospacing="0" w:line="240" w:lineRule="auto"/>
                    <w:ind w:left="-50" w:right="-50" w:firstLine="0" w:firstLineChars="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污染</w:t>
                  </w:r>
                </w:p>
                <w:p w14:paraId="107AC6F6">
                  <w:pPr>
                    <w:pStyle w:val="13"/>
                    <w:keepNext w:val="0"/>
                    <w:keepLines w:val="0"/>
                    <w:widowControl w:val="0"/>
                    <w:suppressLineNumbers w:val="0"/>
                    <w:adjustRightInd w:val="0"/>
                    <w:snapToGrid w:val="0"/>
                    <w:spacing w:before="0" w:beforeAutospacing="0" w:after="0" w:afterAutospacing="0" w:line="240" w:lineRule="auto"/>
                    <w:ind w:left="-50" w:right="-50" w:firstLine="0" w:firstLineChars="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因子</w:t>
                  </w:r>
                </w:p>
              </w:tc>
              <w:tc>
                <w:tcPr>
                  <w:tcW w:w="3663" w:type="pct"/>
                  <w:tcBorders>
                    <w:top w:val="single" w:color="auto" w:sz="4" w:space="0"/>
                    <w:left w:val="single" w:color="auto" w:sz="4" w:space="0"/>
                    <w:bottom w:val="single" w:color="auto" w:sz="4" w:space="0"/>
                    <w:right w:val="single" w:color="auto" w:sz="4" w:space="0"/>
                  </w:tcBorders>
                  <w:shd w:val="clear" w:color="auto" w:fill="auto"/>
                  <w:vAlign w:val="center"/>
                </w:tcPr>
                <w:p w14:paraId="3055347C">
                  <w:pPr>
                    <w:pStyle w:val="13"/>
                    <w:keepNext w:val="0"/>
                    <w:keepLines w:val="0"/>
                    <w:widowControl w:val="0"/>
                    <w:suppressLineNumbers w:val="0"/>
                    <w:adjustRightInd w:val="0"/>
                    <w:snapToGrid w:val="0"/>
                    <w:spacing w:before="0" w:beforeAutospacing="0" w:after="0" w:afterAutospacing="0" w:line="240" w:lineRule="auto"/>
                    <w:ind w:left="-50" w:right="-50" w:firstLine="0" w:firstLineChars="0"/>
                    <w:jc w:val="center"/>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处理、处置措施及排放去向</w:t>
                  </w:r>
                </w:p>
              </w:tc>
            </w:tr>
            <w:tr w14:paraId="2F03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5" w:hRule="atLeast"/>
              </w:trPr>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049E9B02">
                  <w:pPr>
                    <w:pStyle w:val="13"/>
                    <w:keepNext w:val="0"/>
                    <w:keepLines w:val="0"/>
                    <w:widowControl w:val="0"/>
                    <w:suppressLineNumbers w:val="0"/>
                    <w:adjustRightInd w:val="0"/>
                    <w:snapToGrid w:val="0"/>
                    <w:spacing w:before="0" w:beforeAutospacing="0" w:after="0" w:afterAutospacing="0" w:line="240" w:lineRule="auto"/>
                    <w:ind w:left="-50" w:right="-5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噪声</w:t>
                  </w:r>
                </w:p>
              </w:tc>
              <w:tc>
                <w:tcPr>
                  <w:tcW w:w="422" w:type="pct"/>
                  <w:tcBorders>
                    <w:top w:val="single" w:color="auto" w:sz="4" w:space="0"/>
                    <w:left w:val="single" w:color="auto" w:sz="4" w:space="0"/>
                    <w:bottom w:val="single" w:color="auto" w:sz="4" w:space="0"/>
                    <w:right w:val="single" w:color="auto" w:sz="4" w:space="0"/>
                  </w:tcBorders>
                  <w:shd w:val="clear" w:color="auto" w:fill="auto"/>
                  <w:vAlign w:val="center"/>
                </w:tcPr>
                <w:p w14:paraId="0AE3AAF9">
                  <w:pPr>
                    <w:pStyle w:val="13"/>
                    <w:keepNext w:val="0"/>
                    <w:keepLines w:val="0"/>
                    <w:widowControl w:val="0"/>
                    <w:suppressLineNumbers w:val="0"/>
                    <w:adjustRightInd w:val="0"/>
                    <w:snapToGrid w:val="0"/>
                    <w:spacing w:before="0" w:beforeAutospacing="0" w:after="0" w:afterAutospacing="0" w:line="240" w:lineRule="auto"/>
                    <w:ind w:left="-50" w:right="-5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建筑施工</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2518C8B4">
                  <w:pPr>
                    <w:pStyle w:val="13"/>
                    <w:keepNext w:val="0"/>
                    <w:keepLines w:val="0"/>
                    <w:widowControl w:val="0"/>
                    <w:suppressLineNumbers w:val="0"/>
                    <w:adjustRightInd w:val="0"/>
                    <w:snapToGrid w:val="0"/>
                    <w:spacing w:before="0" w:beforeAutospacing="0" w:after="0" w:afterAutospacing="0" w:line="240" w:lineRule="auto"/>
                    <w:ind w:left="-50" w:right="-5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等效</w:t>
                  </w:r>
                </w:p>
                <w:p w14:paraId="5A3CC474">
                  <w:pPr>
                    <w:pStyle w:val="13"/>
                    <w:keepNext w:val="0"/>
                    <w:keepLines w:val="0"/>
                    <w:widowControl w:val="0"/>
                    <w:suppressLineNumbers w:val="0"/>
                    <w:adjustRightInd w:val="0"/>
                    <w:snapToGrid w:val="0"/>
                    <w:spacing w:before="0" w:beforeAutospacing="0" w:after="0" w:afterAutospacing="0" w:line="240" w:lineRule="auto"/>
                    <w:ind w:left="-50" w:right="-5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声级</w:t>
                  </w:r>
                </w:p>
              </w:tc>
              <w:tc>
                <w:tcPr>
                  <w:tcW w:w="3663" w:type="pct"/>
                  <w:tcBorders>
                    <w:top w:val="single" w:color="auto" w:sz="4" w:space="0"/>
                    <w:left w:val="single" w:color="auto" w:sz="4" w:space="0"/>
                    <w:bottom w:val="single" w:color="auto" w:sz="4" w:space="0"/>
                    <w:right w:val="single" w:color="auto" w:sz="4" w:space="0"/>
                  </w:tcBorders>
                  <w:shd w:val="clear" w:color="auto" w:fill="auto"/>
                  <w:vAlign w:val="center"/>
                </w:tcPr>
                <w:p w14:paraId="3AF260C0">
                  <w:pPr>
                    <w:keepNext w:val="0"/>
                    <w:keepLines w:val="0"/>
                    <w:widowControl/>
                    <w:suppressLineNumbers w:val="0"/>
                    <w:spacing w:before="0" w:beforeAutospacing="0" w:after="0" w:afterAutospacing="0" w:line="240" w:lineRule="auto"/>
                    <w:ind w:left="0" w:right="-51"/>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1、合理布置施工现场，高噪声设备尽可能远离敏感点；禁止夜间进行产生环境噪声并干扰他人的建筑施工、建筑垃圾清运作业。</w:t>
                  </w:r>
                </w:p>
                <w:p w14:paraId="723BCB3C">
                  <w:pPr>
                    <w:keepNext w:val="0"/>
                    <w:keepLines w:val="0"/>
                    <w:widowControl/>
                    <w:suppressLineNumbers w:val="0"/>
                    <w:spacing w:before="0" w:beforeAutospacing="0" w:after="0" w:afterAutospacing="0" w:line="240" w:lineRule="auto"/>
                    <w:ind w:left="0" w:right="-51"/>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2、尽量选用低噪声机械设备或带隔声、消声的设备，注意定期保养和操作高噪声设备，使施工机械噪声维持在最低声级水平，严格按规范操作。</w:t>
                  </w:r>
                </w:p>
                <w:p w14:paraId="10CD1751">
                  <w:pPr>
                    <w:keepNext w:val="0"/>
                    <w:keepLines w:val="0"/>
                    <w:widowControl/>
                    <w:suppressLineNumbers w:val="0"/>
                    <w:spacing w:before="0" w:beforeAutospacing="0" w:after="0" w:afterAutospacing="0" w:line="240" w:lineRule="auto"/>
                    <w:ind w:left="0" w:right="-51"/>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3、尽量避免所有机械同时施工，错开高噪声设备的使用时间，避免噪声叠加；</w:t>
                  </w:r>
                </w:p>
                <w:p w14:paraId="639FEA4A">
                  <w:pPr>
                    <w:keepNext w:val="0"/>
                    <w:keepLines w:val="0"/>
                    <w:widowControl/>
                    <w:suppressLineNumbers w:val="0"/>
                    <w:spacing w:before="0" w:beforeAutospacing="0" w:after="0" w:afterAutospacing="0" w:line="240" w:lineRule="auto"/>
                    <w:ind w:left="0" w:right="-51"/>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4、利用距离衰减措施，在不影响施工情况下，将强噪声设备尽量分散布置使用。</w:t>
                  </w:r>
                </w:p>
                <w:p w14:paraId="3D4AF33E">
                  <w:pPr>
                    <w:keepNext w:val="0"/>
                    <w:keepLines w:val="0"/>
                    <w:widowControl/>
                    <w:suppressLineNumbers w:val="0"/>
                    <w:spacing w:before="0" w:beforeAutospacing="0" w:after="0" w:afterAutospacing="0" w:line="240" w:lineRule="auto"/>
                    <w:ind w:left="0" w:right="-51"/>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5、加强施工队伍的教育，文明施工，所有模板、脚手架的支设、拆除、搬运必须轻拿轻放，要上下左右传递，严禁抛、扔。</w:t>
                  </w:r>
                </w:p>
                <w:p w14:paraId="11E9E16E">
                  <w:pPr>
                    <w:keepNext w:val="0"/>
                    <w:keepLines w:val="0"/>
                    <w:widowControl/>
                    <w:suppressLineNumbers w:val="0"/>
                    <w:spacing w:before="0" w:beforeAutospacing="0" w:after="0" w:afterAutospacing="0" w:line="240" w:lineRule="auto"/>
                    <w:ind w:left="0" w:right="-51"/>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6、做好车辆的维修保养工作，限制车速，严格限制车辆在敏感点附近行驶时鸣笛。</w:t>
                  </w:r>
                </w:p>
              </w:tc>
            </w:tr>
            <w:tr w14:paraId="577A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4" w:hRule="atLeast"/>
              </w:trPr>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5F99CFB4">
                  <w:pPr>
                    <w:pStyle w:val="13"/>
                    <w:keepNext w:val="0"/>
                    <w:keepLines w:val="0"/>
                    <w:widowControl w:val="0"/>
                    <w:suppressLineNumbers w:val="0"/>
                    <w:adjustRightInd w:val="0"/>
                    <w:snapToGrid w:val="0"/>
                    <w:spacing w:before="0" w:beforeAutospacing="0" w:after="0" w:afterAutospacing="0" w:line="240" w:lineRule="auto"/>
                    <w:ind w:left="-50" w:right="-50" w:firstLine="0" w:firstLineChars="0"/>
                    <w:jc w:val="center"/>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固体</w:t>
                  </w:r>
                </w:p>
                <w:p w14:paraId="68339CDD">
                  <w:pPr>
                    <w:pStyle w:val="13"/>
                    <w:keepNext w:val="0"/>
                    <w:keepLines w:val="0"/>
                    <w:widowControl w:val="0"/>
                    <w:suppressLineNumbers w:val="0"/>
                    <w:adjustRightInd w:val="0"/>
                    <w:snapToGrid w:val="0"/>
                    <w:spacing w:before="0" w:beforeAutospacing="0" w:after="0" w:afterAutospacing="0" w:line="240" w:lineRule="auto"/>
                    <w:ind w:left="-50" w:right="-5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废物</w:t>
                  </w:r>
                </w:p>
              </w:tc>
              <w:tc>
                <w:tcPr>
                  <w:tcW w:w="422" w:type="pct"/>
                  <w:tcBorders>
                    <w:top w:val="single" w:color="auto" w:sz="4" w:space="0"/>
                    <w:left w:val="single" w:color="auto" w:sz="4" w:space="0"/>
                    <w:bottom w:val="single" w:color="auto" w:sz="4" w:space="0"/>
                    <w:right w:val="single" w:color="auto" w:sz="4" w:space="0"/>
                  </w:tcBorders>
                  <w:shd w:val="clear" w:color="auto" w:fill="auto"/>
                  <w:vAlign w:val="center"/>
                </w:tcPr>
                <w:p w14:paraId="00279750">
                  <w:pPr>
                    <w:pStyle w:val="13"/>
                    <w:keepNext w:val="0"/>
                    <w:keepLines w:val="0"/>
                    <w:widowControl w:val="0"/>
                    <w:suppressLineNumbers w:val="0"/>
                    <w:adjustRightInd w:val="0"/>
                    <w:snapToGrid w:val="0"/>
                    <w:spacing w:before="0" w:beforeAutospacing="0" w:after="0" w:afterAutospacing="0" w:line="240" w:lineRule="auto"/>
                    <w:ind w:left="-113" w:right="-113"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建筑施工</w:t>
                  </w:r>
                </w:p>
                <w:p w14:paraId="64587ED2">
                  <w:pPr>
                    <w:pStyle w:val="13"/>
                    <w:keepNext w:val="0"/>
                    <w:keepLines w:val="0"/>
                    <w:widowControl w:val="0"/>
                    <w:suppressLineNumbers w:val="0"/>
                    <w:adjustRightInd w:val="0"/>
                    <w:snapToGrid w:val="0"/>
                    <w:spacing w:before="0" w:beforeAutospacing="0" w:after="0" w:afterAutospacing="0" w:line="240" w:lineRule="auto"/>
                    <w:ind w:left="-113" w:right="-113"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人员生活</w:t>
                  </w:r>
                </w:p>
              </w:tc>
              <w:tc>
                <w:tcPr>
                  <w:tcW w:w="514" w:type="pct"/>
                  <w:tcBorders>
                    <w:top w:val="single" w:color="auto" w:sz="4" w:space="0"/>
                    <w:left w:val="single" w:color="auto" w:sz="4" w:space="0"/>
                    <w:bottom w:val="single" w:color="auto" w:sz="4" w:space="0"/>
                    <w:right w:val="single" w:color="auto" w:sz="4" w:space="0"/>
                  </w:tcBorders>
                  <w:shd w:val="clear" w:color="auto" w:fill="auto"/>
                  <w:vAlign w:val="center"/>
                </w:tcPr>
                <w:p w14:paraId="4FD23B6B">
                  <w:pPr>
                    <w:pStyle w:val="13"/>
                    <w:keepNext w:val="0"/>
                    <w:keepLines w:val="0"/>
                    <w:widowControl w:val="0"/>
                    <w:suppressLineNumbers w:val="0"/>
                    <w:adjustRightInd w:val="0"/>
                    <w:snapToGrid w:val="0"/>
                    <w:spacing w:before="0" w:beforeAutospacing="0" w:after="0" w:afterAutospacing="0" w:line="240" w:lineRule="auto"/>
                    <w:ind w:left="-105" w:leftChars="-50" w:right="-105" w:rightChars="-5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建筑垃圾、</w:t>
                  </w:r>
                </w:p>
                <w:p w14:paraId="719B10C6">
                  <w:pPr>
                    <w:pStyle w:val="13"/>
                    <w:keepNext w:val="0"/>
                    <w:keepLines w:val="0"/>
                    <w:widowControl w:val="0"/>
                    <w:suppressLineNumbers w:val="0"/>
                    <w:adjustRightInd w:val="0"/>
                    <w:snapToGrid w:val="0"/>
                    <w:spacing w:before="0" w:beforeAutospacing="0" w:after="0" w:afterAutospacing="0" w:line="240" w:lineRule="auto"/>
                    <w:ind w:left="-105" w:leftChars="-50" w:right="-105" w:rightChars="-50" w:firstLine="0" w:firstLineChars="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生活垃圾</w:t>
                  </w:r>
                </w:p>
              </w:tc>
              <w:tc>
                <w:tcPr>
                  <w:tcW w:w="3663" w:type="pct"/>
                  <w:tcBorders>
                    <w:top w:val="single" w:color="auto" w:sz="4" w:space="0"/>
                    <w:left w:val="single" w:color="auto" w:sz="4" w:space="0"/>
                    <w:bottom w:val="single" w:color="auto" w:sz="4" w:space="0"/>
                    <w:right w:val="single" w:color="auto" w:sz="4" w:space="0"/>
                  </w:tcBorders>
                  <w:shd w:val="clear" w:color="auto" w:fill="auto"/>
                  <w:vAlign w:val="center"/>
                </w:tcPr>
                <w:p w14:paraId="6F7DEBE6">
                  <w:pPr>
                    <w:pStyle w:val="13"/>
                    <w:keepNext w:val="0"/>
                    <w:keepLines w:val="0"/>
                    <w:widowControl w:val="0"/>
                    <w:numPr>
                      <w:ilvl w:val="0"/>
                      <w:numId w:val="9"/>
                    </w:numPr>
                    <w:suppressLineNumbers w:val="0"/>
                    <w:adjustRightInd w:val="0"/>
                    <w:snapToGrid w:val="0"/>
                    <w:spacing w:before="0" w:beforeAutospacing="0" w:after="0" w:afterAutospacing="0" w:line="240" w:lineRule="auto"/>
                    <w:ind w:left="-50" w:right="-50" w:firstLine="0" w:firstLineChars="0"/>
                    <w:jc w:val="left"/>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建筑垃圾按照指定路线送至政府指定建筑垃圾处理地点处置；</w:t>
                  </w:r>
                </w:p>
                <w:p w14:paraId="346D58CE">
                  <w:pPr>
                    <w:pStyle w:val="13"/>
                    <w:keepNext w:val="0"/>
                    <w:keepLines w:val="0"/>
                    <w:widowControl w:val="0"/>
                    <w:numPr>
                      <w:ilvl w:val="0"/>
                      <w:numId w:val="9"/>
                    </w:numPr>
                    <w:suppressLineNumbers w:val="0"/>
                    <w:adjustRightInd w:val="0"/>
                    <w:snapToGrid w:val="0"/>
                    <w:spacing w:before="0" w:beforeAutospacing="0" w:after="0" w:afterAutospacing="0" w:line="240" w:lineRule="auto"/>
                    <w:ind w:left="-50" w:right="-50"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施工人员生活垃圾收集后环卫部门处理。</w:t>
                  </w:r>
                </w:p>
              </w:tc>
            </w:tr>
          </w:tbl>
          <w:p w14:paraId="2487EBF4">
            <w:pPr>
              <w:keepNext w:val="0"/>
              <w:keepLines w:val="0"/>
              <w:suppressLineNumbers w:val="0"/>
              <w:spacing w:before="0" w:beforeAutospacing="0" w:after="0" w:afterAutospacing="0" w:line="440" w:lineRule="exact"/>
              <w:ind w:left="0" w:right="0"/>
              <w:rPr>
                <w:rFonts w:hint="default" w:ascii="Times New Roman" w:hAnsi="Times New Roman" w:eastAsia="宋体" w:cs="Times New Roman"/>
                <w:color w:val="auto"/>
                <w:sz w:val="24"/>
                <w:szCs w:val="24"/>
                <w:highlight w:val="none"/>
              </w:rPr>
            </w:pPr>
          </w:p>
        </w:tc>
      </w:tr>
      <w:tr w14:paraId="292E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5" w:hRule="atLeast"/>
          <w:jc w:val="center"/>
        </w:trPr>
        <w:tc>
          <w:tcPr>
            <w:tcW w:w="542" w:type="dxa"/>
            <w:vAlign w:val="center"/>
          </w:tcPr>
          <w:p w14:paraId="0CFF55AD">
            <w:pPr>
              <w:keepNext w:val="0"/>
              <w:keepLines w:val="0"/>
              <w:suppressLineNumbers w:val="0"/>
              <w:spacing w:before="0" w:beforeAutospacing="0" w:after="0" w:afterAutospacing="0" w:line="440" w:lineRule="exact"/>
              <w:ind w:left="0" w:leftChars="0" w:right="0" w:right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运营期环境影响和保护措施</w:t>
            </w:r>
          </w:p>
        </w:tc>
        <w:tc>
          <w:tcPr>
            <w:tcW w:w="8809" w:type="dxa"/>
            <w:vAlign w:val="top"/>
          </w:tcPr>
          <w:p w14:paraId="2A17ADC6">
            <w:pPr>
              <w:keepNext w:val="0"/>
              <w:keepLines w:val="0"/>
              <w:pageBreakBefore w:val="0"/>
              <w:widowControl w:val="0"/>
              <w:numPr>
                <w:ilvl w:val="0"/>
                <w:numId w:val="10"/>
              </w:numPr>
              <w:suppressLineNumbers w:val="0"/>
              <w:kinsoku/>
              <w:wordWrap/>
              <w:overflowPunct/>
              <w:topLinePunct w:val="0"/>
              <w:bidi w:val="0"/>
              <w:snapToGrid/>
              <w:spacing w:before="0" w:beforeAutospacing="0" w:after="0" w:afterAutospacing="0" w:line="500" w:lineRule="exact"/>
              <w:ind w:left="0" w:right="0" w:firstLine="482" w:firstLineChars="200"/>
              <w:textAlignment w:val="auto"/>
              <w:rPr>
                <w:rFonts w:hint="eastAsia" w:ascii="Times New Roman" w:hAnsi="Times New Roman" w:eastAsia="宋体" w:cs="Times New Roman"/>
                <w:b/>
                <w:bCs w:val="0"/>
                <w:color w:val="auto"/>
                <w:sz w:val="24"/>
                <w:szCs w:val="24"/>
                <w:highlight w:val="none"/>
                <w:lang w:val="en-US" w:eastAsia="zh-CN"/>
              </w:rPr>
            </w:pPr>
            <w:r>
              <w:rPr>
                <w:rFonts w:hint="eastAsia" w:ascii="Times New Roman" w:hAnsi="Times New Roman" w:eastAsia="宋体" w:cs="Times New Roman"/>
                <w:b/>
                <w:bCs w:val="0"/>
                <w:color w:val="auto"/>
                <w:sz w:val="24"/>
                <w:szCs w:val="24"/>
                <w:highlight w:val="none"/>
                <w:lang w:val="en-US" w:eastAsia="zh-CN"/>
              </w:rPr>
              <w:t>废气</w:t>
            </w:r>
          </w:p>
          <w:p w14:paraId="49949796">
            <w:pPr>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500" w:lineRule="exact"/>
              <w:ind w:left="0" w:right="0" w:rightChars="0" w:firstLine="480" w:firstLineChars="200"/>
              <w:textAlignment w:val="auto"/>
              <w:rPr>
                <w:rFonts w:hint="eastAsia" w:ascii="Times New Roman" w:hAnsi="Times New Roman" w:eastAsia="宋体" w:cs="Times New Roman"/>
                <w:color w:val="auto"/>
                <w:kern w:val="0"/>
                <w:sz w:val="24"/>
                <w:szCs w:val="24"/>
                <w:highlight w:val="none"/>
                <w:lang w:val="en-US" w:eastAsia="zh-CN" w:bidi="ar-SA"/>
              </w:rPr>
            </w:pPr>
            <w:r>
              <w:rPr>
                <w:rFonts w:hint="eastAsia" w:ascii="Times New Roman" w:hAnsi="Times New Roman" w:eastAsia="宋体" w:cs="Times New Roman"/>
                <w:color w:val="auto"/>
                <w:kern w:val="0"/>
                <w:sz w:val="24"/>
                <w:szCs w:val="24"/>
                <w:highlight w:val="none"/>
                <w:lang w:val="en-US" w:eastAsia="zh-CN" w:bidi="ar-SA"/>
              </w:rPr>
              <w:t>本项目废气主要为储罐液氮卸料时逸散废气，排放方式为偶然瞬时排放。本次扩建的30m</w:t>
            </w:r>
            <w:r>
              <w:rPr>
                <w:rFonts w:hint="eastAsia" w:ascii="Times New Roman" w:hAnsi="Times New Roman" w:eastAsia="宋体" w:cs="Times New Roman"/>
                <w:color w:val="auto"/>
                <w:kern w:val="0"/>
                <w:sz w:val="24"/>
                <w:szCs w:val="24"/>
                <w:highlight w:val="none"/>
                <w:vertAlign w:val="superscript"/>
                <w:lang w:val="en-US" w:eastAsia="zh-CN" w:bidi="ar-SA"/>
              </w:rPr>
              <w:t>3</w:t>
            </w:r>
            <w:r>
              <w:rPr>
                <w:rFonts w:hint="eastAsia" w:ascii="Times New Roman" w:hAnsi="Times New Roman" w:eastAsia="宋体" w:cs="Times New Roman"/>
                <w:color w:val="auto"/>
                <w:kern w:val="0"/>
                <w:sz w:val="24"/>
                <w:szCs w:val="24"/>
                <w:highlight w:val="none"/>
                <w:vertAlign w:val="baseline"/>
                <w:lang w:val="en-US" w:eastAsia="zh-CN" w:bidi="ar-SA"/>
              </w:rPr>
              <w:t>液氮储罐属于厂区安全生产备用储罐，仅在制氮系统故障时才启用,卸料次数为4次/年（项目公司例行性检修1次/年，每次30天。项目建成后液氮储存量为</w:t>
            </w:r>
            <w:r>
              <w:rPr>
                <w:rFonts w:hint="eastAsia" w:ascii="Times New Roman" w:hAnsi="Times New Roman" w:eastAsia="宋体" w:cs="Times New Roman"/>
                <w:color w:val="auto"/>
                <w:kern w:val="0"/>
                <w:sz w:val="24"/>
                <w:szCs w:val="24"/>
                <w:highlight w:val="none"/>
                <w:lang w:val="en-US" w:eastAsia="zh-CN" w:bidi="ar-SA"/>
              </w:rPr>
              <w:t>40m</w:t>
            </w:r>
            <w:r>
              <w:rPr>
                <w:rFonts w:hint="eastAsia" w:ascii="Times New Roman" w:hAnsi="Times New Roman" w:eastAsia="宋体" w:cs="Times New Roman"/>
                <w:color w:val="auto"/>
                <w:kern w:val="0"/>
                <w:sz w:val="24"/>
                <w:szCs w:val="24"/>
                <w:highlight w:val="none"/>
                <w:vertAlign w:val="superscript"/>
                <w:lang w:val="en-US" w:eastAsia="zh-CN" w:bidi="ar-SA"/>
              </w:rPr>
              <w:t>3</w:t>
            </w:r>
            <w:r>
              <w:rPr>
                <w:rFonts w:hint="eastAsia" w:ascii="Times New Roman" w:hAnsi="Times New Roman" w:eastAsia="宋体" w:cs="Times New Roman"/>
                <w:color w:val="auto"/>
                <w:kern w:val="0"/>
                <w:sz w:val="24"/>
                <w:szCs w:val="24"/>
                <w:highlight w:val="none"/>
                <w:vertAlign w:val="baseline"/>
                <w:lang w:val="en-US" w:eastAsia="zh-CN" w:bidi="ar-SA"/>
              </w:rPr>
              <w:t>，可以保证用7天用量。因此，周转次数为4次/年），装卸</w:t>
            </w:r>
            <w:r>
              <w:rPr>
                <w:rFonts w:hint="eastAsia" w:ascii="Times New Roman" w:hAnsi="Times New Roman" w:eastAsia="宋体" w:cs="Times New Roman"/>
                <w:color w:val="auto"/>
                <w:kern w:val="0"/>
                <w:sz w:val="24"/>
                <w:szCs w:val="24"/>
                <w:highlight w:val="none"/>
                <w:lang w:val="en-US" w:eastAsia="zh-CN" w:bidi="ar-SA"/>
              </w:rPr>
              <w:t>逸散废气量少。项目进行液氮储罐卸车充装，废气氮气为空气中原有成分，不属于大气污染物，会很快扩散到大气中，对环境影响较小。</w:t>
            </w:r>
          </w:p>
          <w:p w14:paraId="69DFD373">
            <w:pPr>
              <w:keepNext w:val="0"/>
              <w:keepLines w:val="0"/>
              <w:pageBreakBefore w:val="0"/>
              <w:widowControl w:val="0"/>
              <w:numPr>
                <w:ilvl w:val="0"/>
                <w:numId w:val="10"/>
              </w:numPr>
              <w:suppressLineNumbers w:val="0"/>
              <w:kinsoku/>
              <w:wordWrap/>
              <w:overflowPunct/>
              <w:topLinePunct w:val="0"/>
              <w:bidi w:val="0"/>
              <w:snapToGrid/>
              <w:spacing w:before="0" w:beforeAutospacing="0" w:after="0" w:afterAutospacing="0" w:line="500" w:lineRule="exact"/>
              <w:ind w:left="0" w:right="0" w:firstLine="482" w:firstLineChars="200"/>
              <w:textAlignment w:val="auto"/>
              <w:rPr>
                <w:rFonts w:hint="default" w:ascii="Times New Roman" w:hAnsi="Times New Roman" w:eastAsia="宋体" w:cs="Times New Roman"/>
                <w:b/>
                <w:bCs w:val="0"/>
                <w:color w:val="auto"/>
                <w:sz w:val="24"/>
                <w:szCs w:val="24"/>
                <w:highlight w:val="none"/>
              </w:rPr>
            </w:pPr>
            <w:r>
              <w:rPr>
                <w:rFonts w:hint="eastAsia" w:ascii="宋体" w:hAnsi="宋体" w:eastAsia="宋体" w:cs="宋体"/>
                <w:b/>
                <w:bCs w:val="0"/>
                <w:color w:val="auto"/>
                <w:kern w:val="2"/>
                <w:sz w:val="24"/>
                <w:szCs w:val="24"/>
                <w:highlight w:val="none"/>
                <w:lang w:val="en-US" w:eastAsia="zh-CN" w:bidi="ar"/>
              </w:rPr>
              <w:t>噪声影响分析</w:t>
            </w:r>
          </w:p>
          <w:p w14:paraId="7FF5583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482" w:firstLineChars="200"/>
              <w:jc w:val="both"/>
              <w:textAlignment w:val="auto"/>
              <w:rPr>
                <w:rFonts w:hint="default"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2.1 噪声源强分析</w:t>
            </w:r>
          </w:p>
          <w:p w14:paraId="0328ECEC">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500" w:lineRule="exact"/>
              <w:ind w:left="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
              </w:rPr>
            </w:pPr>
            <w:r>
              <w:rPr>
                <w:rFonts w:hint="eastAsia" w:ascii="Times New Roman" w:hAnsi="Times New Roman" w:eastAsia="宋体" w:cs="Times New Roman"/>
                <w:color w:val="auto"/>
                <w:sz w:val="24"/>
                <w:szCs w:val="24"/>
                <w:highlight w:val="none"/>
              </w:rPr>
              <w:t>本次</w:t>
            </w:r>
            <w:r>
              <w:rPr>
                <w:rFonts w:hint="eastAsia" w:ascii="Times New Roman" w:hAnsi="Times New Roman" w:eastAsia="宋体" w:cs="Times New Roman"/>
                <w:color w:val="auto"/>
                <w:sz w:val="24"/>
                <w:szCs w:val="24"/>
                <w:highlight w:val="none"/>
                <w:lang w:val="en-US" w:eastAsia="zh-CN"/>
              </w:rPr>
              <w:t>扩建不</w:t>
            </w:r>
            <w:r>
              <w:rPr>
                <w:rFonts w:hint="eastAsia" w:ascii="Times New Roman" w:hAnsi="Times New Roman" w:eastAsia="宋体" w:cs="Times New Roman"/>
                <w:color w:val="auto"/>
                <w:sz w:val="24"/>
                <w:szCs w:val="24"/>
                <w:highlight w:val="none"/>
              </w:rPr>
              <w:t>新增产噪设备</w:t>
            </w:r>
            <w:r>
              <w:rPr>
                <w:rFonts w:hint="eastAsia" w:ascii="Times New Roman" w:hAnsi="Times New Roman" w:cs="Times New Roman"/>
                <w:color w:val="auto"/>
                <w:sz w:val="24"/>
                <w:szCs w:val="24"/>
                <w:highlight w:val="none"/>
                <w:lang w:eastAsia="zh-CN"/>
              </w:rPr>
              <w:t>，</w:t>
            </w:r>
            <w:r>
              <w:rPr>
                <w:rFonts w:hint="eastAsia" w:ascii="宋体" w:hAnsi="宋体" w:eastAsia="宋体" w:cs="宋体"/>
                <w:snapToGrid/>
                <w:color w:val="auto"/>
                <w:kern w:val="24"/>
                <w:sz w:val="24"/>
                <w:szCs w:val="24"/>
                <w:highlight w:val="none"/>
                <w:lang w:val="en-US" w:eastAsia="zh-CN" w:bidi="ar"/>
              </w:rPr>
              <w:t>现有项目厂界噪声满足《工业企业厂界环境噪声排放标准》（</w:t>
            </w:r>
            <w:r>
              <w:rPr>
                <w:rFonts w:hint="default" w:ascii="Times New Roman" w:hAnsi="Times New Roman" w:eastAsia="宋体" w:cs="Times New Roman"/>
                <w:snapToGrid/>
                <w:color w:val="auto"/>
                <w:kern w:val="24"/>
                <w:sz w:val="24"/>
                <w:szCs w:val="24"/>
                <w:highlight w:val="none"/>
                <w:lang w:val="en-US" w:eastAsia="zh-CN" w:bidi="ar"/>
              </w:rPr>
              <w:t>GB12348-2008</w:t>
            </w:r>
            <w:r>
              <w:rPr>
                <w:rFonts w:hint="eastAsia" w:ascii="宋体" w:hAnsi="宋体" w:eastAsia="宋体" w:cs="宋体"/>
                <w:snapToGrid/>
                <w:color w:val="auto"/>
                <w:kern w:val="24"/>
                <w:sz w:val="24"/>
                <w:szCs w:val="24"/>
                <w:highlight w:val="none"/>
                <w:lang w:val="en-US" w:eastAsia="zh-CN" w:bidi="ar"/>
              </w:rPr>
              <w:t>）中</w:t>
            </w:r>
            <w:r>
              <w:rPr>
                <w:rFonts w:hint="eastAsia" w:ascii="Times New Roman" w:hAnsi="Times New Roman" w:eastAsia="宋体" w:cs="Times New Roman"/>
                <w:snapToGrid/>
                <w:color w:val="auto"/>
                <w:kern w:val="24"/>
                <w:sz w:val="24"/>
                <w:szCs w:val="24"/>
                <w:highlight w:val="none"/>
                <w:lang w:val="en-US" w:eastAsia="zh-CN" w:bidi="ar"/>
              </w:rPr>
              <w:t>2</w:t>
            </w:r>
            <w:r>
              <w:rPr>
                <w:rFonts w:hint="eastAsia" w:ascii="宋体" w:hAnsi="宋体" w:eastAsia="宋体" w:cs="宋体"/>
                <w:snapToGrid/>
                <w:color w:val="auto"/>
                <w:kern w:val="24"/>
                <w:sz w:val="24"/>
                <w:szCs w:val="24"/>
                <w:highlight w:val="none"/>
                <w:lang w:val="en-US" w:eastAsia="zh-CN" w:bidi="ar"/>
              </w:rPr>
              <w:t>类标准限值要求。</w:t>
            </w:r>
            <w:r>
              <w:rPr>
                <w:rFonts w:hint="default" w:ascii="Times New Roman" w:hAnsi="Times New Roman" w:eastAsia="宋体" w:cs="Times New Roman"/>
                <w:color w:val="auto"/>
                <w:kern w:val="2"/>
                <w:sz w:val="24"/>
                <w:szCs w:val="24"/>
                <w:highlight w:val="none"/>
                <w:lang w:val="en-US" w:eastAsia="zh-CN" w:bidi="ar"/>
              </w:rPr>
              <w:t>本项目周边 50m 范围内无居民敏感点，噪声对周边环境影响可以接受。</w:t>
            </w:r>
          </w:p>
          <w:p w14:paraId="796F0267">
            <w:pPr>
              <w:pStyle w:val="13"/>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500" w:lineRule="exact"/>
              <w:ind w:left="0" w:right="0" w:firstLine="480"/>
              <w:jc w:val="left"/>
              <w:textAlignment w:val="auto"/>
              <w:rPr>
                <w:rFonts w:hint="eastAsia" w:ascii="Times New Roman" w:hAnsi="Times New Roman" w:eastAsia="宋体" w:cs="Times New Roman"/>
                <w:bCs/>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运输车辆的噪声主要是车辆在运输原料及成品时产生的噪声，由于运输产生的噪声主要为线性、间断性噪声，本项目内部道路和外部运输道路在避开居民休息时间，并且尽量远离环境敏感点，经过敏感点禁止鸣笛和限速，在通过以上措施，运输车辆噪声对周围声环境影响较小</w:t>
            </w:r>
            <w:r>
              <w:rPr>
                <w:rFonts w:hint="eastAsia" w:ascii="Times New Roman" w:hAnsi="Times New Roman" w:eastAsia="宋体" w:cs="Times New Roman"/>
                <w:color w:val="auto"/>
                <w:kern w:val="2"/>
                <w:sz w:val="24"/>
                <w:szCs w:val="24"/>
                <w:highlight w:val="none"/>
                <w:lang w:val="en-US" w:eastAsia="zh-CN" w:bidi="ar"/>
              </w:rPr>
              <w:t>。</w:t>
            </w:r>
          </w:p>
          <w:p w14:paraId="48AD9008">
            <w:pPr>
              <w:pStyle w:val="13"/>
              <w:keepNext w:val="0"/>
              <w:keepLines w:val="0"/>
              <w:pageBreakBefore w:val="0"/>
              <w:widowControl w:val="0"/>
              <w:suppressLineNumbers w:val="0"/>
              <w:kinsoku/>
              <w:wordWrap/>
              <w:overflowPunct/>
              <w:topLinePunct w:val="0"/>
              <w:autoSpaceDE w:val="0"/>
              <w:autoSpaceDN/>
              <w:bidi w:val="0"/>
              <w:snapToGrid/>
              <w:spacing w:before="0" w:beforeAutospacing="0" w:after="0" w:afterAutospacing="0" w:line="500" w:lineRule="exact"/>
              <w:ind w:left="0" w:right="0" w:firstLine="480"/>
              <w:jc w:val="left"/>
              <w:textAlignment w:val="auto"/>
              <w:rPr>
                <w:rFonts w:hint="default" w:ascii="Times New Roman" w:hAnsi="Times New Roman" w:eastAsia="宋体" w:cs="Times New Roman"/>
                <w:b/>
                <w:bCs/>
                <w:color w:val="auto"/>
                <w:kern w:val="2"/>
                <w:sz w:val="24"/>
                <w:szCs w:val="24"/>
                <w:highlight w:val="none"/>
              </w:rPr>
            </w:pPr>
            <w:r>
              <w:rPr>
                <w:rFonts w:hint="eastAsia" w:eastAsia="宋体" w:cs="宋体"/>
                <w:b/>
                <w:bCs/>
                <w:color w:val="auto"/>
                <w:kern w:val="2"/>
                <w:sz w:val="24"/>
                <w:szCs w:val="24"/>
                <w:highlight w:val="none"/>
                <w:lang w:val="en-US" w:eastAsia="zh-CN" w:bidi="ar"/>
              </w:rPr>
              <w:t>2.</w:t>
            </w:r>
            <w:r>
              <w:rPr>
                <w:rFonts w:hint="eastAsia" w:cs="宋体"/>
                <w:b/>
                <w:bCs/>
                <w:color w:val="auto"/>
                <w:kern w:val="2"/>
                <w:sz w:val="24"/>
                <w:szCs w:val="24"/>
                <w:highlight w:val="none"/>
                <w:lang w:val="en-US" w:eastAsia="zh-CN" w:bidi="ar"/>
              </w:rPr>
              <w:t>2</w:t>
            </w:r>
            <w:r>
              <w:rPr>
                <w:rFonts w:hint="eastAsia" w:ascii="宋体" w:hAnsi="宋体" w:eastAsia="宋体" w:cs="宋体"/>
                <w:b/>
                <w:bCs/>
                <w:color w:val="auto"/>
                <w:kern w:val="2"/>
                <w:sz w:val="24"/>
                <w:szCs w:val="24"/>
                <w:highlight w:val="none"/>
                <w:lang w:val="en-US" w:eastAsia="zh-CN" w:bidi="ar"/>
              </w:rPr>
              <w:t>环境监测计划</w:t>
            </w:r>
          </w:p>
          <w:p w14:paraId="0D586F9A">
            <w:pPr>
              <w:keepNext w:val="0"/>
              <w:keepLines w:val="0"/>
              <w:pageBreakBefore w:val="0"/>
              <w:widowControl w:val="0"/>
              <w:suppressLineNumbers w:val="0"/>
              <w:kinsoku/>
              <w:wordWrap/>
              <w:overflowPunct/>
              <w:topLinePunct w:val="0"/>
              <w:bidi w:val="0"/>
              <w:snapToGrid/>
              <w:spacing w:before="0" w:beforeAutospacing="0" w:after="0" w:afterAutospacing="0" w:line="500" w:lineRule="exact"/>
              <w:ind w:left="0" w:right="0" w:firstLine="480" w:firstLineChars="200"/>
              <w:jc w:val="both"/>
              <w:textAlignment w:val="auto"/>
              <w:rPr>
                <w:rFonts w:hint="eastAsia" w:ascii="宋体" w:hAnsi="宋体" w:eastAsia="宋体" w:cs="宋体"/>
                <w:b w:val="0"/>
                <w:bCs w:val="0"/>
                <w:color w:val="auto"/>
                <w:kern w:val="2"/>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根据《排污单位自行监测技术指南 总则》（HJ819-2017）中相关要求制定了本项目监测计划，具体见下表：</w:t>
            </w:r>
          </w:p>
          <w:p w14:paraId="6783DF2A">
            <w:pPr>
              <w:pStyle w:val="13"/>
              <w:keepNext w:val="0"/>
              <w:keepLines w:val="0"/>
              <w:widowControl w:val="0"/>
              <w:suppressLineNumbers w:val="0"/>
              <w:autoSpaceDE w:val="0"/>
              <w:autoSpaceDN/>
              <w:spacing w:before="0" w:beforeAutospacing="0" w:after="0" w:afterAutospacing="0"/>
              <w:ind w:left="0" w:right="0" w:firstLine="480"/>
              <w:jc w:val="center"/>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val="0"/>
                <w:color w:val="auto"/>
                <w:kern w:val="2"/>
                <w:sz w:val="21"/>
                <w:szCs w:val="21"/>
                <w:highlight w:val="none"/>
                <w:lang w:val="en-US" w:eastAsia="zh-CN" w:bidi="ar"/>
              </w:rPr>
              <w:t>表4-</w:t>
            </w:r>
            <w:r>
              <w:rPr>
                <w:rFonts w:hint="eastAsia" w:cs="宋体"/>
                <w:b/>
                <w:bCs w:val="0"/>
                <w:color w:val="auto"/>
                <w:kern w:val="2"/>
                <w:sz w:val="21"/>
                <w:szCs w:val="21"/>
                <w:highlight w:val="none"/>
                <w:lang w:val="en-US" w:eastAsia="zh-CN" w:bidi="ar"/>
              </w:rPr>
              <w:t>2</w:t>
            </w:r>
            <w:r>
              <w:rPr>
                <w:rFonts w:hint="eastAsia" w:ascii="宋体" w:hAnsi="宋体" w:eastAsia="宋体" w:cs="宋体"/>
                <w:b/>
                <w:bCs w:val="0"/>
                <w:color w:val="auto"/>
                <w:kern w:val="2"/>
                <w:sz w:val="21"/>
                <w:szCs w:val="21"/>
                <w:highlight w:val="none"/>
                <w:lang w:val="en-US" w:eastAsia="zh-CN" w:bidi="ar"/>
              </w:rPr>
              <w:t xml:space="preserve">  监测计划一览表</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142"/>
              <w:gridCol w:w="1275"/>
              <w:gridCol w:w="1500"/>
              <w:gridCol w:w="3722"/>
            </w:tblGrid>
            <w:tr w14:paraId="5BDA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48" w:type="pct"/>
                  <w:noWrap w:val="0"/>
                  <w:vAlign w:val="center"/>
                </w:tcPr>
                <w:p w14:paraId="006F80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宋体" w:hAnsi="宋体" w:eastAsia="宋体" w:cs="宋体"/>
                      <w:b/>
                      <w:bCs/>
                      <w:color w:val="auto"/>
                      <w:kern w:val="2"/>
                      <w:sz w:val="21"/>
                      <w:szCs w:val="21"/>
                      <w:highlight w:val="none"/>
                      <w:vertAlign w:val="baseline"/>
                      <w:lang w:val="en-US" w:eastAsia="zh-CN" w:bidi="ar"/>
                    </w:rPr>
                  </w:pPr>
                  <w:r>
                    <w:rPr>
                      <w:rFonts w:hint="eastAsia" w:ascii="宋体" w:hAnsi="宋体" w:eastAsia="宋体" w:cs="宋体"/>
                      <w:b/>
                      <w:bCs/>
                      <w:color w:val="auto"/>
                      <w:kern w:val="2"/>
                      <w:sz w:val="21"/>
                      <w:szCs w:val="21"/>
                      <w:highlight w:val="none"/>
                      <w:vertAlign w:val="baseline"/>
                      <w:lang w:val="en-US" w:eastAsia="zh-CN" w:bidi="ar"/>
                    </w:rPr>
                    <w:t>类别</w:t>
                  </w:r>
                </w:p>
              </w:tc>
              <w:tc>
                <w:tcPr>
                  <w:tcW w:w="665" w:type="pct"/>
                  <w:noWrap w:val="0"/>
                  <w:vAlign w:val="center"/>
                </w:tcPr>
                <w:p w14:paraId="2CCB61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宋体" w:hAnsi="宋体" w:eastAsia="宋体" w:cs="宋体"/>
                      <w:b/>
                      <w:bCs/>
                      <w:color w:val="auto"/>
                      <w:kern w:val="2"/>
                      <w:sz w:val="21"/>
                      <w:szCs w:val="21"/>
                      <w:highlight w:val="none"/>
                      <w:vertAlign w:val="baseline"/>
                      <w:lang w:val="en-US" w:eastAsia="zh-CN" w:bidi="ar"/>
                    </w:rPr>
                  </w:pPr>
                  <w:r>
                    <w:rPr>
                      <w:rFonts w:hint="eastAsia" w:ascii="宋体" w:hAnsi="宋体" w:eastAsia="宋体" w:cs="宋体"/>
                      <w:b/>
                      <w:bCs/>
                      <w:color w:val="auto"/>
                      <w:kern w:val="2"/>
                      <w:sz w:val="21"/>
                      <w:szCs w:val="21"/>
                      <w:highlight w:val="none"/>
                      <w:vertAlign w:val="baseline"/>
                      <w:lang w:val="en-US" w:eastAsia="zh-CN" w:bidi="ar"/>
                    </w:rPr>
                    <w:t>监测项目</w:t>
                  </w:r>
                </w:p>
              </w:tc>
              <w:tc>
                <w:tcPr>
                  <w:tcW w:w="743" w:type="pct"/>
                  <w:noWrap w:val="0"/>
                  <w:vAlign w:val="center"/>
                </w:tcPr>
                <w:p w14:paraId="16ED1F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宋体" w:hAnsi="宋体" w:eastAsia="宋体" w:cs="宋体"/>
                      <w:b/>
                      <w:bCs/>
                      <w:color w:val="auto"/>
                      <w:kern w:val="2"/>
                      <w:sz w:val="21"/>
                      <w:szCs w:val="21"/>
                      <w:highlight w:val="none"/>
                      <w:vertAlign w:val="baseline"/>
                      <w:lang w:val="en-US" w:eastAsia="zh-CN" w:bidi="ar"/>
                    </w:rPr>
                  </w:pPr>
                  <w:r>
                    <w:rPr>
                      <w:rFonts w:hint="eastAsia" w:ascii="宋体" w:hAnsi="宋体" w:eastAsia="宋体" w:cs="宋体"/>
                      <w:b/>
                      <w:bCs/>
                      <w:color w:val="auto"/>
                      <w:kern w:val="2"/>
                      <w:sz w:val="21"/>
                      <w:szCs w:val="21"/>
                      <w:highlight w:val="none"/>
                      <w:vertAlign w:val="baseline"/>
                      <w:lang w:val="en-US" w:eastAsia="zh-CN" w:bidi="ar"/>
                    </w:rPr>
                    <w:t>监测点位置</w:t>
                  </w:r>
                </w:p>
              </w:tc>
              <w:tc>
                <w:tcPr>
                  <w:tcW w:w="874" w:type="pct"/>
                  <w:noWrap w:val="0"/>
                  <w:vAlign w:val="center"/>
                </w:tcPr>
                <w:p w14:paraId="3CEC9F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宋体" w:hAnsi="宋体" w:eastAsia="宋体" w:cs="宋体"/>
                      <w:b/>
                      <w:bCs/>
                      <w:color w:val="auto"/>
                      <w:kern w:val="2"/>
                      <w:sz w:val="21"/>
                      <w:szCs w:val="21"/>
                      <w:highlight w:val="none"/>
                      <w:vertAlign w:val="baseline"/>
                      <w:lang w:val="en-US" w:eastAsia="zh-CN" w:bidi="ar"/>
                    </w:rPr>
                  </w:pPr>
                  <w:r>
                    <w:rPr>
                      <w:rFonts w:hint="eastAsia" w:ascii="宋体" w:hAnsi="宋体" w:eastAsia="宋体" w:cs="宋体"/>
                      <w:b/>
                      <w:bCs/>
                      <w:color w:val="auto"/>
                      <w:kern w:val="2"/>
                      <w:sz w:val="21"/>
                      <w:szCs w:val="21"/>
                      <w:highlight w:val="none"/>
                      <w:vertAlign w:val="baseline"/>
                      <w:lang w:val="en-US" w:eastAsia="zh-CN" w:bidi="ar"/>
                    </w:rPr>
                    <w:t>监测频率</w:t>
                  </w:r>
                </w:p>
              </w:tc>
              <w:tc>
                <w:tcPr>
                  <w:tcW w:w="2168" w:type="pct"/>
                  <w:noWrap w:val="0"/>
                  <w:vAlign w:val="center"/>
                </w:tcPr>
                <w:p w14:paraId="2DF323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宋体" w:hAnsi="宋体" w:eastAsia="宋体" w:cs="宋体"/>
                      <w:b/>
                      <w:bCs/>
                      <w:color w:val="auto"/>
                      <w:kern w:val="2"/>
                      <w:sz w:val="21"/>
                      <w:szCs w:val="21"/>
                      <w:highlight w:val="none"/>
                      <w:vertAlign w:val="baseline"/>
                      <w:lang w:val="en-US" w:eastAsia="zh-CN" w:bidi="ar"/>
                    </w:rPr>
                  </w:pPr>
                  <w:r>
                    <w:rPr>
                      <w:rFonts w:hint="eastAsia" w:ascii="宋体" w:hAnsi="宋体" w:eastAsia="宋体" w:cs="宋体"/>
                      <w:b/>
                      <w:bCs/>
                      <w:color w:val="auto"/>
                      <w:kern w:val="2"/>
                      <w:sz w:val="21"/>
                      <w:szCs w:val="21"/>
                      <w:highlight w:val="none"/>
                      <w:vertAlign w:val="baseline"/>
                      <w:lang w:val="en-US" w:eastAsia="zh-CN" w:bidi="ar"/>
                    </w:rPr>
                    <w:t>执行标准</w:t>
                  </w:r>
                </w:p>
              </w:tc>
            </w:tr>
            <w:tr w14:paraId="1DF0B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48" w:type="pct"/>
                  <w:noWrap w:val="0"/>
                  <w:vAlign w:val="center"/>
                </w:tcPr>
                <w:p w14:paraId="5EA7C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宋体" w:hAnsi="宋体" w:eastAsia="宋体" w:cs="宋体"/>
                      <w:b w:val="0"/>
                      <w:bCs w:val="0"/>
                      <w:color w:val="auto"/>
                      <w:kern w:val="2"/>
                      <w:sz w:val="21"/>
                      <w:szCs w:val="21"/>
                      <w:highlight w:val="none"/>
                      <w:vertAlign w:val="baseline"/>
                      <w:lang w:val="en-US" w:eastAsia="zh-CN" w:bidi="ar"/>
                    </w:rPr>
                  </w:pPr>
                  <w:r>
                    <w:rPr>
                      <w:rFonts w:hint="eastAsia" w:ascii="宋体" w:hAnsi="宋体" w:eastAsia="宋体" w:cs="宋体"/>
                      <w:b w:val="0"/>
                      <w:bCs w:val="0"/>
                      <w:color w:val="auto"/>
                      <w:kern w:val="2"/>
                      <w:sz w:val="21"/>
                      <w:szCs w:val="21"/>
                      <w:highlight w:val="none"/>
                      <w:vertAlign w:val="baseline"/>
                      <w:lang w:val="en-US" w:eastAsia="zh-CN" w:bidi="ar"/>
                    </w:rPr>
                    <w:t>噪声</w:t>
                  </w:r>
                </w:p>
              </w:tc>
              <w:tc>
                <w:tcPr>
                  <w:tcW w:w="665" w:type="pct"/>
                  <w:noWrap w:val="0"/>
                  <w:vAlign w:val="center"/>
                </w:tcPr>
                <w:p w14:paraId="4262F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宋体" w:hAnsi="宋体" w:eastAsia="宋体" w:cs="宋体"/>
                      <w:b w:val="0"/>
                      <w:bCs w:val="0"/>
                      <w:color w:val="auto"/>
                      <w:kern w:val="2"/>
                      <w:sz w:val="21"/>
                      <w:szCs w:val="21"/>
                      <w:highlight w:val="none"/>
                      <w:vertAlign w:val="baseline"/>
                      <w:lang w:val="en-US" w:eastAsia="zh-CN" w:bidi="ar"/>
                    </w:rPr>
                  </w:pPr>
                  <w:r>
                    <w:rPr>
                      <w:rFonts w:hint="eastAsia" w:ascii="宋体" w:hAnsi="宋体" w:eastAsia="宋体" w:cs="宋体"/>
                      <w:b w:val="0"/>
                      <w:bCs w:val="0"/>
                      <w:color w:val="auto"/>
                      <w:kern w:val="2"/>
                      <w:sz w:val="21"/>
                      <w:szCs w:val="21"/>
                      <w:highlight w:val="none"/>
                      <w:vertAlign w:val="baseline"/>
                      <w:lang w:val="en-US" w:eastAsia="zh-CN" w:bidi="ar"/>
                    </w:rPr>
                    <w:t>Leq（A）</w:t>
                  </w:r>
                </w:p>
              </w:tc>
              <w:tc>
                <w:tcPr>
                  <w:tcW w:w="743" w:type="pct"/>
                  <w:noWrap w:val="0"/>
                  <w:vAlign w:val="center"/>
                </w:tcPr>
                <w:p w14:paraId="1B8B83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宋体" w:hAnsi="宋体" w:eastAsia="宋体" w:cs="宋体"/>
                      <w:b w:val="0"/>
                      <w:bCs w:val="0"/>
                      <w:color w:val="auto"/>
                      <w:kern w:val="2"/>
                      <w:sz w:val="21"/>
                      <w:szCs w:val="21"/>
                      <w:highlight w:val="none"/>
                      <w:vertAlign w:val="baseline"/>
                      <w:lang w:val="en-US" w:eastAsia="zh-CN" w:bidi="ar"/>
                    </w:rPr>
                  </w:pPr>
                  <w:r>
                    <w:rPr>
                      <w:rFonts w:hint="eastAsia" w:ascii="宋体" w:hAnsi="宋体" w:eastAsia="宋体" w:cs="宋体"/>
                      <w:b w:val="0"/>
                      <w:bCs w:val="0"/>
                      <w:color w:val="auto"/>
                      <w:kern w:val="2"/>
                      <w:sz w:val="21"/>
                      <w:szCs w:val="21"/>
                      <w:highlight w:val="none"/>
                      <w:vertAlign w:val="baseline"/>
                      <w:lang w:val="en-US" w:eastAsia="zh-CN" w:bidi="ar"/>
                    </w:rPr>
                    <w:t>厂界四周</w:t>
                  </w:r>
                </w:p>
              </w:tc>
              <w:tc>
                <w:tcPr>
                  <w:tcW w:w="874" w:type="pct"/>
                  <w:noWrap w:val="0"/>
                  <w:vAlign w:val="center"/>
                </w:tcPr>
                <w:p w14:paraId="7AC942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宋体" w:hAnsi="宋体" w:eastAsia="宋体" w:cs="宋体"/>
                      <w:b w:val="0"/>
                      <w:bCs w:val="0"/>
                      <w:color w:val="auto"/>
                      <w:kern w:val="2"/>
                      <w:sz w:val="21"/>
                      <w:szCs w:val="21"/>
                      <w:highlight w:val="none"/>
                      <w:vertAlign w:val="baseline"/>
                      <w:lang w:val="en-US" w:eastAsia="zh-CN" w:bidi="ar"/>
                    </w:rPr>
                  </w:pPr>
                  <w:r>
                    <w:rPr>
                      <w:rFonts w:hint="eastAsia" w:ascii="宋体" w:hAnsi="宋体" w:eastAsia="宋体" w:cs="宋体"/>
                      <w:b w:val="0"/>
                      <w:bCs w:val="0"/>
                      <w:color w:val="auto"/>
                      <w:kern w:val="2"/>
                      <w:sz w:val="21"/>
                      <w:szCs w:val="21"/>
                      <w:highlight w:val="none"/>
                      <w:vertAlign w:val="baseline"/>
                      <w:lang w:val="en-US" w:eastAsia="zh-CN" w:bidi="ar"/>
                    </w:rPr>
                    <w:t>1 次/生产季</w:t>
                  </w:r>
                </w:p>
              </w:tc>
              <w:tc>
                <w:tcPr>
                  <w:tcW w:w="2168" w:type="pct"/>
                  <w:noWrap w:val="0"/>
                  <w:vAlign w:val="center"/>
                </w:tcPr>
                <w:p w14:paraId="419170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宋体" w:hAnsi="宋体" w:eastAsia="宋体" w:cs="宋体"/>
                      <w:b w:val="0"/>
                      <w:bCs w:val="0"/>
                      <w:color w:val="auto"/>
                      <w:kern w:val="2"/>
                      <w:sz w:val="21"/>
                      <w:szCs w:val="21"/>
                      <w:highlight w:val="none"/>
                      <w:vertAlign w:val="baseline"/>
                      <w:lang w:val="en-US" w:eastAsia="zh-CN" w:bidi="ar"/>
                    </w:rPr>
                  </w:pPr>
                  <w:r>
                    <w:rPr>
                      <w:rFonts w:hint="eastAsia" w:ascii="宋体" w:hAnsi="宋体" w:eastAsia="宋体" w:cs="宋体"/>
                      <w:b w:val="0"/>
                      <w:bCs w:val="0"/>
                      <w:color w:val="auto"/>
                      <w:kern w:val="2"/>
                      <w:sz w:val="21"/>
                      <w:szCs w:val="21"/>
                      <w:highlight w:val="none"/>
                      <w:vertAlign w:val="baseline"/>
                      <w:lang w:val="en-US" w:eastAsia="zh-CN" w:bidi="ar"/>
                    </w:rPr>
                    <w:t>《工业企业厂界环境噪声排放标准》</w:t>
                  </w:r>
                </w:p>
                <w:p w14:paraId="2819C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jc w:val="center"/>
                    <w:textAlignment w:val="auto"/>
                    <w:rPr>
                      <w:rFonts w:hint="eastAsia" w:ascii="宋体" w:hAnsi="宋体" w:eastAsia="宋体" w:cs="宋体"/>
                      <w:b w:val="0"/>
                      <w:bCs w:val="0"/>
                      <w:color w:val="auto"/>
                      <w:kern w:val="2"/>
                      <w:sz w:val="21"/>
                      <w:szCs w:val="21"/>
                      <w:highlight w:val="none"/>
                      <w:vertAlign w:val="baseline"/>
                      <w:lang w:val="en-US" w:eastAsia="zh-CN" w:bidi="ar"/>
                    </w:rPr>
                  </w:pPr>
                  <w:r>
                    <w:rPr>
                      <w:rFonts w:hint="eastAsia" w:ascii="宋体" w:hAnsi="宋体" w:eastAsia="宋体" w:cs="宋体"/>
                      <w:b w:val="0"/>
                      <w:bCs w:val="0"/>
                      <w:color w:val="auto"/>
                      <w:kern w:val="2"/>
                      <w:sz w:val="21"/>
                      <w:szCs w:val="21"/>
                      <w:highlight w:val="none"/>
                      <w:vertAlign w:val="baseline"/>
                      <w:lang w:val="en-US" w:eastAsia="zh-CN" w:bidi="ar"/>
                    </w:rPr>
                    <w:t>2 类标准</w:t>
                  </w:r>
                </w:p>
              </w:tc>
            </w:tr>
          </w:tbl>
          <w:p w14:paraId="4B6839B2">
            <w:pPr>
              <w:keepNext w:val="0"/>
              <w:keepLines w:val="0"/>
              <w:widowControl w:val="0"/>
              <w:suppressLineNumbers w:val="0"/>
              <w:spacing w:before="0" w:beforeAutospacing="0" w:after="0" w:afterAutospacing="0" w:line="500" w:lineRule="exact"/>
              <w:ind w:left="0" w:right="0" w:firstLine="482" w:firstLineChars="200"/>
              <w:jc w:val="both"/>
              <w:rPr>
                <w:rFonts w:hint="eastAsia" w:ascii="Times New Roman" w:hAnsi="Times New Roman" w:eastAsia="宋体" w:cs="Times New Roman"/>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3、固体废物影响分析</w:t>
            </w:r>
          </w:p>
          <w:p w14:paraId="17F98CA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
              </w:rPr>
            </w:pPr>
            <w:r>
              <w:rPr>
                <w:rFonts w:hint="eastAsia" w:ascii="Times New Roman" w:hAnsi="Times New Roman" w:eastAsia="宋体" w:cs="Times New Roman"/>
                <w:color w:val="auto"/>
                <w:kern w:val="2"/>
                <w:sz w:val="24"/>
                <w:szCs w:val="24"/>
                <w:highlight w:val="none"/>
                <w:lang w:val="en-US" w:eastAsia="zh-CN" w:bidi="ar"/>
              </w:rPr>
              <w:t>本项目不新增员工，不新增生活垃圾量，现有生活垃圾由环卫部门处理，对环境影响较小。</w:t>
            </w:r>
          </w:p>
          <w:p w14:paraId="4756D5FA">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4、废水</w:t>
            </w:r>
          </w:p>
          <w:p w14:paraId="3D108EC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2"/>
                <w:sz w:val="24"/>
                <w:szCs w:val="24"/>
                <w:highlight w:val="none"/>
                <w:lang w:val="en-US" w:eastAsia="zh-CN" w:bidi="ar"/>
              </w:rPr>
            </w:pPr>
            <w:r>
              <w:rPr>
                <w:rFonts w:hint="eastAsia" w:ascii="Times New Roman" w:hAnsi="Times New Roman" w:eastAsia="宋体" w:cs="Times New Roman"/>
                <w:color w:val="auto"/>
                <w:kern w:val="2"/>
                <w:sz w:val="24"/>
                <w:szCs w:val="24"/>
                <w:highlight w:val="none"/>
                <w:lang w:val="en-US" w:eastAsia="zh-CN" w:bidi="ar"/>
              </w:rPr>
              <w:t>本项目生产过程中不使用水，无生产废水产生及排放；本项目依托厂内现有员工，不新增劳动定员，因此，不新增生活用水及生活污水。综上，</w:t>
            </w:r>
            <w:r>
              <w:rPr>
                <w:rFonts w:hint="default" w:ascii="Times New Roman" w:hAnsi="Times New Roman" w:eastAsia="宋体" w:cs="Times New Roman"/>
                <w:color w:val="auto"/>
                <w:kern w:val="2"/>
                <w:sz w:val="24"/>
                <w:szCs w:val="24"/>
                <w:highlight w:val="none"/>
                <w:lang w:val="en-US" w:eastAsia="zh-CN" w:bidi="ar"/>
              </w:rPr>
              <w:t>本项目无废水排放，对环境影响</w:t>
            </w:r>
            <w:r>
              <w:rPr>
                <w:rFonts w:hint="eastAsia" w:ascii="Times New Roman" w:hAnsi="Times New Roman" w:eastAsia="宋体" w:cs="Times New Roman"/>
                <w:color w:val="auto"/>
                <w:kern w:val="2"/>
                <w:sz w:val="24"/>
                <w:szCs w:val="24"/>
                <w:highlight w:val="none"/>
                <w:lang w:val="en-US" w:eastAsia="zh-CN" w:bidi="ar"/>
              </w:rPr>
              <w:t>较小</w:t>
            </w:r>
            <w:r>
              <w:rPr>
                <w:rFonts w:hint="default" w:ascii="Times New Roman" w:hAnsi="Times New Roman" w:eastAsia="宋体" w:cs="Times New Roman"/>
                <w:color w:val="auto"/>
                <w:kern w:val="2"/>
                <w:sz w:val="24"/>
                <w:szCs w:val="24"/>
                <w:highlight w:val="none"/>
                <w:lang w:val="en-US" w:eastAsia="zh-CN" w:bidi="ar"/>
              </w:rPr>
              <w:t>。</w:t>
            </w:r>
          </w:p>
          <w:p w14:paraId="2AF0EF67">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5、地下水、土壤</w:t>
            </w:r>
          </w:p>
          <w:p w14:paraId="5923A16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
              </w:rPr>
            </w:pPr>
            <w:r>
              <w:rPr>
                <w:rFonts w:hint="eastAsia" w:ascii="Times New Roman" w:hAnsi="Times New Roman" w:eastAsia="宋体" w:cs="Times New Roman"/>
                <w:color w:val="auto"/>
                <w:kern w:val="2"/>
                <w:sz w:val="24"/>
                <w:szCs w:val="24"/>
                <w:highlight w:val="none"/>
                <w:lang w:val="en-US" w:eastAsia="zh-CN" w:bidi="ar"/>
              </w:rPr>
              <w:t>本项目不使用水，无废水排放，无涉及地下水及土壤的污染物排放。项目所在厂区均已进行地面硬化，项目罐区地面基础均采取混凝土防渗，渗透系数小于1×10</w:t>
            </w:r>
            <w:r>
              <w:rPr>
                <w:rFonts w:hint="eastAsia" w:ascii="Times New Roman" w:hAnsi="Times New Roman" w:eastAsia="宋体" w:cs="Times New Roman"/>
                <w:color w:val="auto"/>
                <w:kern w:val="2"/>
                <w:sz w:val="24"/>
                <w:szCs w:val="24"/>
                <w:highlight w:val="none"/>
                <w:vertAlign w:val="superscript"/>
                <w:lang w:val="en-US" w:eastAsia="zh-CN" w:bidi="ar"/>
              </w:rPr>
              <w:t>-7</w:t>
            </w:r>
            <w:r>
              <w:rPr>
                <w:rFonts w:hint="eastAsia" w:ascii="Times New Roman" w:hAnsi="Times New Roman" w:eastAsia="宋体" w:cs="Times New Roman"/>
                <w:color w:val="auto"/>
                <w:kern w:val="2"/>
                <w:sz w:val="24"/>
                <w:szCs w:val="24"/>
                <w:highlight w:val="none"/>
                <w:lang w:val="en-US" w:eastAsia="zh-CN" w:bidi="ar"/>
              </w:rPr>
              <w:t>cm/s，项目对地下水和土壤环境影响较小。</w:t>
            </w:r>
          </w:p>
          <w:p w14:paraId="61451AA5">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6.生态环境</w:t>
            </w:r>
          </w:p>
          <w:p w14:paraId="4D2D6A7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
              </w:rPr>
            </w:pPr>
            <w:r>
              <w:rPr>
                <w:rFonts w:hint="eastAsia" w:ascii="Times New Roman" w:hAnsi="Times New Roman" w:eastAsia="宋体" w:cs="Times New Roman"/>
                <w:color w:val="auto"/>
                <w:kern w:val="2"/>
                <w:sz w:val="24"/>
                <w:szCs w:val="24"/>
                <w:highlight w:val="none"/>
                <w:lang w:val="en-US" w:eastAsia="zh-CN" w:bidi="ar"/>
              </w:rPr>
              <w:t>本项目在企业现有厂区内进行，不新增占地，对生态环境影响较小。</w:t>
            </w:r>
          </w:p>
          <w:p w14:paraId="7C489AC6">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7.环境风险</w:t>
            </w:r>
          </w:p>
          <w:p w14:paraId="1C783C6B">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highlight w:val="none"/>
                <w:lang w:val="en-US" w:eastAsia="zh-CN" w:bidi="ar"/>
              </w:rPr>
            </w:pPr>
            <w:r>
              <w:rPr>
                <w:rFonts w:hint="eastAsia" w:ascii="Times New Roman" w:hAnsi="Times New Roman" w:eastAsia="宋体" w:cs="Times New Roman"/>
                <w:color w:val="auto"/>
                <w:kern w:val="2"/>
                <w:sz w:val="24"/>
                <w:szCs w:val="24"/>
                <w:highlight w:val="none"/>
                <w:lang w:val="en-US" w:eastAsia="zh-CN" w:bidi="ar"/>
              </w:rPr>
              <w:t>本项目液氮储存，不进行生产。本项目所用原料液氮由供应商用槽罐车送货到厂区。根据《建设项目环境风险评价技术导则》（HJ169-2018），经对照附录B重点关注的危险物质及临界量，本项目涉及的液氮不属于附录 B 中所列物质。</w:t>
            </w:r>
          </w:p>
          <w:p w14:paraId="010A86A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highlight w:val="none"/>
              </w:rPr>
            </w:pPr>
            <w:r>
              <w:rPr>
                <w:rFonts w:hint="eastAsia" w:ascii="Times New Roman" w:hAnsi="Times New Roman" w:eastAsia="宋体" w:cs="Times New Roman"/>
                <w:color w:val="auto"/>
                <w:kern w:val="2"/>
                <w:sz w:val="24"/>
                <w:szCs w:val="24"/>
                <w:highlight w:val="none"/>
                <w:lang w:val="en-US" w:eastAsia="zh-CN" w:bidi="ar"/>
              </w:rPr>
              <w:t>液氮不在物质危险性判定中的有毒物质范畴内，并且氮气为空气中原有成分，液氮气化属惰性气体，主要事故风险为低温液体气化导致冻伤、窒息等，环境风险较小。</w:t>
            </w:r>
          </w:p>
          <w:p w14:paraId="01E72023">
            <w:pPr>
              <w:pStyle w:val="13"/>
              <w:keepNext w:val="0"/>
              <w:keepLines w:val="0"/>
              <w:widowControl w:val="0"/>
              <w:suppressLineNumbers w:val="0"/>
              <w:autoSpaceDE w:val="0"/>
              <w:autoSpaceDN/>
              <w:spacing w:before="0" w:beforeAutospacing="0" w:after="0" w:afterAutospacing="0"/>
              <w:ind w:left="0" w:right="0" w:firstLine="480"/>
              <w:jc w:val="center"/>
              <w:rPr>
                <w:rFonts w:hint="eastAsia" w:ascii="宋体" w:hAnsi="宋体" w:eastAsia="宋体" w:cs="宋体"/>
                <w:b/>
                <w:bCs w:val="0"/>
                <w:color w:val="auto"/>
                <w:kern w:val="2"/>
                <w:sz w:val="21"/>
                <w:szCs w:val="21"/>
                <w:highlight w:val="none"/>
                <w:vertAlign w:val="baseline"/>
                <w:lang w:val="en-US" w:eastAsia="zh-CN" w:bidi="ar"/>
              </w:rPr>
            </w:pPr>
            <w:r>
              <w:rPr>
                <w:rFonts w:hint="eastAsia" w:ascii="宋体" w:hAnsi="宋体" w:eastAsia="宋体" w:cs="宋体"/>
                <w:b/>
                <w:bCs w:val="0"/>
                <w:color w:val="auto"/>
                <w:kern w:val="2"/>
                <w:sz w:val="21"/>
                <w:szCs w:val="21"/>
                <w:highlight w:val="none"/>
                <w:lang w:val="en-US" w:eastAsia="zh-CN" w:bidi="ar"/>
              </w:rPr>
              <w:t>表4-</w:t>
            </w:r>
            <w:r>
              <w:rPr>
                <w:rFonts w:hint="eastAsia" w:cs="宋体"/>
                <w:b/>
                <w:bCs w:val="0"/>
                <w:color w:val="auto"/>
                <w:kern w:val="2"/>
                <w:sz w:val="21"/>
                <w:szCs w:val="21"/>
                <w:highlight w:val="none"/>
                <w:lang w:val="en-US" w:eastAsia="zh-CN" w:bidi="ar"/>
              </w:rPr>
              <w:t>3</w:t>
            </w:r>
            <w:r>
              <w:rPr>
                <w:rFonts w:hint="eastAsia" w:ascii="宋体" w:hAnsi="宋体" w:eastAsia="宋体" w:cs="宋体"/>
                <w:b/>
                <w:bCs w:val="0"/>
                <w:color w:val="auto"/>
                <w:kern w:val="2"/>
                <w:sz w:val="21"/>
                <w:szCs w:val="21"/>
                <w:highlight w:val="none"/>
                <w:lang w:val="en-US" w:eastAsia="zh-CN" w:bidi="ar"/>
              </w:rPr>
              <w:t xml:space="preserve">  </w:t>
            </w:r>
            <w:r>
              <w:rPr>
                <w:rFonts w:hint="eastAsia" w:cs="宋体"/>
                <w:b/>
                <w:bCs w:val="0"/>
                <w:color w:val="auto"/>
                <w:kern w:val="2"/>
                <w:sz w:val="21"/>
                <w:szCs w:val="21"/>
                <w:highlight w:val="none"/>
                <w:lang w:val="en-US" w:eastAsia="zh-CN" w:bidi="ar"/>
              </w:rPr>
              <w:t>氮(液化的）理化性质及危险特性表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1713"/>
              <w:gridCol w:w="1697"/>
              <w:gridCol w:w="2038"/>
              <w:gridCol w:w="4"/>
              <w:gridCol w:w="2035"/>
            </w:tblGrid>
            <w:tr w14:paraId="560B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6A1733F1">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名称</w:t>
                  </w:r>
                </w:p>
              </w:tc>
              <w:tc>
                <w:tcPr>
                  <w:tcW w:w="7487" w:type="dxa"/>
                  <w:gridSpan w:val="5"/>
                  <w:vAlign w:val="center"/>
                </w:tcPr>
                <w:p w14:paraId="2BB69D0C">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氮（液化的）；液氮</w:t>
                  </w:r>
                </w:p>
              </w:tc>
            </w:tr>
            <w:tr w14:paraId="4B20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5C64E590">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分子式</w:t>
                  </w:r>
                </w:p>
              </w:tc>
              <w:tc>
                <w:tcPr>
                  <w:tcW w:w="3410" w:type="dxa"/>
                  <w:gridSpan w:val="2"/>
                  <w:vAlign w:val="center"/>
                </w:tcPr>
                <w:p w14:paraId="0B35F3AD">
                  <w:pPr>
                    <w:pStyle w:val="13"/>
                    <w:keepNext w:val="0"/>
                    <w:keepLines w:val="0"/>
                    <w:widowControl w:val="0"/>
                    <w:suppressLineNumbers w:val="0"/>
                    <w:autoSpaceDE w:val="0"/>
                    <w:autoSpaceDN/>
                    <w:spacing w:before="0" w:beforeAutospacing="0" w:after="0" w:afterAutospacing="0"/>
                    <w:ind w:left="0" w:right="0"/>
                    <w:jc w:val="center"/>
                    <w:rPr>
                      <w:rFonts w:hint="default"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N</w:t>
                  </w:r>
                  <w:r>
                    <w:rPr>
                      <w:rFonts w:hint="eastAsia" w:cs="宋体"/>
                      <w:b w:val="0"/>
                      <w:bCs/>
                      <w:color w:val="auto"/>
                      <w:kern w:val="2"/>
                      <w:sz w:val="21"/>
                      <w:szCs w:val="21"/>
                      <w:highlight w:val="none"/>
                      <w:vertAlign w:val="subscript"/>
                      <w:lang w:val="en-US" w:eastAsia="zh-CN" w:bidi="ar"/>
                    </w:rPr>
                    <w:t>2</w:t>
                  </w:r>
                </w:p>
              </w:tc>
              <w:tc>
                <w:tcPr>
                  <w:tcW w:w="2042" w:type="dxa"/>
                  <w:gridSpan w:val="2"/>
                  <w:vAlign w:val="center"/>
                </w:tcPr>
                <w:p w14:paraId="2C1B061C">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危险货物编号</w:t>
                  </w:r>
                </w:p>
              </w:tc>
              <w:tc>
                <w:tcPr>
                  <w:tcW w:w="2035" w:type="dxa"/>
                  <w:vAlign w:val="center"/>
                </w:tcPr>
                <w:p w14:paraId="1D6EA434">
                  <w:pPr>
                    <w:pStyle w:val="13"/>
                    <w:keepNext w:val="0"/>
                    <w:keepLines w:val="0"/>
                    <w:widowControl w:val="0"/>
                    <w:suppressLineNumbers w:val="0"/>
                    <w:autoSpaceDE w:val="0"/>
                    <w:autoSpaceDN/>
                    <w:spacing w:before="0" w:beforeAutospacing="0" w:after="0" w:afterAutospacing="0"/>
                    <w:ind w:left="0" w:right="0"/>
                    <w:jc w:val="center"/>
                    <w:rPr>
                      <w:rFonts w:hint="default"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22006</w:t>
                  </w:r>
                </w:p>
              </w:tc>
            </w:tr>
            <w:tr w14:paraId="5BB7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Merge w:val="restart"/>
                  <w:vAlign w:val="center"/>
                </w:tcPr>
                <w:p w14:paraId="711901B7">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理化性质</w:t>
                  </w:r>
                </w:p>
              </w:tc>
              <w:tc>
                <w:tcPr>
                  <w:tcW w:w="1713" w:type="dxa"/>
                  <w:vAlign w:val="center"/>
                </w:tcPr>
                <w:p w14:paraId="3F2CCA38">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外观与性状</w:t>
                  </w:r>
                </w:p>
              </w:tc>
              <w:tc>
                <w:tcPr>
                  <w:tcW w:w="5774" w:type="dxa"/>
                  <w:gridSpan w:val="4"/>
                  <w:vAlign w:val="center"/>
                </w:tcPr>
                <w:p w14:paraId="2C3D4415">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无色极低温度，无气味</w:t>
                  </w:r>
                </w:p>
              </w:tc>
            </w:tr>
            <w:tr w14:paraId="1AD0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Merge w:val="continue"/>
                  <w:vAlign w:val="center"/>
                </w:tcPr>
                <w:p w14:paraId="507E218C">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p>
              </w:tc>
              <w:tc>
                <w:tcPr>
                  <w:tcW w:w="1713" w:type="dxa"/>
                  <w:vAlign w:val="center"/>
                </w:tcPr>
                <w:p w14:paraId="71364624">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熔点℃</w:t>
                  </w:r>
                </w:p>
              </w:tc>
              <w:tc>
                <w:tcPr>
                  <w:tcW w:w="1697" w:type="dxa"/>
                  <w:vAlign w:val="center"/>
                </w:tcPr>
                <w:p w14:paraId="29D4099E">
                  <w:pPr>
                    <w:pStyle w:val="13"/>
                    <w:keepNext w:val="0"/>
                    <w:keepLines w:val="0"/>
                    <w:widowControl w:val="0"/>
                    <w:suppressLineNumbers w:val="0"/>
                    <w:autoSpaceDE w:val="0"/>
                    <w:autoSpaceDN/>
                    <w:spacing w:before="0" w:beforeAutospacing="0" w:after="0" w:afterAutospacing="0"/>
                    <w:ind w:left="0" w:right="0"/>
                    <w:jc w:val="center"/>
                    <w:rPr>
                      <w:rFonts w:hint="default"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-209.8</w:t>
                  </w:r>
                </w:p>
              </w:tc>
              <w:tc>
                <w:tcPr>
                  <w:tcW w:w="2042" w:type="dxa"/>
                  <w:gridSpan w:val="2"/>
                  <w:vAlign w:val="center"/>
                </w:tcPr>
                <w:p w14:paraId="283CCAD8">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沸点℃</w:t>
                  </w:r>
                </w:p>
              </w:tc>
              <w:tc>
                <w:tcPr>
                  <w:tcW w:w="2035" w:type="dxa"/>
                  <w:vAlign w:val="center"/>
                </w:tcPr>
                <w:p w14:paraId="7DD1F0E3">
                  <w:pPr>
                    <w:pStyle w:val="13"/>
                    <w:keepNext w:val="0"/>
                    <w:keepLines w:val="0"/>
                    <w:widowControl w:val="0"/>
                    <w:suppressLineNumbers w:val="0"/>
                    <w:autoSpaceDE w:val="0"/>
                    <w:autoSpaceDN/>
                    <w:spacing w:before="0" w:beforeAutospacing="0" w:after="0" w:afterAutospacing="0"/>
                    <w:ind w:left="0" w:right="0"/>
                    <w:jc w:val="center"/>
                    <w:rPr>
                      <w:rFonts w:hint="default"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-195.6</w:t>
                  </w:r>
                </w:p>
              </w:tc>
            </w:tr>
            <w:tr w14:paraId="262B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Merge w:val="continue"/>
                  <w:vAlign w:val="center"/>
                </w:tcPr>
                <w:p w14:paraId="4F734E5D">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p>
              </w:tc>
              <w:tc>
                <w:tcPr>
                  <w:tcW w:w="1713" w:type="dxa"/>
                  <w:vAlign w:val="center"/>
                </w:tcPr>
                <w:p w14:paraId="3B4EBCB5">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相对密度（水=1）</w:t>
                  </w:r>
                </w:p>
              </w:tc>
              <w:tc>
                <w:tcPr>
                  <w:tcW w:w="1697" w:type="dxa"/>
                  <w:vAlign w:val="center"/>
                </w:tcPr>
                <w:p w14:paraId="471F7E13">
                  <w:pPr>
                    <w:pStyle w:val="13"/>
                    <w:keepNext w:val="0"/>
                    <w:keepLines w:val="0"/>
                    <w:widowControl w:val="0"/>
                    <w:suppressLineNumbers w:val="0"/>
                    <w:autoSpaceDE w:val="0"/>
                    <w:autoSpaceDN/>
                    <w:spacing w:before="0" w:beforeAutospacing="0" w:after="0" w:afterAutospacing="0"/>
                    <w:ind w:left="0" w:right="0"/>
                    <w:jc w:val="center"/>
                    <w:rPr>
                      <w:rFonts w:hint="default"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0.81</w:t>
                  </w:r>
                </w:p>
              </w:tc>
              <w:tc>
                <w:tcPr>
                  <w:tcW w:w="2042" w:type="dxa"/>
                  <w:gridSpan w:val="2"/>
                  <w:vAlign w:val="center"/>
                </w:tcPr>
                <w:p w14:paraId="1E9D5F73">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相对密度（空气=1）</w:t>
                  </w:r>
                </w:p>
              </w:tc>
              <w:tc>
                <w:tcPr>
                  <w:tcW w:w="2035" w:type="dxa"/>
                  <w:vAlign w:val="center"/>
                </w:tcPr>
                <w:p w14:paraId="04B3FE4E">
                  <w:pPr>
                    <w:pStyle w:val="13"/>
                    <w:keepNext w:val="0"/>
                    <w:keepLines w:val="0"/>
                    <w:widowControl w:val="0"/>
                    <w:suppressLineNumbers w:val="0"/>
                    <w:autoSpaceDE w:val="0"/>
                    <w:autoSpaceDN/>
                    <w:spacing w:before="0" w:beforeAutospacing="0" w:after="0" w:afterAutospacing="0"/>
                    <w:ind w:left="0" w:right="0"/>
                    <w:jc w:val="center"/>
                    <w:rPr>
                      <w:rFonts w:hint="default"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0.97</w:t>
                  </w:r>
                </w:p>
              </w:tc>
            </w:tr>
            <w:tr w14:paraId="5692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Merge w:val="continue"/>
                  <w:vAlign w:val="center"/>
                </w:tcPr>
                <w:p w14:paraId="21F9B274">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p>
              </w:tc>
              <w:tc>
                <w:tcPr>
                  <w:tcW w:w="1713" w:type="dxa"/>
                  <w:vAlign w:val="center"/>
                </w:tcPr>
                <w:p w14:paraId="7D6BD337">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饱和蒸气压（kPa）</w:t>
                  </w:r>
                </w:p>
              </w:tc>
              <w:tc>
                <w:tcPr>
                  <w:tcW w:w="1697" w:type="dxa"/>
                  <w:vAlign w:val="center"/>
                </w:tcPr>
                <w:p w14:paraId="6FFE6AF8">
                  <w:pPr>
                    <w:pStyle w:val="13"/>
                    <w:keepNext w:val="0"/>
                    <w:keepLines w:val="0"/>
                    <w:widowControl w:val="0"/>
                    <w:suppressLineNumbers w:val="0"/>
                    <w:autoSpaceDE w:val="0"/>
                    <w:autoSpaceDN/>
                    <w:spacing w:before="0" w:beforeAutospacing="0" w:after="0" w:afterAutospacing="0"/>
                    <w:ind w:left="0" w:right="0"/>
                    <w:jc w:val="center"/>
                    <w:rPr>
                      <w:rFonts w:hint="default"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1026.42~-173℃</w:t>
                  </w:r>
                </w:p>
              </w:tc>
              <w:tc>
                <w:tcPr>
                  <w:tcW w:w="2042" w:type="dxa"/>
                  <w:gridSpan w:val="2"/>
                  <w:vAlign w:val="center"/>
                </w:tcPr>
                <w:p w14:paraId="0906D01F">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溶解性</w:t>
                  </w:r>
                </w:p>
              </w:tc>
              <w:tc>
                <w:tcPr>
                  <w:tcW w:w="2035" w:type="dxa"/>
                  <w:vAlign w:val="center"/>
                </w:tcPr>
                <w:p w14:paraId="2B894E9C">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微溶于水、乙醇</w:t>
                  </w:r>
                </w:p>
              </w:tc>
            </w:tr>
            <w:tr w14:paraId="7F6E7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Merge w:val="continue"/>
                  <w:vAlign w:val="center"/>
                </w:tcPr>
                <w:p w14:paraId="012A67B5">
                  <w:pPr>
                    <w:pStyle w:val="13"/>
                    <w:keepNext w:val="0"/>
                    <w:keepLines w:val="0"/>
                    <w:widowControl w:val="0"/>
                    <w:suppressLineNumbers w:val="0"/>
                    <w:autoSpaceDE w:val="0"/>
                    <w:autoSpaceDN/>
                    <w:spacing w:before="0" w:beforeAutospacing="0" w:after="0" w:afterAutospacing="0"/>
                    <w:ind w:left="0" w:right="0"/>
                    <w:jc w:val="center"/>
                    <w:rPr>
                      <w:rFonts w:hint="eastAsia" w:ascii="宋体" w:hAnsi="宋体" w:eastAsia="宋体" w:cs="宋体"/>
                      <w:b w:val="0"/>
                      <w:bCs/>
                      <w:color w:val="auto"/>
                      <w:kern w:val="2"/>
                      <w:sz w:val="21"/>
                      <w:szCs w:val="21"/>
                      <w:highlight w:val="none"/>
                      <w:vertAlign w:val="baseline"/>
                      <w:lang w:val="en-US" w:eastAsia="zh-CN" w:bidi="ar"/>
                    </w:rPr>
                  </w:pPr>
                </w:p>
              </w:tc>
              <w:tc>
                <w:tcPr>
                  <w:tcW w:w="1713" w:type="dxa"/>
                  <w:vAlign w:val="center"/>
                </w:tcPr>
                <w:p w14:paraId="64D38277">
                  <w:pPr>
                    <w:pStyle w:val="13"/>
                    <w:keepNext w:val="0"/>
                    <w:keepLines w:val="0"/>
                    <w:widowControl w:val="0"/>
                    <w:suppressLineNumbers w:val="0"/>
                    <w:autoSpaceDE w:val="0"/>
                    <w:autoSpaceDN/>
                    <w:spacing w:before="0" w:beforeAutospacing="0" w:after="0" w:afterAutospacing="0"/>
                    <w:ind w:left="0" w:right="0"/>
                    <w:jc w:val="center"/>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临界温度℃</w:t>
                  </w:r>
                </w:p>
              </w:tc>
              <w:tc>
                <w:tcPr>
                  <w:tcW w:w="1697" w:type="dxa"/>
                  <w:vAlign w:val="center"/>
                </w:tcPr>
                <w:p w14:paraId="3530C58D">
                  <w:pPr>
                    <w:pStyle w:val="13"/>
                    <w:keepNext w:val="0"/>
                    <w:keepLines w:val="0"/>
                    <w:widowControl w:val="0"/>
                    <w:suppressLineNumbers w:val="0"/>
                    <w:autoSpaceDE w:val="0"/>
                    <w:autoSpaceDN/>
                    <w:spacing w:before="0" w:beforeAutospacing="0" w:after="0" w:afterAutospacing="0"/>
                    <w:ind w:left="0" w:right="0"/>
                    <w:jc w:val="center"/>
                    <w:rPr>
                      <w:rFonts w:hint="default"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-147</w:t>
                  </w:r>
                </w:p>
              </w:tc>
              <w:tc>
                <w:tcPr>
                  <w:tcW w:w="2042" w:type="dxa"/>
                  <w:gridSpan w:val="2"/>
                  <w:vAlign w:val="center"/>
                </w:tcPr>
                <w:p w14:paraId="1D1F848B">
                  <w:pPr>
                    <w:pStyle w:val="13"/>
                    <w:keepNext w:val="0"/>
                    <w:keepLines w:val="0"/>
                    <w:widowControl w:val="0"/>
                    <w:suppressLineNumbers w:val="0"/>
                    <w:autoSpaceDE w:val="0"/>
                    <w:autoSpaceDN/>
                    <w:spacing w:before="0" w:beforeAutospacing="0" w:after="0" w:afterAutospacing="0"/>
                    <w:ind w:left="0" w:right="0"/>
                    <w:jc w:val="center"/>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临界压力（MPa）</w:t>
                  </w:r>
                </w:p>
              </w:tc>
              <w:tc>
                <w:tcPr>
                  <w:tcW w:w="2035" w:type="dxa"/>
                  <w:vAlign w:val="center"/>
                </w:tcPr>
                <w:p w14:paraId="64A9C021">
                  <w:pPr>
                    <w:pStyle w:val="13"/>
                    <w:keepNext w:val="0"/>
                    <w:keepLines w:val="0"/>
                    <w:widowControl w:val="0"/>
                    <w:suppressLineNumbers w:val="0"/>
                    <w:autoSpaceDE w:val="0"/>
                    <w:autoSpaceDN/>
                    <w:spacing w:before="0" w:beforeAutospacing="0" w:after="0" w:afterAutospacing="0"/>
                    <w:ind w:left="0" w:right="0"/>
                    <w:jc w:val="center"/>
                    <w:rPr>
                      <w:rFonts w:hint="default"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3.4</w:t>
                  </w:r>
                </w:p>
              </w:tc>
            </w:tr>
            <w:tr w14:paraId="50BB6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Merge w:val="restart"/>
                  <w:vAlign w:val="center"/>
                </w:tcPr>
                <w:p w14:paraId="04075D79">
                  <w:pPr>
                    <w:pStyle w:val="13"/>
                    <w:keepNext w:val="0"/>
                    <w:keepLines w:val="0"/>
                    <w:widowControl w:val="0"/>
                    <w:suppressLineNumbers w:val="0"/>
                    <w:autoSpaceDE w:val="0"/>
                    <w:autoSpaceDN/>
                    <w:spacing w:before="0" w:beforeAutospacing="0" w:after="0" w:afterAutospacing="0"/>
                    <w:ind w:left="0" w:right="0"/>
                    <w:jc w:val="center"/>
                    <w:rPr>
                      <w:rFonts w:hint="default" w:ascii="宋体" w:hAnsi="宋体" w:eastAsia="宋体"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燃烧爆炸危险性</w:t>
                  </w:r>
                </w:p>
              </w:tc>
              <w:tc>
                <w:tcPr>
                  <w:tcW w:w="1713" w:type="dxa"/>
                  <w:vAlign w:val="center"/>
                </w:tcPr>
                <w:p w14:paraId="7A643C73">
                  <w:pPr>
                    <w:pStyle w:val="13"/>
                    <w:keepNext w:val="0"/>
                    <w:keepLines w:val="0"/>
                    <w:widowControl w:val="0"/>
                    <w:suppressLineNumbers w:val="0"/>
                    <w:autoSpaceDE w:val="0"/>
                    <w:autoSpaceDN/>
                    <w:spacing w:before="0" w:beforeAutospacing="0" w:after="0" w:afterAutospacing="0"/>
                    <w:ind w:left="0" w:right="0"/>
                    <w:jc w:val="center"/>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燃烧性</w:t>
                  </w:r>
                </w:p>
              </w:tc>
              <w:tc>
                <w:tcPr>
                  <w:tcW w:w="1697" w:type="dxa"/>
                  <w:vAlign w:val="center"/>
                </w:tcPr>
                <w:p w14:paraId="011BF9B0">
                  <w:pPr>
                    <w:pStyle w:val="13"/>
                    <w:keepNext w:val="0"/>
                    <w:keepLines w:val="0"/>
                    <w:widowControl w:val="0"/>
                    <w:suppressLineNumbers w:val="0"/>
                    <w:autoSpaceDE w:val="0"/>
                    <w:autoSpaceDN/>
                    <w:spacing w:before="0" w:beforeAutospacing="0" w:after="0" w:afterAutospacing="0"/>
                    <w:ind w:left="0" w:right="0"/>
                    <w:jc w:val="center"/>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不燃</w:t>
                  </w:r>
                </w:p>
              </w:tc>
              <w:tc>
                <w:tcPr>
                  <w:tcW w:w="2038" w:type="dxa"/>
                  <w:vAlign w:val="center"/>
                </w:tcPr>
                <w:p w14:paraId="511B7AB6">
                  <w:pPr>
                    <w:pStyle w:val="13"/>
                    <w:keepNext w:val="0"/>
                    <w:keepLines w:val="0"/>
                    <w:widowControl w:val="0"/>
                    <w:suppressLineNumbers w:val="0"/>
                    <w:autoSpaceDE w:val="0"/>
                    <w:autoSpaceDN/>
                    <w:spacing w:before="0" w:beforeAutospacing="0" w:after="0" w:afterAutospacing="0"/>
                    <w:ind w:left="0" w:right="0"/>
                    <w:jc w:val="center"/>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稳定性</w:t>
                  </w:r>
                </w:p>
              </w:tc>
              <w:tc>
                <w:tcPr>
                  <w:tcW w:w="2039" w:type="dxa"/>
                  <w:gridSpan w:val="2"/>
                  <w:vAlign w:val="center"/>
                </w:tcPr>
                <w:p w14:paraId="0BEFD47A">
                  <w:pPr>
                    <w:pStyle w:val="13"/>
                    <w:keepNext w:val="0"/>
                    <w:keepLines w:val="0"/>
                    <w:widowControl w:val="0"/>
                    <w:suppressLineNumbers w:val="0"/>
                    <w:autoSpaceDE w:val="0"/>
                    <w:autoSpaceDN/>
                    <w:spacing w:before="0" w:beforeAutospacing="0" w:after="0" w:afterAutospacing="0"/>
                    <w:ind w:left="0" w:right="0"/>
                    <w:jc w:val="center"/>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稳定</w:t>
                  </w:r>
                </w:p>
              </w:tc>
            </w:tr>
            <w:tr w14:paraId="246A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Merge w:val="continue"/>
                  <w:vAlign w:val="center"/>
                </w:tcPr>
                <w:p w14:paraId="7952F8B9">
                  <w:pPr>
                    <w:pStyle w:val="13"/>
                    <w:keepNext w:val="0"/>
                    <w:keepLines w:val="0"/>
                    <w:widowControl w:val="0"/>
                    <w:suppressLineNumbers w:val="0"/>
                    <w:autoSpaceDE w:val="0"/>
                    <w:autoSpaceDN/>
                    <w:spacing w:before="0" w:beforeAutospacing="0" w:after="0" w:afterAutospacing="0"/>
                    <w:ind w:left="0" w:right="0"/>
                    <w:jc w:val="center"/>
                    <w:rPr>
                      <w:rFonts w:hint="eastAsia" w:cs="宋体"/>
                      <w:b w:val="0"/>
                      <w:bCs/>
                      <w:color w:val="auto"/>
                      <w:kern w:val="2"/>
                      <w:sz w:val="21"/>
                      <w:szCs w:val="21"/>
                      <w:highlight w:val="none"/>
                      <w:vertAlign w:val="baseline"/>
                      <w:lang w:val="en-US" w:eastAsia="zh-CN" w:bidi="ar"/>
                    </w:rPr>
                  </w:pPr>
                </w:p>
              </w:tc>
              <w:tc>
                <w:tcPr>
                  <w:tcW w:w="1713" w:type="dxa"/>
                  <w:vAlign w:val="center"/>
                </w:tcPr>
                <w:p w14:paraId="04AC9972">
                  <w:pPr>
                    <w:pStyle w:val="13"/>
                    <w:keepNext w:val="0"/>
                    <w:keepLines w:val="0"/>
                    <w:widowControl w:val="0"/>
                    <w:suppressLineNumbers w:val="0"/>
                    <w:autoSpaceDE w:val="0"/>
                    <w:autoSpaceDN/>
                    <w:spacing w:before="0" w:beforeAutospacing="0" w:after="0" w:afterAutospacing="0"/>
                    <w:ind w:left="0" w:right="0"/>
                    <w:jc w:val="center"/>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聚合危害</w:t>
                  </w:r>
                </w:p>
              </w:tc>
              <w:tc>
                <w:tcPr>
                  <w:tcW w:w="1697" w:type="dxa"/>
                  <w:vAlign w:val="center"/>
                </w:tcPr>
                <w:p w14:paraId="58B59954">
                  <w:pPr>
                    <w:pStyle w:val="13"/>
                    <w:keepNext w:val="0"/>
                    <w:keepLines w:val="0"/>
                    <w:widowControl w:val="0"/>
                    <w:suppressLineNumbers w:val="0"/>
                    <w:autoSpaceDE w:val="0"/>
                    <w:autoSpaceDN/>
                    <w:spacing w:before="0" w:beforeAutospacing="0" w:after="0" w:afterAutospacing="0"/>
                    <w:ind w:left="0" w:right="0"/>
                    <w:jc w:val="center"/>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不存在</w:t>
                  </w:r>
                </w:p>
              </w:tc>
              <w:tc>
                <w:tcPr>
                  <w:tcW w:w="2038" w:type="dxa"/>
                  <w:vAlign w:val="center"/>
                </w:tcPr>
                <w:p w14:paraId="74683140">
                  <w:pPr>
                    <w:pStyle w:val="13"/>
                    <w:keepNext w:val="0"/>
                    <w:keepLines w:val="0"/>
                    <w:widowControl w:val="0"/>
                    <w:suppressLineNumbers w:val="0"/>
                    <w:autoSpaceDE w:val="0"/>
                    <w:autoSpaceDN/>
                    <w:spacing w:before="0" w:beforeAutospacing="0" w:after="0" w:afterAutospacing="0"/>
                    <w:ind w:left="0" w:right="0"/>
                    <w:jc w:val="center"/>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危险性类别</w:t>
                  </w:r>
                </w:p>
              </w:tc>
              <w:tc>
                <w:tcPr>
                  <w:tcW w:w="2039" w:type="dxa"/>
                  <w:gridSpan w:val="2"/>
                  <w:vAlign w:val="center"/>
                </w:tcPr>
                <w:p w14:paraId="79728BE2">
                  <w:pPr>
                    <w:pStyle w:val="13"/>
                    <w:keepNext w:val="0"/>
                    <w:keepLines w:val="0"/>
                    <w:widowControl w:val="0"/>
                    <w:suppressLineNumbers w:val="0"/>
                    <w:autoSpaceDE w:val="0"/>
                    <w:autoSpaceDN/>
                    <w:spacing w:before="0" w:beforeAutospacing="0" w:after="0" w:afterAutospacing="0"/>
                    <w:ind w:left="0" w:right="0"/>
                    <w:jc w:val="center"/>
                    <w:rPr>
                      <w:rFonts w:hint="default"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第2.2类不然气体</w:t>
                  </w:r>
                </w:p>
              </w:tc>
            </w:tr>
            <w:tr w14:paraId="0A61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Merge w:val="continue"/>
                  <w:vAlign w:val="center"/>
                </w:tcPr>
                <w:p w14:paraId="0EFF8816">
                  <w:pPr>
                    <w:pStyle w:val="13"/>
                    <w:keepNext w:val="0"/>
                    <w:keepLines w:val="0"/>
                    <w:widowControl w:val="0"/>
                    <w:suppressLineNumbers w:val="0"/>
                    <w:autoSpaceDE w:val="0"/>
                    <w:autoSpaceDN/>
                    <w:spacing w:before="0" w:beforeAutospacing="0" w:after="0" w:afterAutospacing="0"/>
                    <w:ind w:left="0" w:right="0"/>
                    <w:jc w:val="center"/>
                    <w:rPr>
                      <w:rFonts w:hint="eastAsia" w:cs="宋体"/>
                      <w:b w:val="0"/>
                      <w:bCs/>
                      <w:color w:val="auto"/>
                      <w:kern w:val="2"/>
                      <w:sz w:val="21"/>
                      <w:szCs w:val="21"/>
                      <w:highlight w:val="none"/>
                      <w:vertAlign w:val="baseline"/>
                      <w:lang w:val="en-US" w:eastAsia="zh-CN" w:bidi="ar"/>
                    </w:rPr>
                  </w:pPr>
                </w:p>
              </w:tc>
              <w:tc>
                <w:tcPr>
                  <w:tcW w:w="7487" w:type="dxa"/>
                  <w:gridSpan w:val="5"/>
                  <w:vAlign w:val="center"/>
                </w:tcPr>
                <w:p w14:paraId="259CD069">
                  <w:pPr>
                    <w:pStyle w:val="13"/>
                    <w:keepNext w:val="0"/>
                    <w:keepLines w:val="0"/>
                    <w:widowControl w:val="0"/>
                    <w:suppressLineNumbers w:val="0"/>
                    <w:autoSpaceDE w:val="0"/>
                    <w:autoSpaceDN/>
                    <w:spacing w:before="0" w:beforeAutospacing="0" w:after="0" w:afterAutospacing="0"/>
                    <w:ind w:left="0" w:right="0"/>
                    <w:jc w:val="center"/>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危险特性，气体比空气重，可能累积在低层空间，造成缺氧。</w:t>
                  </w:r>
                </w:p>
              </w:tc>
            </w:tr>
            <w:tr w14:paraId="7BD46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427CAAD6">
                  <w:pPr>
                    <w:pStyle w:val="13"/>
                    <w:keepNext w:val="0"/>
                    <w:keepLines w:val="0"/>
                    <w:widowControl w:val="0"/>
                    <w:suppressLineNumbers w:val="0"/>
                    <w:autoSpaceDE w:val="0"/>
                    <w:autoSpaceDN/>
                    <w:spacing w:before="0" w:beforeAutospacing="0" w:after="0" w:afterAutospacing="0"/>
                    <w:ind w:left="0" w:right="0"/>
                    <w:jc w:val="center"/>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包装与储存</w:t>
                  </w:r>
                </w:p>
              </w:tc>
              <w:tc>
                <w:tcPr>
                  <w:tcW w:w="7487" w:type="dxa"/>
                  <w:gridSpan w:val="5"/>
                  <w:vAlign w:val="center"/>
                </w:tcPr>
                <w:p w14:paraId="5A8AADAC">
                  <w:pPr>
                    <w:pStyle w:val="13"/>
                    <w:keepNext w:val="0"/>
                    <w:keepLines w:val="0"/>
                    <w:widowControl w:val="0"/>
                    <w:suppressLineNumbers w:val="0"/>
                    <w:autoSpaceDE w:val="0"/>
                    <w:autoSpaceDN/>
                    <w:spacing w:before="0" w:beforeAutospacing="0" w:after="0" w:afterAutospacing="0"/>
                    <w:ind w:left="0" w:right="0"/>
                    <w:jc w:val="left"/>
                    <w:rPr>
                      <w:rFonts w:hint="default"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储运注意事项：不燃性压缩气体，储存于阴凉、通风仓间内。仓内温度不低于30℃。远离火种、热源。</w:t>
                  </w:r>
                </w:p>
              </w:tc>
            </w:tr>
            <w:tr w14:paraId="392C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168B1CEE">
                  <w:pPr>
                    <w:pStyle w:val="13"/>
                    <w:keepNext w:val="0"/>
                    <w:keepLines w:val="0"/>
                    <w:widowControl w:val="0"/>
                    <w:suppressLineNumbers w:val="0"/>
                    <w:autoSpaceDE w:val="0"/>
                    <w:autoSpaceDN/>
                    <w:spacing w:before="0" w:beforeAutospacing="0" w:after="0" w:afterAutospacing="0"/>
                    <w:ind w:left="0" w:right="0"/>
                    <w:jc w:val="center"/>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毒性及健康危害</w:t>
                  </w:r>
                </w:p>
              </w:tc>
              <w:tc>
                <w:tcPr>
                  <w:tcW w:w="7487" w:type="dxa"/>
                  <w:gridSpan w:val="5"/>
                  <w:vAlign w:val="center"/>
                </w:tcPr>
                <w:p w14:paraId="4283224D">
                  <w:pPr>
                    <w:pStyle w:val="13"/>
                    <w:keepNext w:val="0"/>
                    <w:keepLines w:val="0"/>
                    <w:widowControl w:val="0"/>
                    <w:suppressLineNumbers w:val="0"/>
                    <w:autoSpaceDE w:val="0"/>
                    <w:autoSpaceDN/>
                    <w:spacing w:before="0" w:beforeAutospacing="0" w:after="0" w:afterAutospacing="0"/>
                    <w:ind w:left="0" w:right="0"/>
                    <w:jc w:val="left"/>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侵入途径：吸入</w:t>
                  </w:r>
                </w:p>
                <w:p w14:paraId="2BFC5C66">
                  <w:pPr>
                    <w:pStyle w:val="13"/>
                    <w:keepNext w:val="0"/>
                    <w:keepLines w:val="0"/>
                    <w:widowControl w:val="0"/>
                    <w:suppressLineNumbers w:val="0"/>
                    <w:autoSpaceDE w:val="0"/>
                    <w:autoSpaceDN/>
                    <w:spacing w:before="0" w:beforeAutospacing="0" w:after="0" w:afterAutospacing="0"/>
                    <w:ind w:left="0" w:right="0"/>
                    <w:jc w:val="left"/>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健康危害：容器泄漏时，该类液体迅速蒸发，造成封闭空间空气中过饱和，有窒息严重风险；短期接触，可能引起冻伤</w:t>
                  </w:r>
                </w:p>
              </w:tc>
            </w:tr>
            <w:tr w14:paraId="0B02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02C4D5F5">
                  <w:pPr>
                    <w:pStyle w:val="13"/>
                    <w:keepNext w:val="0"/>
                    <w:keepLines w:val="0"/>
                    <w:widowControl w:val="0"/>
                    <w:suppressLineNumbers w:val="0"/>
                    <w:autoSpaceDE w:val="0"/>
                    <w:autoSpaceDN/>
                    <w:spacing w:before="0" w:beforeAutospacing="0" w:after="0" w:afterAutospacing="0"/>
                    <w:ind w:left="0" w:right="0"/>
                    <w:jc w:val="center"/>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急救措施</w:t>
                  </w:r>
                </w:p>
              </w:tc>
              <w:tc>
                <w:tcPr>
                  <w:tcW w:w="7487" w:type="dxa"/>
                  <w:gridSpan w:val="5"/>
                  <w:vAlign w:val="center"/>
                </w:tcPr>
                <w:p w14:paraId="1CB231C6">
                  <w:pPr>
                    <w:pStyle w:val="13"/>
                    <w:keepNext w:val="0"/>
                    <w:keepLines w:val="0"/>
                    <w:widowControl w:val="0"/>
                    <w:suppressLineNumbers w:val="0"/>
                    <w:autoSpaceDE w:val="0"/>
                    <w:autoSpaceDN/>
                    <w:spacing w:before="0" w:beforeAutospacing="0" w:after="0" w:afterAutospacing="0"/>
                    <w:ind w:left="0" w:right="0"/>
                    <w:jc w:val="left"/>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皮肤接触：若冻伤，就医治疗。</w:t>
                  </w:r>
                </w:p>
                <w:p w14:paraId="7D739DC4">
                  <w:pPr>
                    <w:pStyle w:val="13"/>
                    <w:keepNext w:val="0"/>
                    <w:keepLines w:val="0"/>
                    <w:widowControl w:val="0"/>
                    <w:suppressLineNumbers w:val="0"/>
                    <w:autoSpaceDE w:val="0"/>
                    <w:autoSpaceDN/>
                    <w:spacing w:before="0" w:beforeAutospacing="0" w:after="0" w:afterAutospacing="0"/>
                    <w:ind w:left="0" w:right="0"/>
                    <w:jc w:val="left"/>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吸入：迅速脱离现场至空气新鲜处。保持呼吸道通畅。呼吸困难，输氧。如呼吸停止，立即进行人工呼吸。就医</w:t>
                  </w:r>
                </w:p>
              </w:tc>
            </w:tr>
            <w:tr w14:paraId="3437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6" w:type="dxa"/>
                  <w:vAlign w:val="center"/>
                </w:tcPr>
                <w:p w14:paraId="3B7BCBF0">
                  <w:pPr>
                    <w:pStyle w:val="13"/>
                    <w:keepNext w:val="0"/>
                    <w:keepLines w:val="0"/>
                    <w:widowControl w:val="0"/>
                    <w:suppressLineNumbers w:val="0"/>
                    <w:autoSpaceDE w:val="0"/>
                    <w:autoSpaceDN/>
                    <w:spacing w:before="0" w:beforeAutospacing="0" w:after="0" w:afterAutospacing="0"/>
                    <w:ind w:left="0" w:right="0"/>
                    <w:jc w:val="center"/>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泄漏处置</w:t>
                  </w:r>
                </w:p>
              </w:tc>
              <w:tc>
                <w:tcPr>
                  <w:tcW w:w="7487" w:type="dxa"/>
                  <w:gridSpan w:val="5"/>
                  <w:vAlign w:val="center"/>
                </w:tcPr>
                <w:p w14:paraId="51856079">
                  <w:pPr>
                    <w:pStyle w:val="13"/>
                    <w:keepNext w:val="0"/>
                    <w:keepLines w:val="0"/>
                    <w:widowControl w:val="0"/>
                    <w:suppressLineNumbers w:val="0"/>
                    <w:autoSpaceDE w:val="0"/>
                    <w:autoSpaceDN/>
                    <w:spacing w:before="0" w:beforeAutospacing="0" w:after="0" w:afterAutospacing="0"/>
                    <w:ind w:left="0" w:right="0"/>
                    <w:jc w:val="left"/>
                    <w:rPr>
                      <w:rFonts w:hint="eastAsia" w:cs="宋体"/>
                      <w:b w:val="0"/>
                      <w:bCs/>
                      <w:color w:val="auto"/>
                      <w:kern w:val="2"/>
                      <w:sz w:val="21"/>
                      <w:szCs w:val="21"/>
                      <w:highlight w:val="none"/>
                      <w:vertAlign w:val="baseline"/>
                      <w:lang w:val="en-US" w:eastAsia="zh-CN" w:bidi="ar"/>
                    </w:rPr>
                  </w:pPr>
                  <w:r>
                    <w:rPr>
                      <w:rFonts w:hint="eastAsia" w:cs="宋体"/>
                      <w:b w:val="0"/>
                      <w:bCs/>
                      <w:color w:val="auto"/>
                      <w:kern w:val="2"/>
                      <w:sz w:val="21"/>
                      <w:szCs w:val="21"/>
                      <w:highlight w:val="none"/>
                      <w:vertAlign w:val="baseline"/>
                      <w:lang w:val="en-US" w:eastAsia="zh-CN" w:bidi="ar"/>
                    </w:rPr>
                    <w:t>迅速撤离泄漏污染区人员至上风向处，严格限制出入；切断火源；应急处置人员佩戴正压式呼吸器。尽可能切断泄漏源，合理通风，加速扩散。泄漏容器妥善处理，修复，检验合格后使用</w:t>
                  </w:r>
                </w:p>
              </w:tc>
            </w:tr>
          </w:tbl>
          <w:p w14:paraId="3D42A7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7.1</w:t>
            </w:r>
            <w:r>
              <w:rPr>
                <w:rFonts w:hint="default" w:ascii="Times New Roman" w:hAnsi="Times New Roman" w:eastAsia="宋体" w:cs="Times New Roman"/>
                <w:b/>
                <w:bCs/>
                <w:color w:val="auto"/>
                <w:sz w:val="24"/>
                <w:szCs w:val="24"/>
                <w:highlight w:val="none"/>
              </w:rPr>
              <w:t>环境风险防范措施</w:t>
            </w:r>
          </w:p>
          <w:p w14:paraId="21F877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充装按规范操作，委托有资质的单位进行运输及装卸。充满率不得大于95%，严禁过量充装。低温液体卸车时，槽车应严格停靠在卸车位进行卸车，并在车道出入口处设置禁止通行的标志，严禁停在卸车位以外区域进行卸车。</w:t>
            </w:r>
          </w:p>
          <w:p w14:paraId="6F1DC7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充装时必须现场监护，做好加液数量统计并记录；充液后24小时内应密切注意储罐内压力变化，若压力波动较大，应立即排放，保持压力正常；密切注意罐内储量，达到规定下限应及时联系送气；安排人员对储罐定期巡视、抄表，并做好记录；通过现场巡检、警报仪和部分关键点位 24 小时视频监控的方式确保生产安全。</w:t>
            </w:r>
          </w:p>
          <w:p w14:paraId="07EAF6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储罐及工艺控制中具有报警系统和连锁系统，</w:t>
            </w:r>
            <w:r>
              <w:rPr>
                <w:rFonts w:hint="eastAsia" w:ascii="Times New Roman" w:hAnsi="Times New Roman" w:eastAsia="宋体" w:cs="Times New Roman"/>
                <w:color w:val="auto"/>
                <w:sz w:val="24"/>
                <w:szCs w:val="24"/>
                <w:highlight w:val="none"/>
                <w:lang w:val="en-US" w:eastAsia="zh-CN"/>
              </w:rPr>
              <w:t>以</w:t>
            </w:r>
            <w:r>
              <w:rPr>
                <w:rFonts w:hint="default" w:ascii="Times New Roman" w:hAnsi="Times New Roman" w:eastAsia="宋体" w:cs="Times New Roman"/>
                <w:color w:val="auto"/>
                <w:sz w:val="24"/>
                <w:szCs w:val="24"/>
                <w:highlight w:val="none"/>
              </w:rPr>
              <w:t>确保在误操作或非正常状况下，物料始终处于安全控制中。</w:t>
            </w:r>
          </w:p>
          <w:p w14:paraId="5E7629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槽车罐的进、出管道上分别设置有气动紧急切断阀，工艺管道的绝热采用真空管保冷，液相管道的两个截断阀之间设置安全放散阀，一旦液体受热膨胀或气化时，安全放散阀自动打开泄压；气相总管上设置安全放散阀，一旦操作失误或系统超压时，安全阀打开放散泄压。容器、管道等承压处根据规范要求设置安全阀、压力表、温度表、压力自动控制、压力超限自动报警系统等。</w:t>
            </w:r>
          </w:p>
          <w:p w14:paraId="4C1399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在生产过程中应加强对各类阀门的日常检查和维修保养，建立日常维护记录</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保证阀门严密不渗不漏、开关灵活；储罐上真空嘴，安全阀的封条，铅封不能损坏，要定期检查；压力表严禁去油，并定期校验；安全阀必须是不锈钢或铜制，定期校验，严格去油；当设备上阀门、仪表、管道等冻结时，应用温热水或空气解冻，严禁敲打、火烤、明火和电加热。制定有关安全生产的规章制度和安全操作规程，建立容器定期检查和日常维护记录。</w:t>
            </w:r>
          </w:p>
          <w:p w14:paraId="2EC257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项目区禁止烟火，严格控制火源、防火防爆</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加强检查维修工作，防止产生电气火花。</w:t>
            </w:r>
          </w:p>
          <w:p w14:paraId="3733B4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企业主要负责人、安全管理人员和设备作业人员应接受必要的安全培训</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增强预防事故、控制危害和应急处理能力。操作人员要经专业培训，并考试合格持证上岗，必须按相应操作规范及安全技术规程实施规范化操作，不得穿戴有油污或经典效应的化纤服装，不得穿带钉子的鞋子，操作中启闭阀门要缓慢，停用时增压阀要关严。</w:t>
            </w:r>
          </w:p>
          <w:p w14:paraId="041FE3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eastAsia="zh-CN"/>
              </w:rPr>
              <w:t>）</w:t>
            </w:r>
            <w:r>
              <w:rPr>
                <w:rFonts w:hint="eastAsia" w:ascii="宋体" w:hAnsi="宋体" w:eastAsia="宋体" w:cs="宋体"/>
                <w:color w:val="auto"/>
                <w:kern w:val="2"/>
                <w:sz w:val="24"/>
                <w:szCs w:val="24"/>
                <w:highlight w:val="none"/>
                <w:lang w:val="en-US" w:eastAsia="zh-CN" w:bidi="ar"/>
              </w:rPr>
              <w:t>企业编制突发环境事件应急预案，配备应急器材。企业应完善突发环境事件应急措施。建立应急响应机构，配备快捷的交通通讯工具，以便对泄漏事故及时作出反应和处理；</w:t>
            </w:r>
          </w:p>
          <w:p w14:paraId="572787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7.2</w:t>
            </w:r>
            <w:r>
              <w:rPr>
                <w:rFonts w:hint="default" w:ascii="Times New Roman" w:hAnsi="Times New Roman" w:eastAsia="宋体" w:cs="Times New Roman"/>
                <w:b/>
                <w:bCs/>
                <w:color w:val="auto"/>
                <w:sz w:val="24"/>
                <w:szCs w:val="24"/>
                <w:highlight w:val="none"/>
              </w:rPr>
              <w:t>应急处理要求</w:t>
            </w:r>
          </w:p>
          <w:p w14:paraId="2C4467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发现储罐泄漏时，最先发现人员立即通知当班班长。</w:t>
            </w:r>
          </w:p>
          <w:p w14:paraId="5E89FC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班长接到通知后，立即带领当班人员展开应急处理，关闭储罐与外部设备连接的阀门。</w:t>
            </w:r>
          </w:p>
          <w:p w14:paraId="5E897B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泄漏事故现场严禁火种，切断电源，迅速撤离其他人员至上风处，并设置隔离区，禁止无关人员进入，加强通风。</w:t>
            </w:r>
          </w:p>
          <w:p w14:paraId="3C0BD1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与此同时，向公司应急救援指挥长报告，应急救援指挥长在接到事故报告后，宣布应急启动，组织应急救援人员赶到现场，根据应急响应的分组，各就各位展开救援行动。</w:t>
            </w:r>
          </w:p>
          <w:p w14:paraId="0276BD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在保证人员安全情况下，立即对泄漏罐进行安全处置。</w:t>
            </w:r>
          </w:p>
          <w:p w14:paraId="571CB8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低温液体液氮储罐泄漏，处置过程应防止窒息，若现场氧浓度低于18%，应急人员应佩戴空气呼吸器进行作业。</w:t>
            </w:r>
          </w:p>
          <w:p w14:paraId="2218BB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在保证人员安全情况下，使用开花水枪喷水雾驱散聚集的气体，也可采用通风机强制通风。若阀门被冻住，可采用喷冷水化霜。</w:t>
            </w:r>
          </w:p>
          <w:p w14:paraId="5733C8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根据分析，建设单位通过采取一定的防范措施，可以将本项目的风险降到较低的水平，本项目的环境风险可以接受。</w:t>
            </w:r>
          </w:p>
          <w:p w14:paraId="4B2358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2" w:firstLineChars="200"/>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8</w:t>
            </w:r>
            <w:r>
              <w:rPr>
                <w:rFonts w:hint="eastAsia" w:ascii="Times New Roman" w:hAnsi="Times New Roman" w:eastAsia="宋体" w:cs="Times New Roman"/>
                <w:b/>
                <w:color w:val="auto"/>
                <w:sz w:val="24"/>
                <w:szCs w:val="24"/>
                <w:highlight w:val="none"/>
              </w:rPr>
              <w:t>、“三同时”及环保投资</w:t>
            </w:r>
          </w:p>
          <w:p w14:paraId="52A5F2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项目总投资</w:t>
            </w:r>
            <w:r>
              <w:rPr>
                <w:rFonts w:hint="eastAsia" w:ascii="Times New Roman" w:hAnsi="Times New Roman" w:eastAsia="宋体" w:cs="Times New Roman"/>
                <w:color w:val="auto"/>
                <w:sz w:val="24"/>
                <w:szCs w:val="24"/>
                <w:highlight w:val="none"/>
                <w:lang w:val="en-US" w:eastAsia="zh-CN"/>
              </w:rPr>
              <w:t>75</w:t>
            </w:r>
            <w:r>
              <w:rPr>
                <w:rFonts w:hint="eastAsia" w:ascii="Times New Roman" w:hAnsi="Times New Roman" w:eastAsia="宋体" w:cs="Times New Roman"/>
                <w:color w:val="auto"/>
                <w:sz w:val="24"/>
                <w:szCs w:val="24"/>
                <w:highlight w:val="none"/>
              </w:rPr>
              <w:t>万元，其中环保投资</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rPr>
              <w:t>万元，占总投资的</w:t>
            </w:r>
            <w:r>
              <w:rPr>
                <w:rFonts w:hint="eastAsia" w:ascii="Times New Roman" w:hAnsi="Times New Roman" w:eastAsia="宋体" w:cs="Times New Roman"/>
                <w:color w:val="auto"/>
                <w:sz w:val="24"/>
                <w:szCs w:val="24"/>
                <w:highlight w:val="none"/>
                <w:lang w:val="en-US" w:eastAsia="zh-CN"/>
              </w:rPr>
              <w:t>1.34</w:t>
            </w:r>
            <w:r>
              <w:rPr>
                <w:rFonts w:hint="eastAsia" w:ascii="Times New Roman" w:hAnsi="Times New Roman" w:eastAsia="宋体" w:cs="Times New Roman"/>
                <w:color w:val="auto"/>
                <w:sz w:val="24"/>
                <w:szCs w:val="24"/>
                <w:highlight w:val="none"/>
              </w:rPr>
              <w:t>%。项目运营期拟采取的环保措施及验收、环保投资组成情况如下。</w:t>
            </w:r>
          </w:p>
          <w:p w14:paraId="44C283CC">
            <w:pPr>
              <w:pStyle w:val="13"/>
              <w:keepNext w:val="0"/>
              <w:keepLines w:val="0"/>
              <w:widowControl w:val="0"/>
              <w:suppressLineNumbers w:val="0"/>
              <w:autoSpaceDE w:val="0"/>
              <w:autoSpaceDN/>
              <w:spacing w:before="0" w:beforeAutospacing="0" w:after="0" w:afterAutospacing="0"/>
              <w:ind w:left="0" w:right="0" w:firstLine="480"/>
              <w:jc w:val="center"/>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val="0"/>
                <w:color w:val="auto"/>
                <w:kern w:val="2"/>
                <w:sz w:val="21"/>
                <w:szCs w:val="21"/>
                <w:highlight w:val="none"/>
                <w:lang w:val="en-US" w:eastAsia="zh-CN" w:bidi="ar"/>
              </w:rPr>
              <w:t>表4-3 环保投资一览表</w:t>
            </w:r>
          </w:p>
          <w:tbl>
            <w:tblPr>
              <w:tblStyle w:val="1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1241"/>
              <w:gridCol w:w="4619"/>
              <w:gridCol w:w="1508"/>
            </w:tblGrid>
            <w:tr w14:paraId="7FC77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1" w:type="pct"/>
                  <w:gridSpan w:val="2"/>
                  <w:tcBorders>
                    <w:tl2br w:val="nil"/>
                    <w:tr2bl w:val="nil"/>
                  </w:tcBorders>
                  <w:noWrap w:val="0"/>
                  <w:vAlign w:val="center"/>
                </w:tcPr>
                <w:p w14:paraId="497CB686">
                  <w:pPr>
                    <w:pStyle w:val="13"/>
                    <w:keepNext w:val="0"/>
                    <w:keepLines w:val="0"/>
                    <w:widowControl w:val="0"/>
                    <w:suppressLineNumbers w:val="0"/>
                    <w:adjustRightInd w:val="0"/>
                    <w:snapToGrid w:val="0"/>
                    <w:spacing w:before="0" w:beforeLines="0" w:beforeAutospacing="0" w:after="0" w:afterLines="0" w:afterAutospacing="0"/>
                    <w:ind w:left="0" w:leftChars="0" w:right="0" w:rightChars="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0"/>
                      <w:sz w:val="21"/>
                      <w:szCs w:val="21"/>
                      <w:highlight w:val="none"/>
                      <w:lang w:val="en-US" w:eastAsia="zh-CN" w:bidi="ar"/>
                    </w:rPr>
                    <w:t>污染物类别</w:t>
                  </w:r>
                </w:p>
              </w:tc>
              <w:tc>
                <w:tcPr>
                  <w:tcW w:w="2698" w:type="pct"/>
                  <w:tcBorders>
                    <w:tl2br w:val="nil"/>
                    <w:tr2bl w:val="nil"/>
                  </w:tcBorders>
                  <w:noWrap w:val="0"/>
                  <w:vAlign w:val="center"/>
                </w:tcPr>
                <w:p w14:paraId="029EAE09">
                  <w:pPr>
                    <w:pStyle w:val="13"/>
                    <w:keepNext w:val="0"/>
                    <w:keepLines w:val="0"/>
                    <w:widowControl w:val="0"/>
                    <w:suppressLineNumbers w:val="0"/>
                    <w:adjustRightInd w:val="0"/>
                    <w:snapToGrid w:val="0"/>
                    <w:spacing w:before="0" w:beforeLines="0" w:beforeAutospacing="0" w:after="0" w:afterLines="0" w:afterAutospacing="0"/>
                    <w:ind w:left="0" w:leftChars="0" w:right="0" w:rightChars="0"/>
                    <w:jc w:val="center"/>
                    <w:rPr>
                      <w:rFonts w:hint="default" w:ascii="Times New Roman" w:hAnsi="Times New Roman" w:eastAsia="宋体" w:cs="Times New Roman"/>
                      <w:b/>
                      <w:bCs w:val="0"/>
                      <w:color w:val="auto"/>
                      <w:kern w:val="2"/>
                      <w:sz w:val="21"/>
                      <w:szCs w:val="21"/>
                      <w:highlight w:val="none"/>
                      <w:lang w:val="en-US" w:eastAsia="zh-CN"/>
                    </w:rPr>
                  </w:pPr>
                  <w:r>
                    <w:rPr>
                      <w:rFonts w:hint="default" w:ascii="Times New Roman" w:hAnsi="Times New Roman" w:eastAsia="宋体" w:cs="Times New Roman"/>
                      <w:b/>
                      <w:bCs w:val="0"/>
                      <w:color w:val="auto"/>
                      <w:kern w:val="2"/>
                      <w:sz w:val="21"/>
                      <w:szCs w:val="21"/>
                      <w:highlight w:val="none"/>
                      <w:lang w:val="en-US" w:eastAsia="zh-CN"/>
                    </w:rPr>
                    <w:t>环保措施</w:t>
                  </w:r>
                </w:p>
              </w:tc>
              <w:tc>
                <w:tcPr>
                  <w:tcW w:w="880" w:type="pct"/>
                  <w:tcBorders>
                    <w:tl2br w:val="nil"/>
                    <w:tr2bl w:val="nil"/>
                  </w:tcBorders>
                  <w:noWrap w:val="0"/>
                  <w:vAlign w:val="center"/>
                </w:tcPr>
                <w:p w14:paraId="57D944B7">
                  <w:pPr>
                    <w:pStyle w:val="13"/>
                    <w:keepNext w:val="0"/>
                    <w:keepLines w:val="0"/>
                    <w:widowControl w:val="0"/>
                    <w:suppressLineNumbers w:val="0"/>
                    <w:adjustRightInd w:val="0"/>
                    <w:snapToGrid w:val="0"/>
                    <w:spacing w:before="0" w:beforeLines="0" w:beforeAutospacing="0" w:after="0" w:afterLines="0" w:afterAutospacing="0"/>
                    <w:ind w:left="0" w:leftChars="0" w:right="0" w:rightChars="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bCs w:val="0"/>
                      <w:color w:val="auto"/>
                      <w:kern w:val="2"/>
                      <w:sz w:val="21"/>
                      <w:szCs w:val="21"/>
                      <w:highlight w:val="none"/>
                    </w:rPr>
                    <w:t>投资额（万元）</w:t>
                  </w:r>
                </w:p>
              </w:tc>
            </w:tr>
            <w:tr w14:paraId="2B617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noWrap w:val="0"/>
                  <w:vAlign w:val="center"/>
                </w:tcPr>
                <w:p w14:paraId="31A290B8">
                  <w:pPr>
                    <w:pStyle w:val="13"/>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施工期</w:t>
                  </w:r>
                </w:p>
              </w:tc>
            </w:tr>
            <w:tr w14:paraId="66554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6" w:type="pct"/>
                  <w:tcBorders>
                    <w:tl2br w:val="nil"/>
                    <w:tr2bl w:val="nil"/>
                  </w:tcBorders>
                  <w:noWrap w:val="0"/>
                  <w:vAlign w:val="center"/>
                </w:tcPr>
                <w:p w14:paraId="55E26254">
                  <w:pPr>
                    <w:pStyle w:val="13"/>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固体废物</w:t>
                  </w:r>
                </w:p>
              </w:tc>
              <w:tc>
                <w:tcPr>
                  <w:tcW w:w="724" w:type="pct"/>
                  <w:tcBorders>
                    <w:tl2br w:val="nil"/>
                    <w:tr2bl w:val="nil"/>
                  </w:tcBorders>
                  <w:noWrap w:val="0"/>
                  <w:vAlign w:val="center"/>
                </w:tcPr>
                <w:p w14:paraId="5AE136BE">
                  <w:pPr>
                    <w:pStyle w:val="13"/>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建筑垃圾、生活垃圾</w:t>
                  </w:r>
                </w:p>
              </w:tc>
              <w:tc>
                <w:tcPr>
                  <w:tcW w:w="2698" w:type="pct"/>
                  <w:tcBorders>
                    <w:tl2br w:val="nil"/>
                    <w:tr2bl w:val="nil"/>
                  </w:tcBorders>
                  <w:noWrap w:val="0"/>
                  <w:vAlign w:val="center"/>
                </w:tcPr>
                <w:p w14:paraId="32E9035B">
                  <w:pPr>
                    <w:pStyle w:val="13"/>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建筑垃圾拉运至市政指定地点、生活垃圾</w:t>
                  </w:r>
                  <w:r>
                    <w:rPr>
                      <w:rFonts w:hint="eastAsia" w:ascii="Times New Roman" w:hAnsi="Times New Roman" w:cs="Times New Roman"/>
                      <w:b w:val="0"/>
                      <w:bCs/>
                      <w:color w:val="auto"/>
                      <w:kern w:val="0"/>
                      <w:sz w:val="21"/>
                      <w:szCs w:val="21"/>
                      <w:highlight w:val="none"/>
                      <w:lang w:val="en-US" w:eastAsia="zh-CN" w:bidi="ar"/>
                    </w:rPr>
                    <w:t>依托现有厂区</w:t>
                  </w:r>
                  <w:r>
                    <w:rPr>
                      <w:rFonts w:hint="eastAsia" w:ascii="Times New Roman" w:hAnsi="Times New Roman" w:eastAsia="宋体" w:cs="Times New Roman"/>
                      <w:b w:val="0"/>
                      <w:bCs/>
                      <w:color w:val="auto"/>
                      <w:kern w:val="0"/>
                      <w:sz w:val="21"/>
                      <w:szCs w:val="21"/>
                      <w:highlight w:val="none"/>
                      <w:lang w:val="en-US" w:eastAsia="zh-CN" w:bidi="ar"/>
                    </w:rPr>
                    <w:t>暂存于垃圾桶内由环卫部门定期清运</w:t>
                  </w:r>
                </w:p>
              </w:tc>
              <w:tc>
                <w:tcPr>
                  <w:tcW w:w="880" w:type="pct"/>
                  <w:tcBorders>
                    <w:tl2br w:val="nil"/>
                    <w:tr2bl w:val="nil"/>
                  </w:tcBorders>
                  <w:noWrap w:val="0"/>
                  <w:vAlign w:val="center"/>
                </w:tcPr>
                <w:p w14:paraId="5764B8D6">
                  <w:pPr>
                    <w:pStyle w:val="13"/>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0.5</w:t>
                  </w:r>
                </w:p>
              </w:tc>
            </w:tr>
            <w:tr w14:paraId="3A15C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96" w:type="pct"/>
                  <w:tcBorders>
                    <w:tl2br w:val="nil"/>
                    <w:tr2bl w:val="nil"/>
                  </w:tcBorders>
                  <w:noWrap w:val="0"/>
                  <w:vAlign w:val="center"/>
                </w:tcPr>
                <w:p w14:paraId="502533D4">
                  <w:pPr>
                    <w:pStyle w:val="13"/>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噪声</w:t>
                  </w:r>
                </w:p>
              </w:tc>
              <w:tc>
                <w:tcPr>
                  <w:tcW w:w="724" w:type="pct"/>
                  <w:tcBorders>
                    <w:tl2br w:val="nil"/>
                    <w:tr2bl w:val="nil"/>
                  </w:tcBorders>
                  <w:noWrap w:val="0"/>
                  <w:vAlign w:val="center"/>
                </w:tcPr>
                <w:p w14:paraId="1DC763DB">
                  <w:pPr>
                    <w:pStyle w:val="13"/>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w:t>
                  </w:r>
                </w:p>
              </w:tc>
              <w:tc>
                <w:tcPr>
                  <w:tcW w:w="2698" w:type="pct"/>
                  <w:tcBorders>
                    <w:tl2br w:val="nil"/>
                    <w:tr2bl w:val="nil"/>
                  </w:tcBorders>
                  <w:noWrap w:val="0"/>
                  <w:vAlign w:val="center"/>
                </w:tcPr>
                <w:p w14:paraId="3CE126AD">
                  <w:pPr>
                    <w:pStyle w:val="13"/>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采用低噪声设备、禁止夜间施工</w:t>
                  </w:r>
                </w:p>
              </w:tc>
              <w:tc>
                <w:tcPr>
                  <w:tcW w:w="880" w:type="pct"/>
                  <w:tcBorders>
                    <w:tl2br w:val="nil"/>
                    <w:tr2bl w:val="nil"/>
                  </w:tcBorders>
                  <w:noWrap w:val="0"/>
                  <w:vAlign w:val="center"/>
                </w:tcPr>
                <w:p w14:paraId="7B2792DB">
                  <w:pPr>
                    <w:pStyle w:val="13"/>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0</w:t>
                  </w:r>
                </w:p>
              </w:tc>
            </w:tr>
            <w:tr w14:paraId="0CC3EB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noWrap w:val="0"/>
                  <w:vAlign w:val="center"/>
                </w:tcPr>
                <w:p w14:paraId="2C9D4A39">
                  <w:pPr>
                    <w:pStyle w:val="13"/>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highlight w:val="none"/>
                      <w:lang w:val="en-US" w:eastAsia="zh-CN" w:bidi="ar"/>
                    </w:rPr>
                  </w:pPr>
                  <w:r>
                    <w:rPr>
                      <w:rFonts w:hint="eastAsia" w:ascii="Times New Roman" w:hAnsi="Times New Roman" w:eastAsia="宋体" w:cs="Times New Roman"/>
                      <w:b w:val="0"/>
                      <w:bCs/>
                      <w:color w:val="auto"/>
                      <w:kern w:val="0"/>
                      <w:sz w:val="21"/>
                      <w:szCs w:val="21"/>
                      <w:highlight w:val="none"/>
                      <w:lang w:val="en-US" w:eastAsia="zh-CN" w:bidi="ar"/>
                    </w:rPr>
                    <w:t>运营期</w:t>
                  </w:r>
                </w:p>
              </w:tc>
            </w:tr>
            <w:tr w14:paraId="185A8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421" w:type="pct"/>
                  <w:gridSpan w:val="2"/>
                  <w:tcBorders>
                    <w:tl2br w:val="nil"/>
                    <w:tr2bl w:val="nil"/>
                  </w:tcBorders>
                  <w:noWrap w:val="0"/>
                  <w:vAlign w:val="center"/>
                </w:tcPr>
                <w:p w14:paraId="0A2E67C1">
                  <w:pPr>
                    <w:pStyle w:val="13"/>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highlight w:val="none"/>
                      <w:lang w:val="en-US" w:eastAsia="zh-CN" w:bidi="ar"/>
                    </w:rPr>
                  </w:pPr>
                  <w:r>
                    <w:rPr>
                      <w:rFonts w:hint="default" w:ascii="Times New Roman" w:hAnsi="Times New Roman" w:eastAsia="宋体" w:cs="Times New Roman"/>
                      <w:b w:val="0"/>
                      <w:bCs/>
                      <w:color w:val="auto"/>
                      <w:kern w:val="0"/>
                      <w:sz w:val="21"/>
                      <w:szCs w:val="21"/>
                      <w:highlight w:val="none"/>
                      <w:lang w:val="en-US" w:eastAsia="zh-CN" w:bidi="ar"/>
                    </w:rPr>
                    <w:t>防渗工程</w:t>
                  </w:r>
                </w:p>
              </w:tc>
              <w:tc>
                <w:tcPr>
                  <w:tcW w:w="2698" w:type="pct"/>
                  <w:tcBorders>
                    <w:tl2br w:val="nil"/>
                    <w:tr2bl w:val="nil"/>
                  </w:tcBorders>
                  <w:noWrap w:val="0"/>
                  <w:vAlign w:val="center"/>
                </w:tcPr>
                <w:p w14:paraId="51A303CE">
                  <w:pPr>
                    <w:pStyle w:val="13"/>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储罐放置区一般防渗，一般防渗区等效黏土防渗层Mb≥1.5m，K≤1×10—</w:t>
                  </w:r>
                  <w:r>
                    <w:rPr>
                      <w:rFonts w:hint="eastAsia" w:ascii="Times New Roman" w:hAnsi="Times New Roman" w:cs="Times New Roman"/>
                      <w:b w:val="0"/>
                      <w:bCs/>
                      <w:color w:val="auto"/>
                      <w:kern w:val="0"/>
                      <w:sz w:val="21"/>
                      <w:szCs w:val="21"/>
                      <w:highlight w:val="none"/>
                      <w:vertAlign w:val="superscript"/>
                      <w:lang w:val="en-US" w:eastAsia="zh-CN"/>
                    </w:rPr>
                    <w:t>7</w:t>
                  </w:r>
                  <w:r>
                    <w:rPr>
                      <w:rFonts w:hint="eastAsia" w:ascii="Times New Roman" w:hAnsi="Times New Roman" w:cs="Times New Roman"/>
                      <w:b w:val="0"/>
                      <w:bCs/>
                      <w:color w:val="auto"/>
                      <w:kern w:val="0"/>
                      <w:sz w:val="21"/>
                      <w:szCs w:val="21"/>
                      <w:highlight w:val="none"/>
                      <w:lang w:val="en-US" w:eastAsia="zh-CN"/>
                    </w:rPr>
                    <w:t>cm/s；</w:t>
                  </w:r>
                </w:p>
              </w:tc>
              <w:tc>
                <w:tcPr>
                  <w:tcW w:w="880" w:type="pct"/>
                  <w:tcBorders>
                    <w:tl2br w:val="nil"/>
                    <w:tr2bl w:val="nil"/>
                  </w:tcBorders>
                  <w:noWrap w:val="0"/>
                  <w:vAlign w:val="center"/>
                </w:tcPr>
                <w:p w14:paraId="6908FABC">
                  <w:pPr>
                    <w:pStyle w:val="13"/>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0.5</w:t>
                  </w:r>
                </w:p>
              </w:tc>
            </w:tr>
            <w:tr w14:paraId="0654EC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19" w:type="pct"/>
                  <w:gridSpan w:val="3"/>
                  <w:tcBorders>
                    <w:tl2br w:val="nil"/>
                    <w:tr2bl w:val="nil"/>
                  </w:tcBorders>
                  <w:noWrap w:val="0"/>
                  <w:vAlign w:val="center"/>
                </w:tcPr>
                <w:p w14:paraId="6F2C3229">
                  <w:pPr>
                    <w:pStyle w:val="13"/>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bidi="ar"/>
                    </w:rPr>
                    <w:t>合计</w:t>
                  </w:r>
                </w:p>
              </w:tc>
              <w:tc>
                <w:tcPr>
                  <w:tcW w:w="880" w:type="pct"/>
                  <w:tcBorders>
                    <w:tl2br w:val="nil"/>
                    <w:tr2bl w:val="nil"/>
                  </w:tcBorders>
                  <w:noWrap w:val="0"/>
                  <w:vAlign w:val="center"/>
                </w:tcPr>
                <w:p w14:paraId="76755C7F">
                  <w:pPr>
                    <w:pStyle w:val="13"/>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cs="Times New Roman"/>
                      <w:b w:val="0"/>
                      <w:bCs/>
                      <w:color w:val="auto"/>
                      <w:kern w:val="0"/>
                      <w:sz w:val="21"/>
                      <w:szCs w:val="21"/>
                      <w:highlight w:val="none"/>
                      <w:lang w:val="en-US" w:eastAsia="zh-CN"/>
                    </w:rPr>
                    <w:t>1.0</w:t>
                  </w:r>
                </w:p>
              </w:tc>
            </w:tr>
          </w:tbl>
          <w:p w14:paraId="07266724">
            <w:pPr>
              <w:keepNext w:val="0"/>
              <w:keepLines w:val="0"/>
              <w:suppressLineNumbers w:val="0"/>
              <w:adjustRightInd w:val="0"/>
              <w:snapToGrid w:val="0"/>
              <w:spacing w:before="0" w:beforeAutospacing="0" w:after="0" w:afterAutospacing="0" w:line="360" w:lineRule="auto"/>
              <w:ind w:left="0" w:leftChars="0" w:right="0" w:rightChars="0"/>
              <w:rPr>
                <w:rFonts w:hint="default" w:ascii="Times New Roman" w:hAnsi="Times New Roman" w:eastAsia="宋体" w:cs="Times New Roman"/>
                <w:color w:val="auto"/>
                <w:sz w:val="24"/>
                <w:szCs w:val="24"/>
                <w:highlight w:val="none"/>
              </w:rPr>
            </w:pPr>
          </w:p>
        </w:tc>
      </w:tr>
    </w:tbl>
    <w:p w14:paraId="2E7EF48D">
      <w:pPr>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A00A0B6">
      <w:pPr>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五、环境保护措施监督检查清单</w:t>
      </w:r>
    </w:p>
    <w:tbl>
      <w:tblPr>
        <w:tblStyle w:val="18"/>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793"/>
        <w:gridCol w:w="992"/>
        <w:gridCol w:w="1276"/>
        <w:gridCol w:w="2039"/>
        <w:gridCol w:w="2780"/>
      </w:tblGrid>
      <w:tr w14:paraId="5DE8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tcBorders>
              <w:tl2br w:val="single" w:color="auto" w:sz="4" w:space="0"/>
            </w:tcBorders>
            <w:vAlign w:val="center"/>
          </w:tcPr>
          <w:p w14:paraId="2F09B32B">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 xml:space="preserve">   </w:t>
            </w:r>
            <w:r>
              <w:rPr>
                <w:rFonts w:hint="default" w:ascii="Times New Roman" w:hAnsi="Times New Roman" w:eastAsia="宋体" w:cs="Times New Roman"/>
                <w:color w:val="auto"/>
                <w:szCs w:val="21"/>
              </w:rPr>
              <w:t>内容</w:t>
            </w:r>
          </w:p>
          <w:p w14:paraId="1000A812">
            <w:pPr>
              <w:keepNext w:val="0"/>
              <w:keepLines w:val="0"/>
              <w:suppressLineNumbers w:val="0"/>
              <w:spacing w:before="0" w:beforeAutospacing="0" w:after="0" w:afterAutospacing="0" w:line="400" w:lineRule="exact"/>
              <w:ind w:left="0" w:right="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要素</w:t>
            </w:r>
          </w:p>
        </w:tc>
        <w:tc>
          <w:tcPr>
            <w:tcW w:w="1785" w:type="dxa"/>
            <w:gridSpan w:val="2"/>
            <w:vAlign w:val="center"/>
          </w:tcPr>
          <w:p w14:paraId="7E29DED9">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排放口（编号、名称）/污染源</w:t>
            </w:r>
          </w:p>
        </w:tc>
        <w:tc>
          <w:tcPr>
            <w:tcW w:w="1276" w:type="dxa"/>
            <w:vAlign w:val="center"/>
          </w:tcPr>
          <w:p w14:paraId="1CE17CBF">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污染物项目</w:t>
            </w:r>
          </w:p>
        </w:tc>
        <w:tc>
          <w:tcPr>
            <w:tcW w:w="2039" w:type="dxa"/>
            <w:vAlign w:val="center"/>
          </w:tcPr>
          <w:p w14:paraId="5D091052">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环境保护措施</w:t>
            </w:r>
          </w:p>
        </w:tc>
        <w:tc>
          <w:tcPr>
            <w:tcW w:w="2780" w:type="dxa"/>
            <w:vAlign w:val="center"/>
          </w:tcPr>
          <w:p w14:paraId="35153555">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执行标准</w:t>
            </w:r>
          </w:p>
        </w:tc>
      </w:tr>
      <w:tr w14:paraId="164B0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87" w:type="dxa"/>
            <w:vAlign w:val="center"/>
          </w:tcPr>
          <w:p w14:paraId="35B44973">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大气环境</w:t>
            </w:r>
          </w:p>
        </w:tc>
        <w:tc>
          <w:tcPr>
            <w:tcW w:w="1785" w:type="dxa"/>
            <w:gridSpan w:val="2"/>
            <w:vAlign w:val="center"/>
          </w:tcPr>
          <w:p w14:paraId="58477576">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276" w:type="dxa"/>
            <w:vAlign w:val="center"/>
          </w:tcPr>
          <w:p w14:paraId="40141958">
            <w:pPr>
              <w:keepNext w:val="0"/>
              <w:keepLines w:val="0"/>
              <w:suppressLineNumbers w:val="0"/>
              <w:spacing w:before="0" w:beforeAutospacing="0" w:after="0" w:afterAutospacing="0" w:line="400" w:lineRule="exact"/>
              <w:ind w:left="0" w:right="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t>
            </w:r>
          </w:p>
        </w:tc>
        <w:tc>
          <w:tcPr>
            <w:tcW w:w="2039" w:type="dxa"/>
            <w:vAlign w:val="center"/>
          </w:tcPr>
          <w:p w14:paraId="4D5C56C6">
            <w:pPr>
              <w:keepNext w:val="0"/>
              <w:keepLines w:val="0"/>
              <w:suppressLineNumbers w:val="0"/>
              <w:spacing w:before="0" w:beforeAutospacing="0" w:after="0" w:afterAutospacing="0" w:line="400" w:lineRule="exact"/>
              <w:ind w:left="0" w:right="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t>
            </w:r>
          </w:p>
        </w:tc>
        <w:tc>
          <w:tcPr>
            <w:tcW w:w="2780" w:type="dxa"/>
            <w:vAlign w:val="center"/>
          </w:tcPr>
          <w:p w14:paraId="582B1DAE">
            <w:pPr>
              <w:keepNext w:val="0"/>
              <w:keepLines w:val="0"/>
              <w:suppressLineNumbers w:val="0"/>
              <w:spacing w:before="0" w:beforeAutospacing="0" w:after="0" w:afterAutospacing="0" w:line="400" w:lineRule="exact"/>
              <w:ind w:left="0" w:right="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t>
            </w:r>
          </w:p>
        </w:tc>
      </w:tr>
      <w:tr w14:paraId="5F72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jc w:val="center"/>
        </w:trPr>
        <w:tc>
          <w:tcPr>
            <w:tcW w:w="1187" w:type="dxa"/>
            <w:tcBorders>
              <w:bottom w:val="single" w:color="auto" w:sz="4" w:space="0"/>
            </w:tcBorders>
            <w:vAlign w:val="center"/>
          </w:tcPr>
          <w:p w14:paraId="3C367A06">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地表水环境</w:t>
            </w:r>
          </w:p>
        </w:tc>
        <w:tc>
          <w:tcPr>
            <w:tcW w:w="1785" w:type="dxa"/>
            <w:gridSpan w:val="2"/>
            <w:tcBorders>
              <w:bottom w:val="single" w:color="auto" w:sz="4" w:space="0"/>
            </w:tcBorders>
            <w:vAlign w:val="center"/>
          </w:tcPr>
          <w:p w14:paraId="283F6BA3">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276" w:type="dxa"/>
            <w:tcBorders>
              <w:bottom w:val="single" w:color="auto" w:sz="4" w:space="0"/>
            </w:tcBorders>
            <w:vAlign w:val="center"/>
          </w:tcPr>
          <w:p w14:paraId="0A2A320B">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2039" w:type="dxa"/>
            <w:tcBorders>
              <w:bottom w:val="single" w:color="auto" w:sz="4" w:space="0"/>
            </w:tcBorders>
            <w:vAlign w:val="center"/>
          </w:tcPr>
          <w:p w14:paraId="5E79BEA2">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2780" w:type="dxa"/>
            <w:vAlign w:val="center"/>
          </w:tcPr>
          <w:p w14:paraId="54EC1DFE">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14:paraId="71BC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87" w:type="dxa"/>
            <w:vAlign w:val="center"/>
          </w:tcPr>
          <w:p w14:paraId="20412096">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w:t>
            </w:r>
          </w:p>
        </w:tc>
        <w:tc>
          <w:tcPr>
            <w:tcW w:w="1785" w:type="dxa"/>
            <w:gridSpan w:val="2"/>
            <w:vAlign w:val="center"/>
          </w:tcPr>
          <w:p w14:paraId="7415C9B3">
            <w:pPr>
              <w:keepNext w:val="0"/>
              <w:keepLines w:val="0"/>
              <w:suppressLineNumbers w:val="0"/>
              <w:spacing w:before="0" w:beforeAutospacing="0" w:after="0" w:afterAutospacing="0" w:line="400" w:lineRule="exact"/>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276" w:type="dxa"/>
            <w:vAlign w:val="center"/>
          </w:tcPr>
          <w:p w14:paraId="5F6C8E57">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连续等效</w:t>
            </w:r>
            <w:r>
              <w:rPr>
                <w:rFonts w:hint="eastAsia" w:ascii="Times New Roman" w:hAnsi="Times New Roman" w:eastAsia="宋体" w:cs="Times New Roman"/>
                <w:color w:val="auto"/>
                <w:szCs w:val="21"/>
                <w:lang w:val="en-US" w:eastAsia="zh-CN"/>
              </w:rPr>
              <w:t>A声级</w:t>
            </w:r>
          </w:p>
        </w:tc>
        <w:tc>
          <w:tcPr>
            <w:tcW w:w="2039" w:type="dxa"/>
            <w:vAlign w:val="center"/>
          </w:tcPr>
          <w:p w14:paraId="3C97D93E">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2780" w:type="dxa"/>
            <w:vAlign w:val="center"/>
          </w:tcPr>
          <w:p w14:paraId="1BBFB26B">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《工业企业厂界环境噪声排放标准》（</w:t>
            </w:r>
            <w:r>
              <w:rPr>
                <w:rFonts w:hint="default" w:ascii="Times New Roman" w:hAnsi="Times New Roman" w:eastAsia="宋体" w:cs="Times New Roman"/>
                <w:color w:val="auto"/>
                <w:szCs w:val="21"/>
              </w:rPr>
              <w:t>GB12348-2008）中的</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类标准</w:t>
            </w:r>
          </w:p>
        </w:tc>
      </w:tr>
      <w:tr w14:paraId="35F2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7" w:type="dxa"/>
            <w:vAlign w:val="center"/>
          </w:tcPr>
          <w:p w14:paraId="2C88274A">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电磁辐射</w:t>
            </w:r>
          </w:p>
        </w:tc>
        <w:tc>
          <w:tcPr>
            <w:tcW w:w="1785" w:type="dxa"/>
            <w:gridSpan w:val="2"/>
            <w:vAlign w:val="center"/>
          </w:tcPr>
          <w:p w14:paraId="01ECE611">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276" w:type="dxa"/>
            <w:vAlign w:val="center"/>
          </w:tcPr>
          <w:p w14:paraId="56BA3FC6">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2039" w:type="dxa"/>
            <w:vAlign w:val="center"/>
          </w:tcPr>
          <w:p w14:paraId="4007AB22">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2780" w:type="dxa"/>
            <w:vAlign w:val="center"/>
          </w:tcPr>
          <w:p w14:paraId="0D65AD7B">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14:paraId="6F941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87" w:type="dxa"/>
            <w:vAlign w:val="center"/>
          </w:tcPr>
          <w:p w14:paraId="2C4BD67A">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固体废物</w:t>
            </w:r>
          </w:p>
        </w:tc>
        <w:tc>
          <w:tcPr>
            <w:tcW w:w="1785" w:type="dxa"/>
            <w:gridSpan w:val="2"/>
            <w:vAlign w:val="center"/>
          </w:tcPr>
          <w:p w14:paraId="7A273EA3">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276" w:type="dxa"/>
            <w:vAlign w:val="center"/>
          </w:tcPr>
          <w:p w14:paraId="362FA1F6">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2039" w:type="dxa"/>
            <w:vAlign w:val="center"/>
          </w:tcPr>
          <w:p w14:paraId="188CF538">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2780" w:type="dxa"/>
            <w:vAlign w:val="center"/>
          </w:tcPr>
          <w:p w14:paraId="026337C2">
            <w:pPr>
              <w:keepNext w:val="0"/>
              <w:keepLines w:val="0"/>
              <w:suppressLineNumbers w:val="0"/>
              <w:spacing w:before="0" w:beforeAutospacing="0" w:after="0" w:afterAutospacing="0" w:line="400" w:lineRule="exact"/>
              <w:ind w:left="0" w:leftChars="0" w:right="0" w:rightChars="0"/>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14:paraId="377B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vAlign w:val="center"/>
          </w:tcPr>
          <w:p w14:paraId="0DC3058D">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土壤及地下水污染防治措施</w:t>
            </w:r>
          </w:p>
        </w:tc>
        <w:tc>
          <w:tcPr>
            <w:tcW w:w="7087" w:type="dxa"/>
            <w:gridSpan w:val="4"/>
            <w:vAlign w:val="center"/>
          </w:tcPr>
          <w:p w14:paraId="42A13BC7">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本项目不使用水，无废水排放，无涉及地下水及土壤的污染物排放。项目所在厂区均已进行地面硬化，项目罐区地面基础采取混凝土防渗，渗透系数小于1×10</w:t>
            </w:r>
            <w:r>
              <w:rPr>
                <w:rFonts w:hint="default" w:ascii="Times New Roman" w:hAnsi="Times New Roman" w:eastAsia="宋体" w:cs="Times New Roman"/>
                <w:color w:val="auto"/>
                <w:szCs w:val="21"/>
                <w:vertAlign w:val="superscript"/>
              </w:rPr>
              <w:t>-7</w:t>
            </w:r>
            <w:r>
              <w:rPr>
                <w:rFonts w:hint="default" w:ascii="Times New Roman" w:hAnsi="Times New Roman" w:eastAsia="宋体" w:cs="Times New Roman"/>
                <w:color w:val="auto"/>
                <w:szCs w:val="21"/>
              </w:rPr>
              <w:t>cm/s，项目对地下水和土壤环境影响较小。</w:t>
            </w:r>
          </w:p>
        </w:tc>
      </w:tr>
      <w:tr w14:paraId="0F06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gridSpan w:val="2"/>
            <w:vAlign w:val="center"/>
          </w:tcPr>
          <w:p w14:paraId="33C2E8DF">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生态保护措施</w:t>
            </w:r>
          </w:p>
        </w:tc>
        <w:tc>
          <w:tcPr>
            <w:tcW w:w="7087" w:type="dxa"/>
            <w:gridSpan w:val="4"/>
            <w:vAlign w:val="center"/>
          </w:tcPr>
          <w:p w14:paraId="76C49423">
            <w:pPr>
              <w:keepNext w:val="0"/>
              <w:keepLines w:val="0"/>
              <w:suppressLineNumbers w:val="0"/>
              <w:spacing w:before="0" w:beforeAutospacing="0" w:after="0" w:afterAutospacing="0" w:line="400" w:lineRule="exact"/>
              <w:ind w:left="0" w:right="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t>
            </w:r>
          </w:p>
        </w:tc>
      </w:tr>
      <w:tr w14:paraId="5672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80" w:type="dxa"/>
            <w:gridSpan w:val="2"/>
            <w:vAlign w:val="center"/>
          </w:tcPr>
          <w:p w14:paraId="4266E952">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环境风险防范措施</w:t>
            </w:r>
          </w:p>
        </w:tc>
        <w:tc>
          <w:tcPr>
            <w:tcW w:w="7087" w:type="dxa"/>
            <w:gridSpan w:val="4"/>
            <w:vAlign w:val="center"/>
          </w:tcPr>
          <w:p w14:paraId="522B28DE">
            <w:pPr>
              <w:keepNext w:val="0"/>
              <w:keepLines w:val="0"/>
              <w:suppressLineNumbers w:val="0"/>
              <w:adjustRightInd w:val="0"/>
              <w:snapToGrid w:val="0"/>
              <w:spacing w:before="0" w:beforeAutospacing="0" w:after="0" w:afterAutospacing="0" w:line="440" w:lineRule="exact"/>
              <w:ind w:left="0" w:right="0" w:firstLine="42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Cs w:val="21"/>
              </w:rPr>
              <w:t>从相关设施设置、储存、使用等多方面积极采取防护措施，加强风险管理，防范风险事故的发生；在风险事故发生时，及时采取紧急应急措施，必要时启动社会应急措施，以控制事故和减少对环境造成危害，使风险事故对环境的危害得到有效控制，尽可能减少或者避免风险事故的发生。详见“</w:t>
            </w:r>
            <w:r>
              <w:rPr>
                <w:rFonts w:hint="eastAsia" w:ascii="Times New Roman" w:hAnsi="Times New Roman" w:eastAsia="宋体" w:cs="Times New Roman"/>
                <w:color w:val="auto"/>
                <w:szCs w:val="21"/>
                <w:lang w:val="en-US" w:eastAsia="zh-CN"/>
              </w:rPr>
              <w:t>7.1</w:t>
            </w:r>
            <w:r>
              <w:rPr>
                <w:rFonts w:hint="default" w:ascii="Times New Roman" w:hAnsi="Times New Roman" w:eastAsia="宋体" w:cs="Times New Roman"/>
                <w:color w:val="auto"/>
                <w:szCs w:val="21"/>
              </w:rPr>
              <w:t>环境风险防范措施</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7.2应急处理要求</w:t>
            </w:r>
            <w:r>
              <w:rPr>
                <w:rFonts w:hint="default" w:ascii="Times New Roman" w:hAnsi="Times New Roman" w:eastAsia="宋体" w:cs="Times New Roman"/>
                <w:color w:val="auto"/>
                <w:szCs w:val="21"/>
              </w:rPr>
              <w:t>”。</w:t>
            </w:r>
          </w:p>
        </w:tc>
      </w:tr>
      <w:tr w14:paraId="393E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980" w:type="dxa"/>
            <w:gridSpan w:val="2"/>
            <w:vAlign w:val="center"/>
          </w:tcPr>
          <w:p w14:paraId="4700A520">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其他环境管理要求</w:t>
            </w:r>
          </w:p>
        </w:tc>
        <w:tc>
          <w:tcPr>
            <w:tcW w:w="7087" w:type="dxa"/>
            <w:gridSpan w:val="4"/>
            <w:vAlign w:val="center"/>
          </w:tcPr>
          <w:p w14:paraId="4CFEF4A5">
            <w:pPr>
              <w:keepNext w:val="0"/>
              <w:keepLines w:val="0"/>
              <w:suppressLineNumbers w:val="0"/>
              <w:spacing w:before="0" w:beforeAutospacing="0" w:after="0" w:afterAutospacing="0" w:line="400" w:lineRule="exact"/>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罐区等相应位置设置报警器及视频监控系统。企业须定期按照相关要求进行自行监测，建立管理制度，执行排污许可制度。</w:t>
            </w:r>
          </w:p>
        </w:tc>
      </w:tr>
    </w:tbl>
    <w:p w14:paraId="43DAF3E3">
      <w:pPr>
        <w:jc w:val="center"/>
        <w:rPr>
          <w:rFonts w:ascii="Times New Roman" w:hAnsi="Times New Roman" w:eastAsia="宋体" w:cs="Times New Roman"/>
          <w:b/>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2D099E8">
      <w:pPr>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六、结论</w:t>
      </w:r>
    </w:p>
    <w:tbl>
      <w:tblPr>
        <w:tblStyle w:val="18"/>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9"/>
      </w:tblGrid>
      <w:tr w14:paraId="0273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6" w:hRule="atLeast"/>
          <w:jc w:val="center"/>
        </w:trPr>
        <w:tc>
          <w:tcPr>
            <w:tcW w:w="9209" w:type="dxa"/>
          </w:tcPr>
          <w:p w14:paraId="0F2F64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00" w:lineRule="exact"/>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的建设符合产业政策要求，项目选址合理。通过上述分析，建设单位在充分采纳和落实本环评报告中所提出的环保措施以及相关主管部门的环保要求，并严格执行“三同时”规定，确保各项环保资金落实到位、环保措施正常实施后，将使项目建设及运行后对周围环境影响减少到可接受程度，从环保角度分析项目是可行的。</w:t>
            </w:r>
          </w:p>
          <w:p w14:paraId="7A77D02E">
            <w:pPr>
              <w:keepNext w:val="0"/>
              <w:keepLines w:val="0"/>
              <w:suppressLineNumbers w:val="0"/>
              <w:spacing w:before="0" w:beforeAutospacing="0" w:after="0" w:afterAutospacing="0" w:line="440" w:lineRule="exact"/>
              <w:ind w:left="0" w:right="0" w:firstLine="562" w:firstLineChars="200"/>
              <w:rPr>
                <w:rFonts w:hint="default" w:ascii="Times New Roman" w:hAnsi="Times New Roman" w:eastAsia="宋体" w:cs="Times New Roman"/>
                <w:b/>
                <w:color w:val="auto"/>
                <w:sz w:val="28"/>
                <w:szCs w:val="28"/>
              </w:rPr>
            </w:pPr>
          </w:p>
        </w:tc>
      </w:tr>
    </w:tbl>
    <w:p w14:paraId="48051B8F">
      <w:pPr>
        <w:jc w:val="center"/>
        <w:rPr>
          <w:rFonts w:ascii="Times New Roman" w:hAnsi="Times New Roman" w:eastAsia="宋体" w:cs="Times New Roman"/>
          <w:b/>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A4B1070">
      <w:pP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附表</w:t>
      </w:r>
    </w:p>
    <w:p w14:paraId="086FAD88">
      <w:pPr>
        <w:jc w:val="cente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w:t>建设项目污染物排放量汇总表</w:t>
      </w:r>
    </w:p>
    <w:tbl>
      <w:tblPr>
        <w:tblStyle w:val="1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984"/>
        <w:gridCol w:w="1701"/>
        <w:gridCol w:w="1276"/>
        <w:gridCol w:w="1701"/>
        <w:gridCol w:w="1559"/>
        <w:gridCol w:w="1761"/>
        <w:gridCol w:w="1499"/>
        <w:gridCol w:w="1286"/>
      </w:tblGrid>
      <w:tr w14:paraId="70BC1F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21" w:type="dxa"/>
            <w:tcBorders>
              <w:tl2br w:val="single" w:color="auto" w:sz="4" w:space="0"/>
            </w:tcBorders>
            <w:noWrap w:val="0"/>
            <w:tcMar>
              <w:left w:w="28" w:type="dxa"/>
              <w:right w:w="28" w:type="dxa"/>
            </w:tcMar>
            <w:vAlign w:val="center"/>
          </w:tcPr>
          <w:p w14:paraId="2B1C56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项目</w:t>
            </w:r>
          </w:p>
          <w:p w14:paraId="3CF87E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分类</w:t>
            </w:r>
          </w:p>
        </w:tc>
        <w:tc>
          <w:tcPr>
            <w:tcW w:w="1984" w:type="dxa"/>
            <w:noWrap w:val="0"/>
            <w:tcMar>
              <w:left w:w="28" w:type="dxa"/>
              <w:right w:w="28" w:type="dxa"/>
            </w:tcMar>
            <w:vAlign w:val="center"/>
          </w:tcPr>
          <w:p w14:paraId="3F18F45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污染物名称</w:t>
            </w:r>
          </w:p>
        </w:tc>
        <w:tc>
          <w:tcPr>
            <w:tcW w:w="1701" w:type="dxa"/>
            <w:noWrap w:val="0"/>
            <w:tcMar>
              <w:left w:w="28" w:type="dxa"/>
              <w:right w:w="28" w:type="dxa"/>
            </w:tcMar>
            <w:vAlign w:val="center"/>
          </w:tcPr>
          <w:p w14:paraId="7EC1C3C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现有工程</w:t>
            </w:r>
          </w:p>
          <w:p w14:paraId="4A4E52A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排放量（固体废物产生量）</w:t>
            </w:r>
            <w:r>
              <w:rPr>
                <w:rFonts w:hint="default" w:ascii="Times New Roman" w:hAnsi="Times New Roman" w:eastAsia="宋体" w:cs="Times New Roman"/>
                <w:color w:val="auto"/>
                <w:szCs w:val="21"/>
                <w:lang w:val="en-US" w:eastAsia="zh-CN"/>
              </w:rPr>
              <w:fldChar w:fldCharType="begin"/>
            </w:r>
            <w:r>
              <w:rPr>
                <w:rFonts w:hint="default" w:ascii="Times New Roman" w:hAnsi="Times New Roman" w:eastAsia="宋体" w:cs="Times New Roman"/>
                <w:color w:val="auto"/>
                <w:szCs w:val="21"/>
                <w:lang w:val="en-US" w:eastAsia="zh-CN"/>
              </w:rPr>
              <w:instrText xml:space="preserve"> = 1 \* GB3 \* MERGEFORMAT </w:instrText>
            </w:r>
            <w:r>
              <w:rPr>
                <w:rFonts w:hint="default" w:ascii="Times New Roman" w:hAnsi="Times New Roman" w:eastAsia="宋体" w:cs="Times New Roman"/>
                <w:color w:val="auto"/>
                <w:szCs w:val="21"/>
                <w:lang w:val="en-US" w:eastAsia="zh-CN"/>
              </w:rPr>
              <w:fldChar w:fldCharType="separate"/>
            </w:r>
            <w:r>
              <w:rPr>
                <w:rFonts w:hint="default" w:ascii="Times New Roman" w:hAnsi="Times New Roman" w:eastAsia="宋体" w:cs="Times New Roman"/>
                <w:color w:val="auto"/>
                <w:szCs w:val="21"/>
                <w:lang w:val="en-US" w:eastAsia="zh-CN"/>
              </w:rPr>
              <w:t>①</w:t>
            </w:r>
            <w:r>
              <w:rPr>
                <w:rFonts w:hint="default" w:ascii="Times New Roman" w:hAnsi="Times New Roman" w:eastAsia="宋体" w:cs="Times New Roman"/>
                <w:color w:val="auto"/>
                <w:szCs w:val="21"/>
                <w:lang w:val="en-US" w:eastAsia="zh-CN"/>
              </w:rPr>
              <w:fldChar w:fldCharType="end"/>
            </w:r>
          </w:p>
        </w:tc>
        <w:tc>
          <w:tcPr>
            <w:tcW w:w="1276" w:type="dxa"/>
            <w:noWrap w:val="0"/>
            <w:tcMar>
              <w:left w:w="28" w:type="dxa"/>
              <w:right w:w="28" w:type="dxa"/>
            </w:tcMar>
            <w:vAlign w:val="center"/>
          </w:tcPr>
          <w:p w14:paraId="5C1F3FB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现有工程</w:t>
            </w:r>
          </w:p>
          <w:p w14:paraId="7CF4F3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许可排放量</w:t>
            </w:r>
          </w:p>
          <w:p w14:paraId="134F09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fldChar w:fldCharType="begin"/>
            </w:r>
            <w:r>
              <w:rPr>
                <w:rFonts w:hint="default" w:ascii="Times New Roman" w:hAnsi="Times New Roman" w:eastAsia="宋体" w:cs="Times New Roman"/>
                <w:color w:val="auto"/>
                <w:szCs w:val="21"/>
                <w:lang w:val="en-US" w:eastAsia="zh-CN"/>
              </w:rPr>
              <w:instrText xml:space="preserve"> = 2 \* GB3 \* MERGEFORMAT </w:instrText>
            </w:r>
            <w:r>
              <w:rPr>
                <w:rFonts w:hint="default" w:ascii="Times New Roman" w:hAnsi="Times New Roman" w:eastAsia="宋体" w:cs="Times New Roman"/>
                <w:color w:val="auto"/>
                <w:szCs w:val="21"/>
                <w:lang w:val="en-US" w:eastAsia="zh-CN"/>
              </w:rPr>
              <w:fldChar w:fldCharType="separate"/>
            </w:r>
            <w:r>
              <w:rPr>
                <w:rFonts w:hint="default" w:ascii="Times New Roman" w:hAnsi="Times New Roman" w:eastAsia="宋体" w:cs="Times New Roman"/>
                <w:color w:val="auto"/>
                <w:szCs w:val="21"/>
                <w:lang w:val="en-US" w:eastAsia="zh-CN"/>
              </w:rPr>
              <w:t>②</w:t>
            </w:r>
            <w:r>
              <w:rPr>
                <w:rFonts w:hint="default" w:ascii="Times New Roman" w:hAnsi="Times New Roman" w:eastAsia="宋体" w:cs="Times New Roman"/>
                <w:color w:val="auto"/>
                <w:szCs w:val="21"/>
                <w:lang w:val="en-US" w:eastAsia="zh-CN"/>
              </w:rPr>
              <w:fldChar w:fldCharType="end"/>
            </w:r>
          </w:p>
        </w:tc>
        <w:tc>
          <w:tcPr>
            <w:tcW w:w="1701" w:type="dxa"/>
            <w:noWrap w:val="0"/>
            <w:tcMar>
              <w:left w:w="28" w:type="dxa"/>
              <w:right w:w="28" w:type="dxa"/>
            </w:tcMar>
            <w:vAlign w:val="center"/>
          </w:tcPr>
          <w:p w14:paraId="5A0807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在建工程</w:t>
            </w:r>
          </w:p>
          <w:p w14:paraId="3AD72F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排放量（固体废物产生量）</w:t>
            </w:r>
            <w:r>
              <w:rPr>
                <w:rFonts w:hint="default" w:ascii="Times New Roman" w:hAnsi="Times New Roman" w:eastAsia="宋体" w:cs="Times New Roman"/>
                <w:color w:val="auto"/>
                <w:szCs w:val="21"/>
                <w:lang w:val="en-US" w:eastAsia="zh-CN"/>
              </w:rPr>
              <w:fldChar w:fldCharType="begin"/>
            </w:r>
            <w:r>
              <w:rPr>
                <w:rFonts w:hint="default" w:ascii="Times New Roman" w:hAnsi="Times New Roman" w:eastAsia="宋体" w:cs="Times New Roman"/>
                <w:color w:val="auto"/>
                <w:szCs w:val="21"/>
                <w:lang w:val="en-US" w:eastAsia="zh-CN"/>
              </w:rPr>
              <w:instrText xml:space="preserve"> = 3 \* GB3 \* MERGEFORMAT </w:instrText>
            </w:r>
            <w:r>
              <w:rPr>
                <w:rFonts w:hint="default" w:ascii="Times New Roman" w:hAnsi="Times New Roman" w:eastAsia="宋体" w:cs="Times New Roman"/>
                <w:color w:val="auto"/>
                <w:szCs w:val="21"/>
                <w:lang w:val="en-US" w:eastAsia="zh-CN"/>
              </w:rPr>
              <w:fldChar w:fldCharType="separate"/>
            </w:r>
            <w:r>
              <w:rPr>
                <w:rFonts w:hint="default" w:ascii="Times New Roman" w:hAnsi="Times New Roman" w:eastAsia="宋体" w:cs="Times New Roman"/>
                <w:color w:val="auto"/>
                <w:szCs w:val="21"/>
                <w:lang w:val="en-US" w:eastAsia="zh-CN"/>
              </w:rPr>
              <w:t>③</w:t>
            </w:r>
            <w:r>
              <w:rPr>
                <w:rFonts w:hint="default" w:ascii="Times New Roman" w:hAnsi="Times New Roman" w:eastAsia="宋体" w:cs="Times New Roman"/>
                <w:color w:val="auto"/>
                <w:szCs w:val="21"/>
                <w:lang w:val="en-US" w:eastAsia="zh-CN"/>
              </w:rPr>
              <w:fldChar w:fldCharType="end"/>
            </w:r>
          </w:p>
        </w:tc>
        <w:tc>
          <w:tcPr>
            <w:tcW w:w="1559" w:type="dxa"/>
            <w:noWrap w:val="0"/>
            <w:tcMar>
              <w:left w:w="28" w:type="dxa"/>
              <w:right w:w="28" w:type="dxa"/>
            </w:tcMar>
            <w:vAlign w:val="center"/>
          </w:tcPr>
          <w:p w14:paraId="6762C0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w:t>
            </w:r>
          </w:p>
          <w:p w14:paraId="079C029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排放量（固体废物产生量）</w:t>
            </w:r>
            <w:r>
              <w:rPr>
                <w:rFonts w:hint="default" w:ascii="Times New Roman" w:hAnsi="Times New Roman" w:eastAsia="宋体" w:cs="Times New Roman"/>
                <w:color w:val="auto"/>
                <w:szCs w:val="21"/>
                <w:lang w:val="en-US" w:eastAsia="zh-CN"/>
              </w:rPr>
              <w:fldChar w:fldCharType="begin"/>
            </w:r>
            <w:r>
              <w:rPr>
                <w:rFonts w:hint="default" w:ascii="Times New Roman" w:hAnsi="Times New Roman" w:eastAsia="宋体" w:cs="Times New Roman"/>
                <w:color w:val="auto"/>
                <w:szCs w:val="21"/>
                <w:lang w:val="en-US" w:eastAsia="zh-CN"/>
              </w:rPr>
              <w:instrText xml:space="preserve"> = 4 \* GB3 \* MERGEFORMAT </w:instrText>
            </w:r>
            <w:r>
              <w:rPr>
                <w:rFonts w:hint="default" w:ascii="Times New Roman" w:hAnsi="Times New Roman" w:eastAsia="宋体" w:cs="Times New Roman"/>
                <w:color w:val="auto"/>
                <w:szCs w:val="21"/>
                <w:lang w:val="en-US" w:eastAsia="zh-CN"/>
              </w:rPr>
              <w:fldChar w:fldCharType="separate"/>
            </w:r>
            <w:r>
              <w:rPr>
                <w:rFonts w:hint="default" w:ascii="Times New Roman" w:hAnsi="Times New Roman" w:eastAsia="宋体" w:cs="Times New Roman"/>
                <w:color w:val="auto"/>
                <w:szCs w:val="21"/>
                <w:lang w:val="en-US" w:eastAsia="zh-CN"/>
              </w:rPr>
              <w:t>④</w:t>
            </w:r>
            <w:r>
              <w:rPr>
                <w:rFonts w:hint="default" w:ascii="Times New Roman" w:hAnsi="Times New Roman" w:eastAsia="宋体" w:cs="Times New Roman"/>
                <w:color w:val="auto"/>
                <w:szCs w:val="21"/>
                <w:lang w:val="en-US" w:eastAsia="zh-CN"/>
              </w:rPr>
              <w:fldChar w:fldCharType="end"/>
            </w:r>
          </w:p>
        </w:tc>
        <w:tc>
          <w:tcPr>
            <w:tcW w:w="1761" w:type="dxa"/>
            <w:noWrap w:val="0"/>
            <w:tcMar>
              <w:left w:w="28" w:type="dxa"/>
              <w:right w:w="28" w:type="dxa"/>
            </w:tcMar>
            <w:vAlign w:val="center"/>
          </w:tcPr>
          <w:p w14:paraId="3A2A386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以新带老削减量</w:t>
            </w:r>
          </w:p>
          <w:p w14:paraId="7D50D08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（新建项目不填）</w:t>
            </w:r>
            <w:r>
              <w:rPr>
                <w:rFonts w:hint="default" w:ascii="Times New Roman" w:hAnsi="Times New Roman" w:eastAsia="宋体" w:cs="Times New Roman"/>
                <w:color w:val="auto"/>
                <w:szCs w:val="21"/>
                <w:lang w:val="en-US" w:eastAsia="zh-CN"/>
              </w:rPr>
              <w:fldChar w:fldCharType="begin"/>
            </w:r>
            <w:r>
              <w:rPr>
                <w:rFonts w:hint="default" w:ascii="Times New Roman" w:hAnsi="Times New Roman" w:eastAsia="宋体" w:cs="Times New Roman"/>
                <w:color w:val="auto"/>
                <w:szCs w:val="21"/>
                <w:lang w:val="en-US" w:eastAsia="zh-CN"/>
              </w:rPr>
              <w:instrText xml:space="preserve"> = 5 \* GB3 \* MERGEFORMAT </w:instrText>
            </w:r>
            <w:r>
              <w:rPr>
                <w:rFonts w:hint="default" w:ascii="Times New Roman" w:hAnsi="Times New Roman" w:eastAsia="宋体" w:cs="Times New Roman"/>
                <w:color w:val="auto"/>
                <w:szCs w:val="21"/>
                <w:lang w:val="en-US" w:eastAsia="zh-CN"/>
              </w:rPr>
              <w:fldChar w:fldCharType="separate"/>
            </w:r>
            <w:r>
              <w:rPr>
                <w:rFonts w:hint="default" w:ascii="Times New Roman" w:hAnsi="Times New Roman" w:eastAsia="宋体" w:cs="Times New Roman"/>
                <w:color w:val="auto"/>
                <w:szCs w:val="21"/>
                <w:lang w:val="en-US" w:eastAsia="zh-CN"/>
              </w:rPr>
              <w:t>⑤</w:t>
            </w:r>
            <w:r>
              <w:rPr>
                <w:rFonts w:hint="default" w:ascii="Times New Roman" w:hAnsi="Times New Roman" w:eastAsia="宋体" w:cs="Times New Roman"/>
                <w:color w:val="auto"/>
                <w:szCs w:val="21"/>
                <w:lang w:val="en-US" w:eastAsia="zh-CN"/>
              </w:rPr>
              <w:fldChar w:fldCharType="end"/>
            </w:r>
          </w:p>
        </w:tc>
        <w:tc>
          <w:tcPr>
            <w:tcW w:w="1499" w:type="dxa"/>
            <w:noWrap w:val="0"/>
            <w:tcMar>
              <w:left w:w="28" w:type="dxa"/>
              <w:right w:w="28" w:type="dxa"/>
            </w:tcMar>
            <w:vAlign w:val="center"/>
          </w:tcPr>
          <w:p w14:paraId="629D955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本项目建成后</w:t>
            </w:r>
          </w:p>
          <w:p w14:paraId="623C74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全厂排放量（固体废物产生量）</w:t>
            </w:r>
            <w:r>
              <w:rPr>
                <w:rFonts w:hint="default" w:ascii="Times New Roman" w:hAnsi="Times New Roman" w:eastAsia="宋体" w:cs="Times New Roman"/>
                <w:color w:val="auto"/>
                <w:szCs w:val="21"/>
                <w:lang w:val="en-US" w:eastAsia="zh-CN"/>
              </w:rPr>
              <w:fldChar w:fldCharType="begin"/>
            </w:r>
            <w:r>
              <w:rPr>
                <w:rFonts w:hint="default" w:ascii="Times New Roman" w:hAnsi="Times New Roman" w:eastAsia="宋体" w:cs="Times New Roman"/>
                <w:color w:val="auto"/>
                <w:szCs w:val="21"/>
                <w:lang w:val="en-US" w:eastAsia="zh-CN"/>
              </w:rPr>
              <w:instrText xml:space="preserve"> = 6 \* GB3 \* MERGEFORMAT </w:instrText>
            </w:r>
            <w:r>
              <w:rPr>
                <w:rFonts w:hint="default" w:ascii="Times New Roman" w:hAnsi="Times New Roman" w:eastAsia="宋体" w:cs="Times New Roman"/>
                <w:color w:val="auto"/>
                <w:szCs w:val="21"/>
                <w:lang w:val="en-US" w:eastAsia="zh-CN"/>
              </w:rPr>
              <w:fldChar w:fldCharType="separate"/>
            </w:r>
            <w:r>
              <w:rPr>
                <w:rFonts w:hint="default" w:ascii="Times New Roman" w:hAnsi="Times New Roman" w:eastAsia="宋体" w:cs="Times New Roman"/>
                <w:color w:val="auto"/>
                <w:szCs w:val="21"/>
                <w:lang w:val="en-US" w:eastAsia="zh-CN"/>
              </w:rPr>
              <w:t>⑥</w:t>
            </w:r>
            <w:r>
              <w:rPr>
                <w:rFonts w:hint="default" w:ascii="Times New Roman" w:hAnsi="Times New Roman" w:eastAsia="宋体" w:cs="Times New Roman"/>
                <w:color w:val="auto"/>
                <w:szCs w:val="21"/>
                <w:lang w:val="en-US" w:eastAsia="zh-CN"/>
              </w:rPr>
              <w:fldChar w:fldCharType="end"/>
            </w:r>
          </w:p>
        </w:tc>
        <w:tc>
          <w:tcPr>
            <w:tcW w:w="1286" w:type="dxa"/>
            <w:noWrap w:val="0"/>
            <w:tcMar>
              <w:left w:w="28" w:type="dxa"/>
              <w:right w:w="28" w:type="dxa"/>
            </w:tcMar>
            <w:vAlign w:val="center"/>
          </w:tcPr>
          <w:p w14:paraId="45193A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变化量</w:t>
            </w:r>
          </w:p>
          <w:p w14:paraId="441D67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fldChar w:fldCharType="begin"/>
            </w:r>
            <w:r>
              <w:rPr>
                <w:rFonts w:hint="default" w:ascii="Times New Roman" w:hAnsi="Times New Roman" w:eastAsia="宋体" w:cs="Times New Roman"/>
                <w:color w:val="auto"/>
                <w:szCs w:val="21"/>
                <w:lang w:val="en-US" w:eastAsia="zh-CN"/>
              </w:rPr>
              <w:instrText xml:space="preserve"> = 7 \* GB3 \* MERGEFORMAT </w:instrText>
            </w:r>
            <w:r>
              <w:rPr>
                <w:rFonts w:hint="default" w:ascii="Times New Roman" w:hAnsi="Times New Roman" w:eastAsia="宋体" w:cs="Times New Roman"/>
                <w:color w:val="auto"/>
                <w:szCs w:val="21"/>
                <w:lang w:val="en-US" w:eastAsia="zh-CN"/>
              </w:rPr>
              <w:fldChar w:fldCharType="separate"/>
            </w:r>
            <w:r>
              <w:rPr>
                <w:rFonts w:hint="default" w:ascii="Times New Roman" w:hAnsi="Times New Roman" w:eastAsia="宋体" w:cs="Times New Roman"/>
                <w:color w:val="auto"/>
                <w:szCs w:val="21"/>
                <w:lang w:val="en-US" w:eastAsia="zh-CN"/>
              </w:rPr>
              <w:t>⑦</w:t>
            </w:r>
            <w:r>
              <w:rPr>
                <w:rFonts w:hint="default" w:ascii="Times New Roman" w:hAnsi="Times New Roman" w:eastAsia="宋体" w:cs="Times New Roman"/>
                <w:color w:val="auto"/>
                <w:szCs w:val="21"/>
                <w:lang w:val="en-US" w:eastAsia="zh-CN"/>
              </w:rPr>
              <w:fldChar w:fldCharType="end"/>
            </w:r>
          </w:p>
        </w:tc>
      </w:tr>
      <w:tr w14:paraId="320941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restart"/>
            <w:noWrap w:val="0"/>
            <w:tcMar>
              <w:left w:w="28" w:type="dxa"/>
              <w:right w:w="28" w:type="dxa"/>
            </w:tcMar>
            <w:vAlign w:val="center"/>
          </w:tcPr>
          <w:p w14:paraId="2FB7BA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废气</w:t>
            </w:r>
          </w:p>
        </w:tc>
        <w:tc>
          <w:tcPr>
            <w:tcW w:w="1984" w:type="dxa"/>
            <w:noWrap w:val="0"/>
            <w:tcMar>
              <w:left w:w="28" w:type="dxa"/>
              <w:right w:w="28" w:type="dxa"/>
            </w:tcMar>
            <w:vAlign w:val="center"/>
          </w:tcPr>
          <w:p w14:paraId="25DC52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701" w:type="dxa"/>
            <w:noWrap w:val="0"/>
            <w:tcMar>
              <w:left w:w="28" w:type="dxa"/>
              <w:right w:w="28" w:type="dxa"/>
            </w:tcMar>
            <w:vAlign w:val="center"/>
          </w:tcPr>
          <w:p w14:paraId="2711E4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276" w:type="dxa"/>
            <w:noWrap w:val="0"/>
            <w:tcMar>
              <w:left w:w="28" w:type="dxa"/>
              <w:right w:w="28" w:type="dxa"/>
            </w:tcMar>
            <w:vAlign w:val="center"/>
          </w:tcPr>
          <w:p w14:paraId="7F234A9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01" w:type="dxa"/>
            <w:noWrap w:val="0"/>
            <w:tcMar>
              <w:left w:w="28" w:type="dxa"/>
              <w:right w:w="28" w:type="dxa"/>
            </w:tcMar>
            <w:vAlign w:val="center"/>
          </w:tcPr>
          <w:p w14:paraId="4A2640B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noWrap w:val="0"/>
            <w:tcMar>
              <w:left w:w="28" w:type="dxa"/>
              <w:right w:w="28" w:type="dxa"/>
            </w:tcMar>
            <w:vAlign w:val="center"/>
          </w:tcPr>
          <w:p w14:paraId="0A8412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61" w:type="dxa"/>
            <w:noWrap w:val="0"/>
            <w:tcMar>
              <w:left w:w="28" w:type="dxa"/>
              <w:right w:w="28" w:type="dxa"/>
            </w:tcMar>
            <w:vAlign w:val="center"/>
          </w:tcPr>
          <w:p w14:paraId="5D05DEF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99" w:type="dxa"/>
            <w:noWrap w:val="0"/>
            <w:tcMar>
              <w:left w:w="28" w:type="dxa"/>
              <w:right w:w="28" w:type="dxa"/>
            </w:tcMar>
            <w:vAlign w:val="center"/>
          </w:tcPr>
          <w:p w14:paraId="0693365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86" w:type="dxa"/>
            <w:noWrap w:val="0"/>
            <w:tcMar>
              <w:left w:w="28" w:type="dxa"/>
              <w:right w:w="28" w:type="dxa"/>
            </w:tcMar>
            <w:vAlign w:val="center"/>
          </w:tcPr>
          <w:p w14:paraId="22B6226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573BF5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noWrap w:val="0"/>
            <w:tcMar>
              <w:left w:w="28" w:type="dxa"/>
              <w:right w:w="28" w:type="dxa"/>
            </w:tcMar>
            <w:vAlign w:val="center"/>
          </w:tcPr>
          <w:p w14:paraId="56B87E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1984" w:type="dxa"/>
            <w:noWrap w:val="0"/>
            <w:tcMar>
              <w:left w:w="28" w:type="dxa"/>
              <w:right w:w="28" w:type="dxa"/>
            </w:tcMar>
            <w:vAlign w:val="center"/>
          </w:tcPr>
          <w:p w14:paraId="3D59451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701" w:type="dxa"/>
            <w:noWrap w:val="0"/>
            <w:tcMar>
              <w:left w:w="28" w:type="dxa"/>
              <w:right w:w="28" w:type="dxa"/>
            </w:tcMar>
            <w:vAlign w:val="center"/>
          </w:tcPr>
          <w:p w14:paraId="1979C44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6" w:type="dxa"/>
            <w:noWrap w:val="0"/>
            <w:tcMar>
              <w:left w:w="28" w:type="dxa"/>
              <w:right w:w="28" w:type="dxa"/>
            </w:tcMar>
            <w:vAlign w:val="center"/>
          </w:tcPr>
          <w:p w14:paraId="597CB36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01" w:type="dxa"/>
            <w:noWrap w:val="0"/>
            <w:tcMar>
              <w:left w:w="28" w:type="dxa"/>
              <w:right w:w="28" w:type="dxa"/>
            </w:tcMar>
            <w:vAlign w:val="center"/>
          </w:tcPr>
          <w:p w14:paraId="5CFE641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noWrap w:val="0"/>
            <w:tcMar>
              <w:left w:w="28" w:type="dxa"/>
              <w:right w:w="28" w:type="dxa"/>
            </w:tcMar>
            <w:vAlign w:val="center"/>
          </w:tcPr>
          <w:p w14:paraId="6A3B14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61" w:type="dxa"/>
            <w:noWrap w:val="0"/>
            <w:tcMar>
              <w:left w:w="28" w:type="dxa"/>
              <w:right w:w="28" w:type="dxa"/>
            </w:tcMar>
            <w:vAlign w:val="center"/>
          </w:tcPr>
          <w:p w14:paraId="488E91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99" w:type="dxa"/>
            <w:noWrap w:val="0"/>
            <w:tcMar>
              <w:left w:w="28" w:type="dxa"/>
              <w:right w:w="28" w:type="dxa"/>
            </w:tcMar>
            <w:vAlign w:val="center"/>
          </w:tcPr>
          <w:p w14:paraId="0AA635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86" w:type="dxa"/>
            <w:noWrap w:val="0"/>
            <w:tcMar>
              <w:left w:w="28" w:type="dxa"/>
              <w:right w:w="28" w:type="dxa"/>
            </w:tcMar>
            <w:vAlign w:val="center"/>
          </w:tcPr>
          <w:p w14:paraId="4335F00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7CA25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restart"/>
            <w:noWrap w:val="0"/>
            <w:tcMar>
              <w:left w:w="28" w:type="dxa"/>
              <w:right w:w="28" w:type="dxa"/>
            </w:tcMar>
            <w:vAlign w:val="center"/>
          </w:tcPr>
          <w:p w14:paraId="78B4868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废水</w:t>
            </w:r>
          </w:p>
        </w:tc>
        <w:tc>
          <w:tcPr>
            <w:tcW w:w="1984" w:type="dxa"/>
            <w:noWrap w:val="0"/>
            <w:tcMar>
              <w:left w:w="28" w:type="dxa"/>
              <w:right w:w="28" w:type="dxa"/>
            </w:tcMar>
            <w:vAlign w:val="center"/>
          </w:tcPr>
          <w:p w14:paraId="5CE768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701" w:type="dxa"/>
            <w:noWrap w:val="0"/>
            <w:tcMar>
              <w:left w:w="28" w:type="dxa"/>
              <w:right w:w="28" w:type="dxa"/>
            </w:tcMar>
            <w:vAlign w:val="center"/>
          </w:tcPr>
          <w:p w14:paraId="0299E0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c>
          <w:tcPr>
            <w:tcW w:w="1276" w:type="dxa"/>
            <w:noWrap w:val="0"/>
            <w:tcMar>
              <w:left w:w="28" w:type="dxa"/>
              <w:right w:w="28" w:type="dxa"/>
            </w:tcMar>
            <w:vAlign w:val="center"/>
          </w:tcPr>
          <w:p w14:paraId="383647F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01" w:type="dxa"/>
            <w:noWrap w:val="0"/>
            <w:tcMar>
              <w:left w:w="28" w:type="dxa"/>
              <w:right w:w="28" w:type="dxa"/>
            </w:tcMar>
            <w:vAlign w:val="center"/>
          </w:tcPr>
          <w:p w14:paraId="6299F8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noWrap w:val="0"/>
            <w:tcMar>
              <w:left w:w="28" w:type="dxa"/>
              <w:right w:w="28" w:type="dxa"/>
            </w:tcMar>
            <w:vAlign w:val="center"/>
          </w:tcPr>
          <w:p w14:paraId="3BC6EF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w:t>
            </w:r>
          </w:p>
        </w:tc>
        <w:tc>
          <w:tcPr>
            <w:tcW w:w="1761" w:type="dxa"/>
            <w:noWrap w:val="0"/>
            <w:tcMar>
              <w:left w:w="28" w:type="dxa"/>
              <w:right w:w="28" w:type="dxa"/>
            </w:tcMar>
            <w:vAlign w:val="center"/>
          </w:tcPr>
          <w:p w14:paraId="06D552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99" w:type="dxa"/>
            <w:noWrap w:val="0"/>
            <w:tcMar>
              <w:left w:w="28" w:type="dxa"/>
              <w:right w:w="28" w:type="dxa"/>
            </w:tcMar>
            <w:vAlign w:val="center"/>
          </w:tcPr>
          <w:p w14:paraId="0BEE83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86" w:type="dxa"/>
            <w:noWrap w:val="0"/>
            <w:tcMar>
              <w:left w:w="28" w:type="dxa"/>
              <w:right w:w="28" w:type="dxa"/>
            </w:tcMar>
            <w:vAlign w:val="center"/>
          </w:tcPr>
          <w:p w14:paraId="121BBC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711C3E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noWrap w:val="0"/>
            <w:tcMar>
              <w:left w:w="28" w:type="dxa"/>
              <w:right w:w="28" w:type="dxa"/>
            </w:tcMar>
            <w:vAlign w:val="center"/>
          </w:tcPr>
          <w:p w14:paraId="260864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1984" w:type="dxa"/>
            <w:noWrap w:val="0"/>
            <w:tcMar>
              <w:left w:w="28" w:type="dxa"/>
              <w:right w:w="28" w:type="dxa"/>
            </w:tcMar>
            <w:vAlign w:val="center"/>
          </w:tcPr>
          <w:p w14:paraId="417E24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c>
          <w:tcPr>
            <w:tcW w:w="1701" w:type="dxa"/>
            <w:noWrap w:val="0"/>
            <w:tcMar>
              <w:left w:w="28" w:type="dxa"/>
              <w:right w:w="28" w:type="dxa"/>
            </w:tcMar>
            <w:vAlign w:val="center"/>
          </w:tcPr>
          <w:p w14:paraId="7903EA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6" w:type="dxa"/>
            <w:noWrap w:val="0"/>
            <w:tcMar>
              <w:left w:w="28" w:type="dxa"/>
              <w:right w:w="28" w:type="dxa"/>
            </w:tcMar>
            <w:vAlign w:val="center"/>
          </w:tcPr>
          <w:p w14:paraId="09EC011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01" w:type="dxa"/>
            <w:noWrap w:val="0"/>
            <w:tcMar>
              <w:left w:w="28" w:type="dxa"/>
              <w:right w:w="28" w:type="dxa"/>
            </w:tcMar>
            <w:vAlign w:val="center"/>
          </w:tcPr>
          <w:p w14:paraId="78C012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noWrap w:val="0"/>
            <w:tcMar>
              <w:left w:w="28" w:type="dxa"/>
              <w:right w:w="28" w:type="dxa"/>
            </w:tcMar>
            <w:vAlign w:val="center"/>
          </w:tcPr>
          <w:p w14:paraId="6F47C4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w:t>
            </w:r>
          </w:p>
        </w:tc>
        <w:tc>
          <w:tcPr>
            <w:tcW w:w="1761" w:type="dxa"/>
            <w:noWrap w:val="0"/>
            <w:tcMar>
              <w:left w:w="28" w:type="dxa"/>
              <w:right w:w="28" w:type="dxa"/>
            </w:tcMar>
            <w:vAlign w:val="center"/>
          </w:tcPr>
          <w:p w14:paraId="1D26F8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99" w:type="dxa"/>
            <w:noWrap w:val="0"/>
            <w:tcMar>
              <w:left w:w="28" w:type="dxa"/>
              <w:right w:w="28" w:type="dxa"/>
            </w:tcMar>
            <w:vAlign w:val="center"/>
          </w:tcPr>
          <w:p w14:paraId="29F85F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86" w:type="dxa"/>
            <w:noWrap w:val="0"/>
            <w:tcMar>
              <w:left w:w="28" w:type="dxa"/>
              <w:right w:w="28" w:type="dxa"/>
            </w:tcMar>
            <w:vAlign w:val="center"/>
          </w:tcPr>
          <w:p w14:paraId="3367EB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1E1FBB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restart"/>
            <w:noWrap w:val="0"/>
            <w:tcMar>
              <w:left w:w="28" w:type="dxa"/>
              <w:right w:w="28" w:type="dxa"/>
            </w:tcMar>
            <w:vAlign w:val="center"/>
          </w:tcPr>
          <w:p w14:paraId="75E046F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一般工业</w:t>
            </w:r>
          </w:p>
          <w:p w14:paraId="192CB6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固体废物</w:t>
            </w:r>
          </w:p>
        </w:tc>
        <w:tc>
          <w:tcPr>
            <w:tcW w:w="1984" w:type="dxa"/>
            <w:noWrap w:val="0"/>
            <w:tcMar>
              <w:left w:w="28" w:type="dxa"/>
              <w:right w:w="28" w:type="dxa"/>
            </w:tcMar>
            <w:vAlign w:val="center"/>
          </w:tcPr>
          <w:p w14:paraId="74B55D7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701" w:type="dxa"/>
            <w:noWrap w:val="0"/>
            <w:tcMar>
              <w:left w:w="28" w:type="dxa"/>
              <w:right w:w="28" w:type="dxa"/>
            </w:tcMar>
            <w:vAlign w:val="center"/>
          </w:tcPr>
          <w:p w14:paraId="54DC46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c>
          <w:tcPr>
            <w:tcW w:w="1276" w:type="dxa"/>
            <w:noWrap w:val="0"/>
            <w:tcMar>
              <w:left w:w="28" w:type="dxa"/>
              <w:right w:w="28" w:type="dxa"/>
            </w:tcMar>
            <w:vAlign w:val="center"/>
          </w:tcPr>
          <w:p w14:paraId="0D1DA9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01" w:type="dxa"/>
            <w:noWrap w:val="0"/>
            <w:tcMar>
              <w:left w:w="28" w:type="dxa"/>
              <w:right w:w="28" w:type="dxa"/>
            </w:tcMar>
            <w:vAlign w:val="center"/>
          </w:tcPr>
          <w:p w14:paraId="3EEAE6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noWrap w:val="0"/>
            <w:tcMar>
              <w:left w:w="28" w:type="dxa"/>
              <w:right w:w="28" w:type="dxa"/>
            </w:tcMar>
            <w:vAlign w:val="center"/>
          </w:tcPr>
          <w:p w14:paraId="2B5353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61" w:type="dxa"/>
            <w:noWrap w:val="0"/>
            <w:tcMar>
              <w:left w:w="28" w:type="dxa"/>
              <w:right w:w="28" w:type="dxa"/>
            </w:tcMar>
            <w:vAlign w:val="center"/>
          </w:tcPr>
          <w:p w14:paraId="6387C5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99" w:type="dxa"/>
            <w:noWrap w:val="0"/>
            <w:tcMar>
              <w:left w:w="28" w:type="dxa"/>
              <w:right w:w="28" w:type="dxa"/>
            </w:tcMar>
            <w:vAlign w:val="center"/>
          </w:tcPr>
          <w:p w14:paraId="67EBFEC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86" w:type="dxa"/>
            <w:noWrap w:val="0"/>
            <w:tcMar>
              <w:left w:w="28" w:type="dxa"/>
              <w:right w:w="28" w:type="dxa"/>
            </w:tcMar>
            <w:vAlign w:val="center"/>
          </w:tcPr>
          <w:p w14:paraId="60D3BB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48D633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noWrap w:val="0"/>
            <w:tcMar>
              <w:left w:w="28" w:type="dxa"/>
              <w:right w:w="28" w:type="dxa"/>
            </w:tcMar>
            <w:vAlign w:val="center"/>
          </w:tcPr>
          <w:p w14:paraId="3CFC68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1984" w:type="dxa"/>
            <w:noWrap w:val="0"/>
            <w:tcMar>
              <w:left w:w="28" w:type="dxa"/>
              <w:right w:w="28" w:type="dxa"/>
            </w:tcMar>
            <w:vAlign w:val="center"/>
          </w:tcPr>
          <w:p w14:paraId="22B63B0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701" w:type="dxa"/>
            <w:noWrap w:val="0"/>
            <w:tcMar>
              <w:left w:w="28" w:type="dxa"/>
              <w:right w:w="28" w:type="dxa"/>
            </w:tcMar>
            <w:vAlign w:val="center"/>
          </w:tcPr>
          <w:p w14:paraId="6BFC803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6" w:type="dxa"/>
            <w:noWrap w:val="0"/>
            <w:tcMar>
              <w:left w:w="28" w:type="dxa"/>
              <w:right w:w="28" w:type="dxa"/>
            </w:tcMar>
            <w:vAlign w:val="center"/>
          </w:tcPr>
          <w:p w14:paraId="780FC02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01" w:type="dxa"/>
            <w:noWrap w:val="0"/>
            <w:tcMar>
              <w:left w:w="28" w:type="dxa"/>
              <w:right w:w="28" w:type="dxa"/>
            </w:tcMar>
            <w:vAlign w:val="center"/>
          </w:tcPr>
          <w:p w14:paraId="7D9982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noWrap w:val="0"/>
            <w:tcMar>
              <w:left w:w="28" w:type="dxa"/>
              <w:right w:w="28" w:type="dxa"/>
            </w:tcMar>
            <w:vAlign w:val="center"/>
          </w:tcPr>
          <w:p w14:paraId="47D2DA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61" w:type="dxa"/>
            <w:noWrap w:val="0"/>
            <w:tcMar>
              <w:left w:w="28" w:type="dxa"/>
              <w:right w:w="28" w:type="dxa"/>
            </w:tcMar>
            <w:vAlign w:val="center"/>
          </w:tcPr>
          <w:p w14:paraId="2724B7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99" w:type="dxa"/>
            <w:noWrap w:val="0"/>
            <w:tcMar>
              <w:left w:w="28" w:type="dxa"/>
              <w:right w:w="28" w:type="dxa"/>
            </w:tcMar>
            <w:vAlign w:val="center"/>
          </w:tcPr>
          <w:p w14:paraId="022C3AA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86" w:type="dxa"/>
            <w:noWrap w:val="0"/>
            <w:tcMar>
              <w:left w:w="28" w:type="dxa"/>
              <w:right w:w="28" w:type="dxa"/>
            </w:tcMar>
            <w:vAlign w:val="center"/>
          </w:tcPr>
          <w:p w14:paraId="6FDF6A1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0D17E0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noWrap w:val="0"/>
            <w:tcMar>
              <w:left w:w="28" w:type="dxa"/>
              <w:right w:w="28" w:type="dxa"/>
            </w:tcMar>
            <w:vAlign w:val="center"/>
          </w:tcPr>
          <w:p w14:paraId="2910D2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1984" w:type="dxa"/>
            <w:noWrap w:val="0"/>
            <w:tcMar>
              <w:left w:w="28" w:type="dxa"/>
              <w:right w:w="28" w:type="dxa"/>
            </w:tcMar>
            <w:vAlign w:val="center"/>
          </w:tcPr>
          <w:p w14:paraId="53796C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701" w:type="dxa"/>
            <w:noWrap w:val="0"/>
            <w:tcMar>
              <w:left w:w="28" w:type="dxa"/>
              <w:right w:w="28" w:type="dxa"/>
            </w:tcMar>
            <w:vAlign w:val="center"/>
          </w:tcPr>
          <w:p w14:paraId="77BC83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c>
          <w:tcPr>
            <w:tcW w:w="1276" w:type="dxa"/>
            <w:noWrap w:val="0"/>
            <w:tcMar>
              <w:left w:w="28" w:type="dxa"/>
              <w:right w:w="28" w:type="dxa"/>
            </w:tcMar>
            <w:vAlign w:val="center"/>
          </w:tcPr>
          <w:p w14:paraId="0242A1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01" w:type="dxa"/>
            <w:noWrap w:val="0"/>
            <w:tcMar>
              <w:left w:w="28" w:type="dxa"/>
              <w:right w:w="28" w:type="dxa"/>
            </w:tcMar>
            <w:vAlign w:val="center"/>
          </w:tcPr>
          <w:p w14:paraId="496DBC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noWrap w:val="0"/>
            <w:tcMar>
              <w:left w:w="28" w:type="dxa"/>
              <w:right w:w="28" w:type="dxa"/>
            </w:tcMar>
            <w:vAlign w:val="center"/>
          </w:tcPr>
          <w:p w14:paraId="3F89CD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61" w:type="dxa"/>
            <w:noWrap w:val="0"/>
            <w:tcMar>
              <w:left w:w="28" w:type="dxa"/>
              <w:right w:w="28" w:type="dxa"/>
            </w:tcMar>
            <w:vAlign w:val="center"/>
          </w:tcPr>
          <w:p w14:paraId="3B8ED28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99" w:type="dxa"/>
            <w:noWrap w:val="0"/>
            <w:tcMar>
              <w:left w:w="28" w:type="dxa"/>
              <w:right w:w="28" w:type="dxa"/>
            </w:tcMar>
            <w:vAlign w:val="center"/>
          </w:tcPr>
          <w:p w14:paraId="29419B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86" w:type="dxa"/>
            <w:noWrap w:val="0"/>
            <w:tcMar>
              <w:left w:w="28" w:type="dxa"/>
              <w:right w:w="28" w:type="dxa"/>
            </w:tcMar>
            <w:vAlign w:val="center"/>
          </w:tcPr>
          <w:p w14:paraId="3520D9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166E7D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noWrap w:val="0"/>
            <w:tcMar>
              <w:left w:w="28" w:type="dxa"/>
              <w:right w:w="28" w:type="dxa"/>
            </w:tcMar>
            <w:vAlign w:val="center"/>
          </w:tcPr>
          <w:p w14:paraId="64C1ED0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1984" w:type="dxa"/>
            <w:noWrap w:val="0"/>
            <w:tcMar>
              <w:left w:w="28" w:type="dxa"/>
              <w:right w:w="28" w:type="dxa"/>
            </w:tcMar>
            <w:vAlign w:val="center"/>
          </w:tcPr>
          <w:p w14:paraId="09888C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701" w:type="dxa"/>
            <w:noWrap w:val="0"/>
            <w:tcMar>
              <w:left w:w="28" w:type="dxa"/>
              <w:right w:w="28" w:type="dxa"/>
            </w:tcMar>
            <w:vAlign w:val="center"/>
          </w:tcPr>
          <w:p w14:paraId="5BDE322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6" w:type="dxa"/>
            <w:noWrap w:val="0"/>
            <w:tcMar>
              <w:left w:w="28" w:type="dxa"/>
              <w:right w:w="28" w:type="dxa"/>
            </w:tcMar>
            <w:vAlign w:val="center"/>
          </w:tcPr>
          <w:p w14:paraId="01924C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01" w:type="dxa"/>
            <w:noWrap w:val="0"/>
            <w:tcMar>
              <w:left w:w="28" w:type="dxa"/>
              <w:right w:w="28" w:type="dxa"/>
            </w:tcMar>
            <w:vAlign w:val="center"/>
          </w:tcPr>
          <w:p w14:paraId="0151D97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noWrap w:val="0"/>
            <w:tcMar>
              <w:left w:w="28" w:type="dxa"/>
              <w:right w:w="28" w:type="dxa"/>
            </w:tcMar>
            <w:vAlign w:val="center"/>
          </w:tcPr>
          <w:p w14:paraId="500BD0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61" w:type="dxa"/>
            <w:noWrap w:val="0"/>
            <w:tcMar>
              <w:left w:w="28" w:type="dxa"/>
              <w:right w:w="28" w:type="dxa"/>
            </w:tcMar>
            <w:vAlign w:val="center"/>
          </w:tcPr>
          <w:p w14:paraId="69E2F5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99" w:type="dxa"/>
            <w:noWrap w:val="0"/>
            <w:tcMar>
              <w:left w:w="28" w:type="dxa"/>
              <w:right w:w="28" w:type="dxa"/>
            </w:tcMar>
            <w:vAlign w:val="center"/>
          </w:tcPr>
          <w:p w14:paraId="1B80872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86" w:type="dxa"/>
            <w:noWrap w:val="0"/>
            <w:tcMar>
              <w:left w:w="28" w:type="dxa"/>
              <w:right w:w="28" w:type="dxa"/>
            </w:tcMar>
            <w:vAlign w:val="center"/>
          </w:tcPr>
          <w:p w14:paraId="4BE28E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74E743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noWrap w:val="0"/>
            <w:tcMar>
              <w:left w:w="28" w:type="dxa"/>
              <w:right w:w="28" w:type="dxa"/>
            </w:tcMar>
            <w:vAlign w:val="center"/>
          </w:tcPr>
          <w:p w14:paraId="244040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1984" w:type="dxa"/>
            <w:noWrap w:val="0"/>
            <w:tcMar>
              <w:left w:w="28" w:type="dxa"/>
              <w:right w:w="28" w:type="dxa"/>
            </w:tcMar>
            <w:vAlign w:val="center"/>
          </w:tcPr>
          <w:p w14:paraId="1230C85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c>
          <w:tcPr>
            <w:tcW w:w="1701" w:type="dxa"/>
            <w:noWrap w:val="0"/>
            <w:tcMar>
              <w:left w:w="28" w:type="dxa"/>
              <w:right w:w="28" w:type="dxa"/>
            </w:tcMar>
            <w:vAlign w:val="center"/>
          </w:tcPr>
          <w:p w14:paraId="157633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c>
          <w:tcPr>
            <w:tcW w:w="1276" w:type="dxa"/>
            <w:noWrap w:val="0"/>
            <w:tcMar>
              <w:left w:w="28" w:type="dxa"/>
              <w:right w:w="28" w:type="dxa"/>
            </w:tcMar>
            <w:vAlign w:val="center"/>
          </w:tcPr>
          <w:p w14:paraId="7232D5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01" w:type="dxa"/>
            <w:noWrap w:val="0"/>
            <w:tcMar>
              <w:left w:w="28" w:type="dxa"/>
              <w:right w:w="28" w:type="dxa"/>
            </w:tcMar>
            <w:vAlign w:val="center"/>
          </w:tcPr>
          <w:p w14:paraId="07DFEC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noWrap w:val="0"/>
            <w:tcMar>
              <w:left w:w="28" w:type="dxa"/>
              <w:right w:w="28" w:type="dxa"/>
            </w:tcMar>
            <w:vAlign w:val="center"/>
          </w:tcPr>
          <w:p w14:paraId="184419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61" w:type="dxa"/>
            <w:noWrap w:val="0"/>
            <w:tcMar>
              <w:left w:w="28" w:type="dxa"/>
              <w:right w:w="28" w:type="dxa"/>
            </w:tcMar>
            <w:vAlign w:val="center"/>
          </w:tcPr>
          <w:p w14:paraId="22DF88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99" w:type="dxa"/>
            <w:noWrap w:val="0"/>
            <w:tcMar>
              <w:left w:w="28" w:type="dxa"/>
              <w:right w:w="28" w:type="dxa"/>
            </w:tcMar>
            <w:vAlign w:val="center"/>
          </w:tcPr>
          <w:p w14:paraId="366F5B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86" w:type="dxa"/>
            <w:noWrap w:val="0"/>
            <w:tcMar>
              <w:left w:w="28" w:type="dxa"/>
              <w:right w:w="28" w:type="dxa"/>
            </w:tcMar>
            <w:vAlign w:val="center"/>
          </w:tcPr>
          <w:p w14:paraId="4CD9BA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390316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021" w:type="dxa"/>
            <w:vMerge w:val="restart"/>
            <w:noWrap w:val="0"/>
            <w:tcMar>
              <w:left w:w="28" w:type="dxa"/>
              <w:right w:w="28" w:type="dxa"/>
            </w:tcMar>
            <w:vAlign w:val="center"/>
          </w:tcPr>
          <w:p w14:paraId="1F2B77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危险废物</w:t>
            </w:r>
          </w:p>
        </w:tc>
        <w:tc>
          <w:tcPr>
            <w:tcW w:w="1984" w:type="dxa"/>
            <w:noWrap w:val="0"/>
            <w:tcMar>
              <w:left w:w="28" w:type="dxa"/>
              <w:right w:w="28" w:type="dxa"/>
            </w:tcMar>
            <w:vAlign w:val="center"/>
          </w:tcPr>
          <w:p w14:paraId="7BB220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701" w:type="dxa"/>
            <w:noWrap w:val="0"/>
            <w:tcMar>
              <w:left w:w="28" w:type="dxa"/>
              <w:right w:w="28" w:type="dxa"/>
            </w:tcMar>
            <w:vAlign w:val="center"/>
          </w:tcPr>
          <w:p w14:paraId="51D999B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w:t>
            </w:r>
          </w:p>
        </w:tc>
        <w:tc>
          <w:tcPr>
            <w:tcW w:w="1276" w:type="dxa"/>
            <w:noWrap w:val="0"/>
            <w:tcMar>
              <w:left w:w="28" w:type="dxa"/>
              <w:right w:w="28" w:type="dxa"/>
            </w:tcMar>
            <w:vAlign w:val="center"/>
          </w:tcPr>
          <w:p w14:paraId="2F23BDE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01" w:type="dxa"/>
            <w:noWrap w:val="0"/>
            <w:tcMar>
              <w:left w:w="28" w:type="dxa"/>
              <w:right w:w="28" w:type="dxa"/>
            </w:tcMar>
            <w:vAlign w:val="center"/>
          </w:tcPr>
          <w:p w14:paraId="5F63BBD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noWrap w:val="0"/>
            <w:tcMar>
              <w:left w:w="28" w:type="dxa"/>
              <w:right w:w="28" w:type="dxa"/>
            </w:tcMar>
            <w:vAlign w:val="center"/>
          </w:tcPr>
          <w:p w14:paraId="5B2B63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61" w:type="dxa"/>
            <w:noWrap w:val="0"/>
            <w:tcMar>
              <w:left w:w="28" w:type="dxa"/>
              <w:right w:w="28" w:type="dxa"/>
            </w:tcMar>
            <w:vAlign w:val="center"/>
          </w:tcPr>
          <w:p w14:paraId="6D49AF9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99" w:type="dxa"/>
            <w:noWrap w:val="0"/>
            <w:tcMar>
              <w:left w:w="28" w:type="dxa"/>
              <w:right w:w="28" w:type="dxa"/>
            </w:tcMar>
            <w:vAlign w:val="center"/>
          </w:tcPr>
          <w:p w14:paraId="103D85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86" w:type="dxa"/>
            <w:noWrap w:val="0"/>
            <w:tcMar>
              <w:left w:w="28" w:type="dxa"/>
              <w:right w:w="28" w:type="dxa"/>
            </w:tcMar>
            <w:vAlign w:val="center"/>
          </w:tcPr>
          <w:p w14:paraId="00B89B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r w14:paraId="083C3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21" w:type="dxa"/>
            <w:vMerge w:val="continue"/>
            <w:noWrap w:val="0"/>
            <w:tcMar>
              <w:left w:w="28" w:type="dxa"/>
              <w:right w:w="28" w:type="dxa"/>
            </w:tcMar>
            <w:vAlign w:val="center"/>
          </w:tcPr>
          <w:p w14:paraId="42E51E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1984" w:type="dxa"/>
            <w:noWrap w:val="0"/>
            <w:tcMar>
              <w:left w:w="28" w:type="dxa"/>
              <w:right w:w="28" w:type="dxa"/>
            </w:tcMar>
            <w:vAlign w:val="center"/>
          </w:tcPr>
          <w:p w14:paraId="7E9BBB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701" w:type="dxa"/>
            <w:noWrap w:val="0"/>
            <w:tcMar>
              <w:left w:w="28" w:type="dxa"/>
              <w:right w:w="28" w:type="dxa"/>
            </w:tcMar>
            <w:vAlign w:val="center"/>
          </w:tcPr>
          <w:p w14:paraId="78C95A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6" w:type="dxa"/>
            <w:noWrap w:val="0"/>
            <w:tcMar>
              <w:left w:w="28" w:type="dxa"/>
              <w:right w:w="28" w:type="dxa"/>
            </w:tcMar>
            <w:vAlign w:val="center"/>
          </w:tcPr>
          <w:p w14:paraId="148F96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01" w:type="dxa"/>
            <w:noWrap w:val="0"/>
            <w:tcMar>
              <w:left w:w="28" w:type="dxa"/>
              <w:right w:w="28" w:type="dxa"/>
            </w:tcMar>
            <w:vAlign w:val="center"/>
          </w:tcPr>
          <w:p w14:paraId="231A10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559" w:type="dxa"/>
            <w:noWrap w:val="0"/>
            <w:tcMar>
              <w:left w:w="28" w:type="dxa"/>
              <w:right w:w="28" w:type="dxa"/>
            </w:tcMar>
            <w:vAlign w:val="center"/>
          </w:tcPr>
          <w:p w14:paraId="7FAEE1B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761" w:type="dxa"/>
            <w:noWrap w:val="0"/>
            <w:tcMar>
              <w:left w:w="28" w:type="dxa"/>
              <w:right w:w="28" w:type="dxa"/>
            </w:tcMar>
            <w:vAlign w:val="center"/>
          </w:tcPr>
          <w:p w14:paraId="53E59A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499" w:type="dxa"/>
            <w:noWrap w:val="0"/>
            <w:tcMar>
              <w:left w:w="28" w:type="dxa"/>
              <w:right w:w="28" w:type="dxa"/>
            </w:tcMar>
            <w:vAlign w:val="center"/>
          </w:tcPr>
          <w:p w14:paraId="195D9AE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86" w:type="dxa"/>
            <w:noWrap w:val="0"/>
            <w:tcMar>
              <w:left w:w="28" w:type="dxa"/>
              <w:right w:w="28" w:type="dxa"/>
            </w:tcMar>
            <w:vAlign w:val="center"/>
          </w:tcPr>
          <w:p w14:paraId="1A2014C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r>
    </w:tbl>
    <w:p w14:paraId="205052D7">
      <w:pPr>
        <w:jc w:val="left"/>
        <w:rPr>
          <w:rFonts w:ascii="Times New Roman" w:hAnsi="Times New Roman" w:eastAsia="宋体" w:cs="Times New Roman"/>
          <w:color w:val="auto"/>
          <w:szCs w:val="21"/>
        </w:rPr>
      </w:pPr>
      <w:r>
        <w:rPr>
          <w:rFonts w:ascii="Times New Roman" w:hAnsi="Times New Roman" w:eastAsia="宋体" w:cs="Times New Roman"/>
          <w:color w:val="auto"/>
          <w:szCs w:val="21"/>
        </w:rPr>
        <w:t>注：=++-；=-</w:t>
      </w:r>
    </w:p>
    <w:p w14:paraId="02C5EE02">
      <w:pPr>
        <w:jc w:val="center"/>
        <w:rPr>
          <w:rFonts w:ascii="Times New Roman" w:hAnsi="Times New Roman" w:eastAsia="宋体" w:cs="Times New Roman"/>
          <w:b/>
          <w:color w:val="auto"/>
          <w:sz w:val="28"/>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716ECB1C">
      <w:pPr>
        <w:jc w:val="center"/>
        <w:rPr>
          <w:rFonts w:hint="eastAsia" w:ascii="Times New Roman" w:hAnsi="Times New Roman" w:eastAsia="宋体" w:cs="Times New Roman"/>
          <w:b/>
          <w:color w:val="auto"/>
          <w:sz w:val="28"/>
          <w:szCs w:val="28"/>
          <w:lang w:eastAsia="zh-CN"/>
        </w:rPr>
      </w:pPr>
      <w:r>
        <w:rPr>
          <w:rFonts w:hint="eastAsia" w:ascii="Times New Roman" w:hAnsi="Times New Roman" w:eastAsia="宋体" w:cs="Times New Roman"/>
          <w:b/>
          <w:color w:val="auto"/>
          <w:sz w:val="28"/>
          <w:szCs w:val="28"/>
          <w:lang w:eastAsia="zh-CN"/>
        </w:rPr>
        <w:drawing>
          <wp:anchor distT="0" distB="0" distL="114300" distR="114300" simplePos="0" relativeHeight="251668480" behindDoc="1" locked="0" layoutInCell="1" allowOverlap="1">
            <wp:simplePos x="0" y="0"/>
            <wp:positionH relativeFrom="column">
              <wp:posOffset>709930</wp:posOffset>
            </wp:positionH>
            <wp:positionV relativeFrom="paragraph">
              <wp:posOffset>-541655</wp:posOffset>
            </wp:positionV>
            <wp:extent cx="7524750" cy="5996305"/>
            <wp:effectExtent l="0" t="0" r="0" b="4445"/>
            <wp:wrapNone/>
            <wp:docPr id="8" name="图片 8" descr="u=4176858101,199854828&amp;fm=30&amp;app=106&amp;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4176858101,199854828&amp;fm=30&amp;app=106&amp;f=JPEG"/>
                    <pic:cNvPicPr>
                      <a:picLocks noChangeAspect="1"/>
                    </pic:cNvPicPr>
                  </pic:nvPicPr>
                  <pic:blipFill>
                    <a:blip r:embed="rId7"/>
                    <a:stretch>
                      <a:fillRect/>
                    </a:stretch>
                  </pic:blipFill>
                  <pic:spPr>
                    <a:xfrm>
                      <a:off x="0" y="0"/>
                      <a:ext cx="7524750" cy="5996305"/>
                    </a:xfrm>
                    <a:prstGeom prst="rect">
                      <a:avLst/>
                    </a:prstGeom>
                  </pic:spPr>
                </pic:pic>
              </a:graphicData>
            </a:graphic>
          </wp:anchor>
        </w:drawing>
      </w:r>
      <w:r>
        <w:rPr>
          <w:rFonts w:ascii="Times New Roman" w:hAnsi="Times New Roman" w:eastAsia="宋体" w:cs="Times New Roman"/>
          <w:b/>
          <w:color w:val="auto"/>
          <w:sz w:val="28"/>
          <w:szCs w:val="28"/>
        </w:rPr>
        <w:drawing>
          <wp:anchor distT="0" distB="0" distL="114300" distR="114300" simplePos="0" relativeHeight="251663360" behindDoc="0" locked="0" layoutInCell="1" allowOverlap="1">
            <wp:simplePos x="0" y="0"/>
            <wp:positionH relativeFrom="column">
              <wp:posOffset>7262495</wp:posOffset>
            </wp:positionH>
            <wp:positionV relativeFrom="paragraph">
              <wp:posOffset>-499745</wp:posOffset>
            </wp:positionV>
            <wp:extent cx="996315" cy="981075"/>
            <wp:effectExtent l="0" t="0" r="0" b="9525"/>
            <wp:wrapNone/>
            <wp:docPr id="106" name="图片 106" descr="1543742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543742781(1)"/>
                    <pic:cNvPicPr>
                      <a:picLocks noChangeAspect="1" noChangeArrowheads="1"/>
                    </pic:cNvPicPr>
                  </pic:nvPicPr>
                  <pic:blipFill>
                    <a:blip r:embed="rId8" cstate="email"/>
                    <a:srcRect/>
                    <a:stretch>
                      <a:fillRect/>
                    </a:stretch>
                  </pic:blipFill>
                  <pic:spPr>
                    <a:xfrm>
                      <a:off x="0" y="0"/>
                      <a:ext cx="996315" cy="981075"/>
                    </a:xfrm>
                    <a:prstGeom prst="rect">
                      <a:avLst/>
                    </a:prstGeom>
                    <a:noFill/>
                    <a:ln>
                      <a:noFill/>
                    </a:ln>
                  </pic:spPr>
                </pic:pic>
              </a:graphicData>
            </a:graphic>
          </wp:anchor>
        </w:drawing>
      </w:r>
    </w:p>
    <w:p w14:paraId="65792A23">
      <w:pPr>
        <w:jc w:val="center"/>
        <w:rPr>
          <w:rFonts w:ascii="Times New Roman" w:hAnsi="Times New Roman" w:eastAsia="宋体" w:cs="Times New Roman"/>
          <w:b/>
          <w:color w:val="auto"/>
          <w:sz w:val="28"/>
          <w:szCs w:val="28"/>
        </w:rPr>
      </w:pPr>
    </w:p>
    <w:p w14:paraId="5760020B">
      <w:pPr>
        <w:rPr>
          <w:rFonts w:ascii="Times New Roman" w:hAnsi="Times New Roman" w:eastAsia="宋体" w:cs="Times New Roman"/>
          <w:b/>
          <w:color w:val="auto"/>
          <w:sz w:val="28"/>
          <w:szCs w:val="28"/>
        </w:rPr>
      </w:pPr>
    </w:p>
    <w:p w14:paraId="3AEDDC99">
      <w:pPr>
        <w:rPr>
          <w:rFonts w:ascii="Times New Roman" w:hAnsi="Times New Roman" w:eastAsia="宋体" w:cs="Times New Roman"/>
          <w:b/>
          <w:color w:val="auto"/>
          <w:sz w:val="28"/>
          <w:szCs w:val="28"/>
        </w:rPr>
      </w:pPr>
    </w:p>
    <w:p w14:paraId="52BCD10D">
      <w:pPr>
        <w:rPr>
          <w:rFonts w:ascii="Times New Roman" w:hAnsi="Times New Roman" w:eastAsia="宋体" w:cs="Times New Roman"/>
          <w:b/>
          <w:color w:val="auto"/>
          <w:sz w:val="28"/>
          <w:szCs w:val="28"/>
        </w:rPr>
      </w:pPr>
      <w:r>
        <w:rPr>
          <w:rFonts w:ascii="Times New Roman" w:hAnsi="Times New Roman" w:eastAsia="宋体" w:cs="Times New Roman"/>
          <w:b/>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4609465</wp:posOffset>
                </wp:positionH>
                <wp:positionV relativeFrom="paragraph">
                  <wp:posOffset>46355</wp:posOffset>
                </wp:positionV>
                <wp:extent cx="133350" cy="161925"/>
                <wp:effectExtent l="38100" t="38100" r="0" b="66675"/>
                <wp:wrapNone/>
                <wp:docPr id="136" name="AutoShape 56"/>
                <wp:cNvGraphicFramePr/>
                <a:graphic xmlns:a="http://schemas.openxmlformats.org/drawingml/2006/main">
                  <a:graphicData uri="http://schemas.microsoft.com/office/word/2010/wordprocessingShape">
                    <wps:wsp>
                      <wps:cNvSpPr>
                        <a:spLocks noChangeArrowheads="1"/>
                      </wps:cNvSpPr>
                      <wps:spPr bwMode="auto">
                        <a:xfrm>
                          <a:off x="0" y="0"/>
                          <a:ext cx="133350" cy="161925"/>
                        </a:xfrm>
                        <a:prstGeom prst="star4">
                          <a:avLst>
                            <a:gd name="adj" fmla="val 12500"/>
                          </a:avLst>
                        </a:prstGeom>
                        <a:solidFill>
                          <a:srgbClr val="FF0000"/>
                        </a:solidFill>
                        <a:ln w="15875" algn="ctr">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shape id="AutoShape 56" o:spid="_x0000_s1026" o:spt="187" type="#_x0000_t187" style="position:absolute;left:0pt;margin-left:362.95pt;margin-top:3.65pt;height:12.75pt;width:10.5pt;z-index:251660288;mso-width-relative:page;mso-height-relative:page;" fillcolor="#FF0000" filled="t" stroked="t" coordsize="21600,21600" o:gfxdata="UEsDBAoAAAAAAIdO4kAAAAAAAAAAAAAAAAAEAAAAZHJzL1BLAwQUAAAACACHTuJAhLpMnNoAAAAI&#10;AQAADwAAAGRycy9kb3ducmV2LnhtbE2PzU7DMBCE75V4B2uRuFTUbgptCXGqqKLqDUGKhLi5yTYO&#10;xOsodn94e5YT3HY0o9lvstXFdeKEQ2g9aZhOFAikytctNRredpvbJYgQDdWm84QavjHAKr8aZSat&#10;/Zle8VTGRnAJhdRosDH2qZShsuhMmPgeib2DH5yJLIdG1oM5c7nrZKLUXDrTEn+wpse1xeqrPDoN&#10;2+1HUezKl3d72Dypz3URx88qan1zPVWPICJe4l8YfvEZHXJm2vsj1UF0GhbJ/QNH+ZiBYH9xN2e9&#10;1zBLliDzTP4fkP8AUEsDBBQAAAAIAIdO4kBOWS8CSQIAALsEAAAOAAAAZHJzL2Uyb0RvYy54bWyt&#10;VMFu2zAMvQ/YPwi6r46TOE2NOkXRIsOAbivQ7QMUWba1SaJGKXG6rx8tJ1naXXqYDwZpUY98j6Sv&#10;b/bWsJ3CoMFVPL+YcKachFq7tuLfv60/LDkLUbhaGHCq4s8q8JvV+3fXvS/VFDowtUJGIC6Uva94&#10;F6MvsyzITlkRLsArR4cNoBWRXGyzGkVP6NZk08lkkfWAtUeQKgT6ej8e8gMivgUQmkZLdQ9ya5WL&#10;IyoqIyJRCp32ga9StU2jZPzaNEFFZipOTGN6UxKyN8M7W12LskXhOy0PJYi3lPCKkxXaUdIT1L2I&#10;gm1R/wNltUQI0MQLCTYbiSRFiEU+eaXNUye8SlxI6uBPoof/Byu/7B6R6ZomYbbgzAlLLb/dRki5&#10;WbEYFOp9KCnwyT/iwDH4B5A/A3Nw1wnXqltE6DslaqorH+KzFxcGJ9BVtuk/Q03wguCTWPsG7QBI&#10;MrB96snzqSdqH5mkj/lsNiuoW5KO8kV+NS1SBlEeL3sM8aMCywaj4jS6OE/oYvcQYupJfeAl6h+c&#10;NdZQh3fCsHxaTNIEZKI8BJN1xEtMweh6rY1JDrabO4OMrlZ8vZ7QcyglnIcZx3oqtVheFpwJ09KS&#10;yYipohdx4W1wVkdaN6NtxZdDymNO44aaVBpx4nlUfRB6bNgG6mcSHWGcedp4MjrA35z1NO+k1K+t&#10;QMWZ+eSocVf5fD4sSHLmxeWUHDw/2ZyfCCcJquKRKCbzLo5LtfWo244y5Ymxg2GWGn2qb6zqMCI0&#10;02S9WJpzP0X9/ee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Eukyc2gAAAAgBAAAPAAAAAAAA&#10;AAEAIAAAACIAAABkcnMvZG93bnJldi54bWxQSwECFAAUAAAACACHTuJATlkvAkkCAAC7BAAADgAA&#10;AAAAAAABACAAAAApAQAAZHJzL2Uyb0RvYy54bWxQSwUGAAAAAAYABgBZAQAA5AUAAAAA&#10;" adj="8100">
                <v:fill on="t" focussize="0,0"/>
                <v:stroke weight="1.25pt" color="#FF0000" miterlimit="8" joinstyle="miter"/>
                <v:imagedata o:title=""/>
                <o:lock v:ext="edit" aspectratio="f"/>
              </v:shape>
            </w:pict>
          </mc:Fallback>
        </mc:AlternateContent>
      </w:r>
    </w:p>
    <w:p w14:paraId="490CA725">
      <w:pPr>
        <w:rPr>
          <w:rFonts w:ascii="Times New Roman" w:hAnsi="Times New Roman" w:eastAsia="宋体" w:cs="Times New Roman"/>
          <w:b/>
          <w:color w:val="auto"/>
          <w:sz w:val="28"/>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宋体" w:cs="Times New Roman"/>
          <w:b/>
          <w:color w:val="auto"/>
          <w:sz w:val="28"/>
          <w:szCs w:val="28"/>
        </w:rPr>
        <mc:AlternateContent>
          <mc:Choice Requires="wps">
            <w:drawing>
              <wp:anchor distT="0" distB="0" distL="114300" distR="114300" simplePos="0" relativeHeight="251659264" behindDoc="0" locked="0" layoutInCell="1" allowOverlap="1">
                <wp:simplePos x="0" y="0"/>
                <wp:positionH relativeFrom="margin">
                  <wp:posOffset>5906135</wp:posOffset>
                </wp:positionH>
                <wp:positionV relativeFrom="paragraph">
                  <wp:posOffset>951230</wp:posOffset>
                </wp:positionV>
                <wp:extent cx="923925" cy="323850"/>
                <wp:effectExtent l="0" t="0" r="28575" b="666750"/>
                <wp:wrapNone/>
                <wp:docPr id="135" name="AutoShape 55"/>
                <wp:cNvGraphicFramePr/>
                <a:graphic xmlns:a="http://schemas.openxmlformats.org/drawingml/2006/main">
                  <a:graphicData uri="http://schemas.microsoft.com/office/word/2010/wordprocessingShape">
                    <wps:wsp>
                      <wps:cNvSpPr>
                        <a:spLocks noChangeArrowheads="1"/>
                      </wps:cNvSpPr>
                      <wps:spPr bwMode="auto">
                        <a:xfrm>
                          <a:off x="0" y="0"/>
                          <a:ext cx="923925" cy="323850"/>
                        </a:xfrm>
                        <a:prstGeom prst="wedgeRoundRectCallout">
                          <a:avLst>
                            <a:gd name="adj1" fmla="val 24295"/>
                            <a:gd name="adj2" fmla="val 235010"/>
                            <a:gd name="adj3" fmla="val 16667"/>
                          </a:avLst>
                        </a:prstGeom>
                        <a:solidFill>
                          <a:srgbClr val="FFFFFF"/>
                        </a:solidFill>
                        <a:ln w="15875" algn="ctr">
                          <a:solidFill>
                            <a:srgbClr val="000000"/>
                          </a:solidFill>
                          <a:miter lim="800000"/>
                        </a:ln>
                        <a:effectLst/>
                      </wps:spPr>
                      <wps:txbx>
                        <w:txbxContent>
                          <w:p w14:paraId="6F229BD1">
                            <w:pPr>
                              <w:jc w:val="center"/>
                              <w:rPr>
                                <w:rFonts w:ascii="宋体" w:hAnsi="宋体" w:eastAsia="宋体"/>
                                <w:b/>
                                <w:color w:val="FF0000"/>
                              </w:rPr>
                            </w:pPr>
                            <w:r>
                              <w:rPr>
                                <w:rFonts w:hint="eastAsia" w:ascii="宋体" w:hAnsi="宋体" w:eastAsia="宋体"/>
                                <w:b/>
                                <w:color w:val="FF0000"/>
                              </w:rPr>
                              <w:t>项目选址</w:t>
                            </w:r>
                          </w:p>
                        </w:txbxContent>
                      </wps:txbx>
                      <wps:bodyPr rot="0" vert="horz" wrap="square" lIns="91440" tIns="45720" rIns="91440" bIns="45720" anchor="t" anchorCtr="0" upright="1">
                        <a:noAutofit/>
                      </wps:bodyPr>
                    </wps:wsp>
                  </a:graphicData>
                </a:graphic>
              </wp:anchor>
            </w:drawing>
          </mc:Choice>
          <mc:Fallback>
            <w:pict>
              <v:shape id="AutoShape 55" o:spid="_x0000_s1026" o:spt="62" type="#_x0000_t62" style="position:absolute;left:0pt;margin-left:465.05pt;margin-top:74.9pt;height:25.5pt;width:72.75pt;mso-position-horizontal-relative:margin;z-index:251659264;mso-width-relative:page;mso-height-relative:page;" fillcolor="#FFFFFF" filled="t" stroked="t" coordsize="21600,21600" o:gfxdata="UEsDBAoAAAAAAIdO4kAAAAAAAAAAAAAAAAAEAAAAZHJzL1BLAwQUAAAACACHTuJAD+a8gNsAAAAM&#10;AQAADwAAAGRycy9kb3ducmV2LnhtbE2PzU7DMBCE70i8g7WVuCBqp9C0TeNUgECVeoKCEEc33iaB&#10;eB1i94e37/YEx9GMZr7JF0fXij32ofGkIRkqEEiltw1VGt7fnm+mIEI0ZE3rCTX8YoBFcXmRm8z6&#10;A73ifh0rwSUUMqOhjrHLpAxljc6Eoe+Q2Nv63pnIsq+k7c2By10rR0ql0pmGeKE2HT7WWH6vd06D&#10;//iabMdoH37UMg1Pq9ELXn/ea301SNQcRMRj/AvDGZ/RoWCmjd+RDaLVMLtVCUfZuJvxh3NCTcYp&#10;iI0GXp6CLHL5/0RxAlBLAwQUAAAACACHTuJA8VEMZHUCAAAgBQAADgAAAGRycy9lMm9Eb2MueG1s&#10;rVTLbtswELwX6D8QvDeyZMuxhchB4CBFgbQNkvYDaJKS2PJVkrKcfn1WlOzKaQ85VAeBFJezOzO7&#10;uro+KIn23HlhdInTixlGXFPDhK5L/P3b3YcVRj4QzYg0mpf4mXt8vXn/7qqzBc9MYyTjDgGI9kVn&#10;S9yEYIsk8bThivgLY7mGw8o4RQJsXZ0wRzpAVzLJZrNl0hnHrDOUew9fb4dDPCK6twCaqhKU3xra&#10;Kq7DgOq4JAEo+UZYjzex2qriNHytKs8DkiUGpiG+IQmsd/072VyRonbENoKOJZC3lPCKkyJCQ9IT&#10;1C0JBLVO/AWlBHXGmypcUKOSgUhUBFiks1faPDXE8sgFpPb2JLr/f7D0y/7BIcGgE+Y5RpoosPym&#10;DSbmRnneK9RZX0Dgk31wPUdv7w396ZE224bomt84Z7qGEwZ1pX18cnah33i4inbdZ8MAngB8FOtQ&#10;OdUDggzoED15PnnCDwFR+LjO5usMKqNwNM/mqzx6lpDieNk6Hz5yo1C/KHHHWc0fTavZI5i/JVKa&#10;NsRsZH/vQ/SIjTwJ+5FiVCkJlu+JRNkiW0fC4OMkJjuLmedg1Ng3k6D5NChdLpeXUQlSjGmh4mOl&#10;UUMjBbsTUsaNq3db6RDUUOK7+IyX/TRMatSBwvnqEvQgsobxpcFFbmdxfgo3i8+/4JQIMMhSqBKv&#10;pkFS9zXxODyg2NHP3sKhFcJhdxi7YmfYMzjrzDBY8FuBRWPcb4w6GKoS+18tcRwj+UlDd6zTxaKf&#10;wrhZ5JcZbNz0ZDc9IZoCVIkDsI3LbRgmt7VO1A1kSiN5bfqGrcSp1KGqsQ9hcGB1NpnTfYz682Pb&#10;vA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P5ryA2wAAAAwBAAAPAAAAAAAAAAEAIAAAACIAAABk&#10;cnMvZG93bnJldi54bWxQSwECFAAUAAAACACHTuJA8VEMZHUCAAAgBQAADgAAAAAAAAABACAAAAAq&#10;AQAAZHJzL2Uyb0RvYy54bWxQSwUGAAAAAAYABgBZAQAAEQYAAAAA&#10;" adj="16048,61562,14400">
                <v:fill on="t" focussize="0,0"/>
                <v:stroke weight="1.25pt" color="#000000" miterlimit="8" joinstyle="miter"/>
                <v:imagedata o:title=""/>
                <o:lock v:ext="edit" aspectratio="f"/>
                <v:textbox>
                  <w:txbxContent>
                    <w:p w14:paraId="6F229BD1">
                      <w:pPr>
                        <w:jc w:val="center"/>
                        <w:rPr>
                          <w:rFonts w:ascii="宋体" w:hAnsi="宋体" w:eastAsia="宋体"/>
                          <w:b/>
                          <w:color w:val="FF0000"/>
                        </w:rPr>
                      </w:pPr>
                      <w:r>
                        <w:rPr>
                          <w:rFonts w:hint="eastAsia" w:ascii="宋体" w:hAnsi="宋体" w:eastAsia="宋体"/>
                          <w:b/>
                          <w:color w:val="FF0000"/>
                        </w:rPr>
                        <w:t>项目选址</w:t>
                      </w:r>
                    </w:p>
                  </w:txbxContent>
                </v:textbox>
              </v:shape>
            </w:pict>
          </mc:Fallback>
        </mc:AlternateContent>
      </w:r>
      <w:r>
        <w:rPr>
          <w:rFonts w:ascii="Times New Roman" w:hAnsi="Times New Roman" w:eastAsia="宋体" w:cs="Times New Roman"/>
          <w:b/>
          <w:color w:val="auto"/>
          <w:sz w:val="28"/>
          <w:szCs w:val="28"/>
        </w:rPr>
        <mc:AlternateContent>
          <mc:Choice Requires="wps">
            <w:drawing>
              <wp:anchor distT="0" distB="0" distL="114300" distR="114300" simplePos="0" relativeHeight="251661312" behindDoc="0" locked="0" layoutInCell="1" allowOverlap="1">
                <wp:simplePos x="0" y="0"/>
                <wp:positionH relativeFrom="margin">
                  <wp:posOffset>2674620</wp:posOffset>
                </wp:positionH>
                <wp:positionV relativeFrom="paragraph">
                  <wp:posOffset>2985135</wp:posOffset>
                </wp:positionV>
                <wp:extent cx="3542030" cy="289560"/>
                <wp:effectExtent l="0" t="0" r="0" b="0"/>
                <wp:wrapNone/>
                <wp:docPr id="13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542030" cy="289560"/>
                        </a:xfrm>
                        <a:prstGeom prst="rect">
                          <a:avLst/>
                        </a:prstGeom>
                        <a:noFill/>
                        <a:ln>
                          <a:noFill/>
                        </a:ln>
                      </wps:spPr>
                      <wps:txbx>
                        <w:txbxContent>
                          <w:p w14:paraId="0A29D5BB">
                            <w:pPr>
                              <w:jc w:val="center"/>
                              <w:rPr>
                                <w:rFonts w:ascii="Times New Roman" w:hAnsi="Times New Roman" w:eastAsia="宋体" w:cs="Times New Roman"/>
                                <w:b/>
                                <w:sz w:val="24"/>
                                <w:szCs w:val="24"/>
                              </w:rPr>
                            </w:pPr>
                            <w:r>
                              <w:rPr>
                                <w:rFonts w:ascii="Times New Roman" w:hAnsi="Times New Roman" w:eastAsia="宋体" w:cs="Times New Roman"/>
                                <w:b/>
                                <w:sz w:val="24"/>
                                <w:szCs w:val="24"/>
                              </w:rPr>
                              <w:t>附图1    项目地理位置图</w:t>
                            </w:r>
                          </w:p>
                        </w:txbxContent>
                      </wps:txbx>
                      <wps:bodyPr rot="0" vert="horz" wrap="square" lIns="91440" tIns="45720" rIns="91440" bIns="45720" anchor="t" anchorCtr="0" upright="1">
                        <a:spAutoFit/>
                      </wps:bodyPr>
                    </wps:wsp>
                  </a:graphicData>
                </a:graphic>
              </wp:anchor>
            </w:drawing>
          </mc:Choice>
          <mc:Fallback>
            <w:pict>
              <v:shape id="文本框 2" o:spid="_x0000_s1026" o:spt="202" type="#_x0000_t202" style="position:absolute;left:0pt;margin-left:210.6pt;margin-top:235.05pt;height:22.8pt;width:278.9pt;mso-position-horizontal-relative:margin;z-index:251661312;mso-width-relative:page;mso-height-relative:page;" filled="f" stroked="f" coordsize="21600,21600" o:gfxdata="UEsDBAoAAAAAAIdO4kAAAAAAAAAAAAAAAAAEAAAAZHJzL1BLAwQUAAAACACHTuJA3hcMSdgAAAAL&#10;AQAADwAAAGRycy9kb3ducmV2LnhtbE2Py07DMBBF90j8gzVI7KjtiBCaxqkQD4kFG0rYu7EbR8Tj&#10;KHab9O8ZVnQ3ozm6c261XfzATnaKfUAFciWAWWyD6bFT0Hy93T0Ci0mj0UNAq+BsI2zr66tKlybM&#10;+GlPu9QxCsFYagUupbHkPLbOeh1XYbRIt0OYvE60Th03k54p3A88E+KBe90jfXB6tM/Otj+7o1eQ&#10;knmS5+bVx/fv5eNldqLNdaPU7Y0UG2DJLukfhj99UoeanPbhiCayQcF9JjNCaSiEBEbEulhTu72C&#10;XOYF8Lrilx3qX1BLAwQUAAAACACHTuJA3Q5lnRgCAAAXBAAADgAAAGRycy9lMm9Eb2MueG1srVNL&#10;jhMxEN0jcQfLe9JJJ5lPK53RMFEQ0vCRBg7guN1pi26XKTvpDgeAG7Biw55z5RyU3UkIw2YWbCzb&#10;VX713qvy7KZrarZV6DSYnI8GQ86UkVBos875xw/LF1ecOS9MIWowKuc75fjN/PmzWWszlUIFdaGQ&#10;EYhxWWtzXnlvsyRxslKNcAOwylCwBGyEpyOukwJFS+hNnaTD4UXSAhYWQSrn6HbRB/kBEZ8CCGWp&#10;pVqA3DTK+B4VVS08SXKVto7PI9uyVNK/K0unPKtzTkp9XKkI7VdhTeYzka1R2ErLAwXxFAqPNDVC&#10;Gyp6gloIL9gG9T9QjZYIDko/kNAkvZDoCKkYDR9581AJq6IWstrZk+nu/8HKt9v3yHRBkzC+5MyI&#10;hlq+//5t/+PX/udXlgaDWusyynuwlOm7l9BRchTr7D3IT44ZuKuEWatbRGgrJQoiOAovk7OnPY4L&#10;IKv2DRRUR2w8RKCuxCa4R34wQqfm7E7NUZ1nki7H00k6HFNIUiy9up5exO4lIju+tuj8KwUNC5uc&#10;IzU/oovtvfOBjciOKaGYgaWu6zgAtfnrghLDTWQfCPfUfbfqDm6soNiRDoR+nug30aYC/MJZS7OU&#10;c/d5I1BxVr825MX1aDIJwxcPk+llSgc8j6zOI8JIgsq556zf3vl+YDcW9bqiSkf3b8m/pY7SgtE9&#10;qwNvmpeo+DDbYSDPzzHrz3+e/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FwxJ2AAAAAsBAAAP&#10;AAAAAAAAAAEAIAAAACIAAABkcnMvZG93bnJldi54bWxQSwECFAAUAAAACACHTuJA3Q5lnRgCAAAX&#10;BAAADgAAAAAAAAABACAAAAAnAQAAZHJzL2Uyb0RvYy54bWxQSwUGAAAAAAYABgBZAQAAsQUAAAAA&#10;">
                <v:fill on="f" focussize="0,0"/>
                <v:stroke on="f"/>
                <v:imagedata o:title=""/>
                <o:lock v:ext="edit" aspectratio="f"/>
                <v:textbox style="mso-fit-shape-to-text:t;">
                  <w:txbxContent>
                    <w:p w14:paraId="0A29D5BB">
                      <w:pPr>
                        <w:jc w:val="center"/>
                        <w:rPr>
                          <w:rFonts w:ascii="Times New Roman" w:hAnsi="Times New Roman" w:eastAsia="宋体" w:cs="Times New Roman"/>
                          <w:b/>
                          <w:sz w:val="24"/>
                          <w:szCs w:val="24"/>
                        </w:rPr>
                      </w:pPr>
                      <w:r>
                        <w:rPr>
                          <w:rFonts w:ascii="Times New Roman" w:hAnsi="Times New Roman" w:eastAsia="宋体" w:cs="Times New Roman"/>
                          <w:b/>
                          <w:sz w:val="24"/>
                          <w:szCs w:val="24"/>
                        </w:rPr>
                        <w:t>附图1    项目地理位置图</w:t>
                      </w:r>
                    </w:p>
                  </w:txbxContent>
                </v:textbox>
              </v:shape>
            </w:pict>
          </mc:Fallback>
        </mc:AlternateContent>
      </w:r>
    </w:p>
    <w:p w14:paraId="6A6465F9">
      <w:pPr>
        <w:jc w:val="center"/>
        <w:rPr>
          <w:rFonts w:ascii="Times New Roman" w:hAnsi="Times New Roman" w:eastAsia="宋体" w:cs="Times New Roman"/>
          <w:b/>
          <w:color w:val="auto"/>
          <w:sz w:val="28"/>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eastAsia="宋体" w:cs="Times New Roman"/>
          <w:b/>
          <w:color w:val="auto"/>
          <w:sz w:val="28"/>
          <w:szCs w:val="28"/>
        </w:rPr>
        <w:drawing>
          <wp:anchor distT="0" distB="0" distL="114300" distR="114300" simplePos="0" relativeHeight="251665408" behindDoc="0" locked="0" layoutInCell="1" allowOverlap="1">
            <wp:simplePos x="0" y="0"/>
            <wp:positionH relativeFrom="column">
              <wp:posOffset>8061960</wp:posOffset>
            </wp:positionH>
            <wp:positionV relativeFrom="paragraph">
              <wp:posOffset>31750</wp:posOffset>
            </wp:positionV>
            <wp:extent cx="748665" cy="736600"/>
            <wp:effectExtent l="0" t="0" r="0" b="6350"/>
            <wp:wrapNone/>
            <wp:docPr id="107" name="图片 107" descr="1543742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543742781(1)"/>
                    <pic:cNvPicPr>
                      <a:picLocks noChangeAspect="1"/>
                    </pic:cNvPicPr>
                  </pic:nvPicPr>
                  <pic:blipFill>
                    <a:blip r:embed="rId9" cstate="email"/>
                    <a:srcRect/>
                    <a:stretch>
                      <a:fillRect/>
                    </a:stretch>
                  </pic:blipFill>
                  <pic:spPr>
                    <a:xfrm>
                      <a:off x="0" y="0"/>
                      <a:ext cx="748665" cy="736600"/>
                    </a:xfrm>
                    <a:prstGeom prst="rect">
                      <a:avLst/>
                    </a:prstGeom>
                    <a:noFill/>
                    <a:ln>
                      <a:noFill/>
                    </a:ln>
                  </pic:spPr>
                </pic:pic>
              </a:graphicData>
            </a:graphic>
          </wp:anchor>
        </w:drawing>
      </w:r>
      <w:r>
        <w:rPr>
          <w:rFonts w:ascii="Times New Roman" w:hAnsi="Times New Roman" w:eastAsia="宋体" w:cs="Times New Roman"/>
          <w:b/>
          <w:color w:val="auto"/>
          <w:sz w:val="28"/>
          <w:szCs w:val="28"/>
        </w:rPr>
        <mc:AlternateContent>
          <mc:Choice Requires="wps">
            <w:drawing>
              <wp:anchor distT="0" distB="0" distL="114300" distR="114300" simplePos="0" relativeHeight="251664384" behindDoc="0" locked="0" layoutInCell="1" allowOverlap="1">
                <wp:simplePos x="0" y="0"/>
                <wp:positionH relativeFrom="margin">
                  <wp:posOffset>3284220</wp:posOffset>
                </wp:positionH>
                <wp:positionV relativeFrom="paragraph">
                  <wp:posOffset>5281930</wp:posOffset>
                </wp:positionV>
                <wp:extent cx="2114550" cy="298450"/>
                <wp:effectExtent l="0" t="0" r="0" b="6350"/>
                <wp:wrapNone/>
                <wp:docPr id="14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14550" cy="298450"/>
                        </a:xfrm>
                        <a:prstGeom prst="rect">
                          <a:avLst/>
                        </a:prstGeom>
                        <a:noFill/>
                        <a:ln w="9525">
                          <a:noFill/>
                          <a:miter lim="800000"/>
                        </a:ln>
                      </wps:spPr>
                      <wps:txbx>
                        <w:txbxContent>
                          <w:p w14:paraId="3B471D6B">
                            <w:pPr>
                              <w:rPr>
                                <w:rFonts w:ascii="Times New Roman" w:hAnsi="Times New Roman" w:eastAsia="宋体" w:cs="Times New Roman"/>
                                <w:b/>
                              </w:rPr>
                            </w:pPr>
                            <w:r>
                              <w:rPr>
                                <w:rFonts w:hint="eastAsia" w:ascii="Times New Roman" w:hAnsi="Times New Roman" w:eastAsia="宋体" w:cs="Times New Roman"/>
                                <w:b/>
                              </w:rPr>
                              <w:t>附图2    项目选址周边</w:t>
                            </w:r>
                            <w:r>
                              <w:rPr>
                                <w:rFonts w:ascii="Times New Roman" w:hAnsi="Times New Roman" w:eastAsia="宋体" w:cs="Times New Roman"/>
                                <w:b/>
                              </w:rPr>
                              <w:t>关系图</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258.6pt;margin-top:415.9pt;height:23.5pt;width:166.5pt;mso-position-horizontal-relative:margin;z-index:251664384;mso-width-relative:page;mso-height-relative:page;" filled="f" stroked="f" coordsize="21600,21600" o:gfxdata="UEsDBAoAAAAAAIdO4kAAAAAAAAAAAAAAAAAEAAAAZHJzL1BLAwQUAAAACACHTuJA6BE3/9gAAAAL&#10;AQAADwAAAGRycy9kb3ducmV2LnhtbE2PzU7DMBCE70i8g7WVuFHbRaFWiFMhfiQOXCjhvo1NHDW2&#10;o9ht0rdnOcFtd2c0+021W/zAznZKfQwa5FoAs6GNpg+dhubz9VYBSxmDwSEGq+FiE+zq66sKSxPn&#10;8GHP+9wxCgmpRA0u57HkPLXOekzrONpA2necPGZap46bCWcK9wPfCHHPPfaBPjgc7ZOz7XF/8hpy&#10;No/y0rz49Pa1vD/PTrQFNlrfrKR4AJbtkv/M8ItP6FAT0yGegkls0FDI7YasGtSdpA7kUIWgy4GG&#10;rVLA64r/71D/AFBLAwQUAAAACACHTuJA6O1leSICAAArBAAADgAAAGRycy9lMm9Eb2MueG1srVPN&#10;jtMwEL4j8Q6W7zRt1EIbNV0tWxUhLT/SwgO4jtNY2B5ju03KA8AbcOLCnefqczB2st1queyBHKKx&#10;Z/zNfJ8/L686rchBOC/BlHQyGlMiDIdKml1JP3/avJhT4gMzFVNgREmPwtOr1fNny9YWIocGVCUc&#10;QRDji9aWtAnBFlnmeSM08yOwwmCyBqdZwKXbZZVjLaJrleXj8cusBVdZB1x4j7vrPkkHRPcUQKhr&#10;ycUa+F4LE3pUJxQLSMk30nq6StPWteDhQ117EYgqKTIN6Y9NMN7Gf7ZasmLnmG0kH0ZgTxnhESfN&#10;pMGmZ6g1C4zsnfwHSkvuwEMdRhx01hNJiiCLyfiRNncNsyJxQam9PYvu/x8sf3/46Iis0AnTGSWG&#10;abzy088fp19/Tr+/kzwK1FpfYN2dxcrQvYYOixNZb2+Bf/HEwE3DzE5cOwdtI1iFA07iyeziaI/j&#10;I8i2fQcV9mH7AAmoq52O6qEeBNHxco7nyxFdIBw38wlOOMMUx1y+mE8xji1YcX/aOh/eCNAkBiV1&#10;ePkJnR1ufehL70tiMwMbqRTus0IZ0pZ0Mctn6cBFRsuAbldSl3Q+jt/QU5mBXSTUUwvdtkO0SHkL&#10;1RF5Ouj9hq8NgwbcN0pa9FpJ/dc9c4IS9dagVovJdBrNmRbT2ascF+4ys73MMMMRqqSBkj68CcnQ&#10;kYi316jpRia6D5MMs6KHkmCD36NJL9ep6uGNr/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BE3&#10;/9gAAAALAQAADwAAAAAAAAABACAAAAAiAAAAZHJzL2Rvd25yZXYueG1sUEsBAhQAFAAAAAgAh07i&#10;QOjtZXkiAgAAKwQAAA4AAAAAAAAAAQAgAAAAJwEAAGRycy9lMm9Eb2MueG1sUEsFBgAAAAAGAAYA&#10;WQEAALsFAAAAAA==&#10;">
                <v:fill on="f" focussize="0,0"/>
                <v:stroke on="f" miterlimit="8" joinstyle="miter"/>
                <v:imagedata o:title=""/>
                <o:lock v:ext="edit" aspectratio="f"/>
                <v:textbox style="mso-fit-shape-to-text:t;">
                  <w:txbxContent>
                    <w:p w14:paraId="3B471D6B">
                      <w:pPr>
                        <w:rPr>
                          <w:rFonts w:ascii="Times New Roman" w:hAnsi="Times New Roman" w:eastAsia="宋体" w:cs="Times New Roman"/>
                          <w:b/>
                        </w:rPr>
                      </w:pPr>
                      <w:r>
                        <w:rPr>
                          <w:rFonts w:hint="eastAsia" w:ascii="Times New Roman" w:hAnsi="Times New Roman" w:eastAsia="宋体" w:cs="Times New Roman"/>
                          <w:b/>
                        </w:rPr>
                        <w:t>附图2    项目选址周边</w:t>
                      </w:r>
                      <w:r>
                        <w:rPr>
                          <w:rFonts w:ascii="Times New Roman" w:hAnsi="Times New Roman" w:eastAsia="宋体" w:cs="Times New Roman"/>
                          <w:b/>
                        </w:rPr>
                        <w:t>关系图</w:t>
                      </w:r>
                    </w:p>
                  </w:txbxContent>
                </v:textbox>
              </v:shape>
            </w:pict>
          </mc:Fallback>
        </mc:AlternateContent>
      </w:r>
      <w:r>
        <w:rPr>
          <w:color w:val="auto"/>
        </w:rPr>
        <w:drawing>
          <wp:anchor distT="0" distB="0" distL="114300" distR="114300" simplePos="0" relativeHeight="251669504" behindDoc="1" locked="0" layoutInCell="1" allowOverlap="1">
            <wp:simplePos x="0" y="0"/>
            <wp:positionH relativeFrom="column">
              <wp:posOffset>-33655</wp:posOffset>
            </wp:positionH>
            <wp:positionV relativeFrom="paragraph">
              <wp:posOffset>28575</wp:posOffset>
            </wp:positionV>
            <wp:extent cx="8856980" cy="5216525"/>
            <wp:effectExtent l="0" t="0" r="1270" b="3175"/>
            <wp:wrapNone/>
            <wp:docPr id="7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
                    <pic:cNvPicPr>
                      <a:picLocks noChangeAspect="1"/>
                    </pic:cNvPicPr>
                  </pic:nvPicPr>
                  <pic:blipFill>
                    <a:blip r:embed="rId10"/>
                    <a:stretch>
                      <a:fillRect/>
                    </a:stretch>
                  </pic:blipFill>
                  <pic:spPr>
                    <a:xfrm>
                      <a:off x="0" y="0"/>
                      <a:ext cx="8856980" cy="5216525"/>
                    </a:xfrm>
                    <a:prstGeom prst="rect">
                      <a:avLst/>
                    </a:prstGeom>
                    <a:noFill/>
                    <a:ln>
                      <a:noFill/>
                    </a:ln>
                  </pic:spPr>
                </pic:pic>
              </a:graphicData>
            </a:graphic>
          </wp:anchor>
        </w:drawing>
      </w:r>
    </w:p>
    <w:p w14:paraId="048E2C12">
      <w:pPr>
        <w:rPr>
          <w:rFonts w:ascii="宋体" w:hAnsi="宋体" w:eastAsia="宋体"/>
          <w:b/>
          <w:color w:val="auto"/>
        </w:rPr>
      </w:pPr>
      <w:r>
        <w:rPr>
          <w:color w:val="auto"/>
          <w:sz w:val="24"/>
        </w:rPr>
        <mc:AlternateContent>
          <mc:Choice Requires="wps">
            <w:drawing>
              <wp:anchor distT="0" distB="0" distL="114300" distR="114300" simplePos="0" relativeHeight="251671552" behindDoc="0" locked="0" layoutInCell="1" allowOverlap="1">
                <wp:simplePos x="0" y="0"/>
                <wp:positionH relativeFrom="column">
                  <wp:posOffset>1915795</wp:posOffset>
                </wp:positionH>
                <wp:positionV relativeFrom="paragraph">
                  <wp:posOffset>3030855</wp:posOffset>
                </wp:positionV>
                <wp:extent cx="1516380" cy="396875"/>
                <wp:effectExtent l="76835" t="238125" r="6985" b="12700"/>
                <wp:wrapNone/>
                <wp:docPr id="3" name="矩形标注 3"/>
                <wp:cNvGraphicFramePr/>
                <a:graphic xmlns:a="http://schemas.openxmlformats.org/drawingml/2006/main">
                  <a:graphicData uri="http://schemas.microsoft.com/office/word/2010/wordprocessingShape">
                    <wps:wsp>
                      <wps:cNvSpPr/>
                      <wps:spPr>
                        <a:xfrm>
                          <a:off x="2830195" y="4173855"/>
                          <a:ext cx="1516380" cy="396875"/>
                        </a:xfrm>
                        <a:prstGeom prst="wedgeRectCallout">
                          <a:avLst>
                            <a:gd name="adj1" fmla="val -52763"/>
                            <a:gd name="adj2" fmla="val -105520"/>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573E4BD">
                            <w:pPr>
                              <w:jc w:val="center"/>
                              <w:rPr>
                                <w:rFonts w:hint="default" w:eastAsiaTheme="minorEastAsia"/>
                                <w:color w:val="FF0000"/>
                                <w:lang w:val="en-US" w:eastAsia="zh-CN"/>
                              </w:rPr>
                            </w:pPr>
                            <w:r>
                              <w:rPr>
                                <w:rFonts w:hint="eastAsia"/>
                                <w:color w:val="FF0000"/>
                                <w:lang w:val="en-US" w:eastAsia="zh-CN"/>
                              </w:rPr>
                              <w:t>本项目建设位置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0.85pt;margin-top:238.65pt;height:31.25pt;width:119.4pt;z-index:251671552;v-text-anchor:middle;mso-width-relative:page;mso-height-relative:page;" filled="f" stroked="t" coordsize="21600,21600" o:gfxdata="UEsDBAoAAAAAAIdO4kAAAAAAAAAAAAAAAAAEAAAAZHJzL1BLAwQUAAAACACHTuJAg2Q1SNwAAAAL&#10;AQAADwAAAGRycy9kb3ducmV2LnhtbE2PwUrDQBCG74LvsIzgRexuTGPamE0PgiCCBaugx0l2TILZ&#10;2ZDdNrVP73rS2wzz8c/3l5ujHcSBJt871pAsFAjixpmeWw1vrw/XKxA+IBscHJOGb/Kwqc7PSiyM&#10;m/mFDrvQihjCvkANXQhjIaVvOrLoF24kjrdPN1kMcZ1aaSacY7gd5I1St9Jiz/FDhyPdd9R87fZW&#10;w9X8dMI6U2mz/rB4en7cZu9yq/XlRaLuQAQ6hj8YfvWjOlTRqXZ7Nl4MGlKV5BHVsMzzFEQksqXK&#10;QNRxSNcrkFUp/3eofgBQSwMEFAAAAAgAh07iQEHmGCG7AgAASAUAAA4AAABkcnMvZTJvRG9jLnht&#10;bK1UzW4TMRC+I/EOlu/t7ibZJI26qaJEQUgVrSiIs+P17hr5D9vJprwAjwHiBGfOPA7lNRh7t21a&#10;OPRADs7MzvibmW9mfHq2lwLtmHVcqwJnxylGTFFdclUX+O2b9dEUI+eJKonQihX4mjl8Nn/+7LQ1&#10;MzbQjRYlswhAlJu1psCN92aWJI42TBJ3rA1TYKy0lcSDauuktKQFdCmSQZqOk1bb0lhNmXPwddUZ&#10;cY9onwKoq4pTttJ0K5nyHaplgngoyTXcODyP2VYVo/6iqhzzSBQYKvXxhCAgb8KZzE/JrLbENJz2&#10;KZCnpPCoJkm4gqB3UCviCdpa/heU5NRqpyt/TLVMukIiI1BFlj7i5qohhsVagGpn7kh3/w+Wvtpd&#10;WsTLAg8xUkRCw39//v7r59ebL59ufnxDw8BQa9wMHK/Mpe01B2Iod19ZGf6hELQv8GA6TLOTHKPr&#10;Ao+yyXCa5x3DbO8RBYcsz8bDKZBPwWN4Mp5OokNyj2Ss8y+YligIBW5ZWbPX0MYlEUJvfSSZ7M6d&#10;j2yXfc6kfJ9hVEkBzdsRgY7ywWQcc4eWHDgNHjhlaZ4P4gxAAj0oSLcphAhKr7kQcUqEQi1UMJik&#10;IX8Co1/ByIEoDdDnVI0RETXsFPU2pum04GW4HoCcrTdLYRFkV+D1OoVfoAbCPXALsVfENZ1fNHUM&#10;Su5h7QSXBZ6Gy7e3hQKQ0KCuJUHy+82+79NGl9fQX6u7wXeGrjlEOCfOXxILZEEp8Bb4CzgqoaE+&#10;3UsYNdp+/Nf34A8DCFaMWtgcqP3DlliGkXipYDRPstEIYH1URvkEGEb20LI5tKitXGqgBNoH2UUx&#10;+HtxK1ZWy3fwZCxCVDARRSF2x3KvLH230fDoULZYRDdYL0P8uboyNIB3vVxsva64D7wHojp2egUW&#10;LLajfwzCBh/q0ev+AZ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INkNUjcAAAACwEAAA8AAAAA&#10;AAAAAQAgAAAAIgAAAGRycy9kb3ducmV2LnhtbFBLAQIUABQAAAAIAIdO4kBB5hghuwIAAEgFAAAO&#10;AAAAAAAAAAEAIAAAACsBAABkcnMvZTJvRG9jLnhtbFBLBQYAAAAABgAGAFkBAABYBgAAAAA=&#10;" adj="-597,-11992">
                <v:fill on="f" focussize="0,0"/>
                <v:stroke weight="1pt" color="#FF0000 [2404]" miterlimit="8" joinstyle="miter"/>
                <v:imagedata o:title=""/>
                <o:lock v:ext="edit" aspectratio="f"/>
                <v:textbox>
                  <w:txbxContent>
                    <w:p w14:paraId="0573E4BD">
                      <w:pPr>
                        <w:jc w:val="center"/>
                        <w:rPr>
                          <w:rFonts w:hint="default" w:eastAsiaTheme="minorEastAsia"/>
                          <w:color w:val="FF0000"/>
                          <w:lang w:val="en-US" w:eastAsia="zh-CN"/>
                        </w:rPr>
                      </w:pPr>
                      <w:r>
                        <w:rPr>
                          <w:rFonts w:hint="eastAsia"/>
                          <w:color w:val="FF0000"/>
                          <w:lang w:val="en-US" w:eastAsia="zh-CN"/>
                        </w:rPr>
                        <w:t>本项目建设位置</w:t>
                      </w:r>
                    </w:p>
                  </w:txbxContent>
                </v:textbox>
              </v:shape>
            </w:pict>
          </mc:Fallback>
        </mc:AlternateContent>
      </w:r>
      <w:r>
        <w:rPr>
          <w:rFonts w:ascii="Times New Roman" w:hAnsi="Times New Roman" w:eastAsia="宋体" w:cs="Times New Roman"/>
          <w:color w:val="auto"/>
          <w:sz w:val="24"/>
          <w:szCs w:val="24"/>
        </w:rPr>
        <mc:AlternateContent>
          <mc:Choice Requires="wps">
            <w:drawing>
              <wp:anchor distT="0" distB="0" distL="114300" distR="114300" simplePos="0" relativeHeight="251662336" behindDoc="0" locked="0" layoutInCell="1" allowOverlap="1">
                <wp:simplePos x="0" y="0"/>
                <wp:positionH relativeFrom="margin">
                  <wp:posOffset>3386455</wp:posOffset>
                </wp:positionH>
                <wp:positionV relativeFrom="paragraph">
                  <wp:posOffset>5060950</wp:posOffset>
                </wp:positionV>
                <wp:extent cx="2114550" cy="298450"/>
                <wp:effectExtent l="0" t="0" r="0" b="6350"/>
                <wp:wrapNone/>
                <wp:docPr id="4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14550" cy="298450"/>
                        </a:xfrm>
                        <a:prstGeom prst="rect">
                          <a:avLst/>
                        </a:prstGeom>
                        <a:noFill/>
                        <a:ln w="9525">
                          <a:noFill/>
                          <a:miter lim="800000"/>
                        </a:ln>
                      </wps:spPr>
                      <wps:txbx>
                        <w:txbxContent>
                          <w:p w14:paraId="3E6A6203">
                            <w:pPr>
                              <w:rPr>
                                <w:rFonts w:ascii="Times New Roman" w:hAnsi="Times New Roman" w:eastAsia="宋体" w:cs="Times New Roman"/>
                                <w:b/>
                              </w:rPr>
                            </w:pPr>
                            <w:r>
                              <w:rPr>
                                <w:rFonts w:hint="eastAsia" w:ascii="Times New Roman" w:hAnsi="Times New Roman" w:eastAsia="宋体" w:cs="Times New Roman"/>
                                <w:b/>
                              </w:rPr>
                              <w:t>附图</w:t>
                            </w:r>
                            <w:r>
                              <w:rPr>
                                <w:rFonts w:ascii="Times New Roman" w:hAnsi="Times New Roman" w:eastAsia="宋体" w:cs="Times New Roman"/>
                                <w:b/>
                              </w:rPr>
                              <w:t>3</w:t>
                            </w:r>
                            <w:r>
                              <w:rPr>
                                <w:rFonts w:hint="eastAsia" w:ascii="Times New Roman" w:hAnsi="Times New Roman" w:eastAsia="宋体" w:cs="Times New Roman"/>
                                <w:b/>
                              </w:rPr>
                              <w:t xml:space="preserve">    项目平面布置图</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266.65pt;margin-top:398.5pt;height:23.5pt;width:166.5pt;mso-position-horizontal-relative:margin;z-index:251662336;mso-width-relative:page;mso-height-relative:page;" filled="f" stroked="f" coordsize="21600,21600" o:gfxdata="UEsDBAoAAAAAAIdO4kAAAAAAAAAAAAAAAAAEAAAAZHJzL1BLAwQUAAAACACHTuJAxk0Fs9kAAAAL&#10;AQAADwAAAGRycy9kb3ducmV2LnhtbE2PzU7DMBCE70i8g7VI3Kgd0qZtiFMhfiQOXCjhvo23SURs&#10;R7HbpG/PcoLb7s5o9ptiN9tenGkMnXcakoUCQa72pnONhurz9W4DIkR0BnvvSMOFAuzK66sCc+Mn&#10;90HnfWwEh7iQo4Y2xiGXMtQtWQwLP5Bj7ehHi5HXsZFmxInDbS/vlcqkxc7xhxYHemqp/t6frIYY&#10;zWNyqV5sePua35+nVtUrrLS+vUnUA4hIc/wzwy8+o0PJTAd/ciaIXsMqTVO2alhv11yKHZss48uB&#10;h+VSgSwL+b9D+QNQSwMEFAAAAAgAh07iQOmflEMiAgAAKgQAAA4AAABkcnMvZTJvRG9jLnhtbK1T&#10;zY7TMBC+I/EOlu80TZRCGzVdLVsVIS0/0sIDuI7TWMQeY7tNygPAG3Diwp3n6nMwdrLdarnsgRyi&#10;sWf8zXyfPy+vetWSg7BOgi5pOplSIjSHSupdST9/2ryYU+I80xVrQYuSHoWjV6vnz5adKUQGDbSV&#10;sARBtCs6U9LGe1MkieONUMxNwAiNyRqsYh6XdpdUlnWIrtokm05fJh3YyljgwjncXQ9JOiLapwBC&#10;XUsu1sD3Smg/oFrRMo+UXCONo6s4bV0L7j/UtROetCVFpj7+sQnG2/BPVktW7CwzjeTjCOwpIzzi&#10;pJjU2PQMtWaekb2V/0ApyS04qP2Eg0oGIlERZJFOH2lz1zAjIheU2pmz6O7/wfL3h4+WyKqk+YwS&#10;zRTe+Onnj9OvP6ff30kW9OmMK7DszmCh719Dj66JXJ25Bf7FEQ03DdM7cW0tdI1gFc6XhpPJxdEB&#10;xwWQbfcOKuzD9h4iUF9bFcRDOQii490cz3cjek84bmZpms9mmOKYyxbzHOPQghX3p411/o0ARUJQ&#10;Uot3H9HZ4db5ofS+JDTTsJFti/usaDXpSrqYZbN44CKjpEezt1KVdD4N39iz1SO7QGig5vttj2iB&#10;8haqI/K0MNgNHxsGDdhvlHRotZK6r3tmBSXtW41aLdI8D96Mi3z2KsOFvcxsLzNMc4QqqadkCG98&#10;9HMg4sw1arqRke7DJOOsaKEo2Gj34NHLdax6eOK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ZN&#10;BbPZAAAACwEAAA8AAAAAAAAAAQAgAAAAIgAAAGRycy9kb3ducmV2LnhtbFBLAQIUABQAAAAIAIdO&#10;4kDpn5RDIgIAACoEAAAOAAAAAAAAAAEAIAAAACgBAABkcnMvZTJvRG9jLnhtbFBLBQYAAAAABgAG&#10;AFkBAAC8BQAAAAA=&#10;">
                <v:fill on="f" focussize="0,0"/>
                <v:stroke on="f" miterlimit="8" joinstyle="miter"/>
                <v:imagedata o:title=""/>
                <o:lock v:ext="edit" aspectratio="f"/>
                <v:textbox style="mso-fit-shape-to-text:t;">
                  <w:txbxContent>
                    <w:p w14:paraId="3E6A6203">
                      <w:pPr>
                        <w:rPr>
                          <w:rFonts w:ascii="Times New Roman" w:hAnsi="Times New Roman" w:eastAsia="宋体" w:cs="Times New Roman"/>
                          <w:b/>
                        </w:rPr>
                      </w:pPr>
                      <w:r>
                        <w:rPr>
                          <w:rFonts w:hint="eastAsia" w:ascii="Times New Roman" w:hAnsi="Times New Roman" w:eastAsia="宋体" w:cs="Times New Roman"/>
                          <w:b/>
                        </w:rPr>
                        <w:t>附图</w:t>
                      </w:r>
                      <w:r>
                        <w:rPr>
                          <w:rFonts w:ascii="Times New Roman" w:hAnsi="Times New Roman" w:eastAsia="宋体" w:cs="Times New Roman"/>
                          <w:b/>
                        </w:rPr>
                        <w:t>3</w:t>
                      </w:r>
                      <w:r>
                        <w:rPr>
                          <w:rFonts w:hint="eastAsia" w:ascii="Times New Roman" w:hAnsi="Times New Roman" w:eastAsia="宋体" w:cs="Times New Roman"/>
                          <w:b/>
                        </w:rPr>
                        <w:t xml:space="preserve">    项目平面布置图</w:t>
                      </w:r>
                    </w:p>
                  </w:txbxContent>
                </v:textbox>
              </v:shape>
            </w:pict>
          </mc:Fallback>
        </mc:AlternateContent>
      </w:r>
      <w:r>
        <w:rPr>
          <w:rFonts w:hint="eastAsia" w:ascii="宋体" w:hAnsi="宋体" w:eastAsia="宋体"/>
          <w:b/>
          <w:color w:val="auto"/>
          <w:lang w:eastAsia="zh-CN"/>
        </w:rPr>
        <w:drawing>
          <wp:anchor distT="0" distB="0" distL="114300" distR="114300" simplePos="0" relativeHeight="251667456" behindDoc="0" locked="0" layoutInCell="1" allowOverlap="1">
            <wp:simplePos x="0" y="0"/>
            <wp:positionH relativeFrom="column">
              <wp:posOffset>-24130</wp:posOffset>
            </wp:positionH>
            <wp:positionV relativeFrom="paragraph">
              <wp:posOffset>-261620</wp:posOffset>
            </wp:positionV>
            <wp:extent cx="8816975" cy="5261610"/>
            <wp:effectExtent l="0" t="0" r="3175" b="15240"/>
            <wp:wrapTopAndBottom/>
            <wp:docPr id="10" name="图片 10" descr="总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总图_00"/>
                    <pic:cNvPicPr>
                      <a:picLocks noChangeAspect="1"/>
                    </pic:cNvPicPr>
                  </pic:nvPicPr>
                  <pic:blipFill>
                    <a:blip r:embed="rId11"/>
                    <a:stretch>
                      <a:fillRect/>
                    </a:stretch>
                  </pic:blipFill>
                  <pic:spPr>
                    <a:xfrm>
                      <a:off x="0" y="0"/>
                      <a:ext cx="8816975" cy="5261610"/>
                    </a:xfrm>
                    <a:prstGeom prst="rect">
                      <a:avLst/>
                    </a:prstGeom>
                  </pic:spPr>
                </pic:pic>
              </a:graphicData>
            </a:graphic>
          </wp:anchor>
        </w:drawing>
      </w:r>
    </w:p>
    <w:p w14:paraId="6369B642">
      <w:pPr>
        <w:rPr>
          <w:color w:val="auto"/>
        </w:rPr>
      </w:pPr>
      <w:r>
        <w:rPr>
          <w:rFonts w:ascii="Times New Roman" w:hAnsi="Times New Roman" w:eastAsia="宋体" w:cs="Times New Roman"/>
          <w:color w:val="auto"/>
          <w:sz w:val="24"/>
          <w:szCs w:val="24"/>
        </w:rPr>
        <mc:AlternateContent>
          <mc:Choice Requires="wps">
            <w:drawing>
              <wp:anchor distT="0" distB="0" distL="114300" distR="114300" simplePos="0" relativeHeight="251670528" behindDoc="0" locked="0" layoutInCell="1" allowOverlap="1">
                <wp:simplePos x="0" y="0"/>
                <wp:positionH relativeFrom="margin">
                  <wp:posOffset>3281680</wp:posOffset>
                </wp:positionH>
                <wp:positionV relativeFrom="paragraph">
                  <wp:posOffset>5222875</wp:posOffset>
                </wp:positionV>
                <wp:extent cx="3104515" cy="298450"/>
                <wp:effectExtent l="0" t="0" r="0" b="0"/>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04515" cy="298450"/>
                        </a:xfrm>
                        <a:prstGeom prst="rect">
                          <a:avLst/>
                        </a:prstGeom>
                        <a:noFill/>
                        <a:ln w="9525">
                          <a:noFill/>
                          <a:miter lim="800000"/>
                        </a:ln>
                      </wps:spPr>
                      <wps:txbx>
                        <w:txbxContent>
                          <w:p w14:paraId="5E31D98A">
                            <w:pPr>
                              <w:rPr>
                                <w:rFonts w:ascii="Times New Roman" w:hAnsi="Times New Roman" w:eastAsia="宋体" w:cs="Times New Roman"/>
                                <w:b/>
                              </w:rPr>
                            </w:pPr>
                            <w:r>
                              <w:rPr>
                                <w:rFonts w:hint="eastAsia" w:ascii="Times New Roman" w:hAnsi="Times New Roman" w:eastAsia="宋体" w:cs="Times New Roman"/>
                                <w:b/>
                              </w:rPr>
                              <w:t>附图</w:t>
                            </w:r>
                            <w:r>
                              <w:rPr>
                                <w:rFonts w:hint="eastAsia" w:ascii="Times New Roman" w:hAnsi="Times New Roman" w:eastAsia="宋体" w:cs="Times New Roman"/>
                                <w:b/>
                                <w:lang w:val="en-US" w:eastAsia="zh-CN"/>
                              </w:rPr>
                              <w:t>4</w:t>
                            </w:r>
                            <w:r>
                              <w:rPr>
                                <w:rFonts w:hint="eastAsia" w:ascii="Times New Roman" w:hAnsi="Times New Roman" w:eastAsia="宋体" w:cs="Times New Roman"/>
                                <w:b/>
                              </w:rPr>
                              <w:t xml:space="preserve">    </w:t>
                            </w:r>
                            <w:r>
                              <w:rPr>
                                <w:rFonts w:hint="eastAsia" w:ascii="Times New Roman" w:hAnsi="Times New Roman" w:eastAsia="宋体" w:cs="Times New Roman"/>
                                <w:b/>
                                <w:lang w:val="en-US" w:eastAsia="zh-CN"/>
                              </w:rPr>
                              <w:t>三线一单 位置示意</w:t>
                            </w:r>
                            <w:r>
                              <w:rPr>
                                <w:rFonts w:hint="eastAsia" w:ascii="Times New Roman" w:hAnsi="Times New Roman" w:eastAsia="宋体" w:cs="Times New Roman"/>
                                <w:b/>
                              </w:rPr>
                              <w:t>图</w:t>
                            </w:r>
                          </w:p>
                          <w:p w14:paraId="55513395">
                            <w:pPr>
                              <w:rPr>
                                <w:rFonts w:ascii="Times New Roman" w:hAnsi="Times New Roman" w:eastAsia="宋体" w:cs="Times New Roman"/>
                                <w:b/>
                              </w:rPr>
                            </w:pP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258.4pt;margin-top:411.25pt;height:23.5pt;width:244.45pt;mso-position-horizontal-relative:margin;z-index:251670528;mso-width-relative:page;mso-height-relative:page;" filled="f" stroked="f" coordsize="21600,21600" o:gfxdata="UEsDBAoAAAAAAIdO4kAAAAAAAAAAAAAAAAAEAAAAZHJzL1BLAwQUAAAACACHTuJAtNQBWdgAAAAM&#10;AQAADwAAAGRycy9kb3ducmV2LnhtbE2PzU7DMBCE70i8g7WVuFE7kRxKiFMhfiQOXGjD3Y1NHDVe&#10;R/G2Sd8e9wTHnR3NfFNtFz+ws51iH1BBthbALLbB9NgpaPbv9xtgkTQaPQS0Ci42wra+val0acKM&#10;X/a8o46lEIylVuCIxpLz2DrrdVyH0WL6/YTJa0rn1HEz6TmF+4HnQhTc6x5Tg9OjfXG2Pe5OXgGR&#10;ec4uzZuPH9/L5+vsRCt1o9TdKhNPwMgu9GeGK35ChzoxHcIJTWSDApkVCZ0UbPJcArs6hJAPwA5J&#10;Kh4l8Lri/0fUv1BLAwQUAAAACACHTuJAr+U0ByUCAAApBAAADgAAAGRycy9lMm9Eb2MueG1srVPN&#10;jtMwEL4j8Q6W7zRpSKCNmq6WrYqQlh9p4QFcx2ksYo+x3SblAeANOHHhznP1ORg73VItlz2QQ2R7&#10;Zj7P983nxdWgOrIX1knQFZ1OUkqE5lBLva3op4/rZzNKnGe6Zh1oUdGDcPRq+fTJojelyKCFrhaW&#10;IIh2ZW8q2npvyiRxvBWKuQkYoTHYgFXM49Zuk9qyHtFVl2Rp+iLpwdbGAhfO4elqDNITon0MIDSN&#10;5GIFfKeE9iOqFR3zSMm10ji6jN02jeD+fdM44UlXUWTq4x8vwfUm/JPlgpVby0wr+akF9pgWHnBS&#10;TGq89Ay1Yp6RnZX/QCnJLTho/ISDSkYiURFkMU0faHPXMiMiF5TambPo7v/B8nf7D5bIuqI5JZop&#10;HPjxx/fjz9/HX99IFuTpjSsx685gnh9ewYCmiVSduQX+2RENNy3TW3FtLfStYDW2Nw2VyUXpiOMC&#10;yKZ/CzXew3YeItDQWBW0QzUIouNoDufRiMETjofPp2leTAtKOMay+Swv4uwSVt5XG+v8awGKhEVF&#10;LY4+orP9rfOhG1bep4TLNKxl18Xxd5r0FZ0XWRELLiJKevR6J1VFZ2n4Ii1WdvrELhAaqflhM5zU&#10;2kB9QJ4WRrfhW8NFC/YrJT06raLuy45ZQUn3RqNW82meB2vGTV68zHBjLyObywjTHKEq6ikZlzc+&#10;2jlwcuYaNV3LSDeIP3Zy6hUdFFU4uT1Y9HIfs/6+8O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NQBWdgAAAAMAQAADwAAAAAAAAABACAAAAAiAAAAZHJzL2Rvd25yZXYueG1sUEsBAhQAFAAAAAgA&#10;h07iQK/lNAclAgAAKQQAAA4AAAAAAAAAAQAgAAAAJwEAAGRycy9lMm9Eb2MueG1sUEsFBgAAAAAG&#10;AAYAWQEAAL4FAAAAAA==&#10;">
                <v:fill on="f" focussize="0,0"/>
                <v:stroke on="f" miterlimit="8" joinstyle="miter"/>
                <v:imagedata o:title=""/>
                <o:lock v:ext="edit" aspectratio="f"/>
                <v:textbox style="mso-fit-shape-to-text:t;">
                  <w:txbxContent>
                    <w:p w14:paraId="5E31D98A">
                      <w:pPr>
                        <w:rPr>
                          <w:rFonts w:ascii="Times New Roman" w:hAnsi="Times New Roman" w:eastAsia="宋体" w:cs="Times New Roman"/>
                          <w:b/>
                        </w:rPr>
                      </w:pPr>
                      <w:r>
                        <w:rPr>
                          <w:rFonts w:hint="eastAsia" w:ascii="Times New Roman" w:hAnsi="Times New Roman" w:eastAsia="宋体" w:cs="Times New Roman"/>
                          <w:b/>
                        </w:rPr>
                        <w:t>附图</w:t>
                      </w:r>
                      <w:r>
                        <w:rPr>
                          <w:rFonts w:hint="eastAsia" w:ascii="Times New Roman" w:hAnsi="Times New Roman" w:eastAsia="宋体" w:cs="Times New Roman"/>
                          <w:b/>
                          <w:lang w:val="en-US" w:eastAsia="zh-CN"/>
                        </w:rPr>
                        <w:t>4</w:t>
                      </w:r>
                      <w:r>
                        <w:rPr>
                          <w:rFonts w:hint="eastAsia" w:ascii="Times New Roman" w:hAnsi="Times New Roman" w:eastAsia="宋体" w:cs="Times New Roman"/>
                          <w:b/>
                        </w:rPr>
                        <w:t xml:space="preserve">    </w:t>
                      </w:r>
                      <w:r>
                        <w:rPr>
                          <w:rFonts w:hint="eastAsia" w:ascii="Times New Roman" w:hAnsi="Times New Roman" w:eastAsia="宋体" w:cs="Times New Roman"/>
                          <w:b/>
                          <w:lang w:val="en-US" w:eastAsia="zh-CN"/>
                        </w:rPr>
                        <w:t>三线一单 位置示意</w:t>
                      </w:r>
                      <w:r>
                        <w:rPr>
                          <w:rFonts w:hint="eastAsia" w:ascii="Times New Roman" w:hAnsi="Times New Roman" w:eastAsia="宋体" w:cs="Times New Roman"/>
                          <w:b/>
                        </w:rPr>
                        <w:t>图</w:t>
                      </w:r>
                    </w:p>
                    <w:p w14:paraId="55513395">
                      <w:pPr>
                        <w:rPr>
                          <w:rFonts w:ascii="Times New Roman" w:hAnsi="Times New Roman" w:eastAsia="宋体" w:cs="Times New Roman"/>
                          <w:b/>
                        </w:rPr>
                      </w:pPr>
                    </w:p>
                  </w:txbxContent>
                </v:textbox>
              </v:shape>
            </w:pict>
          </mc:Fallback>
        </mc:AlternateContent>
      </w:r>
    </w:p>
    <w:p w14:paraId="6952C3F6">
      <w:pPr>
        <w:rPr>
          <w:color w:val="auto"/>
        </w:rPr>
      </w:pPr>
    </w:p>
    <w:p w14:paraId="2C7E25A5">
      <w:pPr>
        <w:rPr>
          <w:rFonts w:hint="eastAsia" w:eastAsiaTheme="minorEastAsia"/>
          <w:color w:val="auto"/>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color w:val="auto"/>
          <w:sz w:val="21"/>
        </w:rPr>
        <mc:AlternateContent>
          <mc:Choice Requires="wps">
            <w:drawing>
              <wp:anchor distT="0" distB="0" distL="114300" distR="114300" simplePos="0" relativeHeight="251668480" behindDoc="0" locked="0" layoutInCell="1" allowOverlap="1">
                <wp:simplePos x="0" y="0"/>
                <wp:positionH relativeFrom="column">
                  <wp:posOffset>2130425</wp:posOffset>
                </wp:positionH>
                <wp:positionV relativeFrom="paragraph">
                  <wp:posOffset>1816100</wp:posOffset>
                </wp:positionV>
                <wp:extent cx="1095375" cy="373380"/>
                <wp:effectExtent l="6350" t="6350" r="12700" b="239395"/>
                <wp:wrapNone/>
                <wp:docPr id="2" name="矩形标注 2"/>
                <wp:cNvGraphicFramePr/>
                <a:graphic xmlns:a="http://schemas.openxmlformats.org/drawingml/2006/main">
                  <a:graphicData uri="http://schemas.microsoft.com/office/word/2010/wordprocessingShape">
                    <wps:wsp>
                      <wps:cNvSpPr/>
                      <wps:spPr>
                        <a:xfrm>
                          <a:off x="4560570" y="2568575"/>
                          <a:ext cx="1095375" cy="373380"/>
                        </a:xfrm>
                        <a:prstGeom prst="wedgeRectCallout">
                          <a:avLst>
                            <a:gd name="adj1" fmla="val 45072"/>
                            <a:gd name="adj2" fmla="val 108503"/>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FA7723E">
                            <w:pPr>
                              <w:jc w:val="center"/>
                              <w:rPr>
                                <w:rFonts w:hint="default" w:eastAsiaTheme="minorEastAsia"/>
                                <w:lang w:val="en-US" w:eastAsia="zh-CN"/>
                              </w:rPr>
                            </w:pPr>
                            <w:r>
                              <w:rPr>
                                <w:rFonts w:hint="eastAsia"/>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7.75pt;margin-top:143pt;height:29.4pt;width:86.25pt;z-index:251668480;v-text-anchor:middle;mso-width-relative:page;mso-height-relative:page;" filled="f" stroked="t" coordsize="21600,21600" o:gfxdata="UEsDBAoAAAAAAIdO4kAAAAAAAAAAAAAAAAAEAAAAZHJzL1BLAwQUAAAACACHTuJAUFx3mtwAAAAL&#10;AQAADwAAAGRycy9kb3ducmV2LnhtbE2PS0/DMBCE70j8B2uRuFEnbVNFIU4PSBWoB6Q+xOPmxtsk&#10;NF5HsZOUf89ygtuO5tPsTL6+2laM2PvGkYJ4FoFAKp1pqFJwPGweUhA+aDK6dYQKvtHDuri9yXVm&#10;3EQ7HPehEhxCPtMK6hC6TEpf1mi1n7kOib2z660OLPtKml5PHG5bOY+ilbS6If5Q6w6faiwv+8Eq&#10;MF/PH915G2+ml9fhc3z3l+3b7qjU/V0cPYIIeA1/MPzW5+pQcKeTG8h40SpYLJKEUQXzdMWjmEii&#10;lI8TW8tlCrLI5f8NxQ9QSwMEFAAAAAgAh07iQBSUzK64AgAARgUAAA4AAABkcnMvZTJvRG9jLnht&#10;bK1UzW4TMRC+I/EOlu90Nz/bpFE3VZQoCKmiFQVxdrze7CL/LLbzU16AxwBxgjNnHofyGnz2bttQ&#10;OPRADs7MzvibmW9mfHq2V5JshXW10TntHaWUCM1NUet1Tt+8Xj4bU+I80wWTRoucXgtHz6ZPn5zu&#10;monom8rIQlgCEO0muyanlffNJEkcr4Ri7sg0QsNYGquYh2rXSWHZDuhKJv00PU52xhaNNVw4h6+L&#10;1kg7RPsYQFOWNRcLwzdKaN+iWiGZR0muqhtHpzHbshTcX5SlE57InKJSH08EgbwKZzI9ZZO1ZU1V&#10;8y4F9pgUHtSkWK0R9A5qwTwjG1v/BaVqbo0zpT/iRiVtIZERVNFLH3BzVbFGxFpAtWvuSHf/D5a/&#10;3F5aUhc57VOimULDf3369vPHl5vPH2++fyX9wNCucRM4XjWXttMcxFDuvrQq/KMQss/pMDtOsxG4&#10;vQZedjzORlnLsNh7wuHQS0+yAT4SDo/BaDAYxxYk90iNdf65MIoEIac7UazFK7RxzqQ0Gx9JZttz&#10;5yPbRZczK971KCmVRPO2TJJhlo5i6ujIgQ9qvPfppeMsHYT8EL6DhHSbQMDXZllLGWdEarJD/v1R&#10;ivI4w+CXGDiIqgF5Tq8pYXKNjeLexiSdkXURrgcgZ9erubQEueV0uUzx6wL/4RZiL5irWr9oavlT&#10;tcfSyVrldBwu396WGtmH9rQNCZLfr/Zdl1amuEZ3rWnH3jV8WSPCOXP+kllQhVLwEvgLHKU0qM90&#10;EiWVsR/+9T34Y/xgpWSHvUHt7zfMCkrkC43BPOkNh4D1URlmoz4Ue2hZHVr0Rs0NKEHzkF0Ug7+X&#10;t2JpjXqLB2MWosLENEfsluVOmft2n/HkcDGbRTcsV8P8ub5qeABveznbeFPWPjQ8ENWy0ylYrzgH&#10;3VMQ9vdQj173z9/0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FBcd5rcAAAACwEAAA8AAAAAAAAA&#10;AQAgAAAAIgAAAGRycy9kb3ducmV2LnhtbFBLAQIUABQAAAAIAIdO4kAUlMyuuAIAAEYFAAAOAAAA&#10;AAAAAAEAIAAAACsBAABkcnMvZTJvRG9jLnhtbFBLBQYAAAAABgAGAFkBAABVBgAAAAA=&#10;" adj="20536,34237">
                <v:fill on="f" focussize="0,0"/>
                <v:stroke weight="1pt" color="#FF0000 [2404]" miterlimit="8" joinstyle="miter"/>
                <v:imagedata o:title=""/>
                <o:lock v:ext="edit" aspectratio="f"/>
                <v:textbox>
                  <w:txbxContent>
                    <w:p w14:paraId="2FA7723E">
                      <w:pPr>
                        <w:jc w:val="center"/>
                        <w:rPr>
                          <w:rFonts w:hint="default" w:eastAsiaTheme="minorEastAsia"/>
                          <w:lang w:val="en-US" w:eastAsia="zh-CN"/>
                        </w:rPr>
                      </w:pPr>
                      <w:r>
                        <w:rPr>
                          <w:rFonts w:hint="eastAsia"/>
                          <w:lang w:val="en-US" w:eastAsia="zh-CN"/>
                        </w:rPr>
                        <w:t>本项目位置</w:t>
                      </w:r>
                    </w:p>
                  </w:txbxContent>
                </v:textbox>
              </v:shape>
            </w:pict>
          </mc:Fallback>
        </mc:AlternateContent>
      </w:r>
      <w:r>
        <w:rPr>
          <w:rFonts w:hint="eastAsia" w:eastAsiaTheme="minorEastAsia"/>
          <w:color w:val="auto"/>
          <w:lang w:eastAsia="zh-CN"/>
        </w:rPr>
        <w:drawing>
          <wp:inline distT="0" distB="0" distL="114300" distR="114300">
            <wp:extent cx="8849995" cy="4734560"/>
            <wp:effectExtent l="0" t="0" r="8255" b="8890"/>
            <wp:docPr id="9" name="图片 9" descr="491811bd566b54392d71ca2cbc39b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91811bd566b54392d71ca2cbc39b4f"/>
                    <pic:cNvPicPr>
                      <a:picLocks noChangeAspect="1"/>
                    </pic:cNvPicPr>
                  </pic:nvPicPr>
                  <pic:blipFill>
                    <a:blip r:embed="rId12"/>
                    <a:stretch>
                      <a:fillRect/>
                    </a:stretch>
                  </pic:blipFill>
                  <pic:spPr>
                    <a:xfrm>
                      <a:off x="0" y="0"/>
                      <a:ext cx="8849995" cy="4734560"/>
                    </a:xfrm>
                    <a:prstGeom prst="rect">
                      <a:avLst/>
                    </a:prstGeom>
                  </pic:spPr>
                </pic:pic>
              </a:graphicData>
            </a:graphic>
          </wp:inline>
        </w:drawing>
      </w:r>
    </w:p>
    <w:p w14:paraId="612CAD1C">
      <w:pPr>
        <w:jc w:val="right"/>
        <w:rPr>
          <w:rFonts w:hint="eastAsia"/>
          <w:color w:val="auto"/>
          <w:lang w:val="en-US" w:eastAsia="zh-CN"/>
        </w:rPr>
      </w:pPr>
      <w:r>
        <w:rPr>
          <w:rFonts w:ascii="Times New Roman" w:hAnsi="Times New Roman" w:eastAsia="宋体" w:cs="Times New Roman"/>
          <w:color w:val="auto"/>
          <w:sz w:val="24"/>
          <w:szCs w:val="24"/>
        </w:rPr>
        <w:t xml:space="preserve"> </w:t>
      </w:r>
      <w:r>
        <w:rPr>
          <w:color w:val="auto"/>
          <w:sz w:val="28"/>
          <w:szCs w:val="28"/>
        </w:rPr>
        <w:t xml:space="preserve">    </w:t>
      </w:r>
      <w:r>
        <w:rPr>
          <w:rFonts w:hint="eastAsia"/>
          <w:color w:val="auto"/>
          <w:sz w:val="28"/>
          <w:szCs w:val="28"/>
          <w:lang w:val="en-US" w:eastAsia="zh-CN"/>
        </w:rPr>
        <w:t>附件1</w:t>
      </w:r>
    </w:p>
    <w:p w14:paraId="05AA032B">
      <w:pPr>
        <w:jc w:val="center"/>
        <w:rPr>
          <w:rFonts w:hint="eastAsia"/>
          <w:color w:val="auto"/>
          <w:sz w:val="28"/>
          <w:szCs w:val="28"/>
          <w:lang w:val="en-US" w:eastAsia="zh-CN"/>
        </w:rPr>
      </w:pPr>
      <w:r>
        <w:rPr>
          <w:rFonts w:hint="eastAsia"/>
          <w:color w:val="auto"/>
          <w:sz w:val="28"/>
          <w:szCs w:val="28"/>
          <w:lang w:val="en-US" w:eastAsia="zh-CN"/>
        </w:rPr>
        <w:t>委托书</w:t>
      </w:r>
    </w:p>
    <w:p w14:paraId="132CF9B1">
      <w:pPr>
        <w:jc w:val="center"/>
        <w:rPr>
          <w:rFonts w:hint="eastAsia"/>
          <w:color w:val="auto"/>
          <w:sz w:val="28"/>
          <w:szCs w:val="28"/>
          <w:lang w:val="en-US" w:eastAsia="zh-CN"/>
        </w:rPr>
      </w:pPr>
      <w:r>
        <w:rPr>
          <w:rFonts w:hint="eastAsia"/>
          <w:color w:val="auto"/>
          <w:sz w:val="28"/>
          <w:szCs w:val="28"/>
          <w:lang w:val="en-US" w:eastAsia="zh-CN"/>
        </w:rPr>
        <w:drawing>
          <wp:inline distT="0" distB="0" distL="114300" distR="114300">
            <wp:extent cx="5269865" cy="7322185"/>
            <wp:effectExtent l="0" t="0" r="6985" b="12065"/>
            <wp:docPr id="14" name="图片 14" descr="7cbccc5331bbfc1c4c60d6d0c86b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cbccc5331bbfc1c4c60d6d0c86b04b"/>
                    <pic:cNvPicPr>
                      <a:picLocks noChangeAspect="1"/>
                    </pic:cNvPicPr>
                  </pic:nvPicPr>
                  <pic:blipFill>
                    <a:blip r:embed="rId13"/>
                    <a:stretch>
                      <a:fillRect/>
                    </a:stretch>
                  </pic:blipFill>
                  <pic:spPr>
                    <a:xfrm>
                      <a:off x="0" y="0"/>
                      <a:ext cx="5269865" cy="7322185"/>
                    </a:xfrm>
                    <a:prstGeom prst="rect">
                      <a:avLst/>
                    </a:prstGeom>
                  </pic:spPr>
                </pic:pic>
              </a:graphicData>
            </a:graphic>
          </wp:inline>
        </w:drawing>
      </w:r>
    </w:p>
    <w:p w14:paraId="1F70FFED">
      <w:pPr>
        <w:jc w:val="center"/>
        <w:rPr>
          <w:rFonts w:hint="eastAsia"/>
          <w:color w:val="auto"/>
          <w:sz w:val="28"/>
          <w:szCs w:val="28"/>
          <w:lang w:val="en-US" w:eastAsia="zh-CN"/>
        </w:rPr>
      </w:pPr>
    </w:p>
    <w:p w14:paraId="41A8E1BA">
      <w:pPr>
        <w:jc w:val="right"/>
        <w:rPr>
          <w:rFonts w:hint="eastAsia"/>
          <w:color w:val="auto"/>
          <w:sz w:val="28"/>
          <w:szCs w:val="28"/>
          <w:lang w:val="en-US" w:eastAsia="zh-CN"/>
        </w:rPr>
      </w:pPr>
      <w:r>
        <w:rPr>
          <w:rFonts w:hint="eastAsia"/>
          <w:color w:val="auto"/>
          <w:sz w:val="28"/>
          <w:szCs w:val="28"/>
          <w:lang w:val="en-US" w:eastAsia="zh-CN"/>
        </w:rPr>
        <w:t>附件2</w:t>
      </w:r>
    </w:p>
    <w:p w14:paraId="172AAEEF">
      <w:pPr>
        <w:jc w:val="right"/>
        <w:rPr>
          <w:color w:val="auto"/>
        </w:rPr>
      </w:pPr>
      <w:r>
        <w:rPr>
          <w:color w:val="auto"/>
        </w:rPr>
        <w:drawing>
          <wp:inline distT="0" distB="0" distL="114300" distR="114300">
            <wp:extent cx="5655310" cy="8023860"/>
            <wp:effectExtent l="0" t="0" r="2540" b="1524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4"/>
                    <a:stretch>
                      <a:fillRect/>
                    </a:stretch>
                  </pic:blipFill>
                  <pic:spPr>
                    <a:xfrm>
                      <a:off x="0" y="0"/>
                      <a:ext cx="5655310" cy="8023860"/>
                    </a:xfrm>
                    <a:prstGeom prst="rect">
                      <a:avLst/>
                    </a:prstGeom>
                    <a:noFill/>
                    <a:ln>
                      <a:noFill/>
                    </a:ln>
                  </pic:spPr>
                </pic:pic>
              </a:graphicData>
            </a:graphic>
          </wp:inline>
        </w:drawing>
      </w:r>
    </w:p>
    <w:p w14:paraId="294034E9">
      <w:pPr>
        <w:jc w:val="right"/>
        <w:rPr>
          <w:color w:val="auto"/>
        </w:rPr>
      </w:pPr>
    </w:p>
    <w:p w14:paraId="0FDDDA85">
      <w:pPr>
        <w:jc w:val="right"/>
        <w:rPr>
          <w:rFonts w:hint="eastAsia"/>
          <w:color w:val="auto"/>
          <w:sz w:val="28"/>
          <w:szCs w:val="28"/>
          <w:lang w:val="en-US" w:eastAsia="zh-CN"/>
        </w:rPr>
      </w:pPr>
      <w:r>
        <w:rPr>
          <w:rFonts w:hint="eastAsia"/>
          <w:color w:val="auto"/>
          <w:sz w:val="28"/>
          <w:szCs w:val="28"/>
          <w:lang w:val="en-US" w:eastAsia="zh-CN"/>
        </w:rPr>
        <w:t>附件3</w:t>
      </w:r>
    </w:p>
    <w:p w14:paraId="45915EC0">
      <w:pPr>
        <w:jc w:val="right"/>
        <w:rPr>
          <w:color w:val="auto"/>
        </w:rPr>
      </w:pPr>
    </w:p>
    <w:p w14:paraId="58C7E4B4">
      <w:pPr>
        <w:jc w:val="right"/>
        <w:rPr>
          <w:rFonts w:hint="eastAsia" w:eastAsiaTheme="minorEastAsia"/>
          <w:color w:val="auto"/>
          <w:lang w:eastAsia="zh-CN"/>
        </w:rPr>
      </w:pPr>
      <w:r>
        <w:rPr>
          <w:rFonts w:hint="eastAsia" w:eastAsiaTheme="minorEastAsia"/>
          <w:color w:val="auto"/>
          <w:lang w:eastAsia="zh-CN"/>
        </w:rPr>
        <w:drawing>
          <wp:inline distT="0" distB="0" distL="114300" distR="114300">
            <wp:extent cx="5269865" cy="7906385"/>
            <wp:effectExtent l="0" t="0" r="6985" b="18415"/>
            <wp:docPr id="13" name="图片 13" descr="26164f2a753aa4360b7f0e13bb12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6164f2a753aa4360b7f0e13bb12b4e"/>
                    <pic:cNvPicPr>
                      <a:picLocks noChangeAspect="1"/>
                    </pic:cNvPicPr>
                  </pic:nvPicPr>
                  <pic:blipFill>
                    <a:blip r:embed="rId15"/>
                    <a:stretch>
                      <a:fillRect/>
                    </a:stretch>
                  </pic:blipFill>
                  <pic:spPr>
                    <a:xfrm>
                      <a:off x="0" y="0"/>
                      <a:ext cx="5269865" cy="7906385"/>
                    </a:xfrm>
                    <a:prstGeom prst="rect">
                      <a:avLst/>
                    </a:prstGeom>
                  </pic:spPr>
                </pic:pic>
              </a:graphicData>
            </a:graphic>
          </wp:inline>
        </w:drawing>
      </w:r>
    </w:p>
    <w:p w14:paraId="2D8FE954">
      <w:pPr>
        <w:jc w:val="right"/>
        <w:rPr>
          <w:color w:val="auto"/>
        </w:rPr>
      </w:pPr>
    </w:p>
    <w:p w14:paraId="43382ECF">
      <w:pPr>
        <w:jc w:val="right"/>
        <w:rPr>
          <w:color w:val="auto"/>
        </w:rPr>
      </w:pPr>
    </w:p>
    <w:p w14:paraId="2C4E7D7A">
      <w:pPr>
        <w:jc w:val="right"/>
        <w:rPr>
          <w:rFonts w:hint="eastAsia"/>
          <w:color w:val="auto"/>
          <w:sz w:val="28"/>
          <w:szCs w:val="28"/>
          <w:lang w:val="en-US" w:eastAsia="zh-CN"/>
        </w:rPr>
      </w:pPr>
      <w:r>
        <w:rPr>
          <w:rFonts w:hint="eastAsia"/>
          <w:color w:val="auto"/>
          <w:sz w:val="28"/>
          <w:szCs w:val="28"/>
          <w:lang w:val="en-US" w:eastAsia="zh-CN"/>
        </w:rPr>
        <w:t>附件4</w:t>
      </w:r>
    </w:p>
    <w:p w14:paraId="30A7A4A9">
      <w:pPr>
        <w:jc w:val="right"/>
        <w:rPr>
          <w:rFonts w:hint="default"/>
          <w:color w:val="auto"/>
          <w:sz w:val="28"/>
          <w:szCs w:val="28"/>
          <w:lang w:val="en-US" w:eastAsia="zh-CN"/>
        </w:rPr>
      </w:pPr>
      <w:r>
        <w:rPr>
          <w:rFonts w:hint="default"/>
          <w:color w:val="auto"/>
          <w:sz w:val="28"/>
          <w:szCs w:val="28"/>
          <w:lang w:val="en-US" w:eastAsia="zh-CN"/>
        </w:rPr>
        <w:drawing>
          <wp:inline distT="0" distB="0" distL="114300" distR="114300">
            <wp:extent cx="5269865" cy="7247255"/>
            <wp:effectExtent l="0" t="0" r="6985" b="10795"/>
            <wp:docPr id="17" name="图片 17" descr="建设工程规划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建设工程规划许可证"/>
                    <pic:cNvPicPr>
                      <a:picLocks noChangeAspect="1"/>
                    </pic:cNvPicPr>
                  </pic:nvPicPr>
                  <pic:blipFill>
                    <a:blip r:embed="rId16"/>
                    <a:stretch>
                      <a:fillRect/>
                    </a:stretch>
                  </pic:blipFill>
                  <pic:spPr>
                    <a:xfrm>
                      <a:off x="0" y="0"/>
                      <a:ext cx="5269865" cy="7247255"/>
                    </a:xfrm>
                    <a:prstGeom prst="rect">
                      <a:avLst/>
                    </a:prstGeom>
                  </pic:spPr>
                </pic:pic>
              </a:graphicData>
            </a:graphic>
          </wp:inline>
        </w:drawing>
      </w:r>
      <w:r>
        <w:rPr>
          <w:rFonts w:hint="default"/>
          <w:color w:val="auto"/>
          <w:sz w:val="28"/>
          <w:szCs w:val="28"/>
          <w:lang w:val="en-US" w:eastAsia="zh-CN"/>
        </w:rPr>
        <w:drawing>
          <wp:inline distT="0" distB="0" distL="114300" distR="114300">
            <wp:extent cx="5269865" cy="7247255"/>
            <wp:effectExtent l="0" t="0" r="6985" b="10795"/>
            <wp:docPr id="18" name="图片 18" descr="建设工程规划许可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建设工程规划许可证2"/>
                    <pic:cNvPicPr>
                      <a:picLocks noChangeAspect="1"/>
                    </pic:cNvPicPr>
                  </pic:nvPicPr>
                  <pic:blipFill>
                    <a:blip r:embed="rId17"/>
                    <a:stretch>
                      <a:fillRect/>
                    </a:stretch>
                  </pic:blipFill>
                  <pic:spPr>
                    <a:xfrm>
                      <a:off x="0" y="0"/>
                      <a:ext cx="5269865" cy="7247255"/>
                    </a:xfrm>
                    <a:prstGeom prst="rect">
                      <a:avLst/>
                    </a:prstGeom>
                  </pic:spPr>
                </pic:pic>
              </a:graphicData>
            </a:graphic>
          </wp:inline>
        </w:drawing>
      </w:r>
      <w:r>
        <w:rPr>
          <w:rFonts w:hint="default"/>
          <w:color w:val="auto"/>
          <w:sz w:val="28"/>
          <w:szCs w:val="28"/>
          <w:lang w:val="en-US" w:eastAsia="zh-CN"/>
        </w:rPr>
        <w:drawing>
          <wp:inline distT="0" distB="0" distL="114300" distR="114300">
            <wp:extent cx="7552690" cy="5492115"/>
            <wp:effectExtent l="0" t="0" r="13335" b="10160"/>
            <wp:docPr id="21" name="图片 21" descr="建设工程规划许可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建设工程规划许可证3"/>
                    <pic:cNvPicPr>
                      <a:picLocks noChangeAspect="1"/>
                    </pic:cNvPicPr>
                  </pic:nvPicPr>
                  <pic:blipFill>
                    <a:blip r:embed="rId18"/>
                    <a:stretch>
                      <a:fillRect/>
                    </a:stretch>
                  </pic:blipFill>
                  <pic:spPr>
                    <a:xfrm rot="16200000">
                      <a:off x="0" y="0"/>
                      <a:ext cx="7552690" cy="5492115"/>
                    </a:xfrm>
                    <a:prstGeom prst="rect">
                      <a:avLst/>
                    </a:prstGeom>
                  </pic:spPr>
                </pic:pic>
              </a:graphicData>
            </a:graphic>
          </wp:inline>
        </w:drawing>
      </w:r>
      <w:r>
        <w:rPr>
          <w:rFonts w:hint="default"/>
          <w:color w:val="auto"/>
          <w:sz w:val="28"/>
          <w:szCs w:val="28"/>
          <w:lang w:val="en-US" w:eastAsia="zh-CN"/>
        </w:rPr>
        <w:drawing>
          <wp:inline distT="0" distB="0" distL="114300" distR="114300">
            <wp:extent cx="5270500" cy="7248525"/>
            <wp:effectExtent l="0" t="0" r="6350" b="9525"/>
            <wp:docPr id="26" name="图片 26" descr="建设工程规划许可证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建设工程规划许可证4"/>
                    <pic:cNvPicPr>
                      <a:picLocks noChangeAspect="1"/>
                    </pic:cNvPicPr>
                  </pic:nvPicPr>
                  <pic:blipFill>
                    <a:blip r:embed="rId19"/>
                    <a:stretch>
                      <a:fillRect/>
                    </a:stretch>
                  </pic:blipFill>
                  <pic:spPr>
                    <a:xfrm>
                      <a:off x="0" y="0"/>
                      <a:ext cx="5270500" cy="7248525"/>
                    </a:xfrm>
                    <a:prstGeom prst="rect">
                      <a:avLst/>
                    </a:prstGeom>
                  </pic:spPr>
                </pic:pic>
              </a:graphicData>
            </a:graphic>
          </wp:inline>
        </w:drawing>
      </w:r>
      <w:r>
        <w:rPr>
          <w:rFonts w:hint="default"/>
          <w:color w:val="auto"/>
          <w:sz w:val="28"/>
          <w:szCs w:val="28"/>
          <w:lang w:val="en-US" w:eastAsia="zh-CN"/>
        </w:rPr>
        <w:drawing>
          <wp:inline distT="0" distB="0" distL="114300" distR="114300">
            <wp:extent cx="4872355" cy="8858250"/>
            <wp:effectExtent l="0" t="0" r="4445" b="0"/>
            <wp:docPr id="66" name="图片 66" descr="土地使用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土地使用证"/>
                    <pic:cNvPicPr>
                      <a:picLocks noChangeAspect="1"/>
                    </pic:cNvPicPr>
                  </pic:nvPicPr>
                  <pic:blipFill>
                    <a:blip r:embed="rId20"/>
                    <a:stretch>
                      <a:fillRect/>
                    </a:stretch>
                  </pic:blipFill>
                  <pic:spPr>
                    <a:xfrm rot="10800000">
                      <a:off x="0" y="0"/>
                      <a:ext cx="4872355" cy="8858250"/>
                    </a:xfrm>
                    <a:prstGeom prst="rect">
                      <a:avLst/>
                    </a:prstGeom>
                  </pic:spPr>
                </pic:pic>
              </a:graphicData>
            </a:graphic>
          </wp:inline>
        </w:drawing>
      </w:r>
    </w:p>
    <w:p w14:paraId="5628A163">
      <w:pPr>
        <w:jc w:val="right"/>
        <w:rPr>
          <w:rFonts w:hint="eastAsia"/>
          <w:color w:val="auto"/>
          <w:sz w:val="28"/>
          <w:szCs w:val="28"/>
          <w:lang w:val="en-US" w:eastAsia="zh-CN"/>
        </w:rPr>
      </w:pPr>
      <w:r>
        <w:rPr>
          <w:rFonts w:hint="eastAsia"/>
          <w:color w:val="auto"/>
          <w:sz w:val="28"/>
          <w:szCs w:val="28"/>
          <w:lang w:val="en-US" w:eastAsia="zh-CN"/>
        </w:rPr>
        <w:t>附件5</w:t>
      </w:r>
    </w:p>
    <w:p w14:paraId="6D1D2213">
      <w:pPr>
        <w:jc w:val="right"/>
        <w:rPr>
          <w:rFonts w:hint="default"/>
          <w:color w:val="auto"/>
          <w:sz w:val="28"/>
          <w:szCs w:val="28"/>
          <w:lang w:val="en-US" w:eastAsia="zh-CN"/>
        </w:rPr>
      </w:pPr>
      <w:r>
        <w:rPr>
          <w:rFonts w:hint="default"/>
          <w:color w:val="auto"/>
          <w:sz w:val="28"/>
          <w:szCs w:val="28"/>
          <w:lang w:val="en-US" w:eastAsia="zh-CN"/>
        </w:rPr>
        <w:drawing>
          <wp:inline distT="0" distB="0" distL="114300" distR="114300">
            <wp:extent cx="5623560" cy="7734300"/>
            <wp:effectExtent l="0" t="0" r="15240" b="0"/>
            <wp:docPr id="68" name="图片 68" descr="环境立项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环境立项报告"/>
                    <pic:cNvPicPr>
                      <a:picLocks noChangeAspect="1"/>
                    </pic:cNvPicPr>
                  </pic:nvPicPr>
                  <pic:blipFill>
                    <a:blip r:embed="rId21"/>
                    <a:stretch>
                      <a:fillRect/>
                    </a:stretch>
                  </pic:blipFill>
                  <pic:spPr>
                    <a:xfrm>
                      <a:off x="0" y="0"/>
                      <a:ext cx="5623560" cy="7734300"/>
                    </a:xfrm>
                    <a:prstGeom prst="rect">
                      <a:avLst/>
                    </a:prstGeom>
                  </pic:spPr>
                </pic:pic>
              </a:graphicData>
            </a:graphic>
          </wp:inline>
        </w:drawing>
      </w:r>
    </w:p>
    <w:p w14:paraId="50E896D9">
      <w:pPr>
        <w:jc w:val="right"/>
        <w:rPr>
          <w:rFonts w:hint="default"/>
          <w:color w:val="auto"/>
          <w:sz w:val="28"/>
          <w:szCs w:val="28"/>
          <w:lang w:val="en-US" w:eastAsia="zh-CN"/>
        </w:rPr>
      </w:pPr>
    </w:p>
    <w:p w14:paraId="10016057">
      <w:pPr>
        <w:jc w:val="right"/>
        <w:rPr>
          <w:rFonts w:hint="eastAsia"/>
          <w:color w:val="auto"/>
          <w:sz w:val="28"/>
          <w:szCs w:val="28"/>
          <w:lang w:val="en-US" w:eastAsia="zh-CN"/>
        </w:rPr>
      </w:pPr>
      <w:r>
        <w:rPr>
          <w:rFonts w:hint="eastAsia"/>
          <w:color w:val="auto"/>
          <w:sz w:val="28"/>
          <w:szCs w:val="28"/>
          <w:lang w:val="en-US" w:eastAsia="zh-CN"/>
        </w:rPr>
        <w:t>附件6</w:t>
      </w:r>
    </w:p>
    <w:p w14:paraId="652C8453">
      <w:pPr>
        <w:jc w:val="right"/>
        <w:rPr>
          <w:rFonts w:hint="default"/>
          <w:color w:val="auto"/>
          <w:sz w:val="28"/>
          <w:szCs w:val="28"/>
          <w:lang w:val="en-US" w:eastAsia="zh-CN"/>
        </w:rPr>
      </w:pPr>
      <w:r>
        <w:rPr>
          <w:rFonts w:hint="default"/>
          <w:color w:val="auto"/>
          <w:sz w:val="28"/>
          <w:szCs w:val="28"/>
          <w:lang w:val="en-US" w:eastAsia="zh-CN"/>
        </w:rPr>
        <w:drawing>
          <wp:inline distT="0" distB="0" distL="114300" distR="114300">
            <wp:extent cx="5269865" cy="7404735"/>
            <wp:effectExtent l="0" t="0" r="6985" b="5715"/>
            <wp:docPr id="70" name="图片 70" descr="269e280adc0141b0173408f14fc4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269e280adc0141b0173408f14fc43ca"/>
                    <pic:cNvPicPr>
                      <a:picLocks noChangeAspect="1"/>
                    </pic:cNvPicPr>
                  </pic:nvPicPr>
                  <pic:blipFill>
                    <a:blip r:embed="rId22"/>
                    <a:stretch>
                      <a:fillRect/>
                    </a:stretch>
                  </pic:blipFill>
                  <pic:spPr>
                    <a:xfrm>
                      <a:off x="0" y="0"/>
                      <a:ext cx="5269865" cy="7404735"/>
                    </a:xfrm>
                    <a:prstGeom prst="rect">
                      <a:avLst/>
                    </a:prstGeom>
                  </pic:spPr>
                </pic:pic>
              </a:graphicData>
            </a:graphic>
          </wp:inline>
        </w:drawing>
      </w:r>
      <w:r>
        <w:rPr>
          <w:rFonts w:hint="default"/>
          <w:color w:val="auto"/>
          <w:sz w:val="28"/>
          <w:szCs w:val="28"/>
          <w:lang w:val="en-US" w:eastAsia="zh-CN"/>
        </w:rPr>
        <w:drawing>
          <wp:inline distT="0" distB="0" distL="114300" distR="114300">
            <wp:extent cx="5269865" cy="7404735"/>
            <wp:effectExtent l="0" t="0" r="6985" b="5715"/>
            <wp:docPr id="71" name="图片 71" descr="61190ce9125107df6c6edf4d8fc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61190ce9125107df6c6edf4d8fc4794"/>
                    <pic:cNvPicPr>
                      <a:picLocks noChangeAspect="1"/>
                    </pic:cNvPicPr>
                  </pic:nvPicPr>
                  <pic:blipFill>
                    <a:blip r:embed="rId23"/>
                    <a:stretch>
                      <a:fillRect/>
                    </a:stretch>
                  </pic:blipFill>
                  <pic:spPr>
                    <a:xfrm>
                      <a:off x="0" y="0"/>
                      <a:ext cx="5269865" cy="7404735"/>
                    </a:xfrm>
                    <a:prstGeom prst="rect">
                      <a:avLst/>
                    </a:prstGeom>
                  </pic:spPr>
                </pic:pic>
              </a:graphicData>
            </a:graphic>
          </wp:inline>
        </w:drawing>
      </w:r>
      <w:r>
        <w:rPr>
          <w:rFonts w:hint="default"/>
          <w:color w:val="auto"/>
          <w:sz w:val="28"/>
          <w:szCs w:val="28"/>
          <w:lang w:val="en-US" w:eastAsia="zh-CN"/>
        </w:rPr>
        <w:drawing>
          <wp:inline distT="0" distB="0" distL="114300" distR="114300">
            <wp:extent cx="5269865" cy="7404735"/>
            <wp:effectExtent l="0" t="0" r="6985" b="5715"/>
            <wp:docPr id="72" name="图片 72" descr="f12ae8aed2897573b3001bc0f8f62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f12ae8aed2897573b3001bc0f8f62fc"/>
                    <pic:cNvPicPr>
                      <a:picLocks noChangeAspect="1"/>
                    </pic:cNvPicPr>
                  </pic:nvPicPr>
                  <pic:blipFill>
                    <a:blip r:embed="rId24"/>
                    <a:stretch>
                      <a:fillRect/>
                    </a:stretch>
                  </pic:blipFill>
                  <pic:spPr>
                    <a:xfrm>
                      <a:off x="0" y="0"/>
                      <a:ext cx="5269865" cy="7404735"/>
                    </a:xfrm>
                    <a:prstGeom prst="rect">
                      <a:avLst/>
                    </a:prstGeom>
                  </pic:spPr>
                </pic:pic>
              </a:graphicData>
            </a:graphic>
          </wp:inline>
        </w:drawing>
      </w:r>
    </w:p>
    <w:p w14:paraId="42538B3D">
      <w:pPr>
        <w:jc w:val="right"/>
        <w:rPr>
          <w:rFonts w:hint="default"/>
          <w:color w:val="auto"/>
          <w:sz w:val="28"/>
          <w:szCs w:val="28"/>
          <w:lang w:val="en-US" w:eastAsia="zh-CN"/>
        </w:rPr>
      </w:pPr>
    </w:p>
    <w:p w14:paraId="353CF2F3">
      <w:pPr>
        <w:jc w:val="right"/>
        <w:rPr>
          <w:rFonts w:hint="default"/>
          <w:color w:val="auto"/>
          <w:sz w:val="28"/>
          <w:szCs w:val="28"/>
          <w:lang w:val="en-US" w:eastAsia="zh-CN"/>
        </w:rPr>
      </w:pPr>
    </w:p>
    <w:p w14:paraId="0274A946">
      <w:pPr>
        <w:jc w:val="right"/>
        <w:rPr>
          <w:rFonts w:hint="default"/>
          <w:color w:val="auto"/>
          <w:sz w:val="28"/>
          <w:szCs w:val="28"/>
          <w:lang w:val="en-US" w:eastAsia="zh-CN"/>
        </w:rPr>
      </w:pPr>
    </w:p>
    <w:p w14:paraId="0156012D">
      <w:pPr>
        <w:jc w:val="right"/>
        <w:rPr>
          <w:rFonts w:hint="eastAsia"/>
          <w:color w:val="auto"/>
          <w:sz w:val="28"/>
          <w:szCs w:val="28"/>
          <w:lang w:val="en-US" w:eastAsia="zh-CN"/>
        </w:rPr>
      </w:pPr>
      <w:r>
        <w:rPr>
          <w:rFonts w:hint="eastAsia"/>
          <w:color w:val="auto"/>
          <w:sz w:val="28"/>
          <w:szCs w:val="28"/>
          <w:lang w:val="en-US" w:eastAsia="zh-CN"/>
        </w:rPr>
        <w:t>附件7</w:t>
      </w:r>
    </w:p>
    <w:p w14:paraId="359E32E9">
      <w:pPr>
        <w:jc w:val="right"/>
        <w:rPr>
          <w:rFonts w:hint="default"/>
          <w:color w:val="auto"/>
          <w:sz w:val="28"/>
          <w:szCs w:val="28"/>
          <w:lang w:val="en-US" w:eastAsia="zh-CN"/>
        </w:rPr>
      </w:pPr>
      <w:r>
        <w:rPr>
          <w:rFonts w:hint="default"/>
          <w:color w:val="auto"/>
          <w:sz w:val="28"/>
          <w:szCs w:val="28"/>
          <w:lang w:val="en-US" w:eastAsia="zh-CN"/>
        </w:rPr>
        <w:drawing>
          <wp:inline distT="0" distB="0" distL="114300" distR="114300">
            <wp:extent cx="5267960" cy="7453630"/>
            <wp:effectExtent l="0" t="0" r="8890" b="13970"/>
            <wp:docPr id="73" name="图片 73" descr="华油天然气应急预案备案表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华油天然气应急预案备案表1_00"/>
                    <pic:cNvPicPr>
                      <a:picLocks noChangeAspect="1"/>
                    </pic:cNvPicPr>
                  </pic:nvPicPr>
                  <pic:blipFill>
                    <a:blip r:embed="rId25"/>
                    <a:stretch>
                      <a:fillRect/>
                    </a:stretch>
                  </pic:blipFill>
                  <pic:spPr>
                    <a:xfrm>
                      <a:off x="0" y="0"/>
                      <a:ext cx="5267960" cy="7453630"/>
                    </a:xfrm>
                    <a:prstGeom prst="rect">
                      <a:avLst/>
                    </a:prstGeom>
                  </pic:spPr>
                </pic:pic>
              </a:graphicData>
            </a:graphic>
          </wp:inline>
        </w:drawing>
      </w:r>
      <w:r>
        <w:rPr>
          <w:rFonts w:hint="default"/>
          <w:color w:val="auto"/>
          <w:sz w:val="28"/>
          <w:szCs w:val="28"/>
          <w:lang w:val="en-US" w:eastAsia="zh-CN"/>
        </w:rPr>
        <w:drawing>
          <wp:inline distT="0" distB="0" distL="114300" distR="114300">
            <wp:extent cx="5267960" cy="7453630"/>
            <wp:effectExtent l="0" t="0" r="8890" b="13970"/>
            <wp:docPr id="74" name="图片 74" descr="华油天然气应急预案备案表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华油天然气应急预案备案表1_01"/>
                    <pic:cNvPicPr>
                      <a:picLocks noChangeAspect="1"/>
                    </pic:cNvPicPr>
                  </pic:nvPicPr>
                  <pic:blipFill>
                    <a:blip r:embed="rId26"/>
                    <a:stretch>
                      <a:fillRect/>
                    </a:stretch>
                  </pic:blipFill>
                  <pic:spPr>
                    <a:xfrm>
                      <a:off x="0" y="0"/>
                      <a:ext cx="5267960" cy="7453630"/>
                    </a:xfrm>
                    <a:prstGeom prst="rect">
                      <a:avLst/>
                    </a:prstGeom>
                  </pic:spPr>
                </pic:pic>
              </a:graphicData>
            </a:graphic>
          </wp:inline>
        </w:drawing>
      </w:r>
    </w:p>
    <w:p w14:paraId="29374CCF">
      <w:pPr>
        <w:jc w:val="right"/>
        <w:rPr>
          <w:rFonts w:hint="default"/>
          <w:color w:val="auto"/>
          <w:sz w:val="28"/>
          <w:szCs w:val="28"/>
          <w:lang w:val="en-US" w:eastAsia="zh-CN"/>
        </w:rPr>
      </w:pPr>
    </w:p>
    <w:p w14:paraId="0B4903CC">
      <w:pPr>
        <w:jc w:val="right"/>
        <w:rPr>
          <w:rFonts w:hint="default"/>
          <w:color w:val="auto"/>
          <w:sz w:val="28"/>
          <w:szCs w:val="28"/>
          <w:lang w:val="en-US" w:eastAsia="zh-CN"/>
        </w:rPr>
      </w:pPr>
    </w:p>
    <w:p w14:paraId="75A20ED4">
      <w:pPr>
        <w:jc w:val="right"/>
        <w:rPr>
          <w:rFonts w:hint="default"/>
          <w:color w:val="auto"/>
          <w:sz w:val="28"/>
          <w:szCs w:val="28"/>
          <w:lang w:val="en-US" w:eastAsia="zh-CN"/>
        </w:rPr>
      </w:pPr>
    </w:p>
    <w:p w14:paraId="4A3D4C58">
      <w:pPr>
        <w:jc w:val="right"/>
        <w:rPr>
          <w:rFonts w:hint="eastAsia"/>
          <w:color w:val="auto"/>
          <w:sz w:val="28"/>
          <w:szCs w:val="28"/>
          <w:lang w:val="en-US" w:eastAsia="zh-CN"/>
        </w:rPr>
      </w:pPr>
      <w:r>
        <w:rPr>
          <w:rFonts w:hint="eastAsia"/>
          <w:color w:val="auto"/>
          <w:sz w:val="28"/>
          <w:szCs w:val="28"/>
          <w:lang w:val="en-US" w:eastAsia="zh-CN"/>
        </w:rPr>
        <w:t>附件8</w:t>
      </w:r>
    </w:p>
    <w:p w14:paraId="4E2EBF5F">
      <w:pPr>
        <w:jc w:val="right"/>
        <w:rPr>
          <w:rFonts w:hint="default"/>
          <w:color w:val="auto"/>
          <w:sz w:val="28"/>
          <w:szCs w:val="28"/>
          <w:lang w:val="en-US" w:eastAsia="zh-CN"/>
        </w:rPr>
      </w:pPr>
      <w:r>
        <w:rPr>
          <w:rFonts w:hint="default"/>
          <w:color w:val="auto"/>
          <w:sz w:val="28"/>
          <w:szCs w:val="28"/>
          <w:lang w:val="en-US" w:eastAsia="zh-CN"/>
        </w:rPr>
        <w:drawing>
          <wp:inline distT="0" distB="0" distL="114300" distR="114300">
            <wp:extent cx="5271135" cy="7453630"/>
            <wp:effectExtent l="0" t="0" r="5715" b="13970"/>
            <wp:docPr id="75" name="图片 75" descr="巴彦淖尔公司排污许可登记回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巴彦淖尔公司排污许可登记回执_00"/>
                    <pic:cNvPicPr>
                      <a:picLocks noChangeAspect="1"/>
                    </pic:cNvPicPr>
                  </pic:nvPicPr>
                  <pic:blipFill>
                    <a:blip r:embed="rId27"/>
                    <a:stretch>
                      <a:fillRect/>
                    </a:stretch>
                  </pic:blipFill>
                  <pic:spPr>
                    <a:xfrm>
                      <a:off x="0" y="0"/>
                      <a:ext cx="5271135" cy="7453630"/>
                    </a:xfrm>
                    <a:prstGeom prst="rect">
                      <a:avLst/>
                    </a:prstGeom>
                  </pic:spPr>
                </pic:pic>
              </a:graphicData>
            </a:graphic>
          </wp:inline>
        </w:drawing>
      </w:r>
    </w:p>
    <w:p w14:paraId="34735EF0">
      <w:pPr>
        <w:jc w:val="right"/>
        <w:rPr>
          <w:rFonts w:hint="default"/>
          <w:color w:val="auto"/>
          <w:sz w:val="28"/>
          <w:szCs w:val="28"/>
          <w:lang w:val="en-US" w:eastAsia="zh-CN"/>
        </w:rPr>
      </w:pPr>
    </w:p>
    <w:p w14:paraId="77732302">
      <w:pPr>
        <w:jc w:val="right"/>
        <w:rPr>
          <w:rFonts w:hint="default"/>
          <w:color w:val="auto"/>
          <w:sz w:val="28"/>
          <w:szCs w:val="28"/>
          <w:lang w:val="en-US" w:eastAsia="zh-CN"/>
        </w:rPr>
      </w:pPr>
    </w:p>
    <w:p w14:paraId="63561D11">
      <w:pPr>
        <w:jc w:val="right"/>
        <w:rPr>
          <w:rFonts w:hint="default"/>
          <w:color w:val="auto"/>
          <w:sz w:val="28"/>
          <w:szCs w:val="28"/>
          <w:lang w:val="en-US" w:eastAsia="zh-CN"/>
        </w:rPr>
      </w:pPr>
      <w:r>
        <w:rPr>
          <w:rFonts w:hint="eastAsia"/>
          <w:color w:val="auto"/>
          <w:sz w:val="28"/>
          <w:szCs w:val="28"/>
          <w:lang w:val="en-US" w:eastAsia="zh-CN"/>
        </w:rPr>
        <w:t>附件9</w:t>
      </w:r>
    </w:p>
    <w:p w14:paraId="53B6E2F5">
      <w:pPr>
        <w:jc w:val="right"/>
        <w:rPr>
          <w:rFonts w:hint="eastAsia"/>
          <w:color w:val="auto"/>
          <w:sz w:val="28"/>
          <w:szCs w:val="28"/>
          <w:lang w:val="en-US" w:eastAsia="zh-CN"/>
        </w:rPr>
      </w:pPr>
      <w:r>
        <w:rPr>
          <w:rFonts w:hint="eastAsia"/>
          <w:color w:val="auto"/>
          <w:sz w:val="28"/>
          <w:szCs w:val="28"/>
          <w:lang w:val="en-US" w:eastAsia="zh-CN"/>
        </w:rPr>
        <w:drawing>
          <wp:inline distT="0" distB="0" distL="114300" distR="114300">
            <wp:extent cx="4811395" cy="6741160"/>
            <wp:effectExtent l="0" t="0" r="8255" b="2540"/>
            <wp:docPr id="43" name="图片 43" descr="img20250331_17115726(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20250331_17115726(1)_00"/>
                    <pic:cNvPicPr>
                      <a:picLocks noChangeAspect="1"/>
                    </pic:cNvPicPr>
                  </pic:nvPicPr>
                  <pic:blipFill>
                    <a:blip r:embed="rId28"/>
                    <a:stretch>
                      <a:fillRect/>
                    </a:stretch>
                  </pic:blipFill>
                  <pic:spPr>
                    <a:xfrm>
                      <a:off x="0" y="0"/>
                      <a:ext cx="4811395" cy="6741160"/>
                    </a:xfrm>
                    <a:prstGeom prst="rect">
                      <a:avLst/>
                    </a:prstGeom>
                  </pic:spPr>
                </pic:pic>
              </a:graphicData>
            </a:graphic>
          </wp:inline>
        </w:drawing>
      </w:r>
      <w:r>
        <w:rPr>
          <w:rFonts w:hint="eastAsia"/>
          <w:color w:val="auto"/>
          <w:sz w:val="28"/>
          <w:szCs w:val="28"/>
          <w:lang w:val="en-US" w:eastAsia="zh-CN"/>
        </w:rPr>
        <w:drawing>
          <wp:inline distT="0" distB="0" distL="114300" distR="114300">
            <wp:extent cx="5756275" cy="8136255"/>
            <wp:effectExtent l="0" t="0" r="15875" b="17145"/>
            <wp:docPr id="44" name="图片 44" descr="img20250331_17115726(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20250331_17115726(1)_01"/>
                    <pic:cNvPicPr>
                      <a:picLocks noChangeAspect="1"/>
                    </pic:cNvPicPr>
                  </pic:nvPicPr>
                  <pic:blipFill>
                    <a:blip r:embed="rId29"/>
                    <a:stretch>
                      <a:fillRect/>
                    </a:stretch>
                  </pic:blipFill>
                  <pic:spPr>
                    <a:xfrm>
                      <a:off x="0" y="0"/>
                      <a:ext cx="5756275" cy="8136255"/>
                    </a:xfrm>
                    <a:prstGeom prst="rect">
                      <a:avLst/>
                    </a:prstGeom>
                  </pic:spPr>
                </pic:pic>
              </a:graphicData>
            </a:graphic>
          </wp:inline>
        </w:drawing>
      </w:r>
      <w:r>
        <w:rPr>
          <w:rFonts w:hint="eastAsia"/>
          <w:color w:val="auto"/>
          <w:sz w:val="28"/>
          <w:szCs w:val="28"/>
          <w:lang w:val="en-US" w:eastAsia="zh-CN"/>
        </w:rPr>
        <w:drawing>
          <wp:inline distT="0" distB="0" distL="114300" distR="114300">
            <wp:extent cx="5684520" cy="8013065"/>
            <wp:effectExtent l="0" t="0" r="11430" b="6985"/>
            <wp:docPr id="47" name="图片 47" descr="img20250331_17115726(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20250331_17115726(1)_02"/>
                    <pic:cNvPicPr>
                      <a:picLocks noChangeAspect="1"/>
                    </pic:cNvPicPr>
                  </pic:nvPicPr>
                  <pic:blipFill>
                    <a:blip r:embed="rId30"/>
                    <a:stretch>
                      <a:fillRect/>
                    </a:stretch>
                  </pic:blipFill>
                  <pic:spPr>
                    <a:xfrm>
                      <a:off x="0" y="0"/>
                      <a:ext cx="5684520" cy="8013065"/>
                    </a:xfrm>
                    <a:prstGeom prst="rect">
                      <a:avLst/>
                    </a:prstGeom>
                  </pic:spPr>
                </pic:pic>
              </a:graphicData>
            </a:graphic>
          </wp:inline>
        </w:drawing>
      </w:r>
    </w:p>
    <w:p w14:paraId="48503309">
      <w:pPr>
        <w:jc w:val="right"/>
        <w:rPr>
          <w:rFonts w:hint="eastAsia"/>
          <w:color w:val="auto"/>
          <w:sz w:val="28"/>
          <w:szCs w:val="28"/>
          <w:lang w:val="en-US" w:eastAsia="zh-CN"/>
        </w:rPr>
      </w:pPr>
    </w:p>
    <w:p w14:paraId="3ED7F31D">
      <w:pPr>
        <w:jc w:val="right"/>
        <w:rPr>
          <w:rFonts w:hint="default"/>
          <w:color w:val="auto"/>
          <w:sz w:val="28"/>
          <w:szCs w:val="28"/>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SimSun-ExtB">
    <w:panose1 w:val="02010609060101010101"/>
    <w:charset w:val="86"/>
    <w:family w:val="modern"/>
    <w:pitch w:val="default"/>
    <w:sig w:usb0="00000001" w:usb1="02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15200529"/>
    </w:sdtPr>
    <w:sdtContent>
      <w:p w14:paraId="5B98837F">
        <w:pPr>
          <w:pStyle w:val="10"/>
          <w:jc w:val="center"/>
        </w:pPr>
        <w:r>
          <w:fldChar w:fldCharType="begin"/>
        </w:r>
        <w:r>
          <w:instrText xml:space="preserve">PAGE   \* MERGEFORMAT</w:instrText>
        </w:r>
        <w:r>
          <w:fldChar w:fldCharType="separate"/>
        </w:r>
        <w:r>
          <w:rPr>
            <w:lang w:val="zh-CN"/>
          </w:rPr>
          <w:t>10</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B82DA0"/>
    <w:multiLevelType w:val="singleLevel"/>
    <w:tmpl w:val="ECB82DA0"/>
    <w:lvl w:ilvl="0" w:tentative="0">
      <w:start w:val="5"/>
      <w:numFmt w:val="decimal"/>
      <w:suff w:val="nothing"/>
      <w:lvlText w:val="（%1）"/>
      <w:lvlJc w:val="left"/>
    </w:lvl>
  </w:abstractNum>
  <w:abstractNum w:abstractNumId="1">
    <w:nsid w:val="01DCC36B"/>
    <w:multiLevelType w:val="singleLevel"/>
    <w:tmpl w:val="01DCC36B"/>
    <w:lvl w:ilvl="0" w:tentative="0">
      <w:start w:val="1"/>
      <w:numFmt w:val="decimal"/>
      <w:suff w:val="nothing"/>
      <w:lvlText w:val="%1、"/>
      <w:lvlJc w:val="left"/>
    </w:lvl>
  </w:abstractNum>
  <w:abstractNum w:abstractNumId="2">
    <w:nsid w:val="156566C8"/>
    <w:multiLevelType w:val="singleLevel"/>
    <w:tmpl w:val="156566C8"/>
    <w:lvl w:ilvl="0" w:tentative="0">
      <w:start w:val="1"/>
      <w:numFmt w:val="decimal"/>
      <w:suff w:val="nothing"/>
      <w:lvlText w:val="%1、"/>
      <w:lvlJc w:val="left"/>
    </w:lvl>
  </w:abstractNum>
  <w:abstractNum w:abstractNumId="3">
    <w:nsid w:val="16DF2990"/>
    <w:multiLevelType w:val="multilevel"/>
    <w:tmpl w:val="16DF2990"/>
    <w:lvl w:ilvl="0" w:tentative="0">
      <w:start w:val="1"/>
      <w:numFmt w:val="decimal"/>
      <w:pStyle w:val="23"/>
      <w:lvlText w:val="%1"/>
      <w:lvlJc w:val="left"/>
      <w:pPr>
        <w:tabs>
          <w:tab w:val="left" w:pos="1566"/>
        </w:tabs>
        <w:ind w:left="1566" w:hanging="432"/>
      </w:pPr>
    </w:lvl>
    <w:lvl w:ilvl="1" w:tentative="0">
      <w:start w:val="1"/>
      <w:numFmt w:val="decimal"/>
      <w:pStyle w:val="50"/>
      <w:lvlText w:val="%1.%2"/>
      <w:lvlJc w:val="left"/>
      <w:pPr>
        <w:tabs>
          <w:tab w:val="left" w:pos="1569"/>
        </w:tabs>
        <w:ind w:left="1569" w:hanging="576"/>
      </w:pPr>
    </w:lvl>
    <w:lvl w:ilvl="2" w:tentative="0">
      <w:start w:val="1"/>
      <w:numFmt w:val="decimal"/>
      <w:pStyle w:val="51"/>
      <w:lvlText w:val="%1.%2.%3"/>
      <w:lvlJc w:val="left"/>
      <w:pPr>
        <w:tabs>
          <w:tab w:val="left" w:pos="1996"/>
        </w:tabs>
        <w:ind w:left="1996" w:hanging="720"/>
      </w:pPr>
    </w:lvl>
    <w:lvl w:ilvl="3" w:tentative="0">
      <w:start w:val="1"/>
      <w:numFmt w:val="decimal"/>
      <w:pStyle w:val="52"/>
      <w:lvlText w:val="%1.%2.%3.%4"/>
      <w:lvlJc w:val="left"/>
      <w:pPr>
        <w:tabs>
          <w:tab w:val="left" w:pos="2227"/>
        </w:tabs>
        <w:ind w:left="2227" w:hanging="864"/>
      </w:pPr>
    </w:lvl>
    <w:lvl w:ilvl="4" w:tentative="0">
      <w:start w:val="1"/>
      <w:numFmt w:val="decimal"/>
      <w:lvlText w:val="%1.%2.%3.%4.%5"/>
      <w:lvlJc w:val="left"/>
      <w:pPr>
        <w:tabs>
          <w:tab w:val="left" w:pos="1605"/>
        </w:tabs>
        <w:ind w:left="1605" w:hanging="1008"/>
      </w:pPr>
    </w:lvl>
    <w:lvl w:ilvl="5" w:tentative="0">
      <w:start w:val="1"/>
      <w:numFmt w:val="decimal"/>
      <w:lvlText w:val="%1.%2.%3.%4.%5.%6"/>
      <w:lvlJc w:val="left"/>
      <w:pPr>
        <w:tabs>
          <w:tab w:val="left" w:pos="1749"/>
        </w:tabs>
        <w:ind w:left="1749" w:hanging="1152"/>
      </w:pPr>
    </w:lvl>
    <w:lvl w:ilvl="6" w:tentative="0">
      <w:start w:val="1"/>
      <w:numFmt w:val="decimal"/>
      <w:lvlText w:val="%1.%2.%3.%4.%5.%6.%7"/>
      <w:lvlJc w:val="left"/>
      <w:pPr>
        <w:tabs>
          <w:tab w:val="left" w:pos="1893"/>
        </w:tabs>
        <w:ind w:left="1893" w:hanging="1296"/>
      </w:pPr>
    </w:lvl>
    <w:lvl w:ilvl="7" w:tentative="0">
      <w:start w:val="1"/>
      <w:numFmt w:val="decimal"/>
      <w:lvlText w:val="%1.%2.%3.%4.%5.%6.%7.%8"/>
      <w:lvlJc w:val="left"/>
      <w:pPr>
        <w:tabs>
          <w:tab w:val="left" w:pos="2037"/>
        </w:tabs>
        <w:ind w:left="2037" w:hanging="1440"/>
      </w:pPr>
    </w:lvl>
    <w:lvl w:ilvl="8" w:tentative="0">
      <w:start w:val="1"/>
      <w:numFmt w:val="decimal"/>
      <w:lvlText w:val="%1.%2.%3.%4.%5.%6.%7.%8.%9"/>
      <w:lvlJc w:val="left"/>
      <w:pPr>
        <w:tabs>
          <w:tab w:val="left" w:pos="2181"/>
        </w:tabs>
        <w:ind w:left="2181" w:hanging="1584"/>
      </w:pPr>
    </w:lvl>
  </w:abstractNum>
  <w:abstractNum w:abstractNumId="4">
    <w:nsid w:val="22F419C0"/>
    <w:multiLevelType w:val="multilevel"/>
    <w:tmpl w:val="22F419C0"/>
    <w:lvl w:ilvl="0" w:tentative="0">
      <w:start w:val="1"/>
      <w:numFmt w:val="decimal"/>
      <w:pStyle w:val="70"/>
      <w:lvlText w:val="图%1    "/>
      <w:lvlJc w:val="center"/>
      <w:pPr>
        <w:ind w:left="420" w:hanging="420"/>
      </w:pPr>
      <w:rPr>
        <w:rFonts w:hint="default" w:ascii="Times New Roman" w:hAnsi="Times New Roman" w:eastAsia="宋体"/>
        <w:b/>
        <w:i w:val="0"/>
        <w:caps w:val="0"/>
        <w:strike w:val="0"/>
        <w:dstrike w:val="0"/>
        <w:vanish w:val="0"/>
        <w:sz w:val="24"/>
        <w:szCs w:val="24"/>
        <w:vertAlign w:val="baseline"/>
      </w:rPr>
    </w:lvl>
    <w:lvl w:ilvl="1" w:tentative="0">
      <w:start w:val="3"/>
      <w:numFmt w:val="decimal"/>
      <w:lvlText w:val="%2、"/>
      <w:lvlJc w:val="left"/>
      <w:pPr>
        <w:ind w:left="810" w:hanging="390"/>
      </w:pPr>
      <w:rPr>
        <w:rFonts w:hint="default" w:ascii="宋体" w:hAnsi="宋体" w:cstheme="minorBidi"/>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C6A36D9"/>
    <w:multiLevelType w:val="multilevel"/>
    <w:tmpl w:val="2C6A36D9"/>
    <w:lvl w:ilvl="0" w:tentative="0">
      <w:start w:val="1"/>
      <w:numFmt w:val="decimal"/>
      <w:pStyle w:val="78"/>
      <w:suff w:val="nothing"/>
      <w:lvlText w:val="表 %1    "/>
      <w:lvlJc w:val="center"/>
      <w:pPr>
        <w:tabs>
          <w:tab w:val="left" w:pos="0"/>
        </w:tabs>
        <w:ind w:left="560" w:hanging="150"/>
      </w:pPr>
      <w:rPr>
        <w:rFonts w:hint="default" w:ascii="Times New Roman" w:hAnsi="Times New Roman" w:eastAsia="宋体"/>
        <w:b/>
        <w:i w:val="0"/>
        <w:caps w:val="0"/>
        <w:strike w:val="0"/>
        <w:dstrike w:val="0"/>
        <w:vanish w:val="0"/>
        <w:sz w:val="21"/>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E2C76EA"/>
    <w:multiLevelType w:val="singleLevel"/>
    <w:tmpl w:val="2E2C76EA"/>
    <w:lvl w:ilvl="0" w:tentative="0">
      <w:start w:val="1"/>
      <w:numFmt w:val="decimal"/>
      <w:suff w:val="nothing"/>
      <w:lvlText w:val="（%1）"/>
      <w:lvlJc w:val="left"/>
    </w:lvl>
  </w:abstractNum>
  <w:abstractNum w:abstractNumId="7">
    <w:nsid w:val="41FDA1F3"/>
    <w:multiLevelType w:val="singleLevel"/>
    <w:tmpl w:val="41FDA1F3"/>
    <w:lvl w:ilvl="0" w:tentative="0">
      <w:start w:val="1"/>
      <w:numFmt w:val="decimal"/>
      <w:suff w:val="nothing"/>
      <w:lvlText w:val="%1、"/>
      <w:lvlJc w:val="left"/>
    </w:lvl>
  </w:abstractNum>
  <w:abstractNum w:abstractNumId="8">
    <w:nsid w:val="5BC152F3"/>
    <w:multiLevelType w:val="multilevel"/>
    <w:tmpl w:val="5BC152F3"/>
    <w:lvl w:ilvl="0" w:tentative="0">
      <w:start w:val="1"/>
      <w:numFmt w:val="decimal"/>
      <w:suff w:val="nothing"/>
      <w:lvlText w:val="%1 "/>
      <w:lvlJc w:val="left"/>
      <w:pPr>
        <w:ind w:left="0" w:firstLine="0"/>
      </w:pPr>
      <w:rPr>
        <w:rFonts w:hint="eastAsia"/>
      </w:rPr>
    </w:lvl>
    <w:lvl w:ilvl="1" w:tentative="0">
      <w:start w:val="1"/>
      <w:numFmt w:val="decimal"/>
      <w:suff w:val="nothing"/>
      <w:lvlText w:val="%1.%2 "/>
      <w:lvlJc w:val="left"/>
      <w:pPr>
        <w:ind w:left="0" w:firstLine="0"/>
      </w:pPr>
      <w:rPr>
        <w:rFonts w:hint="eastAsia"/>
        <w:sz w:val="28"/>
        <w:szCs w:val="28"/>
      </w:rPr>
    </w:lvl>
    <w:lvl w:ilvl="2" w:tentative="0">
      <w:start w:val="1"/>
      <w:numFmt w:val="decimal"/>
      <w:pStyle w:val="2"/>
      <w:suff w:val="nothing"/>
      <w:lvlText w:val="%1.%2.%3 "/>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
    <w:nsid w:val="7F73BC74"/>
    <w:multiLevelType w:val="singleLevel"/>
    <w:tmpl w:val="7F73BC74"/>
    <w:lvl w:ilvl="0" w:tentative="0">
      <w:start w:val="1"/>
      <w:numFmt w:val="decimal"/>
      <w:suff w:val="nothing"/>
      <w:lvlText w:val="%1、"/>
      <w:lvlJc w:val="left"/>
    </w:lvl>
  </w:abstractNum>
  <w:num w:numId="1">
    <w:abstractNumId w:val="8"/>
  </w:num>
  <w:num w:numId="2">
    <w:abstractNumId w:val="3"/>
  </w:num>
  <w:num w:numId="3">
    <w:abstractNumId w:val="4"/>
  </w:num>
  <w:num w:numId="4">
    <w:abstractNumId w:val="5"/>
  </w:num>
  <w:num w:numId="5">
    <w:abstractNumId w:val="7"/>
  </w:num>
  <w:num w:numId="6">
    <w:abstractNumId w:val="2"/>
  </w:num>
  <w:num w:numId="7">
    <w:abstractNumId w:val="0"/>
  </w:num>
  <w:num w:numId="8">
    <w:abstractNumId w:val="6"/>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1MzljODBiNDliMzEyMzFlZWNlN2EzYjU0N2YzMWEifQ=="/>
  </w:docVars>
  <w:rsids>
    <w:rsidRoot w:val="00236536"/>
    <w:rsid w:val="000003CE"/>
    <w:rsid w:val="000011C3"/>
    <w:rsid w:val="00001883"/>
    <w:rsid w:val="00004003"/>
    <w:rsid w:val="00006474"/>
    <w:rsid w:val="0001024C"/>
    <w:rsid w:val="0001025B"/>
    <w:rsid w:val="00010640"/>
    <w:rsid w:val="00013FDE"/>
    <w:rsid w:val="00017325"/>
    <w:rsid w:val="00020C84"/>
    <w:rsid w:val="0002115C"/>
    <w:rsid w:val="000217B5"/>
    <w:rsid w:val="000231CC"/>
    <w:rsid w:val="00024CE5"/>
    <w:rsid w:val="00025E70"/>
    <w:rsid w:val="00026A1F"/>
    <w:rsid w:val="00027A9B"/>
    <w:rsid w:val="00031FA8"/>
    <w:rsid w:val="00034E1B"/>
    <w:rsid w:val="0003562D"/>
    <w:rsid w:val="000374A2"/>
    <w:rsid w:val="00044C49"/>
    <w:rsid w:val="0004654F"/>
    <w:rsid w:val="000517BD"/>
    <w:rsid w:val="00054CAC"/>
    <w:rsid w:val="0005510D"/>
    <w:rsid w:val="000569DA"/>
    <w:rsid w:val="00061394"/>
    <w:rsid w:val="000643C3"/>
    <w:rsid w:val="00067201"/>
    <w:rsid w:val="000672E4"/>
    <w:rsid w:val="0007101A"/>
    <w:rsid w:val="000715E8"/>
    <w:rsid w:val="00072F7D"/>
    <w:rsid w:val="000763A6"/>
    <w:rsid w:val="00077281"/>
    <w:rsid w:val="00080D30"/>
    <w:rsid w:val="00081B76"/>
    <w:rsid w:val="00081DC9"/>
    <w:rsid w:val="000822F2"/>
    <w:rsid w:val="0008726E"/>
    <w:rsid w:val="00087319"/>
    <w:rsid w:val="00087E6D"/>
    <w:rsid w:val="0009089E"/>
    <w:rsid w:val="00093043"/>
    <w:rsid w:val="00093686"/>
    <w:rsid w:val="00093DA3"/>
    <w:rsid w:val="00094BDA"/>
    <w:rsid w:val="00097E45"/>
    <w:rsid w:val="000A0AB8"/>
    <w:rsid w:val="000A13D0"/>
    <w:rsid w:val="000A36AE"/>
    <w:rsid w:val="000A3715"/>
    <w:rsid w:val="000B0A10"/>
    <w:rsid w:val="000B19A7"/>
    <w:rsid w:val="000B1D70"/>
    <w:rsid w:val="000B2C04"/>
    <w:rsid w:val="000B4E47"/>
    <w:rsid w:val="000C7AB2"/>
    <w:rsid w:val="000D031E"/>
    <w:rsid w:val="000D0A3D"/>
    <w:rsid w:val="000D2E2C"/>
    <w:rsid w:val="000D5B3F"/>
    <w:rsid w:val="000D7A38"/>
    <w:rsid w:val="000E1116"/>
    <w:rsid w:val="000E6E54"/>
    <w:rsid w:val="000F0A7A"/>
    <w:rsid w:val="00102D7C"/>
    <w:rsid w:val="00103358"/>
    <w:rsid w:val="001051CD"/>
    <w:rsid w:val="00106D54"/>
    <w:rsid w:val="0011362B"/>
    <w:rsid w:val="0011403C"/>
    <w:rsid w:val="00117A2C"/>
    <w:rsid w:val="001224FC"/>
    <w:rsid w:val="00122B6A"/>
    <w:rsid w:val="00123F3B"/>
    <w:rsid w:val="00130941"/>
    <w:rsid w:val="00130F67"/>
    <w:rsid w:val="00130FF1"/>
    <w:rsid w:val="001325DA"/>
    <w:rsid w:val="0013540C"/>
    <w:rsid w:val="001355DF"/>
    <w:rsid w:val="00135C63"/>
    <w:rsid w:val="00141D87"/>
    <w:rsid w:val="00142985"/>
    <w:rsid w:val="0014329A"/>
    <w:rsid w:val="00146298"/>
    <w:rsid w:val="00146426"/>
    <w:rsid w:val="00151D65"/>
    <w:rsid w:val="00152E61"/>
    <w:rsid w:val="00153CA3"/>
    <w:rsid w:val="001547A3"/>
    <w:rsid w:val="00157344"/>
    <w:rsid w:val="00160037"/>
    <w:rsid w:val="00160312"/>
    <w:rsid w:val="00161A2D"/>
    <w:rsid w:val="00162ECE"/>
    <w:rsid w:val="001662DA"/>
    <w:rsid w:val="001700A7"/>
    <w:rsid w:val="001711BC"/>
    <w:rsid w:val="0017148C"/>
    <w:rsid w:val="00172ADF"/>
    <w:rsid w:val="00175B22"/>
    <w:rsid w:val="00175ED7"/>
    <w:rsid w:val="0017710C"/>
    <w:rsid w:val="00181E73"/>
    <w:rsid w:val="00186DCC"/>
    <w:rsid w:val="00190F4C"/>
    <w:rsid w:val="00191BC0"/>
    <w:rsid w:val="00192ACA"/>
    <w:rsid w:val="0019477A"/>
    <w:rsid w:val="00196C83"/>
    <w:rsid w:val="001A4E10"/>
    <w:rsid w:val="001A5D39"/>
    <w:rsid w:val="001B1670"/>
    <w:rsid w:val="001B2555"/>
    <w:rsid w:val="001B29F7"/>
    <w:rsid w:val="001C1C99"/>
    <w:rsid w:val="001C2D21"/>
    <w:rsid w:val="001C3183"/>
    <w:rsid w:val="001C409E"/>
    <w:rsid w:val="001C40F0"/>
    <w:rsid w:val="001C65C7"/>
    <w:rsid w:val="001C7459"/>
    <w:rsid w:val="001E093C"/>
    <w:rsid w:val="001E2F69"/>
    <w:rsid w:val="001E2F94"/>
    <w:rsid w:val="001E3DF7"/>
    <w:rsid w:val="001E4E2C"/>
    <w:rsid w:val="001F0122"/>
    <w:rsid w:val="001F0989"/>
    <w:rsid w:val="001F543D"/>
    <w:rsid w:val="001F704E"/>
    <w:rsid w:val="0020184A"/>
    <w:rsid w:val="00202219"/>
    <w:rsid w:val="002043FE"/>
    <w:rsid w:val="00205992"/>
    <w:rsid w:val="00206C4A"/>
    <w:rsid w:val="00207B7C"/>
    <w:rsid w:val="00211513"/>
    <w:rsid w:val="00223619"/>
    <w:rsid w:val="00225082"/>
    <w:rsid w:val="002257AD"/>
    <w:rsid w:val="00231DA1"/>
    <w:rsid w:val="00236536"/>
    <w:rsid w:val="00246030"/>
    <w:rsid w:val="00247AE1"/>
    <w:rsid w:val="00251A19"/>
    <w:rsid w:val="002543D1"/>
    <w:rsid w:val="00256EAD"/>
    <w:rsid w:val="0026085E"/>
    <w:rsid w:val="00260E74"/>
    <w:rsid w:val="002625F8"/>
    <w:rsid w:val="00266B1F"/>
    <w:rsid w:val="002708DF"/>
    <w:rsid w:val="00271ADC"/>
    <w:rsid w:val="00275C64"/>
    <w:rsid w:val="00276B49"/>
    <w:rsid w:val="00277281"/>
    <w:rsid w:val="00282183"/>
    <w:rsid w:val="00282FC4"/>
    <w:rsid w:val="00285481"/>
    <w:rsid w:val="00286273"/>
    <w:rsid w:val="00287DE2"/>
    <w:rsid w:val="0029006C"/>
    <w:rsid w:val="00290E8B"/>
    <w:rsid w:val="00291FC7"/>
    <w:rsid w:val="002936A3"/>
    <w:rsid w:val="00293A25"/>
    <w:rsid w:val="00296C7E"/>
    <w:rsid w:val="00296F1F"/>
    <w:rsid w:val="0029774D"/>
    <w:rsid w:val="002A22F4"/>
    <w:rsid w:val="002A28E4"/>
    <w:rsid w:val="002A367D"/>
    <w:rsid w:val="002B0570"/>
    <w:rsid w:val="002B2F4B"/>
    <w:rsid w:val="002B3137"/>
    <w:rsid w:val="002B429B"/>
    <w:rsid w:val="002B5660"/>
    <w:rsid w:val="002B5A91"/>
    <w:rsid w:val="002C155F"/>
    <w:rsid w:val="002C18E7"/>
    <w:rsid w:val="002C1BA4"/>
    <w:rsid w:val="002C3297"/>
    <w:rsid w:val="002C484E"/>
    <w:rsid w:val="002C55C9"/>
    <w:rsid w:val="002C5F7A"/>
    <w:rsid w:val="002C72E0"/>
    <w:rsid w:val="002C79E7"/>
    <w:rsid w:val="002C7F9E"/>
    <w:rsid w:val="002D0931"/>
    <w:rsid w:val="002D2D03"/>
    <w:rsid w:val="002D4FCB"/>
    <w:rsid w:val="002D5CE9"/>
    <w:rsid w:val="002D6B40"/>
    <w:rsid w:val="002D7BF3"/>
    <w:rsid w:val="002E2254"/>
    <w:rsid w:val="002E239F"/>
    <w:rsid w:val="002E2E6A"/>
    <w:rsid w:val="002E6AAA"/>
    <w:rsid w:val="002E6CCE"/>
    <w:rsid w:val="002E7F3E"/>
    <w:rsid w:val="002F10E6"/>
    <w:rsid w:val="002F6BCA"/>
    <w:rsid w:val="00304C07"/>
    <w:rsid w:val="00305A64"/>
    <w:rsid w:val="0031136A"/>
    <w:rsid w:val="00317302"/>
    <w:rsid w:val="00320013"/>
    <w:rsid w:val="003218B2"/>
    <w:rsid w:val="00322BE0"/>
    <w:rsid w:val="00322FDC"/>
    <w:rsid w:val="003239B1"/>
    <w:rsid w:val="003243D3"/>
    <w:rsid w:val="003250AE"/>
    <w:rsid w:val="00330CB4"/>
    <w:rsid w:val="003346D6"/>
    <w:rsid w:val="00341AAD"/>
    <w:rsid w:val="00343A4C"/>
    <w:rsid w:val="00346219"/>
    <w:rsid w:val="00346638"/>
    <w:rsid w:val="00346C7C"/>
    <w:rsid w:val="00347BE3"/>
    <w:rsid w:val="0035053F"/>
    <w:rsid w:val="003520B8"/>
    <w:rsid w:val="00352920"/>
    <w:rsid w:val="003540C0"/>
    <w:rsid w:val="003628C2"/>
    <w:rsid w:val="00364EA3"/>
    <w:rsid w:val="003660D5"/>
    <w:rsid w:val="00366F95"/>
    <w:rsid w:val="003673AC"/>
    <w:rsid w:val="00370801"/>
    <w:rsid w:val="00370B7F"/>
    <w:rsid w:val="00370EBD"/>
    <w:rsid w:val="00372B70"/>
    <w:rsid w:val="00373D98"/>
    <w:rsid w:val="003753D1"/>
    <w:rsid w:val="0037544F"/>
    <w:rsid w:val="003771C0"/>
    <w:rsid w:val="00382FFC"/>
    <w:rsid w:val="003843B4"/>
    <w:rsid w:val="00384771"/>
    <w:rsid w:val="00385BB5"/>
    <w:rsid w:val="00395F2E"/>
    <w:rsid w:val="003A2095"/>
    <w:rsid w:val="003A30AC"/>
    <w:rsid w:val="003A7491"/>
    <w:rsid w:val="003B492C"/>
    <w:rsid w:val="003B50F5"/>
    <w:rsid w:val="003B768F"/>
    <w:rsid w:val="003C0EE5"/>
    <w:rsid w:val="003C287D"/>
    <w:rsid w:val="003C415E"/>
    <w:rsid w:val="003C60CB"/>
    <w:rsid w:val="003D225F"/>
    <w:rsid w:val="003D234F"/>
    <w:rsid w:val="003D2770"/>
    <w:rsid w:val="003D68F6"/>
    <w:rsid w:val="003D79DD"/>
    <w:rsid w:val="003E1F5B"/>
    <w:rsid w:val="003E2DEB"/>
    <w:rsid w:val="003E400B"/>
    <w:rsid w:val="003F570D"/>
    <w:rsid w:val="00404CCD"/>
    <w:rsid w:val="00411BC4"/>
    <w:rsid w:val="0041493F"/>
    <w:rsid w:val="004163C6"/>
    <w:rsid w:val="00417385"/>
    <w:rsid w:val="00417884"/>
    <w:rsid w:val="00420E90"/>
    <w:rsid w:val="004217B0"/>
    <w:rsid w:val="00421CCE"/>
    <w:rsid w:val="00422976"/>
    <w:rsid w:val="00423C40"/>
    <w:rsid w:val="00424A0A"/>
    <w:rsid w:val="00425C8E"/>
    <w:rsid w:val="00426FD1"/>
    <w:rsid w:val="00427368"/>
    <w:rsid w:val="00435B1B"/>
    <w:rsid w:val="0043696D"/>
    <w:rsid w:val="00436E8C"/>
    <w:rsid w:val="00444553"/>
    <w:rsid w:val="00444619"/>
    <w:rsid w:val="00445668"/>
    <w:rsid w:val="00447F14"/>
    <w:rsid w:val="004525E2"/>
    <w:rsid w:val="0046247C"/>
    <w:rsid w:val="00464918"/>
    <w:rsid w:val="00464A3C"/>
    <w:rsid w:val="00465556"/>
    <w:rsid w:val="004656FF"/>
    <w:rsid w:val="0047372D"/>
    <w:rsid w:val="00474753"/>
    <w:rsid w:val="0047505F"/>
    <w:rsid w:val="004762C8"/>
    <w:rsid w:val="00477F71"/>
    <w:rsid w:val="0048230B"/>
    <w:rsid w:val="004909F3"/>
    <w:rsid w:val="004927A2"/>
    <w:rsid w:val="00492DC8"/>
    <w:rsid w:val="004A0F90"/>
    <w:rsid w:val="004A1D70"/>
    <w:rsid w:val="004A2229"/>
    <w:rsid w:val="004A32A1"/>
    <w:rsid w:val="004A472D"/>
    <w:rsid w:val="004A5287"/>
    <w:rsid w:val="004A5ED4"/>
    <w:rsid w:val="004A62E5"/>
    <w:rsid w:val="004A7D02"/>
    <w:rsid w:val="004B2AEE"/>
    <w:rsid w:val="004B3F7F"/>
    <w:rsid w:val="004C2217"/>
    <w:rsid w:val="004C44C5"/>
    <w:rsid w:val="004C47DC"/>
    <w:rsid w:val="004C4CA1"/>
    <w:rsid w:val="004C5D5C"/>
    <w:rsid w:val="004C5E29"/>
    <w:rsid w:val="004C6F45"/>
    <w:rsid w:val="004D0D7D"/>
    <w:rsid w:val="004D3DA7"/>
    <w:rsid w:val="004D6BE3"/>
    <w:rsid w:val="004E1603"/>
    <w:rsid w:val="004E4C2E"/>
    <w:rsid w:val="004E5305"/>
    <w:rsid w:val="004E66B8"/>
    <w:rsid w:val="004E7E74"/>
    <w:rsid w:val="004F2CEE"/>
    <w:rsid w:val="004F4310"/>
    <w:rsid w:val="004F45CA"/>
    <w:rsid w:val="004F4C8E"/>
    <w:rsid w:val="004F5B20"/>
    <w:rsid w:val="004F7175"/>
    <w:rsid w:val="00501484"/>
    <w:rsid w:val="00503CAA"/>
    <w:rsid w:val="00503FB7"/>
    <w:rsid w:val="00505942"/>
    <w:rsid w:val="00511D87"/>
    <w:rsid w:val="00512CC5"/>
    <w:rsid w:val="00514328"/>
    <w:rsid w:val="00514E17"/>
    <w:rsid w:val="00516A63"/>
    <w:rsid w:val="00516FBA"/>
    <w:rsid w:val="00517EE3"/>
    <w:rsid w:val="00527C70"/>
    <w:rsid w:val="00533CBF"/>
    <w:rsid w:val="005344E8"/>
    <w:rsid w:val="00536590"/>
    <w:rsid w:val="00536B4D"/>
    <w:rsid w:val="00537330"/>
    <w:rsid w:val="00544A40"/>
    <w:rsid w:val="00544DE4"/>
    <w:rsid w:val="0055059A"/>
    <w:rsid w:val="00554BBF"/>
    <w:rsid w:val="0055659A"/>
    <w:rsid w:val="00557426"/>
    <w:rsid w:val="00563AFF"/>
    <w:rsid w:val="00565CFA"/>
    <w:rsid w:val="00566C17"/>
    <w:rsid w:val="005674F4"/>
    <w:rsid w:val="00572F17"/>
    <w:rsid w:val="00575D0F"/>
    <w:rsid w:val="0057648C"/>
    <w:rsid w:val="00576F9E"/>
    <w:rsid w:val="00577F9F"/>
    <w:rsid w:val="0058011B"/>
    <w:rsid w:val="005806A4"/>
    <w:rsid w:val="00584451"/>
    <w:rsid w:val="005847E3"/>
    <w:rsid w:val="00594BA6"/>
    <w:rsid w:val="0059500E"/>
    <w:rsid w:val="005A19D3"/>
    <w:rsid w:val="005A1A78"/>
    <w:rsid w:val="005A2517"/>
    <w:rsid w:val="005A4024"/>
    <w:rsid w:val="005A51F0"/>
    <w:rsid w:val="005A685D"/>
    <w:rsid w:val="005B0503"/>
    <w:rsid w:val="005B0D3A"/>
    <w:rsid w:val="005B104A"/>
    <w:rsid w:val="005B1381"/>
    <w:rsid w:val="005B1D66"/>
    <w:rsid w:val="005B4D81"/>
    <w:rsid w:val="005B5A5A"/>
    <w:rsid w:val="005B6F5D"/>
    <w:rsid w:val="005B70BA"/>
    <w:rsid w:val="005B7FF6"/>
    <w:rsid w:val="005C091B"/>
    <w:rsid w:val="005C1831"/>
    <w:rsid w:val="005C3BC7"/>
    <w:rsid w:val="005C5AA9"/>
    <w:rsid w:val="005C65C9"/>
    <w:rsid w:val="005C7655"/>
    <w:rsid w:val="005C79A1"/>
    <w:rsid w:val="005D0602"/>
    <w:rsid w:val="005D23ED"/>
    <w:rsid w:val="005D3911"/>
    <w:rsid w:val="005E01A8"/>
    <w:rsid w:val="005E3428"/>
    <w:rsid w:val="005E3C3E"/>
    <w:rsid w:val="005E6C9D"/>
    <w:rsid w:val="005E7160"/>
    <w:rsid w:val="005F1A1C"/>
    <w:rsid w:val="005F4596"/>
    <w:rsid w:val="005F5308"/>
    <w:rsid w:val="006045EA"/>
    <w:rsid w:val="00605E5C"/>
    <w:rsid w:val="00606265"/>
    <w:rsid w:val="0060636A"/>
    <w:rsid w:val="0060643E"/>
    <w:rsid w:val="00611CA1"/>
    <w:rsid w:val="006175DC"/>
    <w:rsid w:val="00620CAC"/>
    <w:rsid w:val="00623EF3"/>
    <w:rsid w:val="00624196"/>
    <w:rsid w:val="006246D4"/>
    <w:rsid w:val="006253D6"/>
    <w:rsid w:val="006261AE"/>
    <w:rsid w:val="006274ED"/>
    <w:rsid w:val="00627750"/>
    <w:rsid w:val="00627783"/>
    <w:rsid w:val="00634464"/>
    <w:rsid w:val="006349EC"/>
    <w:rsid w:val="006378EA"/>
    <w:rsid w:val="00640EFF"/>
    <w:rsid w:val="0064210A"/>
    <w:rsid w:val="00642B30"/>
    <w:rsid w:val="00643284"/>
    <w:rsid w:val="00643449"/>
    <w:rsid w:val="006512B4"/>
    <w:rsid w:val="00651A07"/>
    <w:rsid w:val="00652199"/>
    <w:rsid w:val="00654196"/>
    <w:rsid w:val="00655E99"/>
    <w:rsid w:val="006565BA"/>
    <w:rsid w:val="00656D11"/>
    <w:rsid w:val="006578C3"/>
    <w:rsid w:val="006644F9"/>
    <w:rsid w:val="00665420"/>
    <w:rsid w:val="00665A90"/>
    <w:rsid w:val="00667EC4"/>
    <w:rsid w:val="006713F5"/>
    <w:rsid w:val="00671F1A"/>
    <w:rsid w:val="00672FB1"/>
    <w:rsid w:val="006733EC"/>
    <w:rsid w:val="006747D3"/>
    <w:rsid w:val="00674A96"/>
    <w:rsid w:val="006844A5"/>
    <w:rsid w:val="00687003"/>
    <w:rsid w:val="00691AB0"/>
    <w:rsid w:val="006A6144"/>
    <w:rsid w:val="006A7D28"/>
    <w:rsid w:val="006B28AB"/>
    <w:rsid w:val="006B55D9"/>
    <w:rsid w:val="006B5872"/>
    <w:rsid w:val="006B67AC"/>
    <w:rsid w:val="006C17E1"/>
    <w:rsid w:val="006C1966"/>
    <w:rsid w:val="006C476B"/>
    <w:rsid w:val="006C4E62"/>
    <w:rsid w:val="006C676A"/>
    <w:rsid w:val="006C7171"/>
    <w:rsid w:val="006D0E34"/>
    <w:rsid w:val="006D1E4E"/>
    <w:rsid w:val="006D5F42"/>
    <w:rsid w:val="006D65F3"/>
    <w:rsid w:val="006D7534"/>
    <w:rsid w:val="006E2A10"/>
    <w:rsid w:val="006E4829"/>
    <w:rsid w:val="006E6F05"/>
    <w:rsid w:val="006E7743"/>
    <w:rsid w:val="006F0713"/>
    <w:rsid w:val="006F0E88"/>
    <w:rsid w:val="006F206B"/>
    <w:rsid w:val="006F3808"/>
    <w:rsid w:val="006F7A22"/>
    <w:rsid w:val="007055B1"/>
    <w:rsid w:val="00710C64"/>
    <w:rsid w:val="0071260A"/>
    <w:rsid w:val="00715C86"/>
    <w:rsid w:val="00717068"/>
    <w:rsid w:val="007225EC"/>
    <w:rsid w:val="007234F1"/>
    <w:rsid w:val="007243D5"/>
    <w:rsid w:val="00725D9F"/>
    <w:rsid w:val="00727B5E"/>
    <w:rsid w:val="00731342"/>
    <w:rsid w:val="007335A7"/>
    <w:rsid w:val="00733A60"/>
    <w:rsid w:val="007347C6"/>
    <w:rsid w:val="0073503D"/>
    <w:rsid w:val="00735F44"/>
    <w:rsid w:val="00743B87"/>
    <w:rsid w:val="00745FCA"/>
    <w:rsid w:val="007514B4"/>
    <w:rsid w:val="00752732"/>
    <w:rsid w:val="00752C7F"/>
    <w:rsid w:val="00754A12"/>
    <w:rsid w:val="0075591B"/>
    <w:rsid w:val="00760B98"/>
    <w:rsid w:val="00761165"/>
    <w:rsid w:val="00772525"/>
    <w:rsid w:val="007746B8"/>
    <w:rsid w:val="007748C4"/>
    <w:rsid w:val="00775D05"/>
    <w:rsid w:val="00776CCC"/>
    <w:rsid w:val="007802E3"/>
    <w:rsid w:val="00781A3C"/>
    <w:rsid w:val="007826AE"/>
    <w:rsid w:val="0078392A"/>
    <w:rsid w:val="00784C3B"/>
    <w:rsid w:val="007921C8"/>
    <w:rsid w:val="00792678"/>
    <w:rsid w:val="00793D46"/>
    <w:rsid w:val="00794422"/>
    <w:rsid w:val="0079465B"/>
    <w:rsid w:val="007A0CBF"/>
    <w:rsid w:val="007A2F1C"/>
    <w:rsid w:val="007B6202"/>
    <w:rsid w:val="007B7B6C"/>
    <w:rsid w:val="007C30DE"/>
    <w:rsid w:val="007C600A"/>
    <w:rsid w:val="007D140E"/>
    <w:rsid w:val="007D1CF4"/>
    <w:rsid w:val="007D450C"/>
    <w:rsid w:val="007E1C96"/>
    <w:rsid w:val="007E1DDA"/>
    <w:rsid w:val="007E2C0A"/>
    <w:rsid w:val="007E3E0F"/>
    <w:rsid w:val="007E41F8"/>
    <w:rsid w:val="007E4D26"/>
    <w:rsid w:val="007E51A6"/>
    <w:rsid w:val="007F39E5"/>
    <w:rsid w:val="007F3D46"/>
    <w:rsid w:val="007F481C"/>
    <w:rsid w:val="007F51C6"/>
    <w:rsid w:val="007F5F71"/>
    <w:rsid w:val="007F6CEE"/>
    <w:rsid w:val="008052E3"/>
    <w:rsid w:val="0081395D"/>
    <w:rsid w:val="008139CF"/>
    <w:rsid w:val="008146EE"/>
    <w:rsid w:val="00814C00"/>
    <w:rsid w:val="0081569D"/>
    <w:rsid w:val="00822C68"/>
    <w:rsid w:val="008244C2"/>
    <w:rsid w:val="00824B1F"/>
    <w:rsid w:val="00836132"/>
    <w:rsid w:val="00837561"/>
    <w:rsid w:val="008375B3"/>
    <w:rsid w:val="008418A6"/>
    <w:rsid w:val="008458F7"/>
    <w:rsid w:val="00845BD1"/>
    <w:rsid w:val="008473FC"/>
    <w:rsid w:val="00851045"/>
    <w:rsid w:val="0085704A"/>
    <w:rsid w:val="0086048B"/>
    <w:rsid w:val="00860988"/>
    <w:rsid w:val="00861C7E"/>
    <w:rsid w:val="00866F9F"/>
    <w:rsid w:val="00870370"/>
    <w:rsid w:val="00872701"/>
    <w:rsid w:val="00873089"/>
    <w:rsid w:val="008738D8"/>
    <w:rsid w:val="008745AB"/>
    <w:rsid w:val="00875625"/>
    <w:rsid w:val="00876524"/>
    <w:rsid w:val="0087669B"/>
    <w:rsid w:val="00880873"/>
    <w:rsid w:val="008828F5"/>
    <w:rsid w:val="00885099"/>
    <w:rsid w:val="008869F1"/>
    <w:rsid w:val="00891452"/>
    <w:rsid w:val="0089203E"/>
    <w:rsid w:val="00892078"/>
    <w:rsid w:val="008936B0"/>
    <w:rsid w:val="00896277"/>
    <w:rsid w:val="00897779"/>
    <w:rsid w:val="00897E32"/>
    <w:rsid w:val="008A06C1"/>
    <w:rsid w:val="008A3165"/>
    <w:rsid w:val="008A3629"/>
    <w:rsid w:val="008A7286"/>
    <w:rsid w:val="008A7DB7"/>
    <w:rsid w:val="008B1644"/>
    <w:rsid w:val="008B411F"/>
    <w:rsid w:val="008B420C"/>
    <w:rsid w:val="008B438C"/>
    <w:rsid w:val="008B512C"/>
    <w:rsid w:val="008B51D8"/>
    <w:rsid w:val="008C0E9A"/>
    <w:rsid w:val="008C7A96"/>
    <w:rsid w:val="008D1C09"/>
    <w:rsid w:val="008D2763"/>
    <w:rsid w:val="008D3F59"/>
    <w:rsid w:val="008E32F6"/>
    <w:rsid w:val="008E3EB2"/>
    <w:rsid w:val="008E404E"/>
    <w:rsid w:val="008E49B8"/>
    <w:rsid w:val="008E768C"/>
    <w:rsid w:val="008F0224"/>
    <w:rsid w:val="008F1F8F"/>
    <w:rsid w:val="008F2AAF"/>
    <w:rsid w:val="008F5FF4"/>
    <w:rsid w:val="009049D2"/>
    <w:rsid w:val="0090542A"/>
    <w:rsid w:val="00907BFD"/>
    <w:rsid w:val="0091345A"/>
    <w:rsid w:val="00916B5B"/>
    <w:rsid w:val="00920320"/>
    <w:rsid w:val="0092038F"/>
    <w:rsid w:val="009206CA"/>
    <w:rsid w:val="00920AE9"/>
    <w:rsid w:val="00920B75"/>
    <w:rsid w:val="009219CD"/>
    <w:rsid w:val="00930CF6"/>
    <w:rsid w:val="00932464"/>
    <w:rsid w:val="009340DB"/>
    <w:rsid w:val="00937119"/>
    <w:rsid w:val="00940675"/>
    <w:rsid w:val="00942B89"/>
    <w:rsid w:val="00944B6A"/>
    <w:rsid w:val="00944C46"/>
    <w:rsid w:val="0094591F"/>
    <w:rsid w:val="00946A79"/>
    <w:rsid w:val="00947392"/>
    <w:rsid w:val="009514DB"/>
    <w:rsid w:val="00953667"/>
    <w:rsid w:val="00954993"/>
    <w:rsid w:val="00954DA4"/>
    <w:rsid w:val="00955D86"/>
    <w:rsid w:val="00967553"/>
    <w:rsid w:val="00973957"/>
    <w:rsid w:val="009739A4"/>
    <w:rsid w:val="0097416E"/>
    <w:rsid w:val="0098109E"/>
    <w:rsid w:val="00982ECC"/>
    <w:rsid w:val="009844E3"/>
    <w:rsid w:val="009870B7"/>
    <w:rsid w:val="00987EF8"/>
    <w:rsid w:val="00990EF7"/>
    <w:rsid w:val="0099416C"/>
    <w:rsid w:val="00994D1D"/>
    <w:rsid w:val="00995E60"/>
    <w:rsid w:val="009970F3"/>
    <w:rsid w:val="009A0096"/>
    <w:rsid w:val="009A0E1F"/>
    <w:rsid w:val="009A2351"/>
    <w:rsid w:val="009A2D73"/>
    <w:rsid w:val="009A4BA7"/>
    <w:rsid w:val="009A4F0E"/>
    <w:rsid w:val="009A5AB1"/>
    <w:rsid w:val="009B026B"/>
    <w:rsid w:val="009B2D69"/>
    <w:rsid w:val="009B3CE7"/>
    <w:rsid w:val="009B5AEB"/>
    <w:rsid w:val="009B7FFE"/>
    <w:rsid w:val="009C15A4"/>
    <w:rsid w:val="009C2C2D"/>
    <w:rsid w:val="009C5639"/>
    <w:rsid w:val="009C6FCC"/>
    <w:rsid w:val="009D0911"/>
    <w:rsid w:val="009D1AB5"/>
    <w:rsid w:val="009D3045"/>
    <w:rsid w:val="009D32FB"/>
    <w:rsid w:val="009D4840"/>
    <w:rsid w:val="009E5AF4"/>
    <w:rsid w:val="009E65EE"/>
    <w:rsid w:val="009F2065"/>
    <w:rsid w:val="009F2901"/>
    <w:rsid w:val="009F2D4C"/>
    <w:rsid w:val="009F4D2B"/>
    <w:rsid w:val="009F6AC9"/>
    <w:rsid w:val="009F7727"/>
    <w:rsid w:val="00A02FCC"/>
    <w:rsid w:val="00A05E19"/>
    <w:rsid w:val="00A12360"/>
    <w:rsid w:val="00A12549"/>
    <w:rsid w:val="00A12901"/>
    <w:rsid w:val="00A15DFF"/>
    <w:rsid w:val="00A16F61"/>
    <w:rsid w:val="00A212F9"/>
    <w:rsid w:val="00A253F6"/>
    <w:rsid w:val="00A274FC"/>
    <w:rsid w:val="00A27967"/>
    <w:rsid w:val="00A3518E"/>
    <w:rsid w:val="00A36461"/>
    <w:rsid w:val="00A40152"/>
    <w:rsid w:val="00A42D64"/>
    <w:rsid w:val="00A44499"/>
    <w:rsid w:val="00A44531"/>
    <w:rsid w:val="00A451A5"/>
    <w:rsid w:val="00A47190"/>
    <w:rsid w:val="00A47BDF"/>
    <w:rsid w:val="00A50C85"/>
    <w:rsid w:val="00A50C8D"/>
    <w:rsid w:val="00A55549"/>
    <w:rsid w:val="00A5556C"/>
    <w:rsid w:val="00A56ACC"/>
    <w:rsid w:val="00A57409"/>
    <w:rsid w:val="00A6060F"/>
    <w:rsid w:val="00A63D75"/>
    <w:rsid w:val="00A63F65"/>
    <w:rsid w:val="00A663CE"/>
    <w:rsid w:val="00A66E53"/>
    <w:rsid w:val="00A70304"/>
    <w:rsid w:val="00A706A5"/>
    <w:rsid w:val="00A71C91"/>
    <w:rsid w:val="00A722AD"/>
    <w:rsid w:val="00A72448"/>
    <w:rsid w:val="00A72D44"/>
    <w:rsid w:val="00A74B71"/>
    <w:rsid w:val="00A75207"/>
    <w:rsid w:val="00A802C1"/>
    <w:rsid w:val="00A83630"/>
    <w:rsid w:val="00A84D36"/>
    <w:rsid w:val="00A87CAB"/>
    <w:rsid w:val="00A91A93"/>
    <w:rsid w:val="00A930F6"/>
    <w:rsid w:val="00A93E5F"/>
    <w:rsid w:val="00A964D4"/>
    <w:rsid w:val="00A96ECE"/>
    <w:rsid w:val="00A97506"/>
    <w:rsid w:val="00AA2030"/>
    <w:rsid w:val="00AA3DEE"/>
    <w:rsid w:val="00AA4C4F"/>
    <w:rsid w:val="00AA4C8A"/>
    <w:rsid w:val="00AA5455"/>
    <w:rsid w:val="00AA6195"/>
    <w:rsid w:val="00AB16B0"/>
    <w:rsid w:val="00AB20DC"/>
    <w:rsid w:val="00AB2AFE"/>
    <w:rsid w:val="00AC1C8F"/>
    <w:rsid w:val="00AC1CC1"/>
    <w:rsid w:val="00AC4123"/>
    <w:rsid w:val="00AC420A"/>
    <w:rsid w:val="00AD18B4"/>
    <w:rsid w:val="00AD297B"/>
    <w:rsid w:val="00AD3429"/>
    <w:rsid w:val="00AD3E4F"/>
    <w:rsid w:val="00AD46BC"/>
    <w:rsid w:val="00AD4F1A"/>
    <w:rsid w:val="00AD5AFE"/>
    <w:rsid w:val="00AD604D"/>
    <w:rsid w:val="00AD6824"/>
    <w:rsid w:val="00AD768F"/>
    <w:rsid w:val="00AD76EF"/>
    <w:rsid w:val="00AD7CCF"/>
    <w:rsid w:val="00AE0FB0"/>
    <w:rsid w:val="00AE32E5"/>
    <w:rsid w:val="00AE6FC3"/>
    <w:rsid w:val="00AE724E"/>
    <w:rsid w:val="00AF1366"/>
    <w:rsid w:val="00AF28E6"/>
    <w:rsid w:val="00AF3381"/>
    <w:rsid w:val="00AF5C6B"/>
    <w:rsid w:val="00AF76A1"/>
    <w:rsid w:val="00B01948"/>
    <w:rsid w:val="00B0381B"/>
    <w:rsid w:val="00B03DB6"/>
    <w:rsid w:val="00B03DEA"/>
    <w:rsid w:val="00B04C03"/>
    <w:rsid w:val="00B05D1B"/>
    <w:rsid w:val="00B067B4"/>
    <w:rsid w:val="00B07562"/>
    <w:rsid w:val="00B07651"/>
    <w:rsid w:val="00B07AE4"/>
    <w:rsid w:val="00B11AE6"/>
    <w:rsid w:val="00B15D70"/>
    <w:rsid w:val="00B16A94"/>
    <w:rsid w:val="00B17390"/>
    <w:rsid w:val="00B17DA6"/>
    <w:rsid w:val="00B20DF8"/>
    <w:rsid w:val="00B21378"/>
    <w:rsid w:val="00B2203A"/>
    <w:rsid w:val="00B24157"/>
    <w:rsid w:val="00B24666"/>
    <w:rsid w:val="00B25108"/>
    <w:rsid w:val="00B255AC"/>
    <w:rsid w:val="00B31F60"/>
    <w:rsid w:val="00B321E9"/>
    <w:rsid w:val="00B327D7"/>
    <w:rsid w:val="00B3579F"/>
    <w:rsid w:val="00B4090A"/>
    <w:rsid w:val="00B4218A"/>
    <w:rsid w:val="00B43585"/>
    <w:rsid w:val="00B46B3F"/>
    <w:rsid w:val="00B46D8C"/>
    <w:rsid w:val="00B4751E"/>
    <w:rsid w:val="00B50FEF"/>
    <w:rsid w:val="00B52BFC"/>
    <w:rsid w:val="00B53111"/>
    <w:rsid w:val="00B5453E"/>
    <w:rsid w:val="00B57B86"/>
    <w:rsid w:val="00B612DF"/>
    <w:rsid w:val="00B616CE"/>
    <w:rsid w:val="00B6288B"/>
    <w:rsid w:val="00B63857"/>
    <w:rsid w:val="00B63C2B"/>
    <w:rsid w:val="00B6481A"/>
    <w:rsid w:val="00B667FF"/>
    <w:rsid w:val="00B70283"/>
    <w:rsid w:val="00B70424"/>
    <w:rsid w:val="00B72004"/>
    <w:rsid w:val="00B72427"/>
    <w:rsid w:val="00B72A1C"/>
    <w:rsid w:val="00B72A4A"/>
    <w:rsid w:val="00B77414"/>
    <w:rsid w:val="00B80833"/>
    <w:rsid w:val="00B80C06"/>
    <w:rsid w:val="00B810C7"/>
    <w:rsid w:val="00B8475E"/>
    <w:rsid w:val="00B8614C"/>
    <w:rsid w:val="00B878C9"/>
    <w:rsid w:val="00B87BD7"/>
    <w:rsid w:val="00B97A3F"/>
    <w:rsid w:val="00BA04EF"/>
    <w:rsid w:val="00BA1BAF"/>
    <w:rsid w:val="00BA2A52"/>
    <w:rsid w:val="00BA2AE0"/>
    <w:rsid w:val="00BA3586"/>
    <w:rsid w:val="00BA729B"/>
    <w:rsid w:val="00BB376F"/>
    <w:rsid w:val="00BB4959"/>
    <w:rsid w:val="00BB4E64"/>
    <w:rsid w:val="00BB5DB4"/>
    <w:rsid w:val="00BC0845"/>
    <w:rsid w:val="00BC1275"/>
    <w:rsid w:val="00BC290D"/>
    <w:rsid w:val="00BC375F"/>
    <w:rsid w:val="00BC5836"/>
    <w:rsid w:val="00BC704A"/>
    <w:rsid w:val="00BD10CB"/>
    <w:rsid w:val="00BD17C5"/>
    <w:rsid w:val="00BD2361"/>
    <w:rsid w:val="00BD4418"/>
    <w:rsid w:val="00BD5138"/>
    <w:rsid w:val="00BD5964"/>
    <w:rsid w:val="00BD5C3C"/>
    <w:rsid w:val="00BE0035"/>
    <w:rsid w:val="00BE13D0"/>
    <w:rsid w:val="00BE1B3B"/>
    <w:rsid w:val="00BE1FAF"/>
    <w:rsid w:val="00BE2178"/>
    <w:rsid w:val="00BE2AFB"/>
    <w:rsid w:val="00BE3CE1"/>
    <w:rsid w:val="00BF04C2"/>
    <w:rsid w:val="00BF0B98"/>
    <w:rsid w:val="00BF0D05"/>
    <w:rsid w:val="00BF0F29"/>
    <w:rsid w:val="00BF143F"/>
    <w:rsid w:val="00C00215"/>
    <w:rsid w:val="00C0142B"/>
    <w:rsid w:val="00C025C5"/>
    <w:rsid w:val="00C02FEE"/>
    <w:rsid w:val="00C05706"/>
    <w:rsid w:val="00C05A94"/>
    <w:rsid w:val="00C06AA2"/>
    <w:rsid w:val="00C14254"/>
    <w:rsid w:val="00C1550D"/>
    <w:rsid w:val="00C20EC0"/>
    <w:rsid w:val="00C246E8"/>
    <w:rsid w:val="00C30CA2"/>
    <w:rsid w:val="00C30F49"/>
    <w:rsid w:val="00C310E9"/>
    <w:rsid w:val="00C328CC"/>
    <w:rsid w:val="00C36508"/>
    <w:rsid w:val="00C40E92"/>
    <w:rsid w:val="00C41C16"/>
    <w:rsid w:val="00C43F8C"/>
    <w:rsid w:val="00C44943"/>
    <w:rsid w:val="00C44F79"/>
    <w:rsid w:val="00C45B54"/>
    <w:rsid w:val="00C5047D"/>
    <w:rsid w:val="00C51F8A"/>
    <w:rsid w:val="00C52983"/>
    <w:rsid w:val="00C53B25"/>
    <w:rsid w:val="00C56252"/>
    <w:rsid w:val="00C5665A"/>
    <w:rsid w:val="00C65591"/>
    <w:rsid w:val="00C6604D"/>
    <w:rsid w:val="00C6708A"/>
    <w:rsid w:val="00C755F0"/>
    <w:rsid w:val="00C804AD"/>
    <w:rsid w:val="00C820F0"/>
    <w:rsid w:val="00C83851"/>
    <w:rsid w:val="00C853B2"/>
    <w:rsid w:val="00C86F8D"/>
    <w:rsid w:val="00C870A2"/>
    <w:rsid w:val="00C874C3"/>
    <w:rsid w:val="00C92634"/>
    <w:rsid w:val="00C95855"/>
    <w:rsid w:val="00C95881"/>
    <w:rsid w:val="00C964A9"/>
    <w:rsid w:val="00C96DCE"/>
    <w:rsid w:val="00C974C1"/>
    <w:rsid w:val="00C97807"/>
    <w:rsid w:val="00C97CAE"/>
    <w:rsid w:val="00CA0091"/>
    <w:rsid w:val="00CA01FC"/>
    <w:rsid w:val="00CA3436"/>
    <w:rsid w:val="00CA3C15"/>
    <w:rsid w:val="00CB02F8"/>
    <w:rsid w:val="00CB0E3E"/>
    <w:rsid w:val="00CB12B8"/>
    <w:rsid w:val="00CB1809"/>
    <w:rsid w:val="00CB55F6"/>
    <w:rsid w:val="00CB6A70"/>
    <w:rsid w:val="00CC1230"/>
    <w:rsid w:val="00CC1655"/>
    <w:rsid w:val="00CC2609"/>
    <w:rsid w:val="00CC268A"/>
    <w:rsid w:val="00CC556D"/>
    <w:rsid w:val="00CC6195"/>
    <w:rsid w:val="00CC6AEC"/>
    <w:rsid w:val="00CD23F3"/>
    <w:rsid w:val="00CD23FA"/>
    <w:rsid w:val="00CD6497"/>
    <w:rsid w:val="00CD7468"/>
    <w:rsid w:val="00CE596E"/>
    <w:rsid w:val="00CE6434"/>
    <w:rsid w:val="00CE76AF"/>
    <w:rsid w:val="00CF01A0"/>
    <w:rsid w:val="00CF03AF"/>
    <w:rsid w:val="00CF0F21"/>
    <w:rsid w:val="00CF0FBA"/>
    <w:rsid w:val="00CF2A7A"/>
    <w:rsid w:val="00CF509F"/>
    <w:rsid w:val="00CF5329"/>
    <w:rsid w:val="00CF548A"/>
    <w:rsid w:val="00CF5699"/>
    <w:rsid w:val="00D0310D"/>
    <w:rsid w:val="00D055F9"/>
    <w:rsid w:val="00D06000"/>
    <w:rsid w:val="00D070EC"/>
    <w:rsid w:val="00D07550"/>
    <w:rsid w:val="00D10C8D"/>
    <w:rsid w:val="00D12418"/>
    <w:rsid w:val="00D13151"/>
    <w:rsid w:val="00D15330"/>
    <w:rsid w:val="00D20451"/>
    <w:rsid w:val="00D227BC"/>
    <w:rsid w:val="00D31E9E"/>
    <w:rsid w:val="00D3391C"/>
    <w:rsid w:val="00D43037"/>
    <w:rsid w:val="00D45C29"/>
    <w:rsid w:val="00D45E63"/>
    <w:rsid w:val="00D4698E"/>
    <w:rsid w:val="00D5068D"/>
    <w:rsid w:val="00D50748"/>
    <w:rsid w:val="00D50AF4"/>
    <w:rsid w:val="00D51595"/>
    <w:rsid w:val="00D515D5"/>
    <w:rsid w:val="00D54C3E"/>
    <w:rsid w:val="00D65186"/>
    <w:rsid w:val="00D71804"/>
    <w:rsid w:val="00D77C3A"/>
    <w:rsid w:val="00D81ED4"/>
    <w:rsid w:val="00D836A9"/>
    <w:rsid w:val="00D86BBC"/>
    <w:rsid w:val="00D87389"/>
    <w:rsid w:val="00D87969"/>
    <w:rsid w:val="00D87AD9"/>
    <w:rsid w:val="00D9326D"/>
    <w:rsid w:val="00D93615"/>
    <w:rsid w:val="00D939E0"/>
    <w:rsid w:val="00D93C43"/>
    <w:rsid w:val="00D942C9"/>
    <w:rsid w:val="00D96D47"/>
    <w:rsid w:val="00D973D5"/>
    <w:rsid w:val="00DA08A5"/>
    <w:rsid w:val="00DA0BEA"/>
    <w:rsid w:val="00DA1DD9"/>
    <w:rsid w:val="00DA2202"/>
    <w:rsid w:val="00DA26D4"/>
    <w:rsid w:val="00DA46C3"/>
    <w:rsid w:val="00DA492B"/>
    <w:rsid w:val="00DA6432"/>
    <w:rsid w:val="00DB13A1"/>
    <w:rsid w:val="00DB161C"/>
    <w:rsid w:val="00DB3967"/>
    <w:rsid w:val="00DB3EE4"/>
    <w:rsid w:val="00DC2744"/>
    <w:rsid w:val="00DC2E27"/>
    <w:rsid w:val="00DC3049"/>
    <w:rsid w:val="00DC3895"/>
    <w:rsid w:val="00DC3F2B"/>
    <w:rsid w:val="00DC4431"/>
    <w:rsid w:val="00DC50DA"/>
    <w:rsid w:val="00DC5B19"/>
    <w:rsid w:val="00DC708A"/>
    <w:rsid w:val="00DD38D4"/>
    <w:rsid w:val="00DD51E0"/>
    <w:rsid w:val="00DD662D"/>
    <w:rsid w:val="00DE17B2"/>
    <w:rsid w:val="00DE59B6"/>
    <w:rsid w:val="00DE64E5"/>
    <w:rsid w:val="00DE65FC"/>
    <w:rsid w:val="00DE68ED"/>
    <w:rsid w:val="00DE6F4C"/>
    <w:rsid w:val="00DE70DE"/>
    <w:rsid w:val="00DE7488"/>
    <w:rsid w:val="00DF773F"/>
    <w:rsid w:val="00E00F19"/>
    <w:rsid w:val="00E02A86"/>
    <w:rsid w:val="00E034BF"/>
    <w:rsid w:val="00E04C75"/>
    <w:rsid w:val="00E061D3"/>
    <w:rsid w:val="00E069E4"/>
    <w:rsid w:val="00E073AF"/>
    <w:rsid w:val="00E1114A"/>
    <w:rsid w:val="00E1115C"/>
    <w:rsid w:val="00E11C49"/>
    <w:rsid w:val="00E14690"/>
    <w:rsid w:val="00E15F6E"/>
    <w:rsid w:val="00E16C95"/>
    <w:rsid w:val="00E21357"/>
    <w:rsid w:val="00E22516"/>
    <w:rsid w:val="00E26494"/>
    <w:rsid w:val="00E3130F"/>
    <w:rsid w:val="00E3174E"/>
    <w:rsid w:val="00E3234F"/>
    <w:rsid w:val="00E351FA"/>
    <w:rsid w:val="00E37D80"/>
    <w:rsid w:val="00E40582"/>
    <w:rsid w:val="00E41949"/>
    <w:rsid w:val="00E42BCE"/>
    <w:rsid w:val="00E43224"/>
    <w:rsid w:val="00E43D40"/>
    <w:rsid w:val="00E4591E"/>
    <w:rsid w:val="00E475F1"/>
    <w:rsid w:val="00E50654"/>
    <w:rsid w:val="00E51E8B"/>
    <w:rsid w:val="00E54975"/>
    <w:rsid w:val="00E55669"/>
    <w:rsid w:val="00E622F9"/>
    <w:rsid w:val="00E63694"/>
    <w:rsid w:val="00E63A80"/>
    <w:rsid w:val="00E64CFA"/>
    <w:rsid w:val="00E66AC2"/>
    <w:rsid w:val="00E72E34"/>
    <w:rsid w:val="00E754E1"/>
    <w:rsid w:val="00E75C61"/>
    <w:rsid w:val="00E76629"/>
    <w:rsid w:val="00E76DAC"/>
    <w:rsid w:val="00E801E6"/>
    <w:rsid w:val="00E803A6"/>
    <w:rsid w:val="00E8136D"/>
    <w:rsid w:val="00E8311D"/>
    <w:rsid w:val="00E843E3"/>
    <w:rsid w:val="00E84F78"/>
    <w:rsid w:val="00E90888"/>
    <w:rsid w:val="00E91D69"/>
    <w:rsid w:val="00E93DE5"/>
    <w:rsid w:val="00E94F59"/>
    <w:rsid w:val="00E96176"/>
    <w:rsid w:val="00E96336"/>
    <w:rsid w:val="00EA2A03"/>
    <w:rsid w:val="00EA2A20"/>
    <w:rsid w:val="00EA3C2B"/>
    <w:rsid w:val="00EA77F5"/>
    <w:rsid w:val="00EB32ED"/>
    <w:rsid w:val="00EB3D5B"/>
    <w:rsid w:val="00EB403D"/>
    <w:rsid w:val="00EB5985"/>
    <w:rsid w:val="00EB7625"/>
    <w:rsid w:val="00EB764D"/>
    <w:rsid w:val="00EC0415"/>
    <w:rsid w:val="00EC180F"/>
    <w:rsid w:val="00EC3AF2"/>
    <w:rsid w:val="00EC425A"/>
    <w:rsid w:val="00EC4B92"/>
    <w:rsid w:val="00EC65AA"/>
    <w:rsid w:val="00ED0660"/>
    <w:rsid w:val="00ED7AA2"/>
    <w:rsid w:val="00EE26AD"/>
    <w:rsid w:val="00EE40C4"/>
    <w:rsid w:val="00EF00F9"/>
    <w:rsid w:val="00EF0F5D"/>
    <w:rsid w:val="00EF1870"/>
    <w:rsid w:val="00EF3690"/>
    <w:rsid w:val="00EF4E05"/>
    <w:rsid w:val="00F002C9"/>
    <w:rsid w:val="00F00871"/>
    <w:rsid w:val="00F0216F"/>
    <w:rsid w:val="00F0661E"/>
    <w:rsid w:val="00F114E9"/>
    <w:rsid w:val="00F11F7E"/>
    <w:rsid w:val="00F14E23"/>
    <w:rsid w:val="00F15A28"/>
    <w:rsid w:val="00F16DDE"/>
    <w:rsid w:val="00F1735F"/>
    <w:rsid w:val="00F210D3"/>
    <w:rsid w:val="00F229F9"/>
    <w:rsid w:val="00F2754A"/>
    <w:rsid w:val="00F301DE"/>
    <w:rsid w:val="00F3351F"/>
    <w:rsid w:val="00F337EF"/>
    <w:rsid w:val="00F34562"/>
    <w:rsid w:val="00F45647"/>
    <w:rsid w:val="00F5094F"/>
    <w:rsid w:val="00F5113C"/>
    <w:rsid w:val="00F51766"/>
    <w:rsid w:val="00F52483"/>
    <w:rsid w:val="00F532A2"/>
    <w:rsid w:val="00F54385"/>
    <w:rsid w:val="00F54B0B"/>
    <w:rsid w:val="00F553E4"/>
    <w:rsid w:val="00F56C60"/>
    <w:rsid w:val="00F61F11"/>
    <w:rsid w:val="00F62FE4"/>
    <w:rsid w:val="00F63254"/>
    <w:rsid w:val="00F63C47"/>
    <w:rsid w:val="00F64C4B"/>
    <w:rsid w:val="00F657FA"/>
    <w:rsid w:val="00F673AF"/>
    <w:rsid w:val="00F673C8"/>
    <w:rsid w:val="00F71E1A"/>
    <w:rsid w:val="00F7279C"/>
    <w:rsid w:val="00F72F87"/>
    <w:rsid w:val="00F81BB2"/>
    <w:rsid w:val="00F86193"/>
    <w:rsid w:val="00F8692A"/>
    <w:rsid w:val="00F87FF2"/>
    <w:rsid w:val="00F91451"/>
    <w:rsid w:val="00F95FA8"/>
    <w:rsid w:val="00F961F5"/>
    <w:rsid w:val="00FA029F"/>
    <w:rsid w:val="00FA0F28"/>
    <w:rsid w:val="00FA1ADB"/>
    <w:rsid w:val="00FA6C9C"/>
    <w:rsid w:val="00FA6D3C"/>
    <w:rsid w:val="00FA7C00"/>
    <w:rsid w:val="00FB0650"/>
    <w:rsid w:val="00FB2F81"/>
    <w:rsid w:val="00FB32A7"/>
    <w:rsid w:val="00FB3760"/>
    <w:rsid w:val="00FB50DD"/>
    <w:rsid w:val="00FB5944"/>
    <w:rsid w:val="00FB5B5F"/>
    <w:rsid w:val="00FB5E24"/>
    <w:rsid w:val="00FC0AA9"/>
    <w:rsid w:val="00FC4274"/>
    <w:rsid w:val="00FC54F5"/>
    <w:rsid w:val="00FC57F8"/>
    <w:rsid w:val="00FC600D"/>
    <w:rsid w:val="00FC60DE"/>
    <w:rsid w:val="00FC756C"/>
    <w:rsid w:val="00FD0451"/>
    <w:rsid w:val="00FD1956"/>
    <w:rsid w:val="00FD29D2"/>
    <w:rsid w:val="00FD3634"/>
    <w:rsid w:val="00FD376C"/>
    <w:rsid w:val="00FD409D"/>
    <w:rsid w:val="00FD5C27"/>
    <w:rsid w:val="00FE0F07"/>
    <w:rsid w:val="00FE0F51"/>
    <w:rsid w:val="00FE1E75"/>
    <w:rsid w:val="00FE4777"/>
    <w:rsid w:val="00FE5A55"/>
    <w:rsid w:val="00FE5F01"/>
    <w:rsid w:val="00FF0D47"/>
    <w:rsid w:val="00FF2E81"/>
    <w:rsid w:val="00FF32FC"/>
    <w:rsid w:val="00FF366E"/>
    <w:rsid w:val="00FF4200"/>
    <w:rsid w:val="00FF6D38"/>
    <w:rsid w:val="00FF7A46"/>
    <w:rsid w:val="016D4D19"/>
    <w:rsid w:val="01A44458"/>
    <w:rsid w:val="06630068"/>
    <w:rsid w:val="0F914960"/>
    <w:rsid w:val="11D77911"/>
    <w:rsid w:val="159A54FF"/>
    <w:rsid w:val="2387214C"/>
    <w:rsid w:val="242D6B0C"/>
    <w:rsid w:val="29530A33"/>
    <w:rsid w:val="2ADE61BC"/>
    <w:rsid w:val="2BA528E8"/>
    <w:rsid w:val="2D161FEA"/>
    <w:rsid w:val="2D44235C"/>
    <w:rsid w:val="2DB05B66"/>
    <w:rsid w:val="2E2F4A44"/>
    <w:rsid w:val="31395EA2"/>
    <w:rsid w:val="32C455D6"/>
    <w:rsid w:val="35D35A9F"/>
    <w:rsid w:val="37BD3AEC"/>
    <w:rsid w:val="3C7024EA"/>
    <w:rsid w:val="3D7E3837"/>
    <w:rsid w:val="3F495AC7"/>
    <w:rsid w:val="43660421"/>
    <w:rsid w:val="43AB2A94"/>
    <w:rsid w:val="45F94B88"/>
    <w:rsid w:val="47A12F09"/>
    <w:rsid w:val="47CF5AE0"/>
    <w:rsid w:val="48675B18"/>
    <w:rsid w:val="48944E6A"/>
    <w:rsid w:val="49EB3D30"/>
    <w:rsid w:val="4CF41103"/>
    <w:rsid w:val="4FBB36E3"/>
    <w:rsid w:val="500B171D"/>
    <w:rsid w:val="53B32305"/>
    <w:rsid w:val="53EE096F"/>
    <w:rsid w:val="569A0F18"/>
    <w:rsid w:val="581A4541"/>
    <w:rsid w:val="5CD050B5"/>
    <w:rsid w:val="5F3B5534"/>
    <w:rsid w:val="61700F89"/>
    <w:rsid w:val="63107694"/>
    <w:rsid w:val="67046EAD"/>
    <w:rsid w:val="6797452D"/>
    <w:rsid w:val="67A116E1"/>
    <w:rsid w:val="67D77809"/>
    <w:rsid w:val="690061B2"/>
    <w:rsid w:val="6D7C02E6"/>
    <w:rsid w:val="6FB13721"/>
    <w:rsid w:val="704F512C"/>
    <w:rsid w:val="718010C3"/>
    <w:rsid w:val="729328DA"/>
    <w:rsid w:val="743B288F"/>
    <w:rsid w:val="74BF5CE3"/>
    <w:rsid w:val="77272019"/>
    <w:rsid w:val="7782124A"/>
    <w:rsid w:val="78515CC6"/>
    <w:rsid w:val="79556C16"/>
    <w:rsid w:val="7A652CD5"/>
    <w:rsid w:val="7BC72A5B"/>
    <w:rsid w:val="7EA74916"/>
    <w:rsid w:val="7EF80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qFormat="1" w:unhideWhenUsed="0" w:uiPriority="99" w:semiHidden="0"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unhideWhenUsed/>
    <w:qFormat/>
    <w:uiPriority w:val="9"/>
    <w:pPr>
      <w:keepNext/>
      <w:keepLines/>
      <w:numPr>
        <w:ilvl w:val="2"/>
        <w:numId w:val="1"/>
      </w:numPr>
      <w:spacing w:before="163"/>
      <w:ind w:firstLineChars="0"/>
      <w:outlineLvl w:val="2"/>
    </w:pPr>
    <w:rPr>
      <w:b/>
      <w:bCs/>
      <w:szCs w:val="32"/>
    </w:rPr>
  </w:style>
  <w:style w:type="paragraph" w:styleId="3">
    <w:name w:val="heading 4"/>
    <w:basedOn w:val="1"/>
    <w:next w:val="1"/>
    <w:link w:val="55"/>
    <w:qFormat/>
    <w:uiPriority w:val="9"/>
    <w:pPr>
      <w:keepNext/>
      <w:keepLines/>
      <w:spacing w:before="280" w:after="290" w:line="376" w:lineRule="auto"/>
      <w:outlineLvl w:val="3"/>
    </w:pPr>
    <w:rPr>
      <w:rFonts w:ascii="Cambria" w:hAnsi="Cambria" w:eastAsia="宋体" w:cs="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Indent"/>
    <w:basedOn w:val="1"/>
    <w:qFormat/>
    <w:uiPriority w:val="99"/>
    <w:pPr>
      <w:ind w:firstLine="567"/>
    </w:pPr>
  </w:style>
  <w:style w:type="paragraph" w:styleId="5">
    <w:name w:val="annotation text"/>
    <w:basedOn w:val="1"/>
    <w:link w:val="60"/>
    <w:qFormat/>
    <w:uiPriority w:val="0"/>
    <w:pPr>
      <w:jc w:val="left"/>
    </w:pPr>
    <w:rPr>
      <w:rFonts w:ascii="Calibri" w:hAnsi="Calibri" w:eastAsia="宋体" w:cs="Times New Roman"/>
    </w:rPr>
  </w:style>
  <w:style w:type="paragraph" w:styleId="6">
    <w:name w:val="Body Text"/>
    <w:basedOn w:val="1"/>
    <w:link w:val="32"/>
    <w:semiHidden/>
    <w:unhideWhenUsed/>
    <w:qFormat/>
    <w:uiPriority w:val="99"/>
    <w:pPr>
      <w:spacing w:after="120"/>
    </w:pPr>
  </w:style>
  <w:style w:type="paragraph" w:styleId="7">
    <w:name w:val="Body Text Indent"/>
    <w:basedOn w:val="1"/>
    <w:link w:val="27"/>
    <w:qFormat/>
    <w:uiPriority w:val="0"/>
    <w:pPr>
      <w:spacing w:after="120"/>
      <w:ind w:left="420" w:leftChars="200"/>
    </w:pPr>
    <w:rPr>
      <w:rFonts w:eastAsia="宋体"/>
    </w:rPr>
  </w:style>
  <w:style w:type="paragraph" w:styleId="8">
    <w:name w:val="endnote text"/>
    <w:basedOn w:val="1"/>
    <w:qFormat/>
    <w:uiPriority w:val="99"/>
    <w:pPr>
      <w:widowControl/>
      <w:spacing w:line="396" w:lineRule="auto"/>
      <w:ind w:firstLine="200"/>
      <w:jc w:val="left"/>
    </w:pPr>
    <w:rPr>
      <w:kern w:val="0"/>
      <w:sz w:val="24"/>
      <w:lang w:eastAsia="en-US" w:bidi="en-US"/>
    </w:rPr>
  </w:style>
  <w:style w:type="paragraph" w:styleId="9">
    <w:name w:val="Balloon Text"/>
    <w:basedOn w:val="1"/>
    <w:link w:val="42"/>
    <w:semiHidden/>
    <w:unhideWhenUsed/>
    <w:qFormat/>
    <w:uiPriority w:val="99"/>
    <w:rPr>
      <w:sz w:val="18"/>
      <w:szCs w:val="18"/>
    </w:rPr>
  </w:style>
  <w:style w:type="paragraph" w:styleId="10">
    <w:name w:val="footer"/>
    <w:basedOn w:val="1"/>
    <w:link w:val="25"/>
    <w:unhideWhenUsed/>
    <w:qFormat/>
    <w:uiPriority w:val="99"/>
    <w:pPr>
      <w:tabs>
        <w:tab w:val="center" w:pos="4153"/>
        <w:tab w:val="right" w:pos="8306"/>
      </w:tabs>
      <w:snapToGrid w:val="0"/>
      <w:jc w:val="left"/>
    </w:pPr>
    <w:rPr>
      <w:sz w:val="18"/>
      <w:szCs w:val="18"/>
    </w:rPr>
  </w:style>
  <w:style w:type="paragraph" w:styleId="11">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List"/>
    <w:basedOn w:val="1"/>
    <w:unhideWhenUsed/>
    <w:qFormat/>
    <w:uiPriority w:val="99"/>
    <w:pPr>
      <w:ind w:left="200" w:hanging="200" w:hangingChars="200"/>
      <w:contextualSpacing/>
    </w:pPr>
  </w:style>
  <w:style w:type="paragraph" w:styleId="13">
    <w:name w:val="Normal (Web)"/>
    <w:basedOn w:val="1"/>
    <w:link w:val="68"/>
    <w:qFormat/>
    <w:uiPriority w:val="99"/>
    <w:pPr>
      <w:widowControl/>
      <w:spacing w:before="100" w:beforeAutospacing="1" w:after="100" w:afterAutospacing="1"/>
      <w:jc w:val="left"/>
    </w:pPr>
    <w:rPr>
      <w:rFonts w:ascii="宋体" w:hAnsi="宋体" w:eastAsia="宋体" w:cs="Times New Roman"/>
      <w:kern w:val="0"/>
      <w:sz w:val="24"/>
      <w:szCs w:val="24"/>
    </w:rPr>
  </w:style>
  <w:style w:type="paragraph" w:styleId="14">
    <w:name w:val="annotation subject"/>
    <w:basedOn w:val="5"/>
    <w:next w:val="5"/>
    <w:link w:val="69"/>
    <w:semiHidden/>
    <w:unhideWhenUsed/>
    <w:qFormat/>
    <w:uiPriority w:val="99"/>
    <w:rPr>
      <w:rFonts w:asciiTheme="minorHAnsi" w:hAnsiTheme="minorHAnsi" w:eastAsiaTheme="minorEastAsia" w:cstheme="minorBidi"/>
      <w:b/>
      <w:bCs/>
    </w:rPr>
  </w:style>
  <w:style w:type="paragraph" w:styleId="15">
    <w:name w:val="Body Text First Indent"/>
    <w:basedOn w:val="6"/>
    <w:link w:val="33"/>
    <w:unhideWhenUsed/>
    <w:qFormat/>
    <w:uiPriority w:val="99"/>
    <w:pPr>
      <w:ind w:firstLine="420" w:firstLineChars="100"/>
    </w:pPr>
  </w:style>
  <w:style w:type="paragraph" w:styleId="16">
    <w:name w:val="Body Text First Indent 2"/>
    <w:basedOn w:val="7"/>
    <w:link w:val="31"/>
    <w:qFormat/>
    <w:uiPriority w:val="0"/>
    <w:pPr>
      <w:spacing w:line="460" w:lineRule="exact"/>
      <w:ind w:firstLine="200" w:firstLineChars="200"/>
    </w:p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rPr>
  </w:style>
  <w:style w:type="character" w:styleId="21">
    <w:name w:val="Hyperlink"/>
    <w:qFormat/>
    <w:uiPriority w:val="99"/>
    <w:rPr>
      <w:rFonts w:ascii="宋体" w:hAnsi="宋体" w:eastAsia="宋体" w:cs="宋体"/>
      <w:color w:val="0000FF"/>
      <w:kern w:val="2"/>
      <w:sz w:val="24"/>
      <w:szCs w:val="24"/>
      <w:u w:val="single"/>
      <w:lang w:val="en-US" w:eastAsia="zh-CN" w:bidi="ar-SA"/>
    </w:rPr>
  </w:style>
  <w:style w:type="character" w:styleId="22">
    <w:name w:val="annotation reference"/>
    <w:basedOn w:val="19"/>
    <w:semiHidden/>
    <w:unhideWhenUsed/>
    <w:qFormat/>
    <w:uiPriority w:val="99"/>
    <w:rPr>
      <w:sz w:val="21"/>
      <w:szCs w:val="21"/>
    </w:rPr>
  </w:style>
  <w:style w:type="paragraph" w:customStyle="1" w:styleId="23">
    <w:name w:val="样式1"/>
    <w:basedOn w:val="1"/>
    <w:qFormat/>
    <w:uiPriority w:val="0"/>
    <w:pPr>
      <w:numPr>
        <w:ilvl w:val="0"/>
        <w:numId w:val="2"/>
      </w:numPr>
      <w:adjustRightInd w:val="0"/>
      <w:snapToGrid w:val="0"/>
      <w:spacing w:after="100" w:afterAutospacing="1" w:line="360" w:lineRule="auto"/>
      <w:jc w:val="left"/>
      <w:outlineLvl w:val="0"/>
    </w:pPr>
    <w:rPr>
      <w:rFonts w:ascii="黑体" w:hAnsi="宋体" w:eastAsia="黑体" w:cs="Times New Roman"/>
      <w:b/>
      <w:sz w:val="28"/>
      <w:szCs w:val="24"/>
    </w:rPr>
  </w:style>
  <w:style w:type="character" w:customStyle="1" w:styleId="24">
    <w:name w:val="页眉 字符"/>
    <w:basedOn w:val="19"/>
    <w:link w:val="11"/>
    <w:qFormat/>
    <w:uiPriority w:val="99"/>
    <w:rPr>
      <w:sz w:val="18"/>
      <w:szCs w:val="18"/>
    </w:rPr>
  </w:style>
  <w:style w:type="character" w:customStyle="1" w:styleId="25">
    <w:name w:val="页脚 字符"/>
    <w:basedOn w:val="19"/>
    <w:link w:val="10"/>
    <w:qFormat/>
    <w:uiPriority w:val="99"/>
    <w:rPr>
      <w:sz w:val="18"/>
      <w:szCs w:val="18"/>
    </w:rPr>
  </w:style>
  <w:style w:type="paragraph" w:styleId="26">
    <w:name w:val="List Paragraph"/>
    <w:basedOn w:val="1"/>
    <w:qFormat/>
    <w:uiPriority w:val="34"/>
    <w:pPr>
      <w:ind w:firstLine="420" w:firstLineChars="200"/>
    </w:pPr>
  </w:style>
  <w:style w:type="character" w:customStyle="1" w:styleId="27">
    <w:name w:val="正文文本缩进 字符1"/>
    <w:link w:val="7"/>
    <w:qFormat/>
    <w:uiPriority w:val="0"/>
    <w:rPr>
      <w:rFonts w:eastAsia="宋体"/>
    </w:rPr>
  </w:style>
  <w:style w:type="character" w:customStyle="1" w:styleId="28">
    <w:name w:val="正文文本缩进 字符"/>
    <w:basedOn w:val="19"/>
    <w:semiHidden/>
    <w:qFormat/>
    <w:uiPriority w:val="99"/>
  </w:style>
  <w:style w:type="character" w:customStyle="1" w:styleId="29">
    <w:name w:val="正文首行缩进 2 字符"/>
    <w:basedOn w:val="28"/>
    <w:semiHidden/>
    <w:qFormat/>
    <w:uiPriority w:val="99"/>
  </w:style>
  <w:style w:type="paragraph" w:customStyle="1" w:styleId="30">
    <w:name w:val="晓丹"/>
    <w:basedOn w:val="15"/>
    <w:qFormat/>
    <w:uiPriority w:val="0"/>
    <w:rPr>
      <w:rFonts w:ascii="Times New Roman" w:hAnsi="Times New Roman" w:eastAsia="宋体" w:cs="Times New Roman"/>
      <w:szCs w:val="24"/>
    </w:rPr>
  </w:style>
  <w:style w:type="character" w:customStyle="1" w:styleId="31">
    <w:name w:val="正文首行缩进 2 字符1"/>
    <w:link w:val="16"/>
    <w:qFormat/>
    <w:uiPriority w:val="0"/>
    <w:rPr>
      <w:rFonts w:eastAsia="宋体"/>
    </w:rPr>
  </w:style>
  <w:style w:type="character" w:customStyle="1" w:styleId="32">
    <w:name w:val="正文文本 字符"/>
    <w:basedOn w:val="19"/>
    <w:link w:val="6"/>
    <w:semiHidden/>
    <w:qFormat/>
    <w:uiPriority w:val="99"/>
  </w:style>
  <w:style w:type="character" w:customStyle="1" w:styleId="33">
    <w:name w:val="正文首行缩进 字符"/>
    <w:basedOn w:val="32"/>
    <w:link w:val="15"/>
    <w:qFormat/>
    <w:uiPriority w:val="99"/>
  </w:style>
  <w:style w:type="paragraph" w:customStyle="1" w:styleId="34">
    <w:name w:val="[1]正文"/>
    <w:basedOn w:val="1"/>
    <w:qFormat/>
    <w:uiPriority w:val="0"/>
    <w:pPr>
      <w:autoSpaceDE w:val="0"/>
      <w:autoSpaceDN w:val="0"/>
      <w:ind w:firstLine="200" w:firstLineChars="200"/>
    </w:pPr>
    <w:rPr>
      <w:rFonts w:ascii="Times New Roman" w:hAnsi="Times New Roman" w:eastAsia="宋体" w:cs="Times New Roman"/>
      <w:color w:val="000000"/>
      <w:kern w:val="0"/>
      <w:szCs w:val="24"/>
      <w:lang w:val="zh-CN"/>
    </w:rPr>
  </w:style>
  <w:style w:type="character" w:customStyle="1" w:styleId="35">
    <w:name w:val="表 Char"/>
    <w:link w:val="36"/>
    <w:qFormat/>
    <w:uiPriority w:val="0"/>
    <w:rPr>
      <w:sz w:val="18"/>
    </w:rPr>
  </w:style>
  <w:style w:type="paragraph" w:customStyle="1" w:styleId="36">
    <w:name w:val="表"/>
    <w:basedOn w:val="1"/>
    <w:link w:val="35"/>
    <w:qFormat/>
    <w:uiPriority w:val="0"/>
    <w:pPr>
      <w:autoSpaceDE w:val="0"/>
      <w:autoSpaceDN w:val="0"/>
      <w:spacing w:line="400" w:lineRule="exact"/>
      <w:jc w:val="center"/>
      <w:textAlignment w:val="center"/>
    </w:pPr>
    <w:rPr>
      <w:sz w:val="18"/>
    </w:rPr>
  </w:style>
  <w:style w:type="character" w:customStyle="1" w:styleId="37">
    <w:name w:val="表头 Char Char"/>
    <w:link w:val="38"/>
    <w:qFormat/>
    <w:uiPriority w:val="0"/>
    <w:rPr>
      <w:rFonts w:eastAsia="宋体"/>
      <w:b/>
      <w:szCs w:val="24"/>
    </w:rPr>
  </w:style>
  <w:style w:type="paragraph" w:customStyle="1" w:styleId="38">
    <w:name w:val="表头"/>
    <w:basedOn w:val="1"/>
    <w:next w:val="1"/>
    <w:link w:val="37"/>
    <w:qFormat/>
    <w:uiPriority w:val="0"/>
    <w:pPr>
      <w:spacing w:line="400" w:lineRule="exact"/>
      <w:jc w:val="center"/>
    </w:pPr>
    <w:rPr>
      <w:rFonts w:eastAsia="宋体"/>
      <w:b/>
      <w:szCs w:val="24"/>
    </w:rPr>
  </w:style>
  <w:style w:type="paragraph" w:customStyle="1" w:styleId="39">
    <w:name w:val="Default"/>
    <w:basedOn w:val="40"/>
    <w:next w:val="12"/>
    <w:link w:val="49"/>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40">
    <w:name w:val="！正文 Alt+0"/>
    <w:basedOn w:val="1"/>
    <w:qFormat/>
    <w:uiPriority w:val="0"/>
    <w:pPr>
      <w:ind w:firstLine="200"/>
    </w:pPr>
    <w:rPr>
      <w:sz w:val="28"/>
      <w:szCs w:val="28"/>
    </w:rPr>
  </w:style>
  <w:style w:type="paragraph" w:customStyle="1" w:styleId="41">
    <w:name w:val="表格"/>
    <w:basedOn w:val="1"/>
    <w:next w:val="1"/>
    <w:qFormat/>
    <w:uiPriority w:val="0"/>
    <w:pPr>
      <w:adjustRightInd w:val="0"/>
      <w:jc w:val="center"/>
      <w:textAlignment w:val="baseline"/>
    </w:pPr>
    <w:rPr>
      <w:rFonts w:ascii="Times New Roman" w:hAnsi="Times New Roman" w:eastAsia="宋体" w:cs="Times New Roman"/>
      <w:kern w:val="28"/>
      <w:sz w:val="28"/>
      <w:szCs w:val="20"/>
    </w:rPr>
  </w:style>
  <w:style w:type="character" w:customStyle="1" w:styleId="42">
    <w:name w:val="批注框文本 字符"/>
    <w:basedOn w:val="19"/>
    <w:link w:val="9"/>
    <w:semiHidden/>
    <w:qFormat/>
    <w:uiPriority w:val="99"/>
    <w:rPr>
      <w:sz w:val="18"/>
      <w:szCs w:val="18"/>
    </w:rPr>
  </w:style>
  <w:style w:type="paragraph" w:customStyle="1" w:styleId="43">
    <w:name w:val="龙DS-正文"/>
    <w:basedOn w:val="1"/>
    <w:link w:val="44"/>
    <w:qFormat/>
    <w:uiPriority w:val="0"/>
    <w:pPr>
      <w:adjustRightInd w:val="0"/>
      <w:snapToGrid w:val="0"/>
      <w:spacing w:line="360" w:lineRule="auto"/>
      <w:ind w:firstLine="200" w:firstLineChars="200"/>
      <w:jc w:val="left"/>
    </w:pPr>
    <w:rPr>
      <w:rFonts w:ascii="Times New Roman" w:hAnsi="Times New Roman" w:eastAsia="宋体" w:cs="Times New Roman"/>
      <w:color w:val="000000"/>
      <w:kern w:val="0"/>
      <w:sz w:val="24"/>
      <w:szCs w:val="20"/>
    </w:rPr>
  </w:style>
  <w:style w:type="character" w:customStyle="1" w:styleId="44">
    <w:name w:val="高-正文 Char"/>
    <w:link w:val="43"/>
    <w:qFormat/>
    <w:uiPriority w:val="0"/>
    <w:rPr>
      <w:rFonts w:ascii="Times New Roman" w:hAnsi="Times New Roman" w:eastAsia="宋体" w:cs="Times New Roman"/>
      <w:color w:val="000000"/>
      <w:kern w:val="0"/>
      <w:sz w:val="24"/>
      <w:szCs w:val="20"/>
    </w:rPr>
  </w:style>
  <w:style w:type="paragraph" w:customStyle="1" w:styleId="45">
    <w:name w:val="龙DS-表格"/>
    <w:basedOn w:val="1"/>
    <w:qFormat/>
    <w:uiPriority w:val="0"/>
    <w:pPr>
      <w:widowControl/>
      <w:pBdr>
        <w:top w:val="none" w:color="auto" w:sz="0" w:space="1"/>
        <w:left w:val="none" w:color="auto" w:sz="0" w:space="4"/>
        <w:bottom w:val="none" w:color="auto" w:sz="0" w:space="1"/>
        <w:right w:val="none" w:color="auto" w:sz="0" w:space="4"/>
      </w:pBdr>
      <w:jc w:val="center"/>
    </w:pPr>
    <w:rPr>
      <w:rFonts w:ascii="Times New Roman" w:hAnsi="Times New Roman" w:eastAsia="宋体" w:cs="Times New Roman"/>
      <w:szCs w:val="20"/>
      <w:lang w:val="zh-CN" w:eastAsia="en-US"/>
    </w:rPr>
  </w:style>
  <w:style w:type="paragraph" w:customStyle="1" w:styleId="46">
    <w:name w:val="Char4"/>
    <w:basedOn w:val="1"/>
    <w:qFormat/>
    <w:uiPriority w:val="0"/>
    <w:pPr>
      <w:spacing w:line="440" w:lineRule="exact"/>
      <w:ind w:firstLine="480" w:firstLineChars="200"/>
    </w:pPr>
    <w:rPr>
      <w:rFonts w:ascii="Times New Roman" w:hAnsi="Times New Roman" w:eastAsia="宋体" w:cs="Times New Roman"/>
      <w:kern w:val="0"/>
      <w:sz w:val="24"/>
      <w:szCs w:val="24"/>
    </w:rPr>
  </w:style>
  <w:style w:type="character" w:customStyle="1" w:styleId="47">
    <w:name w:val="样式5 Char"/>
    <w:link w:val="48"/>
    <w:qFormat/>
    <w:uiPriority w:val="0"/>
    <w:rPr>
      <w:sz w:val="24"/>
      <w:szCs w:val="24"/>
    </w:rPr>
  </w:style>
  <w:style w:type="paragraph" w:customStyle="1" w:styleId="48">
    <w:name w:val="样式5"/>
    <w:basedOn w:val="1"/>
    <w:link w:val="47"/>
    <w:qFormat/>
    <w:uiPriority w:val="0"/>
    <w:pPr>
      <w:widowControl/>
      <w:snapToGrid w:val="0"/>
      <w:spacing w:line="360" w:lineRule="auto"/>
      <w:ind w:firstLine="510"/>
      <w:jc w:val="left"/>
    </w:pPr>
    <w:rPr>
      <w:sz w:val="24"/>
      <w:szCs w:val="24"/>
    </w:rPr>
  </w:style>
  <w:style w:type="character" w:customStyle="1" w:styleId="49">
    <w:name w:val="Default Char"/>
    <w:link w:val="39"/>
    <w:qFormat/>
    <w:uiPriority w:val="0"/>
    <w:rPr>
      <w:rFonts w:ascii="宋体" w:eastAsia="宋体" w:cs="宋体"/>
      <w:color w:val="000000"/>
      <w:kern w:val="0"/>
      <w:sz w:val="24"/>
      <w:szCs w:val="24"/>
    </w:rPr>
  </w:style>
  <w:style w:type="paragraph" w:customStyle="1" w:styleId="50">
    <w:name w:val="样式4"/>
    <w:basedOn w:val="1"/>
    <w:link w:val="53"/>
    <w:qFormat/>
    <w:uiPriority w:val="0"/>
    <w:pPr>
      <w:numPr>
        <w:ilvl w:val="1"/>
        <w:numId w:val="2"/>
      </w:numPr>
      <w:adjustRightInd w:val="0"/>
      <w:snapToGrid w:val="0"/>
      <w:spacing w:beforeLines="50" w:afterLines="50" w:line="360" w:lineRule="auto"/>
      <w:jc w:val="left"/>
      <w:outlineLvl w:val="1"/>
    </w:pPr>
    <w:rPr>
      <w:rFonts w:ascii="宋体" w:hAnsi="宋体" w:eastAsia="黑体" w:cs="Times New Roman"/>
      <w:b/>
      <w:sz w:val="28"/>
      <w:szCs w:val="24"/>
    </w:rPr>
  </w:style>
  <w:style w:type="paragraph" w:customStyle="1" w:styleId="51">
    <w:name w:val="样式6"/>
    <w:basedOn w:val="50"/>
    <w:qFormat/>
    <w:uiPriority w:val="0"/>
    <w:pPr>
      <w:numPr>
        <w:ilvl w:val="2"/>
      </w:numPr>
      <w:tabs>
        <w:tab w:val="left" w:pos="360"/>
        <w:tab w:val="clear" w:pos="1569"/>
      </w:tabs>
      <w:outlineLvl w:val="2"/>
    </w:pPr>
    <w:rPr>
      <w:sz w:val="24"/>
    </w:rPr>
  </w:style>
  <w:style w:type="paragraph" w:customStyle="1" w:styleId="52">
    <w:name w:val="样式7"/>
    <w:basedOn w:val="48"/>
    <w:qFormat/>
    <w:uiPriority w:val="0"/>
    <w:pPr>
      <w:widowControl w:val="0"/>
      <w:numPr>
        <w:ilvl w:val="3"/>
        <w:numId w:val="2"/>
      </w:numPr>
      <w:tabs>
        <w:tab w:val="left" w:pos="1566"/>
      </w:tabs>
      <w:jc w:val="both"/>
      <w:outlineLvl w:val="3"/>
    </w:pPr>
    <w:rPr>
      <w:rFonts w:ascii="宋体" w:hAnsi="宋体" w:eastAsia="宋体" w:cs="宋体"/>
    </w:rPr>
  </w:style>
  <w:style w:type="character" w:customStyle="1" w:styleId="53">
    <w:name w:val="样式4 Char"/>
    <w:link w:val="50"/>
    <w:qFormat/>
    <w:uiPriority w:val="0"/>
    <w:rPr>
      <w:rFonts w:ascii="宋体" w:hAnsi="宋体" w:eastAsia="黑体" w:cs="Times New Roman"/>
      <w:b/>
      <w:kern w:val="2"/>
      <w:sz w:val="28"/>
      <w:szCs w:val="24"/>
    </w:rPr>
  </w:style>
  <w:style w:type="character" w:customStyle="1" w:styleId="54">
    <w:name w:val="标题 4 字符"/>
    <w:basedOn w:val="19"/>
    <w:semiHidden/>
    <w:qFormat/>
    <w:uiPriority w:val="9"/>
    <w:rPr>
      <w:rFonts w:asciiTheme="majorHAnsi" w:hAnsiTheme="majorHAnsi" w:eastAsiaTheme="majorEastAsia" w:cstheme="majorBidi"/>
      <w:b/>
      <w:bCs/>
      <w:kern w:val="2"/>
      <w:sz w:val="28"/>
      <w:szCs w:val="28"/>
    </w:rPr>
  </w:style>
  <w:style w:type="character" w:customStyle="1" w:styleId="55">
    <w:name w:val="标题 4 字符1"/>
    <w:link w:val="3"/>
    <w:qFormat/>
    <w:uiPriority w:val="9"/>
    <w:rPr>
      <w:rFonts w:ascii="Cambria" w:hAnsi="Cambria" w:eastAsia="宋体" w:cs="黑体"/>
      <w:b/>
      <w:bCs/>
      <w:kern w:val="2"/>
      <w:sz w:val="28"/>
      <w:szCs w:val="28"/>
    </w:rPr>
  </w:style>
  <w:style w:type="character" w:customStyle="1" w:styleId="56">
    <w:name w:val="表1 Char"/>
    <w:link w:val="57"/>
    <w:qFormat/>
    <w:uiPriority w:val="0"/>
    <w:rPr>
      <w:rFonts w:ascii="Times New Roman" w:hAnsi="Times New Roman" w:eastAsia="宋体" w:cs="Times New Roman"/>
      <w:sz w:val="21"/>
    </w:rPr>
  </w:style>
  <w:style w:type="paragraph" w:customStyle="1" w:styleId="57">
    <w:name w:val="表1"/>
    <w:next w:val="1"/>
    <w:link w:val="56"/>
    <w:qFormat/>
    <w:uiPriority w:val="0"/>
    <w:pPr>
      <w:adjustRightInd w:val="0"/>
      <w:snapToGrid w:val="0"/>
      <w:jc w:val="center"/>
    </w:pPr>
    <w:rPr>
      <w:rFonts w:ascii="Times New Roman" w:hAnsi="Times New Roman" w:eastAsia="宋体" w:cs="Times New Roman"/>
      <w:sz w:val="21"/>
      <w:lang w:val="en-US" w:eastAsia="zh-CN" w:bidi="ar-SA"/>
    </w:rPr>
  </w:style>
  <w:style w:type="paragraph" w:customStyle="1" w:styleId="58">
    <w:name w:val="表格内容"/>
    <w:next w:val="1"/>
    <w:qFormat/>
    <w:uiPriority w:val="0"/>
    <w:pPr>
      <w:jc w:val="center"/>
    </w:pPr>
    <w:rPr>
      <w:rFonts w:ascii="Times New Roman" w:hAnsi="Times New Roman" w:eastAsia="宋体" w:cs="Times New Roman"/>
      <w:sz w:val="21"/>
      <w:lang w:val="en-US" w:eastAsia="zh-CN" w:bidi="ar-SA"/>
    </w:rPr>
  </w:style>
  <w:style w:type="paragraph" w:customStyle="1" w:styleId="59">
    <w:name w:val="表格1"/>
    <w:basedOn w:val="1"/>
    <w:qFormat/>
    <w:uiPriority w:val="0"/>
    <w:pPr>
      <w:spacing w:line="340" w:lineRule="exact"/>
    </w:pPr>
    <w:rPr>
      <w:rFonts w:ascii="Calibri" w:hAnsi="Calibri" w:eastAsia="SimSun-ExtB" w:cs="Times New Roman"/>
      <w:sz w:val="18"/>
    </w:rPr>
  </w:style>
  <w:style w:type="character" w:customStyle="1" w:styleId="60">
    <w:name w:val="批注文字 字符"/>
    <w:basedOn w:val="19"/>
    <w:link w:val="5"/>
    <w:qFormat/>
    <w:uiPriority w:val="0"/>
    <w:rPr>
      <w:rFonts w:ascii="Calibri" w:hAnsi="Calibri" w:eastAsia="宋体" w:cs="Times New Roman"/>
      <w:kern w:val="2"/>
      <w:sz w:val="21"/>
      <w:szCs w:val="22"/>
    </w:rPr>
  </w:style>
  <w:style w:type="paragraph" w:customStyle="1" w:styleId="61">
    <w:name w:val="正文---兰"/>
    <w:basedOn w:val="1"/>
    <w:link w:val="62"/>
    <w:qFormat/>
    <w:uiPriority w:val="0"/>
    <w:pPr>
      <w:spacing w:line="360" w:lineRule="auto"/>
      <w:ind w:firstLine="964" w:firstLineChars="200"/>
      <w:jc w:val="left"/>
    </w:pPr>
    <w:rPr>
      <w:rFonts w:ascii="Times New Roman" w:hAnsi="Times New Roman" w:eastAsia="宋体" w:cs="Times New Roman"/>
      <w:snapToGrid w:val="0"/>
      <w:kern w:val="0"/>
      <w:sz w:val="24"/>
    </w:rPr>
  </w:style>
  <w:style w:type="character" w:customStyle="1" w:styleId="62">
    <w:name w:val="正文---兰 Char"/>
    <w:link w:val="61"/>
    <w:qFormat/>
    <w:uiPriority w:val="0"/>
    <w:rPr>
      <w:rFonts w:ascii="Times New Roman" w:hAnsi="Times New Roman" w:eastAsia="宋体" w:cs="Times New Roman"/>
      <w:snapToGrid w:val="0"/>
      <w:sz w:val="24"/>
      <w:szCs w:val="22"/>
    </w:rPr>
  </w:style>
  <w:style w:type="paragraph" w:customStyle="1" w:styleId="63">
    <w:name w:val="表格--兰"/>
    <w:basedOn w:val="1"/>
    <w:qFormat/>
    <w:uiPriority w:val="0"/>
    <w:pPr>
      <w:jc w:val="center"/>
      <w:textAlignment w:val="center"/>
    </w:pPr>
    <w:rPr>
      <w:rFonts w:ascii="Times New Roman" w:hAnsi="Times New Roman" w:eastAsia="宋体" w:cs="Times New Roman"/>
    </w:rPr>
  </w:style>
  <w:style w:type="paragraph" w:customStyle="1" w:styleId="64">
    <w:name w:val="表头--兰"/>
    <w:basedOn w:val="61"/>
    <w:link w:val="65"/>
    <w:qFormat/>
    <w:uiPriority w:val="0"/>
    <w:pPr>
      <w:jc w:val="center"/>
    </w:pPr>
    <w:rPr>
      <w:b/>
    </w:rPr>
  </w:style>
  <w:style w:type="character" w:customStyle="1" w:styleId="65">
    <w:name w:val="表头--兰 Char"/>
    <w:link w:val="64"/>
    <w:qFormat/>
    <w:uiPriority w:val="0"/>
    <w:rPr>
      <w:rFonts w:ascii="Times New Roman" w:hAnsi="Times New Roman" w:eastAsia="宋体" w:cs="Times New Roman"/>
      <w:b/>
      <w:snapToGrid w:val="0"/>
      <w:sz w:val="24"/>
      <w:szCs w:val="22"/>
    </w:rPr>
  </w:style>
  <w:style w:type="character" w:customStyle="1" w:styleId="66">
    <w:name w:val="xl35 Char Char"/>
    <w:link w:val="67"/>
    <w:qFormat/>
    <w:uiPriority w:val="0"/>
    <w:rPr>
      <w:rFonts w:ascii="Arial Unicode MS" w:hAnsi="Arial Unicode MS" w:eastAsia="Arial Unicode MS"/>
      <w:sz w:val="24"/>
    </w:rPr>
  </w:style>
  <w:style w:type="paragraph" w:customStyle="1" w:styleId="67">
    <w:name w:val="xl35"/>
    <w:basedOn w:val="1"/>
    <w:link w:val="66"/>
    <w:qFormat/>
    <w:uiPriority w:val="0"/>
    <w:pPr>
      <w:widowControl/>
      <w:spacing w:before="100" w:beforeAutospacing="1" w:after="100" w:afterAutospacing="1"/>
      <w:jc w:val="center"/>
      <w:textAlignment w:val="center"/>
    </w:pPr>
    <w:rPr>
      <w:rFonts w:ascii="Arial Unicode MS" w:hAnsi="Arial Unicode MS" w:eastAsia="Arial Unicode MS"/>
      <w:kern w:val="0"/>
      <w:sz w:val="24"/>
      <w:szCs w:val="20"/>
    </w:rPr>
  </w:style>
  <w:style w:type="character" w:customStyle="1" w:styleId="68">
    <w:name w:val="普通(网站) 字符"/>
    <w:link w:val="13"/>
    <w:qFormat/>
    <w:locked/>
    <w:uiPriority w:val="99"/>
    <w:rPr>
      <w:rFonts w:ascii="宋体" w:hAnsi="宋体" w:eastAsia="宋体" w:cs="Times New Roman"/>
      <w:sz w:val="24"/>
      <w:szCs w:val="24"/>
    </w:rPr>
  </w:style>
  <w:style w:type="character" w:customStyle="1" w:styleId="69">
    <w:name w:val="批注主题 字符"/>
    <w:basedOn w:val="60"/>
    <w:link w:val="14"/>
    <w:semiHidden/>
    <w:qFormat/>
    <w:uiPriority w:val="99"/>
    <w:rPr>
      <w:rFonts w:ascii="Calibri" w:hAnsi="Calibri" w:eastAsia="宋体" w:cs="Times New Roman"/>
      <w:b/>
      <w:bCs/>
      <w:kern w:val="2"/>
      <w:sz w:val="21"/>
      <w:szCs w:val="22"/>
    </w:rPr>
  </w:style>
  <w:style w:type="paragraph" w:customStyle="1" w:styleId="70">
    <w:name w:val="图头"/>
    <w:basedOn w:val="1"/>
    <w:next w:val="1"/>
    <w:autoRedefine/>
    <w:qFormat/>
    <w:uiPriority w:val="0"/>
    <w:pPr>
      <w:numPr>
        <w:ilvl w:val="0"/>
        <w:numId w:val="3"/>
      </w:numPr>
      <w:spacing w:before="163"/>
      <w:ind w:firstLine="482"/>
      <w:jc w:val="center"/>
    </w:pPr>
    <w:rPr>
      <w:b/>
    </w:rPr>
  </w:style>
  <w:style w:type="paragraph" w:customStyle="1" w:styleId="71">
    <w:name w:val="正文样式"/>
    <w:basedOn w:val="1"/>
    <w:qFormat/>
    <w:uiPriority w:val="0"/>
    <w:pPr>
      <w:spacing w:line="360" w:lineRule="auto"/>
      <w:ind w:firstLine="480" w:firstLineChars="200"/>
    </w:pPr>
    <w:rPr>
      <w:rFonts w:ascii="宋体" w:hAnsi="宋体"/>
      <w:color w:val="000000"/>
      <w:sz w:val="24"/>
    </w:rPr>
  </w:style>
  <w:style w:type="paragraph" w:customStyle="1" w:styleId="72">
    <w:name w:val="正文2"/>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eastAsia" w:ascii="宋体" w:hAnsi="宋体" w:eastAsia="宋体" w:cs="宋体"/>
      <w:kern w:val="2"/>
      <w:sz w:val="24"/>
      <w:szCs w:val="24"/>
      <w:lang w:val="en-US" w:eastAsia="zh-CN" w:bidi="ar"/>
    </w:rPr>
  </w:style>
  <w:style w:type="paragraph" w:customStyle="1" w:styleId="73">
    <w:name w:val="样式2"/>
    <w:basedOn w:val="72"/>
    <w:qFormat/>
    <w:uiPriority w:val="0"/>
    <w:pPr>
      <w:suppressAutoHyphens/>
      <w:wordWrap w:val="0"/>
      <w:adjustRightInd w:val="0"/>
      <w:snapToGrid w:val="0"/>
      <w:spacing w:line="300" w:lineRule="auto"/>
      <w:ind w:firstLine="0" w:firstLineChars="0"/>
      <w:jc w:val="center"/>
    </w:pPr>
    <w:rPr>
      <w:kern w:val="0"/>
      <w:sz w:val="21"/>
      <w:szCs w:val="20"/>
      <w:lang w:val="en-US" w:eastAsia="zh-CN"/>
    </w:rPr>
  </w:style>
  <w:style w:type="paragraph" w:customStyle="1" w:styleId="74">
    <w:name w:val="Table Paragraph"/>
    <w:basedOn w:val="1"/>
    <w:qFormat/>
    <w:uiPriority w:val="0"/>
    <w:rPr>
      <w:bCs/>
      <w:color w:val="000000"/>
      <w:sz w:val="28"/>
      <w:szCs w:val="28"/>
    </w:rPr>
  </w:style>
  <w:style w:type="character" w:customStyle="1" w:styleId="75">
    <w:name w:val="font11"/>
    <w:basedOn w:val="19"/>
    <w:qFormat/>
    <w:uiPriority w:val="0"/>
    <w:rPr>
      <w:rFonts w:hint="eastAsia" w:ascii="宋体" w:hAnsi="宋体" w:eastAsia="宋体" w:cs="宋体"/>
      <w:color w:val="000000"/>
      <w:sz w:val="22"/>
      <w:szCs w:val="22"/>
      <w:u w:val="none"/>
    </w:rPr>
  </w:style>
  <w:style w:type="character" w:customStyle="1" w:styleId="76">
    <w:name w:val="font01"/>
    <w:basedOn w:val="19"/>
    <w:qFormat/>
    <w:uiPriority w:val="0"/>
    <w:rPr>
      <w:rFonts w:hint="eastAsia" w:ascii="宋体" w:hAnsi="宋体" w:eastAsia="宋体" w:cs="宋体"/>
      <w:color w:val="000000"/>
      <w:sz w:val="24"/>
      <w:szCs w:val="24"/>
      <w:u w:val="none"/>
    </w:rPr>
  </w:style>
  <w:style w:type="paragraph" w:customStyle="1" w:styleId="77">
    <w:name w:val="主要文字"/>
    <w:basedOn w:val="1"/>
    <w:qFormat/>
    <w:uiPriority w:val="0"/>
    <w:pPr>
      <w:spacing w:line="360" w:lineRule="auto"/>
    </w:pPr>
    <w:rPr>
      <w:rFonts w:hAnsi="宋体"/>
      <w:szCs w:val="21"/>
    </w:rPr>
  </w:style>
  <w:style w:type="paragraph" w:customStyle="1" w:styleId="78">
    <w:name w:val="表标题"/>
    <w:basedOn w:val="1"/>
    <w:qFormat/>
    <w:uiPriority w:val="0"/>
    <w:pPr>
      <w:numPr>
        <w:ilvl w:val="0"/>
        <w:numId w:val="4"/>
      </w:numPr>
      <w:adjustRightInd w:val="0"/>
      <w:snapToGrid w:val="0"/>
      <w:spacing w:line="500" w:lineRule="exact"/>
      <w:ind w:left="150" w:hanging="150"/>
      <w:jc w:val="center"/>
    </w:pPr>
    <w:rPr>
      <w:rFonts w:cs="宋体"/>
      <w:b/>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125B60-DF82-481C-A4D3-5EDA13779A47}">
  <ds:schemaRefs/>
</ds:datastoreItem>
</file>

<file path=docProps/app.xml><?xml version="1.0" encoding="utf-8"?>
<Properties xmlns="http://schemas.openxmlformats.org/officeDocument/2006/extended-properties" xmlns:vt="http://schemas.openxmlformats.org/officeDocument/2006/docPropsVTypes">
  <Template>Normal.dotm</Template>
  <Pages>59</Pages>
  <Words>4373</Words>
  <Characters>4747</Characters>
  <Lines>1</Lines>
  <Paragraphs>1</Paragraphs>
  <TotalTime>23</TotalTime>
  <ScaleCrop>false</ScaleCrop>
  <LinksUpToDate>false</LinksUpToDate>
  <CharactersWithSpaces>4792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2024-09-03T07:27:00Z</dcterms:created>
  <dc:creator>Lhn</dc:creator>
  <cp:lastModifiedBy>覆水难收</cp:lastModifiedBy>
  <cp:lastPrinted>2022-03-28T03:16:00Z</cp:lastPrinted>
  <dcterms:modified xsi:type="dcterms:W3CDTF">2025-04-24T10:04:05Z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E77405A954F8410E9B6D0E7ED8823290_13</vt:lpwstr>
  </property>
  <property fmtid="{D5CDD505-2E9C-101B-9397-08002B2CF9AE}" pid="4" name="KSOTemplateDocerSaveRecord">
    <vt:lpwstr>eyJoZGlkIjoiMzM2NTgyYWI5NDUwNTJiM2VlODk4YTY2YWM3NDk5YWIifQ==</vt:lpwstr>
  </property>
</Properties>
</file>