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E8D677">
      <w:pPr>
        <w:jc w:val="center"/>
        <w:rPr>
          <w:rFonts w:hint="default" w:ascii="Times New Roman" w:hAnsi="Times New Roman" w:cs="Times New Roman"/>
          <w:color w:val="auto"/>
          <w:sz w:val="36"/>
          <w:szCs w:val="36"/>
          <w:highlight w:val="none"/>
        </w:rPr>
        <w:sectPr>
          <w:headerReference r:id="rId3" w:type="default"/>
          <w:footerReference r:id="rId4" w:type="default"/>
          <w:pgSz w:w="11906" w:h="16838"/>
          <w:pgMar w:top="1134" w:right="1418" w:bottom="1134" w:left="1418" w:header="851" w:footer="992" w:gutter="0"/>
          <w:pgBorders>
            <w:top w:val="none" w:sz="0" w:space="0"/>
            <w:left w:val="none" w:sz="0" w:space="0"/>
            <w:bottom w:val="none" w:sz="0" w:space="0"/>
            <w:right w:val="none" w:sz="0" w:space="0"/>
          </w:pgBorders>
          <w:pgNumType w:fmt="numberInDash" w:start="1"/>
          <w:cols w:space="720" w:num="1"/>
          <w:docGrid w:linePitch="312" w:charSpace="0"/>
        </w:sectPr>
      </w:pPr>
      <w:bookmarkStart w:id="5" w:name="_GoBack"/>
      <w:bookmarkEnd w:id="5"/>
      <w:r>
        <w:drawing>
          <wp:inline distT="0" distB="0" distL="114300" distR="114300">
            <wp:extent cx="5466715" cy="7618730"/>
            <wp:effectExtent l="0" t="0" r="635" b="127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10"/>
                    <a:stretch>
                      <a:fillRect/>
                    </a:stretch>
                  </pic:blipFill>
                  <pic:spPr>
                    <a:xfrm>
                      <a:off x="0" y="0"/>
                      <a:ext cx="5466715" cy="7618730"/>
                    </a:xfrm>
                    <a:prstGeom prst="rect">
                      <a:avLst/>
                    </a:prstGeom>
                    <a:noFill/>
                    <a:ln>
                      <a:noFill/>
                    </a:ln>
                  </pic:spPr>
                </pic:pic>
              </a:graphicData>
            </a:graphic>
          </wp:inline>
        </w:drawing>
      </w:r>
    </w:p>
    <w:p w14:paraId="73AF63B1">
      <w:pPr>
        <w:pStyle w:val="29"/>
        <w:spacing w:before="0" w:beforeAutospacing="0" w:after="0" w:afterAutospacing="0"/>
        <w:jc w:val="center"/>
        <w:outlineLvl w:val="0"/>
        <w:rPr>
          <w:rFonts w:hint="default" w:ascii="Times New Roman" w:hAnsi="Times New Roman" w:cs="Times New Roman"/>
          <w:snapToGrid w:val="0"/>
          <w:color w:val="auto"/>
          <w:sz w:val="30"/>
          <w:szCs w:val="30"/>
          <w:highlight w:val="none"/>
        </w:rPr>
      </w:pPr>
      <w:r>
        <w:rPr>
          <w:rFonts w:hint="default" w:ascii="Times New Roman" w:hAnsi="Times New Roman" w:cs="Times New Roman"/>
          <w:snapToGrid w:val="0"/>
          <w:color w:val="auto"/>
          <w:sz w:val="30"/>
          <w:szCs w:val="30"/>
          <w:highlight w:val="none"/>
        </w:rPr>
        <w:t xml:space="preserve"> 一、建设项目基本情况</w:t>
      </w:r>
    </w:p>
    <w:tbl>
      <w:tblPr>
        <w:tblStyle w:val="32"/>
        <w:tblW w:w="49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47"/>
        <w:gridCol w:w="1914"/>
        <w:gridCol w:w="1219"/>
        <w:gridCol w:w="1527"/>
        <w:gridCol w:w="3245"/>
      </w:tblGrid>
      <w:tr w14:paraId="1779C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633" w:type="pct"/>
            <w:noWrap w:val="0"/>
            <w:tcMar>
              <w:top w:w="16" w:type="dxa"/>
              <w:left w:w="16" w:type="dxa"/>
              <w:right w:w="16" w:type="dxa"/>
            </w:tcMar>
            <w:vAlign w:val="center"/>
          </w:tcPr>
          <w:p w14:paraId="3F439E79">
            <w:pPr>
              <w:adjustRightInd w:val="0"/>
              <w:snapToGrid w:val="0"/>
              <w:ind w:left="-105" w:leftChars="-50" w:right="-105" w:rightChars="-5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建设项目名称</w:t>
            </w:r>
          </w:p>
        </w:tc>
        <w:tc>
          <w:tcPr>
            <w:tcW w:w="4366" w:type="pct"/>
            <w:gridSpan w:val="4"/>
            <w:noWrap w:val="0"/>
            <w:vAlign w:val="center"/>
          </w:tcPr>
          <w:p w14:paraId="16865CFF">
            <w:pPr>
              <w:adjustRightInd w:val="0"/>
              <w:snapToGrid w:val="0"/>
              <w:jc w:val="center"/>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内蒙古田功夫生物科技有限公司有机肥秸秆与畜禽粪污资源化利用项目</w:t>
            </w:r>
          </w:p>
        </w:tc>
      </w:tr>
      <w:tr w14:paraId="67218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633" w:type="pct"/>
            <w:noWrap w:val="0"/>
            <w:tcMar>
              <w:top w:w="16" w:type="dxa"/>
              <w:left w:w="16" w:type="dxa"/>
              <w:right w:w="16" w:type="dxa"/>
            </w:tcMar>
            <w:vAlign w:val="center"/>
          </w:tcPr>
          <w:p w14:paraId="1FBE1567">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项目代码</w:t>
            </w:r>
          </w:p>
        </w:tc>
        <w:tc>
          <w:tcPr>
            <w:tcW w:w="4366" w:type="pct"/>
            <w:gridSpan w:val="4"/>
            <w:noWrap w:val="0"/>
            <w:vAlign w:val="center"/>
          </w:tcPr>
          <w:p w14:paraId="61520B36">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260</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-1508</w:t>
            </w:r>
            <w:r>
              <w:rPr>
                <w:rFonts w:hint="eastAsia" w:cs="Times New Roman"/>
                <w:color w:val="auto"/>
                <w:sz w:val="24"/>
                <w:highlight w:val="none"/>
                <w:lang w:val="en-US" w:eastAsia="zh-CN"/>
              </w:rPr>
              <w:t>22</w:t>
            </w:r>
            <w:r>
              <w:rPr>
                <w:rFonts w:hint="default" w:ascii="Times New Roman" w:hAnsi="Times New Roman" w:cs="Times New Roman"/>
                <w:color w:val="auto"/>
                <w:sz w:val="24"/>
                <w:highlight w:val="none"/>
                <w:lang w:val="en-US" w:eastAsia="zh-CN"/>
              </w:rPr>
              <w:t>-04-01-</w:t>
            </w:r>
            <w:r>
              <w:rPr>
                <w:rFonts w:hint="eastAsia" w:cs="Times New Roman"/>
                <w:color w:val="auto"/>
                <w:sz w:val="24"/>
                <w:highlight w:val="none"/>
                <w:lang w:val="en-US" w:eastAsia="zh-CN"/>
              </w:rPr>
              <w:t>465038</w:t>
            </w:r>
          </w:p>
        </w:tc>
      </w:tr>
      <w:tr w14:paraId="3EAE97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633" w:type="pct"/>
            <w:noWrap w:val="0"/>
            <w:tcMar>
              <w:top w:w="16" w:type="dxa"/>
              <w:left w:w="16" w:type="dxa"/>
              <w:right w:w="16" w:type="dxa"/>
            </w:tcMar>
            <w:vAlign w:val="center"/>
          </w:tcPr>
          <w:p w14:paraId="5F92A165">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建设单位</w:t>
            </w:r>
          </w:p>
          <w:p w14:paraId="27EEC086">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联系人</w:t>
            </w:r>
          </w:p>
        </w:tc>
        <w:tc>
          <w:tcPr>
            <w:tcW w:w="1057" w:type="pct"/>
            <w:noWrap w:val="0"/>
            <w:vAlign w:val="center"/>
          </w:tcPr>
          <w:p w14:paraId="26E44103">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高*航</w:t>
            </w:r>
          </w:p>
        </w:tc>
        <w:tc>
          <w:tcPr>
            <w:tcW w:w="1516" w:type="pct"/>
            <w:gridSpan w:val="2"/>
            <w:noWrap w:val="0"/>
            <w:vAlign w:val="center"/>
          </w:tcPr>
          <w:p w14:paraId="172FC0A4">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联系方式</w:t>
            </w:r>
          </w:p>
        </w:tc>
        <w:tc>
          <w:tcPr>
            <w:tcW w:w="1792" w:type="pct"/>
            <w:noWrap w:val="0"/>
            <w:vAlign w:val="center"/>
          </w:tcPr>
          <w:p w14:paraId="0C012673">
            <w:pPr>
              <w:adjustRightInd w:val="0"/>
              <w:snapToGrid w:val="0"/>
              <w:jc w:val="center"/>
              <w:rPr>
                <w:rFonts w:hint="default" w:ascii="Times New Roman" w:hAnsi="Times New Roman" w:cs="Times New Roman"/>
                <w:color w:val="auto"/>
                <w:sz w:val="24"/>
                <w:highlight w:val="none"/>
                <w:lang w:val="en-US"/>
              </w:rPr>
            </w:pPr>
            <w:r>
              <w:rPr>
                <w:rFonts w:hint="eastAsia" w:cs="Times New Roman"/>
                <w:color w:val="auto"/>
                <w:sz w:val="24"/>
                <w:highlight w:val="none"/>
                <w:lang w:val="en-US" w:eastAsia="zh-CN"/>
              </w:rPr>
              <w:t>181****3292</w:t>
            </w:r>
          </w:p>
        </w:tc>
      </w:tr>
      <w:tr w14:paraId="74B21A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633" w:type="pct"/>
            <w:noWrap w:val="0"/>
            <w:tcMar>
              <w:top w:w="16" w:type="dxa"/>
              <w:left w:w="16" w:type="dxa"/>
              <w:right w:w="16" w:type="dxa"/>
            </w:tcMar>
            <w:vAlign w:val="center"/>
          </w:tcPr>
          <w:p w14:paraId="32A6F5A6">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建设地点</w:t>
            </w:r>
          </w:p>
        </w:tc>
        <w:tc>
          <w:tcPr>
            <w:tcW w:w="4366" w:type="pct"/>
            <w:gridSpan w:val="4"/>
            <w:noWrap w:val="0"/>
            <w:vAlign w:val="center"/>
          </w:tcPr>
          <w:p w14:paraId="63CD3740">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bCs/>
                <w:color w:val="auto"/>
                <w:sz w:val="24"/>
                <w:szCs w:val="24"/>
                <w:highlight w:val="none"/>
                <w:lang w:eastAsia="zh-CN"/>
              </w:rPr>
              <w:t>内蒙古自治区巴彦淖尔市磴口县</w:t>
            </w:r>
            <w:r>
              <w:rPr>
                <w:rFonts w:hint="eastAsia" w:cs="Times New Roman"/>
                <w:bCs/>
                <w:color w:val="auto"/>
                <w:sz w:val="24"/>
                <w:szCs w:val="24"/>
                <w:highlight w:val="none"/>
                <w:lang w:val="en-US" w:eastAsia="zh-CN"/>
              </w:rPr>
              <w:t>沙金套海苏木巴音温都尔嘎查</w:t>
            </w:r>
          </w:p>
        </w:tc>
      </w:tr>
      <w:tr w14:paraId="28121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6" w:hRule="atLeast"/>
          <w:jc w:val="center"/>
        </w:trPr>
        <w:tc>
          <w:tcPr>
            <w:tcW w:w="633" w:type="pct"/>
            <w:noWrap w:val="0"/>
            <w:tcMar>
              <w:top w:w="16" w:type="dxa"/>
              <w:left w:w="16" w:type="dxa"/>
              <w:right w:w="16" w:type="dxa"/>
            </w:tcMar>
            <w:vAlign w:val="center"/>
          </w:tcPr>
          <w:p w14:paraId="6CBB43DE">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地理坐标</w:t>
            </w:r>
          </w:p>
        </w:tc>
        <w:tc>
          <w:tcPr>
            <w:tcW w:w="4366" w:type="pct"/>
            <w:gridSpan w:val="4"/>
            <w:noWrap w:val="0"/>
            <w:vAlign w:val="center"/>
          </w:tcPr>
          <w:p w14:paraId="10EC453D">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E</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106°42'50.4907"，N</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40°30'03.3585"</w:t>
            </w:r>
          </w:p>
        </w:tc>
      </w:tr>
      <w:tr w14:paraId="614AB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94" w:hRule="atLeast"/>
          <w:jc w:val="center"/>
        </w:trPr>
        <w:tc>
          <w:tcPr>
            <w:tcW w:w="633" w:type="pct"/>
            <w:noWrap w:val="0"/>
            <w:tcMar>
              <w:top w:w="16" w:type="dxa"/>
              <w:left w:w="16" w:type="dxa"/>
              <w:right w:w="16" w:type="dxa"/>
            </w:tcMar>
            <w:vAlign w:val="center"/>
          </w:tcPr>
          <w:p w14:paraId="776B3F49">
            <w:pPr>
              <w:adjustRightInd w:val="0"/>
              <w:snapToGrid w:val="0"/>
              <w:jc w:val="center"/>
              <w:rPr>
                <w:rFonts w:hint="default" w:ascii="Times New Roman" w:hAnsi="Times New Roman" w:cs="Times New Roman"/>
                <w:b/>
                <w:bCs/>
                <w:color w:val="auto"/>
                <w:sz w:val="24"/>
                <w:highlight w:val="none"/>
              </w:rPr>
            </w:pPr>
            <w:bookmarkStart w:id="0" w:name="OLE_LINK1"/>
            <w:r>
              <w:rPr>
                <w:rFonts w:hint="default" w:ascii="Times New Roman" w:hAnsi="Times New Roman" w:cs="Times New Roman"/>
                <w:b/>
                <w:bCs/>
                <w:color w:val="auto"/>
                <w:sz w:val="24"/>
                <w:highlight w:val="none"/>
              </w:rPr>
              <w:t>国民经济</w:t>
            </w:r>
          </w:p>
          <w:p w14:paraId="7B651516">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行业类别</w:t>
            </w:r>
            <w:bookmarkEnd w:id="0"/>
          </w:p>
        </w:tc>
        <w:tc>
          <w:tcPr>
            <w:tcW w:w="1730" w:type="pct"/>
            <w:gridSpan w:val="2"/>
            <w:noWrap w:val="0"/>
            <w:vAlign w:val="center"/>
          </w:tcPr>
          <w:p w14:paraId="6742B4BB">
            <w:pPr>
              <w:adjustRightInd w:val="0"/>
              <w:snapToGrid w:val="0"/>
              <w:jc w:val="center"/>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bidi="ar"/>
              </w:rPr>
              <w:t>C2625有机肥料及微生物肥料制造</w:t>
            </w:r>
          </w:p>
        </w:tc>
        <w:tc>
          <w:tcPr>
            <w:tcW w:w="843" w:type="pct"/>
            <w:noWrap w:val="0"/>
            <w:vAlign w:val="center"/>
          </w:tcPr>
          <w:p w14:paraId="2590EC0A">
            <w:pPr>
              <w:adjustRightInd w:val="0"/>
              <w:snapToGrid w:val="0"/>
              <w:jc w:val="center"/>
              <w:rPr>
                <w:rFonts w:hint="default" w:ascii="Times New Roman" w:hAnsi="Times New Roman" w:eastAsia="宋体" w:cs="Times New Roman"/>
                <w:b/>
                <w:bCs/>
                <w:color w:val="auto"/>
                <w:kern w:val="0"/>
                <w:sz w:val="24"/>
                <w:highlight w:val="none"/>
                <w:lang w:bidi="ar"/>
              </w:rPr>
            </w:pPr>
            <w:bookmarkStart w:id="1" w:name="_Hlk49843745"/>
            <w:r>
              <w:rPr>
                <w:rFonts w:hint="default" w:ascii="Times New Roman" w:hAnsi="Times New Roman" w:eastAsia="宋体" w:cs="Times New Roman"/>
                <w:b/>
                <w:bCs/>
                <w:color w:val="auto"/>
                <w:kern w:val="0"/>
                <w:sz w:val="24"/>
                <w:highlight w:val="none"/>
                <w:lang w:bidi="ar"/>
              </w:rPr>
              <w:t>建设项目</w:t>
            </w:r>
          </w:p>
          <w:p w14:paraId="5C3D8A17">
            <w:pPr>
              <w:adjustRightInd w:val="0"/>
              <w:snapToGrid w:val="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行业类别</w:t>
            </w:r>
            <w:bookmarkEnd w:id="1"/>
          </w:p>
        </w:tc>
        <w:tc>
          <w:tcPr>
            <w:tcW w:w="1792" w:type="pct"/>
            <w:noWrap w:val="0"/>
            <w:vAlign w:val="center"/>
          </w:tcPr>
          <w:p w14:paraId="0273B6B1">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二十三、化学原料和化学制品制造业26--45肥料制造262--其他</w:t>
            </w:r>
          </w:p>
        </w:tc>
      </w:tr>
      <w:tr w14:paraId="3B40F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63" w:hRule="atLeast"/>
          <w:jc w:val="center"/>
        </w:trPr>
        <w:tc>
          <w:tcPr>
            <w:tcW w:w="633" w:type="pct"/>
            <w:noWrap w:val="0"/>
            <w:tcMar>
              <w:top w:w="16" w:type="dxa"/>
              <w:left w:w="16" w:type="dxa"/>
              <w:right w:w="16" w:type="dxa"/>
            </w:tcMar>
            <w:vAlign w:val="center"/>
          </w:tcPr>
          <w:p w14:paraId="14A9C759">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建设性质</w:t>
            </w:r>
          </w:p>
        </w:tc>
        <w:tc>
          <w:tcPr>
            <w:tcW w:w="1730" w:type="pct"/>
            <w:gridSpan w:val="2"/>
            <w:noWrap w:val="0"/>
            <w:vAlign w:val="center"/>
          </w:tcPr>
          <w:p w14:paraId="7A794F2F">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新建（迁建）</w:t>
            </w:r>
          </w:p>
          <w:p w14:paraId="37A7BB25">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改建</w:t>
            </w:r>
          </w:p>
          <w:p w14:paraId="13FCE62B">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扩建</w:t>
            </w:r>
          </w:p>
          <w:p w14:paraId="73F44EB6">
            <w:pPr>
              <w:jc w:val="left"/>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技术改造</w:t>
            </w:r>
          </w:p>
        </w:tc>
        <w:tc>
          <w:tcPr>
            <w:tcW w:w="843" w:type="pct"/>
            <w:noWrap w:val="0"/>
            <w:vAlign w:val="center"/>
          </w:tcPr>
          <w:p w14:paraId="20CBAF36">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eastAsia="宋体" w:cs="Times New Roman"/>
                <w:b/>
                <w:bCs/>
                <w:color w:val="auto"/>
                <w:sz w:val="24"/>
                <w:highlight w:val="none"/>
              </w:rPr>
              <w:t>建设项目申报情形</w:t>
            </w:r>
          </w:p>
        </w:tc>
        <w:tc>
          <w:tcPr>
            <w:tcW w:w="1792" w:type="pct"/>
            <w:noWrap w:val="0"/>
            <w:vAlign w:val="center"/>
          </w:tcPr>
          <w:p w14:paraId="2D92AD19">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首次申报项目</w:t>
            </w:r>
          </w:p>
          <w:p w14:paraId="19D9CEDC">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不予批准后再次申报项目</w:t>
            </w:r>
          </w:p>
          <w:p w14:paraId="59D3CE63">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超五年重新审核项目</w:t>
            </w:r>
          </w:p>
          <w:p w14:paraId="08F04B3D">
            <w:pPr>
              <w:jc w:val="left"/>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重大变动重新报批项</w:t>
            </w:r>
            <w:r>
              <w:rPr>
                <w:rFonts w:hint="default" w:ascii="Times New Roman" w:hAnsi="Times New Roman" w:cs="Times New Roman"/>
                <w:color w:val="auto"/>
                <w:sz w:val="24"/>
                <w:highlight w:val="none"/>
              </w:rPr>
              <w:t>目</w:t>
            </w:r>
          </w:p>
        </w:tc>
      </w:tr>
      <w:tr w14:paraId="1C12F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9" w:hRule="atLeast"/>
          <w:jc w:val="center"/>
        </w:trPr>
        <w:tc>
          <w:tcPr>
            <w:tcW w:w="633" w:type="pct"/>
            <w:noWrap w:val="0"/>
            <w:tcMar>
              <w:top w:w="16" w:type="dxa"/>
              <w:left w:w="16" w:type="dxa"/>
              <w:right w:w="16" w:type="dxa"/>
            </w:tcMar>
            <w:vAlign w:val="center"/>
          </w:tcPr>
          <w:p w14:paraId="0509AD36">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项目审批（核准/备案）部门（选填）</w:t>
            </w:r>
          </w:p>
          <w:p w14:paraId="56D707D5">
            <w:pPr>
              <w:adjustRightInd w:val="0"/>
              <w:snapToGrid w:val="0"/>
              <w:jc w:val="center"/>
              <w:rPr>
                <w:rFonts w:hint="default" w:ascii="Times New Roman" w:hAnsi="Times New Roman" w:cs="Times New Roman"/>
                <w:b/>
                <w:bCs/>
                <w:color w:val="auto"/>
                <w:sz w:val="24"/>
                <w:highlight w:val="none"/>
              </w:rPr>
            </w:pPr>
          </w:p>
        </w:tc>
        <w:tc>
          <w:tcPr>
            <w:tcW w:w="1730" w:type="pct"/>
            <w:gridSpan w:val="2"/>
            <w:noWrap w:val="0"/>
            <w:vAlign w:val="center"/>
          </w:tcPr>
          <w:p w14:paraId="06846CA8">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磴口县发展改革委员会</w:t>
            </w:r>
          </w:p>
        </w:tc>
        <w:tc>
          <w:tcPr>
            <w:tcW w:w="843" w:type="pct"/>
            <w:noWrap w:val="0"/>
            <w:vAlign w:val="center"/>
          </w:tcPr>
          <w:p w14:paraId="05923D7E">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项目审批（核准/备案）文号（选填）</w:t>
            </w:r>
          </w:p>
        </w:tc>
        <w:tc>
          <w:tcPr>
            <w:tcW w:w="1792" w:type="pct"/>
            <w:noWrap w:val="0"/>
            <w:vAlign w:val="center"/>
          </w:tcPr>
          <w:p w14:paraId="021105AF">
            <w:pPr>
              <w:adjustRightInd w:val="0"/>
              <w:snapToGrid w:val="0"/>
              <w:jc w:val="center"/>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val="en-US" w:eastAsia="zh-CN"/>
              </w:rPr>
              <w:t>2603-150822-04-01-465038</w:t>
            </w:r>
          </w:p>
        </w:tc>
      </w:tr>
      <w:tr w14:paraId="1A492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1" w:hRule="atLeast"/>
          <w:jc w:val="center"/>
        </w:trPr>
        <w:tc>
          <w:tcPr>
            <w:tcW w:w="633" w:type="pct"/>
            <w:noWrap w:val="0"/>
            <w:tcMar>
              <w:top w:w="16" w:type="dxa"/>
              <w:left w:w="16" w:type="dxa"/>
              <w:right w:w="16" w:type="dxa"/>
            </w:tcMar>
            <w:vAlign w:val="center"/>
          </w:tcPr>
          <w:p w14:paraId="3F230199">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总投资</w:t>
            </w:r>
          </w:p>
          <w:p w14:paraId="63EC3A2A">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（万元）</w:t>
            </w:r>
          </w:p>
        </w:tc>
        <w:tc>
          <w:tcPr>
            <w:tcW w:w="1730" w:type="pct"/>
            <w:gridSpan w:val="2"/>
            <w:noWrap w:val="0"/>
            <w:vAlign w:val="center"/>
          </w:tcPr>
          <w:p w14:paraId="599C0BE3">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10500</w:t>
            </w:r>
          </w:p>
        </w:tc>
        <w:tc>
          <w:tcPr>
            <w:tcW w:w="843" w:type="pct"/>
            <w:noWrap w:val="0"/>
            <w:tcMar>
              <w:top w:w="16" w:type="dxa"/>
              <w:left w:w="16" w:type="dxa"/>
              <w:right w:w="16" w:type="dxa"/>
            </w:tcMar>
            <w:vAlign w:val="center"/>
          </w:tcPr>
          <w:p w14:paraId="25D49F53">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环保投资</w:t>
            </w:r>
          </w:p>
          <w:p w14:paraId="3E7AC375">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（万元）</w:t>
            </w:r>
          </w:p>
        </w:tc>
        <w:tc>
          <w:tcPr>
            <w:tcW w:w="1792" w:type="pct"/>
            <w:noWrap w:val="0"/>
            <w:vAlign w:val="center"/>
          </w:tcPr>
          <w:p w14:paraId="0E28992C">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262.5</w:t>
            </w:r>
          </w:p>
        </w:tc>
      </w:tr>
      <w:tr w14:paraId="2014DC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633" w:type="pct"/>
            <w:noWrap w:val="0"/>
            <w:tcMar>
              <w:top w:w="16" w:type="dxa"/>
              <w:left w:w="16" w:type="dxa"/>
              <w:right w:w="16" w:type="dxa"/>
            </w:tcMar>
            <w:vAlign w:val="center"/>
          </w:tcPr>
          <w:p w14:paraId="59B57300">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环保投资</w:t>
            </w:r>
          </w:p>
          <w:p w14:paraId="5E30E6B8">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占比（%）</w:t>
            </w:r>
          </w:p>
        </w:tc>
        <w:tc>
          <w:tcPr>
            <w:tcW w:w="1730" w:type="pct"/>
            <w:gridSpan w:val="2"/>
            <w:noWrap w:val="0"/>
            <w:vAlign w:val="center"/>
          </w:tcPr>
          <w:p w14:paraId="291A99F6">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2.5</w:t>
            </w:r>
          </w:p>
        </w:tc>
        <w:tc>
          <w:tcPr>
            <w:tcW w:w="843" w:type="pct"/>
            <w:noWrap w:val="0"/>
            <w:tcMar>
              <w:top w:w="16" w:type="dxa"/>
              <w:left w:w="16" w:type="dxa"/>
              <w:right w:w="16" w:type="dxa"/>
            </w:tcMar>
            <w:vAlign w:val="center"/>
          </w:tcPr>
          <w:p w14:paraId="208E0405">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施工工期</w:t>
            </w:r>
          </w:p>
        </w:tc>
        <w:tc>
          <w:tcPr>
            <w:tcW w:w="1792" w:type="pct"/>
            <w:noWrap w:val="0"/>
            <w:vAlign w:val="center"/>
          </w:tcPr>
          <w:p w14:paraId="14298242">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个月</w:t>
            </w:r>
          </w:p>
        </w:tc>
      </w:tr>
      <w:tr w14:paraId="5653D4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8" w:hRule="atLeast"/>
          <w:jc w:val="center"/>
        </w:trPr>
        <w:tc>
          <w:tcPr>
            <w:tcW w:w="633" w:type="pct"/>
            <w:noWrap w:val="0"/>
            <w:tcMar>
              <w:top w:w="16" w:type="dxa"/>
              <w:left w:w="16" w:type="dxa"/>
              <w:right w:w="16" w:type="dxa"/>
            </w:tcMar>
            <w:vAlign w:val="center"/>
          </w:tcPr>
          <w:p w14:paraId="58D9AB3F">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是否</w:t>
            </w:r>
          </w:p>
          <w:p w14:paraId="5B5F5E06">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开工建设</w:t>
            </w:r>
          </w:p>
        </w:tc>
        <w:tc>
          <w:tcPr>
            <w:tcW w:w="1730" w:type="pct"/>
            <w:gridSpan w:val="2"/>
            <w:noWrap w:val="0"/>
            <w:vAlign w:val="center"/>
          </w:tcPr>
          <w:p w14:paraId="0BF05644">
            <w:pPr>
              <w:adjustRightInd w:val="0"/>
              <w:snapToGrid w:val="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否</w:t>
            </w:r>
          </w:p>
          <w:p w14:paraId="4A06A412">
            <w:pPr>
              <w:adjustRightInd w:val="0"/>
              <w:snapToGrid w:val="0"/>
              <w:jc w:val="left"/>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是</w:t>
            </w:r>
          </w:p>
        </w:tc>
        <w:tc>
          <w:tcPr>
            <w:tcW w:w="843" w:type="pct"/>
            <w:noWrap w:val="0"/>
            <w:tcMar>
              <w:top w:w="16" w:type="dxa"/>
              <w:left w:w="16" w:type="dxa"/>
              <w:right w:w="16" w:type="dxa"/>
            </w:tcMar>
            <w:vAlign w:val="center"/>
          </w:tcPr>
          <w:p w14:paraId="001D8555">
            <w:pPr>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pacing w:val="-6"/>
                <w:sz w:val="24"/>
                <w:highlight w:val="none"/>
              </w:rPr>
              <w:t>用地面积（m</w:t>
            </w:r>
            <w:r>
              <w:rPr>
                <w:rFonts w:hint="default" w:ascii="Times New Roman" w:hAnsi="Times New Roman" w:cs="Times New Roman"/>
                <w:b/>
                <w:bCs/>
                <w:color w:val="auto"/>
                <w:spacing w:val="-6"/>
                <w:sz w:val="24"/>
                <w:highlight w:val="none"/>
                <w:vertAlign w:val="superscript"/>
              </w:rPr>
              <w:t>2</w:t>
            </w:r>
            <w:r>
              <w:rPr>
                <w:rFonts w:hint="default" w:ascii="Times New Roman" w:hAnsi="Times New Roman" w:cs="Times New Roman"/>
                <w:b/>
                <w:bCs/>
                <w:color w:val="auto"/>
                <w:spacing w:val="-6"/>
                <w:sz w:val="24"/>
                <w:highlight w:val="none"/>
              </w:rPr>
              <w:t>）</w:t>
            </w:r>
          </w:p>
        </w:tc>
        <w:tc>
          <w:tcPr>
            <w:tcW w:w="1792" w:type="pct"/>
            <w:noWrap w:val="0"/>
            <w:vAlign w:val="center"/>
          </w:tcPr>
          <w:p w14:paraId="5FDF2808">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36000</w:t>
            </w:r>
          </w:p>
        </w:tc>
      </w:tr>
      <w:tr w14:paraId="08A1E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33" w:type="pct"/>
            <w:noWrap w:val="0"/>
            <w:vAlign w:val="center"/>
          </w:tcPr>
          <w:p w14:paraId="67CAFCA3">
            <w:pPr>
              <w:autoSpaceDE w:val="0"/>
              <w:autoSpaceDN w:val="0"/>
              <w:adjustRightInd w:val="0"/>
              <w:snapToGrid w:val="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专项评价</w:t>
            </w:r>
          </w:p>
          <w:p w14:paraId="6AC235E9">
            <w:pPr>
              <w:autoSpaceDE w:val="0"/>
              <w:autoSpaceDN w:val="0"/>
              <w:adjustRightInd w:val="0"/>
              <w:snapToGrid w:val="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设置情况</w:t>
            </w:r>
          </w:p>
        </w:tc>
        <w:tc>
          <w:tcPr>
            <w:tcW w:w="4366" w:type="pct"/>
            <w:gridSpan w:val="4"/>
            <w:noWrap w:val="0"/>
            <w:vAlign w:val="center"/>
          </w:tcPr>
          <w:p w14:paraId="289D6161">
            <w:pPr>
              <w:widowControl/>
              <w:spacing w:line="440" w:lineRule="exact"/>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根据《建设项目环境影响报告表编制技术指南（</w:t>
            </w:r>
            <w:r>
              <w:rPr>
                <w:rFonts w:hint="default" w:ascii="Times New Roman" w:hAnsi="Times New Roman" w:eastAsia="宋体" w:cs="Times New Roman"/>
                <w:color w:val="auto"/>
                <w:kern w:val="0"/>
                <w:sz w:val="24"/>
                <w:highlight w:val="none"/>
                <w:lang w:val="en-US" w:eastAsia="zh-CN" w:bidi="ar"/>
              </w:rPr>
              <w:t>污染</w:t>
            </w:r>
            <w:r>
              <w:rPr>
                <w:rFonts w:hint="default" w:ascii="Times New Roman" w:hAnsi="Times New Roman" w:eastAsia="宋体" w:cs="Times New Roman"/>
                <w:color w:val="auto"/>
                <w:kern w:val="0"/>
                <w:sz w:val="24"/>
                <w:highlight w:val="none"/>
                <w:lang w:bidi="ar"/>
              </w:rPr>
              <w:t>影响类）（试行）》中专项评价设置原则表下表1-1</w:t>
            </w:r>
          </w:p>
          <w:p w14:paraId="6D0CEA85">
            <w:pPr>
              <w:widowControl/>
              <w:spacing w:line="440" w:lineRule="exact"/>
              <w:jc w:val="center"/>
              <w:rPr>
                <w:rFonts w:hint="default" w:ascii="Times New Roman" w:hAnsi="Times New Roman" w:eastAsia="宋体" w:cs="Times New Roman"/>
                <w:b/>
                <w:color w:val="auto"/>
                <w:kern w:val="0"/>
                <w:sz w:val="24"/>
                <w:highlight w:val="none"/>
                <w:lang w:bidi="ar"/>
              </w:rPr>
            </w:pPr>
            <w:r>
              <w:rPr>
                <w:rFonts w:hint="default" w:ascii="Times New Roman" w:hAnsi="Times New Roman" w:eastAsia="宋体" w:cs="Times New Roman"/>
                <w:b/>
                <w:color w:val="auto"/>
                <w:kern w:val="0"/>
                <w:sz w:val="24"/>
                <w:highlight w:val="none"/>
                <w:lang w:bidi="ar"/>
              </w:rPr>
              <w:t>表1-1    专项评价设置原则表</w:t>
            </w:r>
          </w:p>
          <w:tbl>
            <w:tblPr>
              <w:tblStyle w:val="32"/>
              <w:tblW w:w="76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3623"/>
              <w:gridCol w:w="1689"/>
              <w:gridCol w:w="1291"/>
            </w:tblGrid>
            <w:tr w14:paraId="486B6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666" w:type="pct"/>
                  <w:tcBorders>
                    <w:tl2br w:val="nil"/>
                    <w:tr2bl w:val="nil"/>
                  </w:tcBorders>
                  <w:noWrap w:val="0"/>
                  <w:vAlign w:val="center"/>
                </w:tcPr>
                <w:p w14:paraId="535947DC">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专项评价类别</w:t>
                  </w:r>
                </w:p>
              </w:tc>
              <w:tc>
                <w:tcPr>
                  <w:tcW w:w="2377" w:type="pct"/>
                  <w:tcBorders>
                    <w:tl2br w:val="nil"/>
                    <w:tr2bl w:val="nil"/>
                  </w:tcBorders>
                  <w:noWrap w:val="0"/>
                  <w:vAlign w:val="center"/>
                </w:tcPr>
                <w:p w14:paraId="1337ADFD">
                  <w:pPr>
                    <w:pStyle w:val="69"/>
                    <w:keepNext w:val="0"/>
                    <w:keepLines w:val="0"/>
                    <w:pageBreakBefore w:val="0"/>
                    <w:kinsoku/>
                    <w:wordWrap/>
                    <w:overflowPunct/>
                    <w:topLinePunct w:val="0"/>
                    <w:autoSpaceDE/>
                    <w:autoSpaceDN/>
                    <w:bidi w:val="0"/>
                    <w:adjustRightInd w:val="0"/>
                    <w:snapToGrid w:val="0"/>
                    <w:spacing w:before="24" w:after="24" w:line="240" w:lineRule="auto"/>
                    <w:ind w:left="0" w:leftChars="0"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涉及项目类别</w:t>
                  </w:r>
                </w:p>
              </w:tc>
              <w:tc>
                <w:tcPr>
                  <w:tcW w:w="1108" w:type="pct"/>
                  <w:tcBorders>
                    <w:tl2br w:val="nil"/>
                    <w:tr2bl w:val="nil"/>
                  </w:tcBorders>
                  <w:noWrap w:val="0"/>
                  <w:vAlign w:val="center"/>
                </w:tcPr>
                <w:p w14:paraId="1179E0A1">
                  <w:pPr>
                    <w:pStyle w:val="69"/>
                    <w:keepNext w:val="0"/>
                    <w:keepLines w:val="0"/>
                    <w:pageBreakBefore w:val="0"/>
                    <w:kinsoku/>
                    <w:wordWrap/>
                    <w:overflowPunct/>
                    <w:topLinePunct w:val="0"/>
                    <w:autoSpaceDE/>
                    <w:autoSpaceDN/>
                    <w:bidi w:val="0"/>
                    <w:adjustRightInd w:val="0"/>
                    <w:snapToGrid w:val="0"/>
                    <w:spacing w:before="24" w:after="24" w:line="240" w:lineRule="auto"/>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rPr>
                  </w:pPr>
                  <w:r>
                    <w:rPr>
                      <w:rFonts w:hint="eastAsia" w:ascii="Times New Roman" w:cs="Times New Roman"/>
                      <w:b/>
                      <w:bCs/>
                      <w:color w:val="auto"/>
                      <w:kern w:val="2"/>
                      <w:sz w:val="21"/>
                      <w:szCs w:val="21"/>
                      <w:highlight w:val="none"/>
                      <w:lang w:val="en-US" w:eastAsia="zh-CN"/>
                    </w:rPr>
                    <w:t>本项目情况</w:t>
                  </w:r>
                </w:p>
              </w:tc>
              <w:tc>
                <w:tcPr>
                  <w:tcW w:w="847" w:type="pct"/>
                  <w:tcBorders>
                    <w:tl2br w:val="nil"/>
                    <w:tr2bl w:val="nil"/>
                  </w:tcBorders>
                  <w:noWrap w:val="0"/>
                  <w:vAlign w:val="center"/>
                </w:tcPr>
                <w:p w14:paraId="5744A8DA">
                  <w:pPr>
                    <w:pStyle w:val="69"/>
                    <w:keepNext w:val="0"/>
                    <w:keepLines w:val="0"/>
                    <w:pageBreakBefore w:val="0"/>
                    <w:kinsoku/>
                    <w:wordWrap/>
                    <w:overflowPunct/>
                    <w:topLinePunct w:val="0"/>
                    <w:autoSpaceDE/>
                    <w:autoSpaceDN/>
                    <w:bidi w:val="0"/>
                    <w:adjustRightInd w:val="0"/>
                    <w:snapToGrid w:val="0"/>
                    <w:spacing w:before="24" w:after="24" w:line="240" w:lineRule="auto"/>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rPr>
                    <w:t>本项目专题设置情况</w:t>
                  </w:r>
                </w:p>
              </w:tc>
            </w:tr>
            <w:tr w14:paraId="25E70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38" w:hRule="atLeast"/>
                <w:jc w:val="center"/>
              </w:trPr>
              <w:tc>
                <w:tcPr>
                  <w:tcW w:w="666" w:type="pct"/>
                  <w:tcBorders>
                    <w:tl2br w:val="nil"/>
                    <w:tr2bl w:val="nil"/>
                  </w:tcBorders>
                  <w:noWrap w:val="0"/>
                  <w:vAlign w:val="center"/>
                </w:tcPr>
                <w:p w14:paraId="5E3819A2">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大气</w:t>
                  </w:r>
                </w:p>
              </w:tc>
              <w:tc>
                <w:tcPr>
                  <w:tcW w:w="2377" w:type="pct"/>
                  <w:tcBorders>
                    <w:tl2br w:val="nil"/>
                    <w:tr2bl w:val="nil"/>
                  </w:tcBorders>
                  <w:noWrap w:val="0"/>
                  <w:vAlign w:val="center"/>
                </w:tcPr>
                <w:p w14:paraId="6CCF4548">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排放废气含有毒有害污染物、二噁英、苯并[a]芘、氰化物、氯气且厂界外 500 米范围内有环境空气保护目标的建设项目。</w:t>
                  </w:r>
                </w:p>
              </w:tc>
              <w:tc>
                <w:tcPr>
                  <w:tcW w:w="1108" w:type="pct"/>
                  <w:tcBorders>
                    <w:tl2br w:val="nil"/>
                    <w:tr2bl w:val="nil"/>
                  </w:tcBorders>
                  <w:noWrap w:val="0"/>
                  <w:vAlign w:val="center"/>
                </w:tcPr>
                <w:p w14:paraId="15B2FBF8">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本项目排放废气不涉及含有毒有害污染物</w:t>
                  </w:r>
                </w:p>
              </w:tc>
              <w:tc>
                <w:tcPr>
                  <w:tcW w:w="847" w:type="pct"/>
                  <w:tcBorders>
                    <w:tl2br w:val="nil"/>
                    <w:tr2bl w:val="nil"/>
                  </w:tcBorders>
                  <w:noWrap w:val="0"/>
                  <w:vAlign w:val="center"/>
                </w:tcPr>
                <w:p w14:paraId="0CAE4F23">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不需开展</w:t>
                  </w:r>
                </w:p>
              </w:tc>
            </w:tr>
            <w:tr w14:paraId="4AE93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6" w:type="pct"/>
                  <w:tcBorders>
                    <w:tl2br w:val="nil"/>
                    <w:tr2bl w:val="nil"/>
                  </w:tcBorders>
                  <w:noWrap w:val="0"/>
                  <w:vAlign w:val="center"/>
                </w:tcPr>
                <w:p w14:paraId="401658F6">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地表水</w:t>
                  </w:r>
                </w:p>
              </w:tc>
              <w:tc>
                <w:tcPr>
                  <w:tcW w:w="2377" w:type="pct"/>
                  <w:tcBorders>
                    <w:tl2br w:val="nil"/>
                    <w:tr2bl w:val="nil"/>
                  </w:tcBorders>
                  <w:noWrap w:val="0"/>
                  <w:vAlign w:val="center"/>
                </w:tcPr>
                <w:p w14:paraId="772E9375">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新增工业废水直排建设项目（槽罐车外送污水处理厂的除外）；新增废水直排的污水集中处理厂。</w:t>
                  </w:r>
                </w:p>
              </w:tc>
              <w:tc>
                <w:tcPr>
                  <w:tcW w:w="1108" w:type="pct"/>
                  <w:tcBorders>
                    <w:tl2br w:val="nil"/>
                    <w:tr2bl w:val="nil"/>
                  </w:tcBorders>
                  <w:noWrap w:val="0"/>
                  <w:vAlign w:val="center"/>
                </w:tcPr>
                <w:p w14:paraId="5389BBA9">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本项目无工业废水产生，生活污水不会直排</w:t>
                  </w:r>
                </w:p>
              </w:tc>
              <w:tc>
                <w:tcPr>
                  <w:tcW w:w="847" w:type="pct"/>
                  <w:tcBorders>
                    <w:tl2br w:val="nil"/>
                    <w:tr2bl w:val="nil"/>
                  </w:tcBorders>
                  <w:noWrap w:val="0"/>
                  <w:vAlign w:val="center"/>
                </w:tcPr>
                <w:p w14:paraId="5A8A7296">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不需开展</w:t>
                  </w:r>
                </w:p>
              </w:tc>
            </w:tr>
            <w:tr w14:paraId="12F6D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2" w:hRule="atLeast"/>
                <w:jc w:val="center"/>
              </w:trPr>
              <w:tc>
                <w:tcPr>
                  <w:tcW w:w="666" w:type="pct"/>
                  <w:tcBorders>
                    <w:tl2br w:val="nil"/>
                    <w:tr2bl w:val="nil"/>
                  </w:tcBorders>
                  <w:noWrap w:val="0"/>
                  <w:vAlign w:val="center"/>
                </w:tcPr>
                <w:p w14:paraId="38517F01">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环境风险</w:t>
                  </w:r>
                </w:p>
              </w:tc>
              <w:tc>
                <w:tcPr>
                  <w:tcW w:w="2377" w:type="pct"/>
                  <w:tcBorders>
                    <w:tl2br w:val="nil"/>
                    <w:tr2bl w:val="nil"/>
                  </w:tcBorders>
                  <w:noWrap w:val="0"/>
                  <w:vAlign w:val="center"/>
                </w:tcPr>
                <w:p w14:paraId="475A00DD">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有毒有害和易燃易爆危险物质存储量超过临界量的建设项目。</w:t>
                  </w:r>
                </w:p>
              </w:tc>
              <w:tc>
                <w:tcPr>
                  <w:tcW w:w="1108" w:type="pct"/>
                  <w:tcBorders>
                    <w:tl2br w:val="nil"/>
                    <w:tr2bl w:val="nil"/>
                  </w:tcBorders>
                  <w:noWrap w:val="0"/>
                  <w:vAlign w:val="center"/>
                </w:tcPr>
                <w:p w14:paraId="500D2D81">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本项目没有储存超临界量的</w:t>
                  </w:r>
                  <w:r>
                    <w:rPr>
                      <w:rFonts w:hint="default" w:ascii="Times New Roman" w:hAnsi="Times New Roman" w:eastAsia="宋体" w:cs="Times New Roman"/>
                      <w:color w:val="auto"/>
                      <w:szCs w:val="21"/>
                      <w:highlight w:val="none"/>
                    </w:rPr>
                    <w:t>有毒有害和易燃易爆危险物质</w:t>
                  </w:r>
                </w:p>
              </w:tc>
              <w:tc>
                <w:tcPr>
                  <w:tcW w:w="847" w:type="pct"/>
                  <w:tcBorders>
                    <w:tl2br w:val="nil"/>
                    <w:tr2bl w:val="nil"/>
                  </w:tcBorders>
                  <w:noWrap w:val="0"/>
                  <w:vAlign w:val="center"/>
                </w:tcPr>
                <w:p w14:paraId="22E6079B">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不需开展</w:t>
                  </w:r>
                </w:p>
              </w:tc>
            </w:tr>
            <w:tr w14:paraId="13ED9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66" w:type="pct"/>
                  <w:tcBorders>
                    <w:tl2br w:val="nil"/>
                    <w:tr2bl w:val="nil"/>
                  </w:tcBorders>
                  <w:noWrap w:val="0"/>
                  <w:vAlign w:val="center"/>
                </w:tcPr>
                <w:p w14:paraId="68027686">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生态</w:t>
                  </w:r>
                </w:p>
              </w:tc>
              <w:tc>
                <w:tcPr>
                  <w:tcW w:w="2377" w:type="pct"/>
                  <w:tcBorders>
                    <w:tl2br w:val="nil"/>
                    <w:tr2bl w:val="nil"/>
                  </w:tcBorders>
                  <w:noWrap w:val="0"/>
                  <w:vAlign w:val="center"/>
                </w:tcPr>
                <w:p w14:paraId="322A5D24">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取水口下游 500 米范围内有重要水生生物的自然产卵场、索饵场、越冬场和洄游通道的新增河道取水的污染类建设项目。</w:t>
                  </w:r>
                </w:p>
              </w:tc>
              <w:tc>
                <w:tcPr>
                  <w:tcW w:w="1108" w:type="pct"/>
                  <w:tcBorders>
                    <w:tl2br w:val="nil"/>
                    <w:tr2bl w:val="nil"/>
                  </w:tcBorders>
                  <w:noWrap w:val="0"/>
                  <w:vAlign w:val="center"/>
                </w:tcPr>
                <w:p w14:paraId="23855604">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本项目取用水为外购桶装水，无取水口</w:t>
                  </w:r>
                </w:p>
              </w:tc>
              <w:tc>
                <w:tcPr>
                  <w:tcW w:w="847" w:type="pct"/>
                  <w:tcBorders>
                    <w:tl2br w:val="nil"/>
                    <w:tr2bl w:val="nil"/>
                  </w:tcBorders>
                  <w:noWrap w:val="0"/>
                  <w:vAlign w:val="center"/>
                </w:tcPr>
                <w:p w14:paraId="11DF65C1">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不需开展</w:t>
                  </w:r>
                </w:p>
              </w:tc>
            </w:tr>
            <w:tr w14:paraId="5E876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6" w:hRule="atLeast"/>
                <w:jc w:val="center"/>
              </w:trPr>
              <w:tc>
                <w:tcPr>
                  <w:tcW w:w="666" w:type="pct"/>
                  <w:tcBorders>
                    <w:tl2br w:val="nil"/>
                    <w:tr2bl w:val="nil"/>
                  </w:tcBorders>
                  <w:noWrap w:val="0"/>
                  <w:vAlign w:val="center"/>
                </w:tcPr>
                <w:p w14:paraId="7F42EF42">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海洋</w:t>
                  </w:r>
                </w:p>
              </w:tc>
              <w:tc>
                <w:tcPr>
                  <w:tcW w:w="2377" w:type="pct"/>
                  <w:tcBorders>
                    <w:tl2br w:val="nil"/>
                    <w:tr2bl w:val="nil"/>
                  </w:tcBorders>
                  <w:noWrap w:val="0"/>
                  <w:vAlign w:val="center"/>
                </w:tcPr>
                <w:p w14:paraId="503DCECE">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直接向海排放污染物的海洋工程建设项目。</w:t>
                  </w:r>
                </w:p>
              </w:tc>
              <w:tc>
                <w:tcPr>
                  <w:tcW w:w="1108" w:type="pct"/>
                  <w:tcBorders>
                    <w:tl2br w:val="nil"/>
                    <w:tr2bl w:val="nil"/>
                  </w:tcBorders>
                  <w:noWrap w:val="0"/>
                  <w:vAlign w:val="center"/>
                </w:tcPr>
                <w:p w14:paraId="5BCFCC0D">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本项目不涉及向海直排</w:t>
                  </w:r>
                </w:p>
              </w:tc>
              <w:tc>
                <w:tcPr>
                  <w:tcW w:w="847" w:type="pct"/>
                  <w:tcBorders>
                    <w:tl2br w:val="nil"/>
                    <w:tr2bl w:val="nil"/>
                  </w:tcBorders>
                  <w:noWrap w:val="0"/>
                  <w:vAlign w:val="center"/>
                </w:tcPr>
                <w:p w14:paraId="01CCDB77">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不需开展</w:t>
                  </w:r>
                </w:p>
              </w:tc>
            </w:tr>
          </w:tbl>
          <w:p w14:paraId="5E61EAF7">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bidi="ar"/>
              </w:rPr>
              <w:t>综上，本项目</w:t>
            </w:r>
            <w:r>
              <w:rPr>
                <w:rFonts w:hint="default" w:ascii="Times New Roman" w:hAnsi="Times New Roman" w:eastAsia="宋体" w:cs="Times New Roman"/>
                <w:color w:val="auto"/>
                <w:kern w:val="0"/>
                <w:sz w:val="24"/>
                <w:highlight w:val="none"/>
                <w:lang w:val="en-US" w:eastAsia="zh-CN" w:bidi="ar"/>
              </w:rPr>
              <w:t>不</w:t>
            </w:r>
            <w:r>
              <w:rPr>
                <w:rFonts w:hint="default" w:ascii="Times New Roman" w:hAnsi="Times New Roman" w:eastAsia="宋体" w:cs="Times New Roman"/>
                <w:color w:val="auto"/>
                <w:kern w:val="0"/>
                <w:sz w:val="24"/>
                <w:highlight w:val="none"/>
                <w:lang w:bidi="ar"/>
              </w:rPr>
              <w:t>需</w:t>
            </w:r>
            <w:r>
              <w:rPr>
                <w:rFonts w:hint="default" w:ascii="Times New Roman" w:hAnsi="Times New Roman" w:eastAsia="宋体" w:cs="Times New Roman"/>
                <w:color w:val="auto"/>
                <w:kern w:val="0"/>
                <w:sz w:val="24"/>
                <w:highlight w:val="none"/>
                <w:lang w:eastAsia="zh-CN" w:bidi="ar"/>
              </w:rPr>
              <w:t>开展</w:t>
            </w:r>
            <w:r>
              <w:rPr>
                <w:rFonts w:hint="default" w:ascii="Times New Roman" w:hAnsi="Times New Roman" w:eastAsia="宋体" w:cs="Times New Roman"/>
                <w:color w:val="auto"/>
                <w:kern w:val="0"/>
                <w:sz w:val="24"/>
                <w:highlight w:val="none"/>
                <w:lang w:bidi="ar"/>
              </w:rPr>
              <w:t>环境影响专项评价工作。</w:t>
            </w:r>
          </w:p>
        </w:tc>
      </w:tr>
      <w:tr w14:paraId="5EECD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3" w:type="pct"/>
            <w:noWrap w:val="0"/>
            <w:vAlign w:val="center"/>
          </w:tcPr>
          <w:p w14:paraId="5EE6145A">
            <w:pPr>
              <w:autoSpaceDE w:val="0"/>
              <w:autoSpaceDN w:val="0"/>
              <w:adjustRightInd w:val="0"/>
              <w:snapToGrid w:val="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sz w:val="24"/>
                <w:highlight w:val="none"/>
              </w:rPr>
              <w:t>规划情况</w:t>
            </w:r>
          </w:p>
        </w:tc>
        <w:tc>
          <w:tcPr>
            <w:tcW w:w="4366" w:type="pct"/>
            <w:gridSpan w:val="4"/>
            <w:noWrap w:val="0"/>
            <w:vAlign w:val="center"/>
          </w:tcPr>
          <w:p w14:paraId="3A17BA74">
            <w:pPr>
              <w:autoSpaceDE w:val="0"/>
              <w:autoSpaceDN w:val="0"/>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eastAsia="宋体" w:cs="Times New Roman"/>
                <w:color w:val="auto"/>
                <w:kern w:val="0"/>
                <w:sz w:val="24"/>
                <w:highlight w:val="none"/>
              </w:rPr>
              <w:t>无</w:t>
            </w:r>
          </w:p>
        </w:tc>
      </w:tr>
      <w:tr w14:paraId="48CB1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33" w:type="pct"/>
            <w:noWrap w:val="0"/>
            <w:vAlign w:val="center"/>
          </w:tcPr>
          <w:p w14:paraId="32BC388F">
            <w:pPr>
              <w:adjustRightInd w:val="0"/>
              <w:snapToGrid w:val="0"/>
              <w:ind w:left="-210" w:leftChars="-100" w:right="-210" w:rightChars="-10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规划</w:t>
            </w:r>
          </w:p>
          <w:p w14:paraId="46FF1CC5">
            <w:pPr>
              <w:adjustRightInd w:val="0"/>
              <w:snapToGrid w:val="0"/>
              <w:ind w:left="-210" w:leftChars="-100" w:right="-210" w:rightChars="-10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环境</w:t>
            </w:r>
          </w:p>
          <w:p w14:paraId="7FEA483A">
            <w:pPr>
              <w:adjustRightInd w:val="0"/>
              <w:snapToGrid w:val="0"/>
              <w:ind w:left="-210" w:leftChars="-100" w:right="-210" w:rightChars="-10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影响</w:t>
            </w:r>
          </w:p>
          <w:p w14:paraId="2460E32F">
            <w:pPr>
              <w:adjustRightInd w:val="0"/>
              <w:snapToGrid w:val="0"/>
              <w:ind w:left="-210" w:leftChars="-100" w:right="-210" w:rightChars="-10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评价</w:t>
            </w:r>
          </w:p>
          <w:p w14:paraId="5664A6D1">
            <w:pPr>
              <w:adjustRightInd w:val="0"/>
              <w:snapToGrid w:val="0"/>
              <w:ind w:left="-210" w:leftChars="-100" w:right="-210" w:rightChars="-10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情况</w:t>
            </w:r>
          </w:p>
        </w:tc>
        <w:tc>
          <w:tcPr>
            <w:tcW w:w="4366" w:type="pct"/>
            <w:gridSpan w:val="4"/>
            <w:noWrap w:val="0"/>
            <w:vAlign w:val="center"/>
          </w:tcPr>
          <w:p w14:paraId="782D9E4F">
            <w:pPr>
              <w:pStyle w:val="31"/>
              <w:keepNext w:val="0"/>
              <w:keepLines w:val="0"/>
              <w:pageBreakBefore w:val="0"/>
              <w:widowControl w:val="0"/>
              <w:tabs>
                <w:tab w:val="left" w:pos="0"/>
              </w:tabs>
              <w:kinsoku/>
              <w:wordWrap/>
              <w:overflowPunct/>
              <w:topLinePunct w:val="0"/>
              <w:autoSpaceDE/>
              <w:autoSpaceDN/>
              <w:bidi w:val="0"/>
              <w:adjustRightInd w:val="0"/>
              <w:snapToGrid/>
              <w:spacing w:after="0" w:line="440" w:lineRule="exact"/>
              <w:ind w:left="0" w:leftChars="0" w:firstLine="0" w:firstLineChars="0"/>
              <w:jc w:val="center"/>
              <w:textAlignment w:val="baseline"/>
              <w:rPr>
                <w:rFonts w:hint="eastAsia" w:ascii="Times New Roman" w:hAnsi="Times New Roman" w:eastAsia="宋体" w:cs="Times New Roman"/>
                <w:color w:val="auto"/>
                <w:kern w:val="0"/>
                <w:sz w:val="24"/>
                <w:highlight w:val="none"/>
                <w:lang w:eastAsia="zh-CN"/>
              </w:rPr>
            </w:pPr>
            <w:r>
              <w:rPr>
                <w:rFonts w:hint="eastAsia" w:ascii="Times New Roman" w:hAnsi="Times New Roman" w:cs="Times New Roman"/>
                <w:b w:val="0"/>
                <w:bCs w:val="0"/>
                <w:color w:val="auto"/>
                <w:kern w:val="0"/>
                <w:sz w:val="24"/>
                <w:szCs w:val="24"/>
                <w:highlight w:val="none"/>
                <w:lang w:val="en-US" w:eastAsia="zh-CN"/>
              </w:rPr>
              <w:t>无</w:t>
            </w:r>
          </w:p>
        </w:tc>
      </w:tr>
      <w:tr w14:paraId="12A05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3" w:type="pct"/>
            <w:noWrap w:val="0"/>
            <w:vAlign w:val="center"/>
          </w:tcPr>
          <w:p w14:paraId="4E656843">
            <w:pPr>
              <w:autoSpaceDE w:val="0"/>
              <w:autoSpaceDN w:val="0"/>
              <w:adjustRightInd w:val="0"/>
              <w:snapToGrid w:val="0"/>
              <w:ind w:left="-210" w:leftChars="-100" w:right="-210" w:rightChars="-10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规划及</w:t>
            </w:r>
          </w:p>
          <w:p w14:paraId="4D2DDA03">
            <w:pPr>
              <w:autoSpaceDE w:val="0"/>
              <w:autoSpaceDN w:val="0"/>
              <w:adjustRightInd w:val="0"/>
              <w:snapToGrid w:val="0"/>
              <w:ind w:left="-210" w:leftChars="-100" w:right="-210" w:rightChars="-10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规划环</w:t>
            </w:r>
          </w:p>
          <w:p w14:paraId="3346129A">
            <w:pPr>
              <w:autoSpaceDE w:val="0"/>
              <w:autoSpaceDN w:val="0"/>
              <w:adjustRightInd w:val="0"/>
              <w:snapToGrid w:val="0"/>
              <w:ind w:left="-210" w:leftChars="-100" w:right="-210" w:rightChars="-10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境影响</w:t>
            </w:r>
          </w:p>
          <w:p w14:paraId="20C7D9AF">
            <w:pPr>
              <w:autoSpaceDE w:val="0"/>
              <w:autoSpaceDN w:val="0"/>
              <w:adjustRightInd w:val="0"/>
              <w:snapToGrid w:val="0"/>
              <w:ind w:left="-210" w:leftChars="-100" w:right="-210" w:rightChars="-10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评价符</w:t>
            </w:r>
          </w:p>
          <w:p w14:paraId="5FF60D9C">
            <w:pPr>
              <w:autoSpaceDE w:val="0"/>
              <w:autoSpaceDN w:val="0"/>
              <w:adjustRightInd w:val="0"/>
              <w:snapToGrid w:val="0"/>
              <w:ind w:left="-210" w:leftChars="-100" w:right="-210" w:rightChars="-10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合性</w:t>
            </w:r>
          </w:p>
          <w:p w14:paraId="168C5B69">
            <w:pPr>
              <w:autoSpaceDE w:val="0"/>
              <w:autoSpaceDN w:val="0"/>
              <w:adjustRightInd w:val="0"/>
              <w:snapToGrid w:val="0"/>
              <w:ind w:left="-210" w:leftChars="-100" w:right="-210" w:rightChars="-10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分析</w:t>
            </w:r>
          </w:p>
        </w:tc>
        <w:tc>
          <w:tcPr>
            <w:tcW w:w="4366" w:type="pct"/>
            <w:gridSpan w:val="4"/>
            <w:noWrap w:val="0"/>
            <w:vAlign w:val="center"/>
          </w:tcPr>
          <w:p w14:paraId="0423648C">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color w:val="auto"/>
                <w:sz w:val="24"/>
                <w:highlight w:val="none"/>
              </w:rPr>
            </w:pPr>
            <w:r>
              <w:rPr>
                <w:rFonts w:hint="eastAsia" w:cs="Times New Roman"/>
                <w:color w:val="auto"/>
                <w:kern w:val="0"/>
                <w:sz w:val="24"/>
                <w:szCs w:val="24"/>
                <w:highlight w:val="none"/>
                <w:lang w:val="en-US" w:eastAsia="zh-CN" w:bidi="ar-SA"/>
              </w:rPr>
              <w:t>无</w:t>
            </w:r>
          </w:p>
        </w:tc>
      </w:tr>
      <w:tr w14:paraId="534DBA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40" w:hRule="atLeast"/>
          <w:jc w:val="center"/>
        </w:trPr>
        <w:tc>
          <w:tcPr>
            <w:tcW w:w="633" w:type="pct"/>
            <w:noWrap w:val="0"/>
            <w:vAlign w:val="center"/>
          </w:tcPr>
          <w:p w14:paraId="7767D45B">
            <w:pPr>
              <w:adjustRightInd w:val="0"/>
              <w:snapToGrid w:val="0"/>
              <w:ind w:left="240" w:hanging="241" w:hangingChars="100"/>
              <w:jc w:val="center"/>
              <w:rPr>
                <w:rFonts w:hint="eastAsia"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其</w:t>
            </w:r>
          </w:p>
          <w:p w14:paraId="58B14DF3">
            <w:pPr>
              <w:adjustRightInd w:val="0"/>
              <w:snapToGrid w:val="0"/>
              <w:jc w:val="center"/>
              <w:rPr>
                <w:rFonts w:hint="default" w:ascii="Times New Roman" w:hAnsi="Times New Roman" w:eastAsia="宋体" w:cs="Times New Roman"/>
                <w:b/>
                <w:bCs/>
                <w:color w:val="auto"/>
                <w:kern w:val="0"/>
                <w:highlight w:val="none"/>
                <w:lang w:val="en-US" w:eastAsia="zh-CN"/>
              </w:rPr>
            </w:pPr>
            <w:r>
              <w:rPr>
                <w:rFonts w:hint="eastAsia" w:cs="Times New Roman"/>
                <w:b/>
                <w:bCs/>
                <w:color w:val="auto"/>
                <w:kern w:val="0"/>
                <w:sz w:val="24"/>
                <w:szCs w:val="24"/>
                <w:highlight w:val="none"/>
                <w:lang w:val="en-US" w:eastAsia="zh-CN"/>
              </w:rPr>
              <w:t>他符合型分析</w:t>
            </w:r>
          </w:p>
        </w:tc>
        <w:tc>
          <w:tcPr>
            <w:tcW w:w="4366" w:type="pct"/>
            <w:gridSpan w:val="4"/>
            <w:noWrap w:val="0"/>
            <w:vAlign w:val="center"/>
          </w:tcPr>
          <w:p w14:paraId="0A71811F">
            <w:pPr>
              <w:autoSpaceDE w:val="0"/>
              <w:autoSpaceDN w:val="0"/>
              <w:adjustRightInd w:val="0"/>
              <w:snapToGrid w:val="0"/>
              <w:spacing w:line="360" w:lineRule="auto"/>
              <w:rPr>
                <w:rFonts w:hint="default" w:ascii="Times New Roman" w:hAnsi="Times New Roman" w:cs="Times New Roman"/>
                <w:color w:val="auto"/>
                <w:kern w:val="0"/>
                <w:sz w:val="24"/>
                <w:highlight w:val="none"/>
              </w:rPr>
            </w:pPr>
            <w:r>
              <w:rPr>
                <w:rFonts w:hint="default" w:ascii="Times New Roman" w:hAnsi="Times New Roman" w:cs="Times New Roman"/>
                <w:b/>
                <w:color w:val="auto"/>
                <w:kern w:val="0"/>
                <w:sz w:val="24"/>
                <w:highlight w:val="none"/>
              </w:rPr>
              <w:t>1、</w:t>
            </w:r>
            <w:r>
              <w:rPr>
                <w:rFonts w:hint="default" w:ascii="Times New Roman" w:hAnsi="Times New Roman" w:cs="Times New Roman"/>
                <w:b/>
                <w:color w:val="auto"/>
                <w:sz w:val="24"/>
                <w:highlight w:val="none"/>
              </w:rPr>
              <w:t>产业政策相符性</w:t>
            </w:r>
          </w:p>
          <w:p w14:paraId="3F27EC0D">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kern w:val="0"/>
                <w:sz w:val="24"/>
                <w:highlight w:val="none"/>
              </w:rPr>
              <w:t>根据《国民经济行业分类》（GB/T 4754-2017）及修改单的（国统字</w:t>
            </w:r>
            <w:r>
              <w:rPr>
                <w:rFonts w:hint="default" w:ascii="Times New Roman" w:hAnsi="Times New Roman" w:cs="Times New Roman"/>
                <w:color w:val="auto"/>
                <w:kern w:val="0"/>
                <w:sz w:val="24"/>
                <w:highlight w:val="none"/>
                <w:lang w:eastAsia="zh-CN"/>
              </w:rPr>
              <w:t>〔2019〕66号</w:t>
            </w:r>
            <w:r>
              <w:rPr>
                <w:rFonts w:hint="default" w:ascii="Times New Roman" w:hAnsi="Times New Roman" w:cs="Times New Roman"/>
                <w:color w:val="auto"/>
                <w:kern w:val="0"/>
                <w:sz w:val="24"/>
                <w:highlight w:val="none"/>
              </w:rPr>
              <w:t>），本项目为</w:t>
            </w:r>
            <w:r>
              <w:rPr>
                <w:rFonts w:hint="default" w:ascii="Times New Roman" w:hAnsi="Times New Roman" w:cs="Times New Roman"/>
                <w:color w:val="auto"/>
                <w:kern w:val="0"/>
                <w:sz w:val="24"/>
                <w:highlight w:val="none"/>
                <w:lang w:val="en-US" w:eastAsia="zh-CN"/>
              </w:rPr>
              <w:t>C2625有机肥料及微生物肥料制造</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rPr>
              <w:t>根据《产业结构调整指导目录（2024年本）》，本项目属于鼓励类中</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四十二，环境保护与资源节约综合利用</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8，废弃物循环利用：农作物秸秆、畜禽粪污、农药包装等农林废弃物循环利用</w:t>
            </w:r>
            <w:r>
              <w:rPr>
                <w:rFonts w:hint="eastAsia" w:cs="Times New Roman"/>
                <w:color w:val="auto"/>
                <w:kern w:val="0"/>
                <w:sz w:val="24"/>
                <w:highlight w:val="none"/>
                <w:lang w:eastAsia="zh-CN"/>
              </w:rPr>
              <w:t>”，</w:t>
            </w:r>
            <w:r>
              <w:rPr>
                <w:rFonts w:hint="default" w:ascii="Times New Roman" w:hAnsi="Times New Roman" w:eastAsia="宋体" w:cs="Times New Roman"/>
                <w:color w:val="auto"/>
                <w:sz w:val="24"/>
                <w:highlight w:val="none"/>
                <w:lang w:val="en-US" w:eastAsia="zh-CN"/>
              </w:rPr>
              <w:t>且本项目已于</w:t>
            </w:r>
            <w:r>
              <w:rPr>
                <w:rFonts w:hint="eastAsia" w:ascii="Times New Roman" w:hAnsi="Times New Roman" w:eastAsia="宋体" w:cs="Times New Roman"/>
                <w:color w:val="auto"/>
                <w:sz w:val="24"/>
                <w:highlight w:val="none"/>
                <w:lang w:val="en-US" w:eastAsia="zh-CN"/>
              </w:rPr>
              <w:t>2026</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月</w:t>
            </w:r>
            <w:r>
              <w:rPr>
                <w:rFonts w:hint="eastAsia" w:ascii="Times New Roman" w:hAnsi="Times New Roman" w:eastAsia="宋体" w:cs="Times New Roman"/>
                <w:color w:val="auto"/>
                <w:sz w:val="24"/>
                <w:highlight w:val="none"/>
                <w:lang w:val="en-US" w:eastAsia="zh-CN"/>
              </w:rPr>
              <w:t>16</w:t>
            </w:r>
            <w:r>
              <w:rPr>
                <w:rFonts w:hint="default" w:ascii="Times New Roman" w:hAnsi="Times New Roman" w:eastAsia="宋体" w:cs="Times New Roman"/>
                <w:color w:val="auto"/>
                <w:sz w:val="24"/>
                <w:highlight w:val="none"/>
                <w:lang w:val="en-US" w:eastAsia="zh-CN"/>
              </w:rPr>
              <w:t>日取得</w:t>
            </w:r>
            <w:r>
              <w:rPr>
                <w:rFonts w:hint="eastAsia" w:ascii="Times New Roman" w:hAnsi="Times New Roman" w:eastAsia="宋体" w:cs="Times New Roman"/>
                <w:color w:val="auto"/>
                <w:sz w:val="24"/>
                <w:highlight w:val="none"/>
                <w:lang w:val="en-US" w:eastAsia="zh-CN"/>
              </w:rPr>
              <w:t>磴口县</w:t>
            </w:r>
            <w:r>
              <w:rPr>
                <w:rFonts w:hint="default" w:ascii="Times New Roman" w:hAnsi="Times New Roman" w:eastAsia="宋体" w:cs="Times New Roman"/>
                <w:color w:val="auto"/>
                <w:sz w:val="24"/>
                <w:highlight w:val="none"/>
                <w:lang w:val="en-US" w:eastAsia="zh-CN"/>
              </w:rPr>
              <w:t>发展和改革委员会的项目备案告知书，项目代码：2603-150822-04-01-465038，</w:t>
            </w:r>
            <w:r>
              <w:rPr>
                <w:rFonts w:hint="default" w:ascii="Times New Roman" w:hAnsi="Times New Roman" w:eastAsia="宋体" w:cs="Times New Roman"/>
                <w:color w:val="auto"/>
                <w:sz w:val="24"/>
                <w:highlight w:val="none"/>
              </w:rPr>
              <w:t>符合国家有关法律、法规和政策规定。因此，项目建设符合国家产业政策的要求。</w:t>
            </w:r>
          </w:p>
          <w:p w14:paraId="72B5954C">
            <w:pPr>
              <w:autoSpaceDE w:val="0"/>
              <w:autoSpaceDN w:val="0"/>
              <w:adjustRightInd w:val="0"/>
              <w:snapToGrid w:val="0"/>
              <w:spacing w:line="360" w:lineRule="auto"/>
              <w:rPr>
                <w:rFonts w:hint="default" w:ascii="Times New Roman" w:hAnsi="Times New Roman" w:cs="Times New Roman"/>
                <w:b/>
                <w:color w:val="auto"/>
                <w:kern w:val="0"/>
                <w:sz w:val="24"/>
                <w:highlight w:val="none"/>
              </w:rPr>
            </w:pPr>
            <w:r>
              <w:rPr>
                <w:rFonts w:hint="eastAsia" w:cs="Times New Roman"/>
                <w:b/>
                <w:color w:val="auto"/>
                <w:kern w:val="0"/>
                <w:sz w:val="24"/>
                <w:highlight w:val="none"/>
                <w:lang w:val="en-US" w:eastAsia="zh-CN"/>
              </w:rPr>
              <w:t>2、</w:t>
            </w:r>
            <w:r>
              <w:rPr>
                <w:rFonts w:hint="default" w:ascii="Times New Roman" w:hAnsi="Times New Roman" w:cs="Times New Roman"/>
                <w:b/>
                <w:color w:val="auto"/>
                <w:kern w:val="0"/>
                <w:sz w:val="24"/>
                <w:highlight w:val="none"/>
              </w:rPr>
              <w:t>选址合理性分析</w:t>
            </w:r>
          </w:p>
          <w:p w14:paraId="14ED123C">
            <w:pPr>
              <w:pStyle w:val="10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本项目选址位于</w:t>
            </w:r>
            <w:r>
              <w:rPr>
                <w:rFonts w:hint="eastAsia" w:cs="Times New Roman"/>
                <w:color w:val="auto"/>
                <w:highlight w:val="none"/>
                <w:lang w:eastAsia="zh-CN"/>
              </w:rPr>
              <w:t>巴彦淖尔市磴口县沙金套海苏木巴音温都尔嘎查</w:t>
            </w:r>
            <w:r>
              <w:rPr>
                <w:rFonts w:hint="eastAsia" w:cs="Times New Roman"/>
                <w:color w:val="auto"/>
                <w:highlight w:val="none"/>
                <w:lang w:val="en-US" w:eastAsia="zh-CN"/>
              </w:rPr>
              <w:t>磴口县奶牛产业园区内</w:t>
            </w:r>
            <w:r>
              <w:rPr>
                <w:rFonts w:hint="default" w:ascii="Times New Roman" w:hAnsi="Times New Roman" w:cs="Times New Roman"/>
                <w:color w:val="auto"/>
                <w:highlight w:val="none"/>
              </w:rPr>
              <w:t>，</w:t>
            </w:r>
            <w:r>
              <w:rPr>
                <w:rFonts w:hint="eastAsia"/>
                <w:b w:val="0"/>
                <w:bCs w:val="0"/>
                <w:color w:val="auto"/>
                <w:sz w:val="24"/>
                <w:highlight w:val="none"/>
                <w:lang w:val="en-US" w:eastAsia="zh-CN"/>
              </w:rPr>
              <w:t>本项目为实施农作物秸秆、畜禽粪污资源化利用项目，能有效增加附近畜禽粪污利用率，对养种植产业发展具有重要意义。</w:t>
            </w:r>
            <w:r>
              <w:rPr>
                <w:rFonts w:hint="default" w:ascii="Times New Roman" w:hAnsi="Times New Roman" w:cs="Times New Roman"/>
                <w:color w:val="auto"/>
                <w:highlight w:val="none"/>
              </w:rPr>
              <w:t>占地面积为</w:t>
            </w:r>
            <w:r>
              <w:rPr>
                <w:rFonts w:hint="eastAsia" w:cs="Times New Roman"/>
                <w:color w:val="auto"/>
                <w:highlight w:val="none"/>
                <w:lang w:val="en-US" w:eastAsia="zh-CN"/>
              </w:rPr>
              <w:t>36000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r>
              <w:rPr>
                <w:rFonts w:hint="eastAsia" w:cs="Times New Roman"/>
                <w:color w:val="auto"/>
                <w:highlight w:val="none"/>
                <w:lang w:val="en-US" w:eastAsia="zh-CN"/>
              </w:rPr>
              <w:t>已签署相应土地租赁协议</w:t>
            </w:r>
            <w:r>
              <w:rPr>
                <w:rFonts w:hint="default" w:ascii="Times New Roman" w:hAnsi="Times New Roman" w:cs="Times New Roman"/>
                <w:color w:val="auto"/>
                <w:highlight w:val="none"/>
              </w:rPr>
              <w:t>。本项目东</w:t>
            </w:r>
            <w:r>
              <w:rPr>
                <w:rFonts w:hint="eastAsia" w:cs="Times New Roman"/>
                <w:color w:val="auto"/>
                <w:highlight w:val="none"/>
                <w:lang w:val="en-US" w:eastAsia="zh-CN"/>
              </w:rPr>
              <w:t>侧为道路</w:t>
            </w:r>
            <w:r>
              <w:rPr>
                <w:rFonts w:hint="eastAsia" w:cs="Times New Roman"/>
                <w:color w:val="auto"/>
                <w:highlight w:val="none"/>
                <w:lang w:eastAsia="zh-CN"/>
              </w:rPr>
              <w:t>，</w:t>
            </w:r>
            <w:r>
              <w:rPr>
                <w:rFonts w:hint="eastAsia" w:cs="Times New Roman"/>
                <w:color w:val="auto"/>
                <w:highlight w:val="none"/>
                <w:lang w:val="en-US" w:eastAsia="zh-CN"/>
              </w:rPr>
              <w:t>西侧</w:t>
            </w:r>
            <w:r>
              <w:rPr>
                <w:rFonts w:hint="default" w:ascii="Times New Roman" w:hAnsi="Times New Roman" w:cs="Times New Roman"/>
                <w:color w:val="auto"/>
                <w:highlight w:val="none"/>
              </w:rPr>
              <w:t>、</w:t>
            </w:r>
            <w:r>
              <w:rPr>
                <w:rFonts w:hint="eastAsia" w:cs="Times New Roman"/>
                <w:color w:val="auto"/>
                <w:highlight w:val="none"/>
                <w:lang w:val="en-US" w:eastAsia="zh-CN"/>
              </w:rPr>
              <w:t>南侧空地约220亩，</w:t>
            </w:r>
            <w:r>
              <w:rPr>
                <w:rFonts w:hint="default" w:ascii="Times New Roman" w:hAnsi="Times New Roman" w:cs="Times New Roman"/>
                <w:color w:val="auto"/>
                <w:highlight w:val="none"/>
              </w:rPr>
              <w:t>北侧</w:t>
            </w:r>
            <w:r>
              <w:rPr>
                <w:rFonts w:hint="eastAsia" w:cs="Times New Roman"/>
                <w:color w:val="auto"/>
                <w:highlight w:val="none"/>
                <w:lang w:val="en-US" w:eastAsia="zh-CN"/>
              </w:rPr>
              <w:t>为现代牧业金沙牧场厂区</w:t>
            </w:r>
            <w:r>
              <w:rPr>
                <w:rFonts w:hint="default" w:ascii="Times New Roman" w:hAnsi="Times New Roman" w:cs="Times New Roman"/>
                <w:color w:val="auto"/>
                <w:highlight w:val="none"/>
              </w:rPr>
              <w:t>。</w:t>
            </w:r>
          </w:p>
          <w:p w14:paraId="5CF6F3CB">
            <w:pPr>
              <w:pStyle w:val="10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范围内无自然保护区、风景名胜区、文物保护单位、居住区、文化区和农村地区中人群较集中的区域水源地保护区、生态敏感点和其他需要特殊保护的敏感目标等环境保护目标，本项目500m范围内无大气环境保护目标。根据分析，运营过程中产生的污染物采取有效的污染防治措施后实现达标排放，对周围环境影响较小，综上分析，本项目选址合理。</w:t>
            </w:r>
          </w:p>
          <w:p w14:paraId="08BD26A7">
            <w:pPr>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3、生态环境分区管控符合性分析</w:t>
            </w:r>
          </w:p>
          <w:p w14:paraId="6563AC5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（1）生态保护红线符合性分析</w:t>
            </w:r>
          </w:p>
          <w:p w14:paraId="21E4F623">
            <w:pPr>
              <w:widowControl/>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根据《巴彦淖尔市生态环境准入清单》（2023），本项目位于</w:t>
            </w:r>
            <w:r>
              <w:rPr>
                <w:rFonts w:hint="eastAsia" w:cs="Times New Roman"/>
                <w:color w:val="auto"/>
                <w:sz w:val="24"/>
                <w:highlight w:val="none"/>
                <w:lang w:eastAsia="zh-CN"/>
              </w:rPr>
              <w:t>巴彦淖尔市磴口县沙金套海苏木巴音温都尔嘎查</w:t>
            </w:r>
            <w:r>
              <w:rPr>
                <w:rFonts w:hint="default" w:ascii="Times New Roman" w:hAnsi="Times New Roman" w:cs="Times New Roman"/>
                <w:color w:val="auto"/>
                <w:sz w:val="24"/>
                <w:highlight w:val="none"/>
              </w:rPr>
              <w:t>，属于重点管控单元</w:t>
            </w:r>
            <w:r>
              <w:rPr>
                <w:rFonts w:hint="eastAsia" w:cs="Times New Roman"/>
                <w:color w:val="auto"/>
                <w:sz w:val="24"/>
                <w:highlight w:val="none"/>
                <w:lang w:eastAsia="zh-CN"/>
              </w:rPr>
              <w:t>（大气环境</w:t>
            </w:r>
            <w:r>
              <w:rPr>
                <w:rFonts w:hint="eastAsia" w:cs="Times New Roman"/>
                <w:color w:val="auto"/>
                <w:sz w:val="24"/>
                <w:highlight w:val="none"/>
                <w:lang w:val="en-US" w:eastAsia="zh-CN"/>
              </w:rPr>
              <w:t>受体敏感</w:t>
            </w:r>
            <w:r>
              <w:rPr>
                <w:rFonts w:hint="eastAsia" w:cs="Times New Roman"/>
                <w:color w:val="auto"/>
                <w:sz w:val="24"/>
                <w:highlight w:val="none"/>
                <w:lang w:eastAsia="zh-CN"/>
              </w:rPr>
              <w:t>重点管控区、水环境农业污染重点管控区、生态用水补给区、土地资源重点管控区）</w:t>
            </w:r>
            <w:r>
              <w:rPr>
                <w:rFonts w:hint="default" w:ascii="Times New Roman" w:hAnsi="Times New Roman" w:cs="Times New Roman"/>
                <w:color w:val="auto"/>
                <w:sz w:val="24"/>
                <w:highlight w:val="none"/>
              </w:rPr>
              <w:t>，编号为ZH1508</w:t>
            </w:r>
            <w:r>
              <w:rPr>
                <w:rFonts w:hint="eastAsia" w:cs="Times New Roman"/>
                <w:color w:val="auto"/>
                <w:sz w:val="24"/>
                <w:highlight w:val="none"/>
                <w:lang w:val="en-US" w:eastAsia="zh-CN"/>
              </w:rPr>
              <w:t>222</w:t>
            </w:r>
            <w:r>
              <w:rPr>
                <w:rFonts w:hint="default" w:ascii="Times New Roman" w:hAnsi="Times New Roman" w:cs="Times New Roman"/>
                <w:color w:val="auto"/>
                <w:sz w:val="24"/>
                <w:highlight w:val="none"/>
              </w:rPr>
              <w:t>000</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szCs w:val="20"/>
                <w:highlight w:val="none"/>
              </w:rPr>
              <w:t>拟建项目评价范围内无自然保护区、水源地保护区等生态保护目标，</w:t>
            </w:r>
            <w:r>
              <w:rPr>
                <w:rFonts w:hint="eastAsia" w:cs="Times New Roman"/>
                <w:color w:val="auto"/>
                <w:kern w:val="0"/>
                <w:sz w:val="24"/>
                <w:szCs w:val="20"/>
                <w:highlight w:val="none"/>
                <w:lang w:val="en-US" w:eastAsia="zh-CN"/>
              </w:rPr>
              <w:t>不压占生态红线（查询函见附件4），</w:t>
            </w:r>
            <w:r>
              <w:rPr>
                <w:rFonts w:hint="default" w:ascii="Times New Roman" w:hAnsi="Times New Roman" w:cs="Times New Roman"/>
                <w:color w:val="auto"/>
                <w:kern w:val="0"/>
                <w:sz w:val="24"/>
                <w:szCs w:val="20"/>
                <w:highlight w:val="none"/>
              </w:rPr>
              <w:t xml:space="preserve">本项目的建设可确保 </w:t>
            </w:r>
            <w:r>
              <w:rPr>
                <w:rFonts w:hint="eastAsia"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rPr>
              <w:t>生态功能不降低、面积不减少、性质不改变</w:t>
            </w:r>
            <w:r>
              <w:rPr>
                <w:rFonts w:hint="eastAsia"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rPr>
              <w:t>，生态空间格局 保持基本稳定。符合生态保护红线要求。</w:t>
            </w:r>
          </w:p>
          <w:p w14:paraId="0C95072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（2）资源利用上线符合性分析</w:t>
            </w:r>
          </w:p>
          <w:p w14:paraId="14E6703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本项目位于</w:t>
            </w:r>
            <w:r>
              <w:rPr>
                <w:rFonts w:hint="eastAsia" w:cs="Times New Roman"/>
                <w:color w:val="auto"/>
                <w:sz w:val="24"/>
                <w:highlight w:val="none"/>
                <w:lang w:eastAsia="zh-CN"/>
              </w:rPr>
              <w:t>巴彦淖尔市磴口县沙金套海苏木巴音温都尔嘎查，</w:t>
            </w:r>
            <w:r>
              <w:rPr>
                <w:rFonts w:hint="default" w:ascii="Times New Roman" w:hAnsi="Times New Roman" w:cs="Times New Roman"/>
                <w:color w:val="auto"/>
                <w:sz w:val="24"/>
                <w:highlight w:val="none"/>
              </w:rPr>
              <w:t>本项目</w:t>
            </w:r>
            <w:r>
              <w:rPr>
                <w:rFonts w:hint="eastAsia" w:cs="Times New Roman"/>
                <w:color w:val="auto"/>
                <w:sz w:val="24"/>
                <w:szCs w:val="24"/>
                <w:highlight w:val="none"/>
                <w:lang w:val="en-US" w:eastAsia="zh-CN"/>
              </w:rPr>
              <w:t>水洗塔补水来源于外购罐装水、</w:t>
            </w:r>
            <w:r>
              <w:rPr>
                <w:rFonts w:hint="default" w:ascii="Times New Roman" w:hAnsi="Times New Roman" w:cs="Times New Roman"/>
                <w:color w:val="auto"/>
                <w:sz w:val="24"/>
                <w:highlight w:val="none"/>
              </w:rPr>
              <w:t>生活用水来源于</w:t>
            </w:r>
            <w:r>
              <w:rPr>
                <w:rFonts w:hint="eastAsia" w:cs="Times New Roman"/>
                <w:color w:val="auto"/>
                <w:sz w:val="24"/>
                <w:highlight w:val="none"/>
                <w:lang w:val="en-US" w:eastAsia="zh-CN"/>
              </w:rPr>
              <w:t>外购桶装水</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不挤占当地农业用水、生态用水和居民用水。项目新增用电量为</w:t>
            </w:r>
            <w:r>
              <w:rPr>
                <w:rFonts w:hint="eastAsia" w:cs="Times New Roman"/>
                <w:color w:val="auto"/>
                <w:sz w:val="24"/>
                <w:highlight w:val="none"/>
                <w:lang w:val="en-US" w:eastAsia="zh-CN"/>
              </w:rPr>
              <w:t>39</w:t>
            </w:r>
            <w:r>
              <w:rPr>
                <w:rFonts w:hint="default" w:ascii="Times New Roman" w:hAnsi="Times New Roman" w:cs="Times New Roman"/>
                <w:color w:val="auto"/>
                <w:sz w:val="24"/>
                <w:highlight w:val="none"/>
              </w:rPr>
              <w:t>万kW·h/a</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变压器满足用电需求。符合资源利用上线的原则。</w:t>
            </w:r>
          </w:p>
          <w:p w14:paraId="7FC4D35D">
            <w:pPr>
              <w:spacing w:line="440" w:lineRule="exact"/>
              <w:ind w:firstLine="480" w:firstLineChars="200"/>
              <w:rPr>
                <w:rFonts w:ascii="Times New Roman" w:hAnsi="Times New Roman" w:eastAsia="宋体" w:cs="Times New Roman"/>
                <w:color w:val="auto"/>
                <w:sz w:val="24"/>
                <w:szCs w:val="24"/>
                <w:highlight w:val="none"/>
              </w:rPr>
            </w:pPr>
            <w:r>
              <w:rPr>
                <w:color w:val="auto"/>
                <w:sz w:val="24"/>
                <w:szCs w:val="24"/>
                <w:highlight w:val="none"/>
              </w:rPr>
              <w:t>①</w:t>
            </w:r>
            <w:r>
              <w:rPr>
                <w:rFonts w:hint="eastAsia" w:ascii="Times New Roman" w:hAnsi="Times New Roman" w:eastAsia="宋体" w:cs="Times New Roman"/>
                <w:color w:val="auto"/>
                <w:sz w:val="24"/>
                <w:szCs w:val="24"/>
                <w:highlight w:val="none"/>
              </w:rPr>
              <w:t>水资源利用上线</w:t>
            </w:r>
          </w:p>
          <w:p w14:paraId="7C9125DF">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根据《巴彦淖尔市人民政府办公室关于巴彦淖尔市</w:t>
            </w:r>
            <w:r>
              <w:rPr>
                <w:rFonts w:ascii="Times New Roman" w:hAnsi="Times New Roman" w:eastAsia="宋体" w:cs="Times New Roman"/>
                <w:color w:val="auto"/>
                <w:sz w:val="24"/>
                <w:szCs w:val="24"/>
                <w:highlight w:val="none"/>
              </w:rPr>
              <w:t>2023年生态环境分区管控成果动态更新的通知》（巴政办字[2023]106号）</w:t>
            </w:r>
            <w:r>
              <w:rPr>
                <w:rFonts w:hint="eastAsia" w:ascii="Times New Roman" w:hAnsi="Times New Roman" w:eastAsia="宋体" w:cs="Times New Roman"/>
                <w:color w:val="auto"/>
                <w:sz w:val="24"/>
                <w:szCs w:val="24"/>
                <w:highlight w:val="none"/>
              </w:rPr>
              <w:t>，项目所在区域属于生态用水补给区。</w:t>
            </w:r>
          </w:p>
          <w:p w14:paraId="397AD675">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项目运营</w:t>
            </w:r>
            <w:r>
              <w:rPr>
                <w:rFonts w:hint="eastAsia" w:cs="Times New Roman"/>
                <w:color w:val="auto"/>
                <w:sz w:val="24"/>
                <w:szCs w:val="24"/>
                <w:highlight w:val="none"/>
                <w:lang w:val="en-US" w:eastAsia="zh-CN"/>
              </w:rPr>
              <w:t>期间水洗塔补水来源于外购罐装水、</w:t>
            </w:r>
            <w:r>
              <w:rPr>
                <w:rFonts w:hint="eastAsia" w:ascii="Times New Roman" w:hAnsi="Times New Roman" w:eastAsia="宋体" w:cs="Times New Roman"/>
                <w:color w:val="auto"/>
                <w:sz w:val="24"/>
                <w:szCs w:val="24"/>
                <w:highlight w:val="none"/>
              </w:rPr>
              <w:t>生活用水来源于</w:t>
            </w:r>
            <w:r>
              <w:rPr>
                <w:rFonts w:hint="eastAsia" w:ascii="Times New Roman" w:hAnsi="Times New Roman" w:eastAsia="宋体" w:cs="Times New Roman"/>
                <w:color w:val="auto"/>
                <w:sz w:val="24"/>
                <w:szCs w:val="24"/>
                <w:highlight w:val="none"/>
                <w:lang w:val="en-US" w:eastAsia="zh-CN"/>
              </w:rPr>
              <w:t>外购桶装水</w:t>
            </w:r>
            <w:r>
              <w:rPr>
                <w:rFonts w:hint="eastAsia" w:ascii="Times New Roman" w:hAnsi="Times New Roman" w:eastAsia="宋体" w:cs="Times New Roman"/>
                <w:color w:val="auto"/>
                <w:sz w:val="24"/>
                <w:szCs w:val="24"/>
                <w:highlight w:val="none"/>
              </w:rPr>
              <w:t>，不会突破当地水资源利用上线。</w:t>
            </w:r>
          </w:p>
          <w:p w14:paraId="44FD2A83">
            <w:pPr>
              <w:spacing w:line="440" w:lineRule="exact"/>
              <w:ind w:firstLine="480" w:firstLineChars="200"/>
              <w:rPr>
                <w:rFonts w:ascii="Times New Roman" w:hAnsi="Times New Roman" w:eastAsia="宋体" w:cs="Times New Roman"/>
                <w:color w:val="auto"/>
                <w:sz w:val="24"/>
                <w:szCs w:val="24"/>
                <w:highlight w:val="none"/>
              </w:rPr>
            </w:pPr>
            <w:r>
              <w:rPr>
                <w:color w:val="auto"/>
                <w:sz w:val="24"/>
                <w:szCs w:val="24"/>
                <w:highlight w:val="none"/>
              </w:rPr>
              <w:t>②</w:t>
            </w:r>
            <w:r>
              <w:rPr>
                <w:rFonts w:hint="eastAsia" w:ascii="Times New Roman" w:hAnsi="Times New Roman" w:eastAsia="宋体" w:cs="Times New Roman"/>
                <w:color w:val="auto"/>
                <w:sz w:val="24"/>
                <w:szCs w:val="24"/>
                <w:highlight w:val="none"/>
              </w:rPr>
              <w:t>土地资源利用上线</w:t>
            </w:r>
          </w:p>
          <w:p w14:paraId="1EF0D6D7">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根据《巴彦淖尔市人民政府办公室关于巴彦淖尔市</w:t>
            </w:r>
            <w:r>
              <w:rPr>
                <w:rFonts w:ascii="Times New Roman" w:hAnsi="Times New Roman" w:eastAsia="宋体" w:cs="Times New Roman"/>
                <w:color w:val="auto"/>
                <w:sz w:val="24"/>
                <w:szCs w:val="24"/>
                <w:highlight w:val="none"/>
              </w:rPr>
              <w:t>2023年生态环境分区管控成果动态更新的通知》（巴政办字[2023]106号）</w:t>
            </w:r>
            <w:r>
              <w:rPr>
                <w:rFonts w:hint="eastAsia" w:ascii="Times New Roman" w:hAnsi="Times New Roman" w:eastAsia="宋体" w:cs="Times New Roman"/>
                <w:color w:val="auto"/>
                <w:sz w:val="24"/>
                <w:szCs w:val="24"/>
                <w:highlight w:val="none"/>
              </w:rPr>
              <w:t>，项目所在区域属于土地资源重点管控区。</w:t>
            </w:r>
          </w:p>
          <w:p w14:paraId="51E8EBBE">
            <w:pPr>
              <w:pStyle w:val="107"/>
              <w:keepNext w:val="0"/>
              <w:keepLines w:val="0"/>
              <w:pageBreakBefore w:val="0"/>
              <w:widowControl w:val="0"/>
              <w:kinsoku/>
              <w:wordWrap/>
              <w:overflowPunct/>
              <w:topLinePunct w:val="0"/>
              <w:autoSpaceDE/>
              <w:autoSpaceDN/>
              <w:bidi w:val="0"/>
              <w:adjustRightInd/>
              <w:snapToGrid/>
              <w:spacing w:line="440" w:lineRule="atLeast"/>
              <w:ind w:firstLine="480"/>
              <w:textAlignment w:val="auto"/>
              <w:rPr>
                <w:rFonts w:ascii="Times New Roman" w:hAnsi="Times New Roman" w:eastAsia="宋体" w:cs="Times New Roman"/>
                <w:color w:val="auto"/>
                <w:sz w:val="24"/>
                <w:szCs w:val="24"/>
                <w:highlight w:val="none"/>
              </w:rPr>
            </w:pPr>
            <w:r>
              <w:rPr>
                <w:rFonts w:hint="eastAsia" w:cs="Times New Roman"/>
                <w:color w:val="auto"/>
                <w:highlight w:val="none"/>
                <w:lang w:val="en-US" w:eastAsia="zh-CN"/>
              </w:rPr>
              <w:t>本项目已签署相应土地租赁协议（</w:t>
            </w:r>
            <w:r>
              <w:rPr>
                <w:rFonts w:hint="eastAsia" w:ascii="Times New Roman" w:hAnsi="Times New Roman" w:eastAsia="宋体" w:cs="Times New Roman"/>
                <w:color w:val="auto"/>
                <w:sz w:val="24"/>
                <w:szCs w:val="24"/>
                <w:highlight w:val="none"/>
                <w:lang w:val="en-US" w:eastAsia="zh-CN"/>
              </w:rPr>
              <w:t>具体见附件2），本项目土地使用权和经营权转让给</w:t>
            </w:r>
            <w:r>
              <w:rPr>
                <w:rFonts w:hint="eastAsia" w:cs="Times New Roman"/>
                <w:color w:val="auto"/>
                <w:sz w:val="24"/>
                <w:szCs w:val="24"/>
                <w:highlight w:val="none"/>
                <w:lang w:val="en-US" w:eastAsia="zh-CN"/>
              </w:rPr>
              <w:t>内蒙古田功夫生物科技有限公司</w:t>
            </w:r>
            <w:r>
              <w:rPr>
                <w:rFonts w:hint="eastAsia" w:ascii="Times New Roman" w:hAnsi="Times New Roman" w:eastAsia="宋体" w:cs="Times New Roman"/>
                <w:color w:val="auto"/>
                <w:sz w:val="24"/>
                <w:szCs w:val="24"/>
                <w:highlight w:val="none"/>
              </w:rPr>
              <w:t>，不会突破当地土地资源利用上线。</w:t>
            </w:r>
          </w:p>
          <w:p w14:paraId="29626E44">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ascii="Times New Roman" w:hAnsi="Times New Roman" w:eastAsia="宋体" w:cs="Times New Roman"/>
                <w:color w:val="auto"/>
                <w:sz w:val="24"/>
                <w:szCs w:val="24"/>
                <w:highlight w:val="none"/>
              </w:rPr>
            </w:pPr>
            <w:r>
              <w:rPr>
                <w:color w:val="auto"/>
                <w:sz w:val="24"/>
                <w:szCs w:val="24"/>
                <w:highlight w:val="none"/>
              </w:rPr>
              <w:t>③</w:t>
            </w:r>
            <w:r>
              <w:rPr>
                <w:rFonts w:hint="eastAsia" w:ascii="Times New Roman" w:hAnsi="Times New Roman" w:eastAsia="宋体" w:cs="Times New Roman"/>
                <w:color w:val="auto"/>
                <w:sz w:val="24"/>
                <w:szCs w:val="24"/>
                <w:highlight w:val="none"/>
              </w:rPr>
              <w:t>能源利用上线</w:t>
            </w:r>
          </w:p>
          <w:p w14:paraId="07A1F2F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根据《巴彦淖尔市人民政府办公室关于巴彦淖尔市</w:t>
            </w:r>
            <w:r>
              <w:rPr>
                <w:rFonts w:ascii="Times New Roman" w:hAnsi="Times New Roman" w:eastAsia="宋体" w:cs="Times New Roman"/>
                <w:color w:val="auto"/>
                <w:sz w:val="24"/>
                <w:szCs w:val="24"/>
                <w:highlight w:val="none"/>
              </w:rPr>
              <w:t>2023年生态环境分区管控成果动态更新的通知》（巴政办字[2023]106号）</w:t>
            </w:r>
            <w:r>
              <w:rPr>
                <w:rFonts w:hint="eastAsia" w:ascii="Times New Roman" w:hAnsi="Times New Roman" w:eastAsia="宋体" w:cs="Times New Roman"/>
                <w:color w:val="auto"/>
                <w:sz w:val="24"/>
                <w:szCs w:val="24"/>
                <w:highlight w:val="none"/>
              </w:rPr>
              <w:t>，项目所在区域不在巴彦淖尔市高污染燃料禁燃区范围内。</w:t>
            </w:r>
          </w:p>
          <w:p w14:paraId="32E4AAF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无需</w:t>
            </w:r>
            <w:r>
              <w:rPr>
                <w:rFonts w:hint="eastAsia" w:ascii="Times New Roman" w:hAnsi="Times New Roman" w:eastAsia="宋体" w:cs="Times New Roman"/>
                <w:color w:val="auto"/>
                <w:sz w:val="24"/>
                <w:szCs w:val="24"/>
                <w:highlight w:val="none"/>
                <w:lang w:val="en-US" w:eastAsia="zh-CN"/>
              </w:rPr>
              <w:t>烘干</w:t>
            </w:r>
            <w:r>
              <w:rPr>
                <w:rFonts w:hint="eastAsia" w:cs="Times New Roman"/>
                <w:color w:val="auto"/>
                <w:sz w:val="24"/>
                <w:szCs w:val="24"/>
                <w:highlight w:val="none"/>
                <w:lang w:val="en-US" w:eastAsia="zh-CN"/>
              </w:rPr>
              <w:t>不需使用燃料</w:t>
            </w:r>
            <w:r>
              <w:rPr>
                <w:rFonts w:hint="eastAsia" w:ascii="Times New Roman" w:hAnsi="Times New Roman" w:eastAsia="宋体" w:cs="Times New Roman"/>
                <w:color w:val="auto"/>
                <w:sz w:val="24"/>
                <w:szCs w:val="24"/>
                <w:highlight w:val="none"/>
              </w:rPr>
              <w:t>，不会突破当地能源利用上线。</w:t>
            </w:r>
          </w:p>
          <w:p w14:paraId="72721D3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（3）环境质量底线符合性分析</w:t>
            </w:r>
          </w:p>
          <w:p w14:paraId="5C9F7CC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sz w:val="24"/>
                <w:szCs w:val="24"/>
                <w:highlight w:val="none"/>
              </w:rPr>
            </w:pPr>
            <w:r>
              <w:rPr>
                <w:color w:val="auto"/>
                <w:sz w:val="24"/>
                <w:szCs w:val="24"/>
                <w:highlight w:val="none"/>
              </w:rPr>
              <w:t>①</w:t>
            </w:r>
            <w:r>
              <w:rPr>
                <w:rFonts w:hint="eastAsia" w:ascii="Times New Roman" w:hAnsi="Times New Roman" w:eastAsia="宋体" w:cs="Times New Roman"/>
                <w:color w:val="auto"/>
                <w:sz w:val="24"/>
                <w:szCs w:val="24"/>
                <w:highlight w:val="none"/>
              </w:rPr>
              <w:t>环境空气质量底线</w:t>
            </w:r>
          </w:p>
          <w:p w14:paraId="682BCF8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根据《巴彦淖尔市人民政府办公室关于巴彦淖尔市</w:t>
            </w:r>
            <w:r>
              <w:rPr>
                <w:rFonts w:ascii="Times New Roman" w:hAnsi="Times New Roman" w:eastAsia="宋体" w:cs="Times New Roman"/>
                <w:color w:val="auto"/>
                <w:sz w:val="24"/>
                <w:szCs w:val="24"/>
                <w:highlight w:val="none"/>
              </w:rPr>
              <w:t>2023年生态环境分区管控成果动态更新的通知》（巴政办字[2023]106号）</w:t>
            </w:r>
            <w:r>
              <w:rPr>
                <w:rFonts w:hint="eastAsia" w:ascii="Times New Roman" w:hAnsi="Times New Roman" w:eastAsia="宋体" w:cs="Times New Roman"/>
                <w:color w:val="auto"/>
                <w:sz w:val="24"/>
                <w:szCs w:val="24"/>
                <w:highlight w:val="none"/>
              </w:rPr>
              <w:t>，项目所在区域属于</w:t>
            </w:r>
            <w:r>
              <w:rPr>
                <w:rFonts w:hint="eastAsia" w:ascii="Times New Roman" w:hAnsi="Times New Roman" w:eastAsia="宋体" w:cs="Times New Roman"/>
                <w:color w:val="auto"/>
                <w:sz w:val="24"/>
                <w:szCs w:val="24"/>
                <w:highlight w:val="none"/>
                <w:lang w:eastAsia="zh-CN"/>
              </w:rPr>
              <w:t>大气环境</w:t>
            </w:r>
            <w:r>
              <w:rPr>
                <w:rFonts w:hint="eastAsia" w:ascii="Times New Roman" w:hAnsi="Times New Roman" w:eastAsia="宋体" w:cs="Times New Roman"/>
                <w:color w:val="auto"/>
                <w:sz w:val="24"/>
                <w:szCs w:val="24"/>
                <w:highlight w:val="none"/>
                <w:lang w:val="en-US" w:eastAsia="zh-CN"/>
              </w:rPr>
              <w:t>受体敏感</w:t>
            </w:r>
            <w:r>
              <w:rPr>
                <w:rFonts w:hint="eastAsia" w:ascii="Times New Roman" w:hAnsi="Times New Roman" w:eastAsia="宋体" w:cs="Times New Roman"/>
                <w:color w:val="auto"/>
                <w:sz w:val="24"/>
                <w:szCs w:val="24"/>
                <w:highlight w:val="none"/>
                <w:lang w:eastAsia="zh-CN"/>
              </w:rPr>
              <w:t>重点管控区</w:t>
            </w:r>
            <w:r>
              <w:rPr>
                <w:rFonts w:hint="eastAsia" w:ascii="Times New Roman" w:hAnsi="Times New Roman" w:eastAsia="宋体" w:cs="Times New Roman"/>
                <w:color w:val="auto"/>
                <w:sz w:val="24"/>
                <w:szCs w:val="24"/>
                <w:highlight w:val="none"/>
              </w:rPr>
              <w:t>。</w:t>
            </w:r>
          </w:p>
          <w:p w14:paraId="24A0E6D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根据环境现状</w:t>
            </w:r>
            <w:r>
              <w:rPr>
                <w:rFonts w:hint="eastAsia" w:cs="Times New Roman"/>
                <w:color w:val="auto"/>
                <w:sz w:val="24"/>
                <w:szCs w:val="24"/>
                <w:highlight w:val="none"/>
                <w:lang w:val="en-US" w:eastAsia="zh-CN"/>
              </w:rPr>
              <w:t>监测</w:t>
            </w:r>
            <w:r>
              <w:rPr>
                <w:rFonts w:hint="eastAsia" w:ascii="Times New Roman" w:hAnsi="Times New Roman" w:eastAsia="宋体" w:cs="Times New Roman"/>
                <w:color w:val="auto"/>
                <w:sz w:val="24"/>
                <w:szCs w:val="24"/>
                <w:highlight w:val="none"/>
              </w:rPr>
              <w:t>数据，TSP</w:t>
            </w:r>
            <w:r>
              <w:rPr>
                <w:rFonts w:hint="eastAsia" w:ascii="Times New Roman" w:hAnsi="Times New Roman" w:eastAsia="宋体" w:cs="Times New Roman"/>
                <w:color w:val="auto"/>
                <w:sz w:val="24"/>
                <w:szCs w:val="24"/>
                <w:highlight w:val="none"/>
                <w:lang w:val="en-US" w:eastAsia="zh-CN"/>
              </w:rPr>
              <w:t>日均值</w:t>
            </w:r>
            <w:r>
              <w:rPr>
                <w:rFonts w:hint="eastAsia" w:ascii="Times New Roman" w:hAnsi="Times New Roman" w:eastAsia="宋体" w:cs="Times New Roman"/>
                <w:color w:val="auto"/>
                <w:sz w:val="24"/>
                <w:szCs w:val="24"/>
                <w:highlight w:val="none"/>
              </w:rPr>
              <w:t>满足《环境空气质量标准》（GB3095-20</w:t>
            </w:r>
            <w:r>
              <w:rPr>
                <w:rFonts w:hint="eastAsia" w:ascii="Times New Roman" w:hAnsi="Times New Roman" w:eastAsia="宋体" w:cs="Times New Roman"/>
                <w:color w:val="auto"/>
                <w:sz w:val="24"/>
                <w:szCs w:val="24"/>
                <w:highlight w:val="none"/>
                <w:lang w:val="en-US" w:eastAsia="zh-CN"/>
              </w:rPr>
              <w:t>26</w:t>
            </w:r>
            <w:r>
              <w:rPr>
                <w:rFonts w:hint="eastAsia" w:ascii="Times New Roman" w:hAnsi="Times New Roman" w:eastAsia="宋体" w:cs="Times New Roman"/>
                <w:color w:val="auto"/>
                <w:sz w:val="24"/>
                <w:szCs w:val="24"/>
                <w:highlight w:val="none"/>
              </w:rPr>
              <w:t>）中的二级标准；NH</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和H</w:t>
            </w:r>
            <w:r>
              <w:rPr>
                <w:rFonts w:hint="eastAsia"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rPr>
              <w:t>S日均浓度符合《环境影响评价技术导则 大气环境》（HJ2.2-2018）附录 D 中其他污染物空气质量浓度参考限值</w:t>
            </w:r>
            <w:r>
              <w:rPr>
                <w:rFonts w:hint="eastAsia" w:ascii="Times New Roman" w:hAnsi="Times New Roman" w:eastAsia="宋体" w:cs="Times New Roman"/>
                <w:color w:val="auto"/>
                <w:sz w:val="24"/>
                <w:szCs w:val="24"/>
                <w:highlight w:val="none"/>
                <w:lang w:val="zh-CN"/>
              </w:rPr>
              <w:t>；</w:t>
            </w:r>
            <w:r>
              <w:rPr>
                <w:rFonts w:hint="eastAsia" w:cs="Times New Roman"/>
                <w:color w:val="auto"/>
                <w:sz w:val="24"/>
                <w:szCs w:val="24"/>
                <w:highlight w:val="none"/>
                <w:lang w:val="en-US" w:eastAsia="zh-CN"/>
              </w:rPr>
              <w:t>根据巴彦淖尔市生态环境局发布的《巴彦淖尔市2024年环境质量状况公报》，2024年巴彦淖尔市巴彦高勒镇环境空气质量污染物 PM</w:t>
            </w:r>
            <w:r>
              <w:rPr>
                <w:rFonts w:hint="eastAsia" w:cs="Times New Roman"/>
                <w:color w:val="auto"/>
                <w:sz w:val="24"/>
                <w:szCs w:val="24"/>
                <w:highlight w:val="none"/>
                <w:vertAlign w:val="subscript"/>
                <w:lang w:val="en-US" w:eastAsia="zh-CN"/>
              </w:rPr>
              <w:t>10</w:t>
            </w:r>
            <w:r>
              <w:rPr>
                <w:rFonts w:hint="eastAsia" w:cs="Times New Roman"/>
                <w:color w:val="auto"/>
                <w:sz w:val="24"/>
                <w:szCs w:val="24"/>
                <w:highlight w:val="none"/>
                <w:lang w:val="en-US" w:eastAsia="zh-CN"/>
              </w:rPr>
              <w:t>、PM</w:t>
            </w:r>
            <w:r>
              <w:rPr>
                <w:rFonts w:hint="eastAsia" w:cs="Times New Roman"/>
                <w:color w:val="auto"/>
                <w:sz w:val="24"/>
                <w:szCs w:val="24"/>
                <w:highlight w:val="none"/>
                <w:vertAlign w:val="subscript"/>
                <w:lang w:val="en-US" w:eastAsia="zh-CN"/>
              </w:rPr>
              <w:t>2.5</w:t>
            </w:r>
            <w:r>
              <w:rPr>
                <w:rFonts w:hint="eastAsia" w:cs="Times New Roman"/>
                <w:color w:val="auto"/>
                <w:sz w:val="24"/>
                <w:szCs w:val="24"/>
                <w:highlight w:val="none"/>
                <w:lang w:val="en-US" w:eastAsia="zh-CN"/>
              </w:rPr>
              <w:t>、SO</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、NO</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的年平均质量浓度及CO的百分位日平均浓度以及O3最大8小时百分浓度均满足《环境空气质量标准》（GB3095－2012）及 2018 修改单中浓度限值，巴彦淖尔市巴彦高勒镇环境空气质量良好，属于空气质量达标区。</w:t>
            </w:r>
            <w:r>
              <w:rPr>
                <w:rFonts w:hint="eastAsia" w:ascii="Times New Roman" w:hAnsi="Times New Roman" w:eastAsia="宋体" w:cs="Times New Roman"/>
                <w:color w:val="auto"/>
                <w:sz w:val="24"/>
                <w:szCs w:val="24"/>
                <w:highlight w:val="none"/>
              </w:rPr>
              <w:t>根据环境影响评价本项目污染物可以达标排放，对周围大气环境质量影响较小。</w:t>
            </w:r>
          </w:p>
          <w:p w14:paraId="652EAC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本次评价涉及的</w:t>
            </w:r>
            <w:r>
              <w:rPr>
                <w:rFonts w:hint="eastAsia" w:cs="Times New Roman"/>
                <w:color w:val="auto"/>
                <w:sz w:val="24"/>
                <w:szCs w:val="24"/>
                <w:highlight w:val="none"/>
                <w:lang w:val="en-US" w:eastAsia="zh-CN"/>
              </w:rPr>
              <w:t>粉碎、搅拌设备</w:t>
            </w:r>
            <w:r>
              <w:rPr>
                <w:rFonts w:hint="eastAsia" w:ascii="Times New Roman" w:hAnsi="Times New Roman" w:eastAsia="宋体" w:cs="Times New Roman"/>
                <w:color w:val="auto"/>
                <w:sz w:val="24"/>
                <w:szCs w:val="24"/>
                <w:highlight w:val="none"/>
              </w:rPr>
              <w:t>粉尘经各产尘点设置的</w:t>
            </w:r>
            <w:r>
              <w:rPr>
                <w:rFonts w:hint="eastAsia" w:cs="Times New Roman"/>
                <w:color w:val="auto"/>
                <w:sz w:val="24"/>
                <w:szCs w:val="24"/>
                <w:highlight w:val="none"/>
                <w:lang w:val="en-US" w:eastAsia="zh-CN"/>
              </w:rPr>
              <w:t>集气罩收集后通过管道将收集的粉尘输送至布袋除尘器处理后经1根高15m，内径0.5m的排气筒（#1）排放</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发酵、熟化均在封闭的发酵间完成，过程中产生的臭气通过发酵间设置负压收集后通过管道进入二级活性炭吸附+水洗塔组合除臭装置处理后经高15m，内径0.5m的排气筒（#2）排放；</w:t>
            </w:r>
            <w:r>
              <w:rPr>
                <w:rFonts w:hint="eastAsia" w:ascii="Times New Roman" w:hAnsi="Times New Roman" w:eastAsia="宋体" w:cs="Times New Roman"/>
                <w:color w:val="auto"/>
                <w:sz w:val="24"/>
                <w:szCs w:val="24"/>
                <w:highlight w:val="none"/>
              </w:rPr>
              <w:t>原料、成品均在密闭库房内暂存，在采取上述措施的情况下，各废气均能实现达标排放，对环境影响较小，</w:t>
            </w:r>
            <w:r>
              <w:rPr>
                <w:rFonts w:ascii="Times New Roman" w:hAnsi="Times New Roman" w:eastAsia="宋体" w:cs="Times New Roman"/>
                <w:color w:val="auto"/>
                <w:sz w:val="24"/>
                <w:szCs w:val="24"/>
                <w:highlight w:val="none"/>
              </w:rPr>
              <w:t>不会突破当地</w:t>
            </w:r>
            <w:r>
              <w:rPr>
                <w:rFonts w:hint="eastAsia" w:ascii="Times New Roman" w:hAnsi="Times New Roman" w:eastAsia="宋体" w:cs="Times New Roman"/>
                <w:color w:val="auto"/>
                <w:sz w:val="24"/>
                <w:szCs w:val="24"/>
                <w:highlight w:val="none"/>
              </w:rPr>
              <w:t>大气</w:t>
            </w:r>
            <w:r>
              <w:rPr>
                <w:rFonts w:ascii="Times New Roman" w:hAnsi="Times New Roman" w:eastAsia="宋体" w:cs="Times New Roman"/>
                <w:color w:val="auto"/>
                <w:sz w:val="24"/>
                <w:szCs w:val="24"/>
                <w:highlight w:val="none"/>
              </w:rPr>
              <w:t>环境质量底线。</w:t>
            </w:r>
          </w:p>
          <w:p w14:paraId="642D15D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w:t>
            </w:r>
            <w:r>
              <w:rPr>
                <w:rFonts w:ascii="Times New Roman" w:hAnsi="Times New Roman" w:eastAsia="宋体" w:cs="Times New Roman"/>
                <w:color w:val="auto"/>
                <w:sz w:val="24"/>
                <w:szCs w:val="24"/>
                <w:highlight w:val="none"/>
              </w:rPr>
              <w:t>水环境质量底线</w:t>
            </w:r>
          </w:p>
          <w:p w14:paraId="7ECD55E9">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根据《巴彦淖尔市人民政府办公室关于巴彦淖尔市</w:t>
            </w:r>
            <w:r>
              <w:rPr>
                <w:rFonts w:ascii="Times New Roman" w:hAnsi="Times New Roman" w:eastAsia="宋体" w:cs="Times New Roman"/>
                <w:color w:val="auto"/>
                <w:sz w:val="24"/>
                <w:szCs w:val="24"/>
                <w:highlight w:val="none"/>
              </w:rPr>
              <w:t>2023年生态环境分区管控成果动态更新的通知》（巴政办字[2023]106号）</w:t>
            </w:r>
            <w:r>
              <w:rPr>
                <w:rFonts w:hint="eastAsia" w:ascii="Times New Roman" w:hAnsi="Times New Roman" w:eastAsia="宋体" w:cs="Times New Roman"/>
                <w:color w:val="auto"/>
                <w:sz w:val="24"/>
                <w:szCs w:val="24"/>
                <w:highlight w:val="none"/>
              </w:rPr>
              <w:t>，项目所在区域属于水环境</w:t>
            </w:r>
            <w:r>
              <w:rPr>
                <w:rFonts w:hint="eastAsia" w:ascii="Times New Roman" w:hAnsi="Times New Roman" w:eastAsia="宋体" w:cs="Times New Roman"/>
                <w:color w:val="auto"/>
                <w:sz w:val="24"/>
                <w:szCs w:val="24"/>
                <w:highlight w:val="none"/>
                <w:lang w:val="en-US" w:eastAsia="zh-CN"/>
              </w:rPr>
              <w:t>农业</w:t>
            </w:r>
            <w:r>
              <w:rPr>
                <w:rFonts w:hint="eastAsia" w:ascii="Times New Roman" w:hAnsi="Times New Roman" w:eastAsia="宋体" w:cs="Times New Roman"/>
                <w:color w:val="auto"/>
                <w:sz w:val="24"/>
                <w:szCs w:val="24"/>
                <w:highlight w:val="none"/>
              </w:rPr>
              <w:t>污染重点管控区，管控要求为</w:t>
            </w:r>
            <w:r>
              <w:rPr>
                <w:rFonts w:hint="eastAsia" w:ascii="Times New Roman" w:hAnsi="Times New Roman" w:eastAsia="宋体" w:cs="Times New Roman"/>
                <w:color w:val="auto"/>
                <w:sz w:val="24"/>
                <w:szCs w:val="24"/>
                <w:highlight w:val="none"/>
                <w:lang w:val="en-US" w:eastAsia="zh-CN"/>
              </w:rPr>
              <w:t>鼓励和支持农业生产者优先种植需肥需药需膜量低、环境效益突出的农作物，减少化肥、农药施用量，防止造成水污染。</w:t>
            </w:r>
          </w:p>
          <w:p w14:paraId="03185B7C">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本项目水洗塔中的水循环利用，水洗塔内排水，定期</w:t>
            </w:r>
            <w:r>
              <w:rPr>
                <w:rFonts w:hint="eastAsia" w:cs="Times New Roman"/>
                <w:color w:val="auto"/>
                <w:sz w:val="24"/>
                <w:szCs w:val="24"/>
                <w:highlight w:val="none"/>
                <w:lang w:val="en-US" w:eastAsia="zh-CN"/>
              </w:rPr>
              <w:t>回用于稀释菌种，不能消纳部分排至化粪池；玻璃钢化粪池内生活污水委托环卫部门定期清运处理，</w:t>
            </w:r>
            <w:r>
              <w:rPr>
                <w:rFonts w:hint="eastAsia" w:ascii="Times New Roman" w:hAnsi="Times New Roman" w:eastAsia="宋体" w:cs="Times New Roman"/>
                <w:color w:val="auto"/>
                <w:sz w:val="24"/>
                <w:szCs w:val="24"/>
                <w:highlight w:val="none"/>
              </w:rPr>
              <w:t>不会对地表水、地下水和土壤造成污染；项目建成后周围环境质量符合环境功能区划要求，可以达到环境质量目标，符合环境质量底线的原则。</w:t>
            </w:r>
          </w:p>
          <w:p w14:paraId="3DAE6041">
            <w:pPr>
              <w:spacing w:line="440" w:lineRule="exact"/>
              <w:ind w:firstLine="480" w:firstLineChars="200"/>
              <w:rPr>
                <w:rFonts w:ascii="Times New Roman" w:hAnsi="Times New Roman" w:eastAsia="宋体" w:cs="Times New Roman"/>
                <w:color w:val="auto"/>
                <w:sz w:val="24"/>
                <w:szCs w:val="24"/>
                <w:highlight w:val="none"/>
              </w:rPr>
            </w:pPr>
            <w:r>
              <w:rPr>
                <w:color w:val="auto"/>
                <w:sz w:val="24"/>
                <w:szCs w:val="24"/>
                <w:highlight w:val="none"/>
              </w:rPr>
              <w:t>③</w:t>
            </w:r>
            <w:r>
              <w:rPr>
                <w:rFonts w:hint="eastAsia" w:ascii="Times New Roman" w:hAnsi="Times New Roman" w:eastAsia="宋体" w:cs="Times New Roman"/>
                <w:color w:val="auto"/>
                <w:sz w:val="24"/>
                <w:szCs w:val="24"/>
                <w:highlight w:val="none"/>
              </w:rPr>
              <w:t>土壤环境质量底线</w:t>
            </w:r>
          </w:p>
          <w:p w14:paraId="4F40F79E">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根据《巴彦淖尔市人民政府办公室关于巴彦淖尔市</w:t>
            </w:r>
            <w:r>
              <w:rPr>
                <w:rFonts w:ascii="Times New Roman" w:hAnsi="Times New Roman" w:eastAsia="宋体" w:cs="Times New Roman"/>
                <w:color w:val="auto"/>
                <w:sz w:val="24"/>
                <w:szCs w:val="24"/>
                <w:highlight w:val="none"/>
              </w:rPr>
              <w:t>2023年生态环境分区管控成果动态更新的通知》（巴政办字[2023]106号）</w:t>
            </w:r>
            <w:r>
              <w:rPr>
                <w:rFonts w:hint="eastAsia" w:ascii="Times New Roman" w:hAnsi="Times New Roman" w:eastAsia="宋体" w:cs="Times New Roman"/>
                <w:color w:val="auto"/>
                <w:sz w:val="24"/>
                <w:szCs w:val="24"/>
                <w:highlight w:val="none"/>
              </w:rPr>
              <w:t>，项目所在区域属于土壤环境一般管控区，无具体管控要求。</w:t>
            </w:r>
          </w:p>
          <w:p w14:paraId="338A6B9E">
            <w:pPr>
              <w:spacing w:line="440" w:lineRule="exact"/>
              <w:ind w:firstLine="480" w:firstLineChars="200"/>
              <w:rPr>
                <w:rFonts w:hint="default" w:ascii="Times New Roman" w:hAnsi="Times New Roman" w:cs="Times New Roman"/>
                <w:color w:val="auto"/>
                <w:sz w:val="24"/>
                <w:highlight w:val="none"/>
              </w:rPr>
            </w:pPr>
            <w:r>
              <w:rPr>
                <w:rFonts w:hint="eastAsia" w:ascii="Times New Roman" w:hAnsi="Times New Roman" w:eastAsia="宋体" w:cs="Times New Roman"/>
                <w:color w:val="auto"/>
                <w:sz w:val="24"/>
                <w:szCs w:val="24"/>
                <w:highlight w:val="none"/>
              </w:rPr>
              <w:t>项目运营期在采取本次评价提出的各项污染防治、风险防范措施的情况下，不会对区域土壤环境造成的大的影响，不会突破当地土壤环境质量底线。</w:t>
            </w:r>
          </w:p>
          <w:p w14:paraId="7E1706A4">
            <w:pPr>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（4）</w:t>
            </w:r>
            <w:r>
              <w:rPr>
                <w:rFonts w:hint="default" w:ascii="Times New Roman" w:hAnsi="Times New Roman" w:cs="Times New Roman"/>
                <w:b/>
                <w:bCs/>
                <w:color w:val="auto"/>
                <w:sz w:val="24"/>
                <w:highlight w:val="none"/>
                <w:lang w:val="en-US" w:eastAsia="zh-CN"/>
              </w:rPr>
              <w:t>生态环境分区管控符合性</w:t>
            </w:r>
            <w:r>
              <w:rPr>
                <w:rFonts w:hint="eastAsia" w:cs="Times New Roman"/>
                <w:b/>
                <w:bCs/>
                <w:color w:val="auto"/>
                <w:sz w:val="24"/>
                <w:highlight w:val="none"/>
                <w:lang w:val="en-US" w:eastAsia="zh-CN"/>
              </w:rPr>
              <w:t>分析</w:t>
            </w:r>
          </w:p>
          <w:p w14:paraId="0422EAFE">
            <w:pPr>
              <w:spacing w:line="360" w:lineRule="auto"/>
              <w:ind w:firstLine="480" w:firstLineChars="200"/>
              <w:rPr>
                <w:rFonts w:hint="default" w:ascii="Times New Roman" w:hAnsi="Times New Roman" w:cs="Times New Roman"/>
                <w:color w:val="auto"/>
                <w:kern w:val="0"/>
                <w:highlight w:val="none"/>
              </w:rPr>
            </w:pPr>
            <w:r>
              <w:rPr>
                <w:rFonts w:hint="default" w:ascii="Times New Roman" w:hAnsi="Times New Roman" w:cs="Times New Roman"/>
                <w:color w:val="auto"/>
                <w:sz w:val="24"/>
                <w:highlight w:val="none"/>
              </w:rPr>
              <w:t>本项目位于</w:t>
            </w:r>
            <w:r>
              <w:rPr>
                <w:rFonts w:hint="eastAsia" w:cs="Times New Roman"/>
                <w:color w:val="auto"/>
                <w:sz w:val="24"/>
                <w:highlight w:val="none"/>
                <w:lang w:eastAsia="zh-CN"/>
              </w:rPr>
              <w:t>巴彦淖尔市磴口县沙金套海苏木巴音温都尔嘎查</w:t>
            </w:r>
            <w:r>
              <w:rPr>
                <w:rFonts w:hint="default" w:ascii="Times New Roman" w:hAnsi="Times New Roman" w:cs="Times New Roman"/>
                <w:color w:val="auto"/>
                <w:sz w:val="24"/>
                <w:highlight w:val="none"/>
              </w:rPr>
              <w:t>，根据《巴彦淖尔市生态环境准入清单》（2023）》，本项目属于重点管控单元，编号为</w:t>
            </w:r>
            <w:r>
              <w:rPr>
                <w:rFonts w:hint="eastAsia" w:cs="Times New Roman"/>
                <w:color w:val="auto"/>
                <w:sz w:val="24"/>
                <w:highlight w:val="none"/>
                <w:lang w:eastAsia="zh-CN"/>
              </w:rPr>
              <w:t>ZH15082220002</w:t>
            </w:r>
            <w:r>
              <w:rPr>
                <w:rFonts w:hint="default" w:ascii="Times New Roman" w:hAnsi="Times New Roman" w:cs="Times New Roman"/>
                <w:color w:val="auto"/>
                <w:sz w:val="24"/>
                <w:highlight w:val="none"/>
              </w:rPr>
              <w:t>，管控单元名称为</w:t>
            </w:r>
            <w:r>
              <w:rPr>
                <w:rFonts w:hint="eastAsia" w:cs="Times New Roman"/>
                <w:color w:val="auto"/>
                <w:sz w:val="24"/>
                <w:highlight w:val="none"/>
                <w:lang w:val="en-US" w:eastAsia="zh-CN"/>
              </w:rPr>
              <w:t>磴口县奶牛产业园</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eastAsia="zh-CN"/>
              </w:rPr>
              <w:t>大气环境</w:t>
            </w:r>
            <w:r>
              <w:rPr>
                <w:rFonts w:hint="eastAsia" w:cs="Times New Roman"/>
                <w:color w:val="auto"/>
                <w:sz w:val="24"/>
                <w:highlight w:val="none"/>
                <w:lang w:val="en-US" w:eastAsia="zh-CN"/>
              </w:rPr>
              <w:t>受体敏感</w:t>
            </w:r>
            <w:r>
              <w:rPr>
                <w:rFonts w:hint="eastAsia" w:cs="Times New Roman"/>
                <w:color w:val="auto"/>
                <w:sz w:val="24"/>
                <w:highlight w:val="none"/>
                <w:lang w:eastAsia="zh-CN"/>
              </w:rPr>
              <w:t>重点管控区、水环境农业污染重点管控区、生态用水补给区、土地资源重点管控区</w:t>
            </w:r>
            <w:r>
              <w:rPr>
                <w:rFonts w:hint="default" w:ascii="Times New Roman" w:hAnsi="Times New Roman" w:cs="Times New Roman"/>
                <w:color w:val="auto"/>
                <w:sz w:val="24"/>
                <w:highlight w:val="none"/>
              </w:rPr>
              <w:t>。本项目与巴彦淖尔生态环境准入清单符合性分析见1-</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，本项目与巴彦淖尔市管控单元图位置示意图见附图3。</w:t>
            </w:r>
          </w:p>
        </w:tc>
      </w:tr>
    </w:tbl>
    <w:p w14:paraId="22CCE513">
      <w:pPr>
        <w:spacing w:line="360" w:lineRule="auto"/>
        <w:outlineLvl w:val="0"/>
        <w:rPr>
          <w:rFonts w:hint="default" w:ascii="Times New Roman" w:hAnsi="Times New Roman" w:cs="Times New Roman"/>
          <w:color w:val="auto"/>
          <w:sz w:val="30"/>
          <w:highlight w:val="none"/>
        </w:rPr>
        <w:sectPr>
          <w:footerReference r:id="rId5" w:type="default"/>
          <w:pgSz w:w="11906" w:h="16838"/>
          <w:pgMar w:top="1134" w:right="1418" w:bottom="1134" w:left="1418" w:header="851" w:footer="992" w:gutter="0"/>
          <w:pgBorders>
            <w:top w:val="none" w:sz="0" w:space="0"/>
            <w:left w:val="none" w:sz="0" w:space="0"/>
            <w:bottom w:val="none" w:sz="0" w:space="0"/>
            <w:right w:val="none" w:sz="0" w:space="0"/>
          </w:pgBorders>
          <w:pgNumType w:fmt="decimal" w:start="1"/>
          <w:cols w:space="720" w:num="1"/>
          <w:docGrid w:linePitch="312" w:charSpace="0"/>
        </w:sectPr>
      </w:pPr>
    </w:p>
    <w:p w14:paraId="529E587A">
      <w:pPr>
        <w:widowControl/>
        <w:snapToGrid w:val="0"/>
        <w:spacing w:before="72" w:beforeLines="30" w:after="72" w:afterLines="30" w:line="360" w:lineRule="auto"/>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表1-</w:t>
      </w:r>
      <w:r>
        <w:rPr>
          <w:rFonts w:hint="eastAsia" w:cs="Times New Roman"/>
          <w:b/>
          <w:color w:val="auto"/>
          <w:kern w:val="0"/>
          <w:sz w:val="24"/>
          <w:highlight w:val="none"/>
          <w:lang w:val="en-US" w:eastAsia="zh-CN"/>
        </w:rPr>
        <w:t>2</w:t>
      </w:r>
      <w:r>
        <w:rPr>
          <w:rFonts w:hint="default" w:ascii="Times New Roman" w:hAnsi="Times New Roman" w:eastAsia="宋体" w:cs="Times New Roman"/>
          <w:b/>
          <w:color w:val="auto"/>
          <w:kern w:val="0"/>
          <w:sz w:val="24"/>
          <w:highlight w:val="none"/>
        </w:rPr>
        <w:t>与《巴彦淖尔市生态环境准入清单》（2023）符合性分析一览表</w:t>
      </w:r>
    </w:p>
    <w:tbl>
      <w:tblPr>
        <w:tblStyle w:val="32"/>
        <w:tblW w:w="53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929"/>
        <w:gridCol w:w="809"/>
        <w:gridCol w:w="8957"/>
        <w:gridCol w:w="4032"/>
      </w:tblGrid>
      <w:tr w14:paraId="4FBE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blHeader/>
          <w:jc w:val="center"/>
        </w:trPr>
        <w:tc>
          <w:tcPr>
            <w:tcW w:w="376" w:type="pct"/>
            <w:noWrap w:val="0"/>
            <w:vAlign w:val="center"/>
          </w:tcPr>
          <w:p w14:paraId="252987CF">
            <w:pPr>
              <w:widowControl/>
              <w:ind w:firstLine="4" w:firstLineChars="2"/>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编号</w:t>
            </w:r>
          </w:p>
        </w:tc>
        <w:tc>
          <w:tcPr>
            <w:tcW w:w="291" w:type="pct"/>
            <w:noWrap w:val="0"/>
            <w:vAlign w:val="center"/>
          </w:tcPr>
          <w:p w14:paraId="6AE614D1">
            <w:pPr>
              <w:widowControl/>
              <w:ind w:firstLine="4" w:firstLineChars="2"/>
              <w:jc w:val="center"/>
              <w:rPr>
                <w:rFonts w:hint="default" w:ascii="Times New Roman" w:hAnsi="Times New Roman" w:eastAsia="宋体" w:cs="Times New Roman"/>
                <w:b/>
                <w:bCs/>
                <w:color w:val="auto"/>
                <w:kern w:val="0"/>
                <w:szCs w:val="21"/>
                <w:highlight w:val="none"/>
                <w:lang w:val="en-US" w:eastAsia="zh-CN"/>
              </w:rPr>
            </w:pPr>
            <w:bookmarkStart w:id="2" w:name="_Hlk72332647"/>
            <w:r>
              <w:rPr>
                <w:rFonts w:hint="eastAsia" w:cs="Times New Roman"/>
                <w:b/>
                <w:bCs/>
                <w:color w:val="auto"/>
                <w:kern w:val="0"/>
                <w:szCs w:val="21"/>
                <w:highlight w:val="none"/>
                <w:lang w:val="en-US" w:eastAsia="zh-CN"/>
              </w:rPr>
              <w:t>管控单元名称</w:t>
            </w:r>
          </w:p>
        </w:tc>
        <w:tc>
          <w:tcPr>
            <w:tcW w:w="254" w:type="pct"/>
            <w:noWrap w:val="0"/>
            <w:vAlign w:val="center"/>
          </w:tcPr>
          <w:p w14:paraId="3AB53520">
            <w:pPr>
              <w:widowControl/>
              <w:ind w:firstLine="4" w:firstLineChars="2"/>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项目</w:t>
            </w:r>
          </w:p>
          <w:p w14:paraId="654B384C">
            <w:pPr>
              <w:widowControl/>
              <w:ind w:firstLine="4" w:firstLineChars="2"/>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类别</w:t>
            </w:r>
          </w:p>
        </w:tc>
        <w:tc>
          <w:tcPr>
            <w:tcW w:w="2812" w:type="pct"/>
            <w:noWrap w:val="0"/>
            <w:vAlign w:val="center"/>
          </w:tcPr>
          <w:p w14:paraId="4288EFCE">
            <w:pPr>
              <w:widowControl/>
              <w:ind w:firstLine="4" w:firstLineChars="2"/>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管控要求</w:t>
            </w:r>
          </w:p>
        </w:tc>
        <w:tc>
          <w:tcPr>
            <w:tcW w:w="1265" w:type="pct"/>
            <w:noWrap w:val="0"/>
            <w:vAlign w:val="center"/>
          </w:tcPr>
          <w:p w14:paraId="15DFF5F0">
            <w:pPr>
              <w:widowControl/>
              <w:ind w:firstLine="4" w:firstLineChars="2"/>
              <w:jc w:val="center"/>
              <w:rPr>
                <w:rFonts w:hint="eastAsia" w:ascii="Times New Roman" w:hAnsi="Times New Roman" w:eastAsia="宋体" w:cs="Times New Roman"/>
                <w:b/>
                <w:bCs/>
                <w:color w:val="auto"/>
                <w:kern w:val="0"/>
                <w:szCs w:val="21"/>
                <w:highlight w:val="none"/>
                <w:lang w:val="en-US" w:eastAsia="zh-CN"/>
              </w:rPr>
            </w:pPr>
            <w:r>
              <w:rPr>
                <w:rFonts w:hint="default" w:ascii="Times New Roman" w:hAnsi="Times New Roman" w:eastAsia="宋体" w:cs="Times New Roman"/>
                <w:b/>
                <w:bCs/>
                <w:color w:val="auto"/>
                <w:kern w:val="0"/>
                <w:szCs w:val="21"/>
                <w:highlight w:val="none"/>
              </w:rPr>
              <w:t>本项目</w:t>
            </w:r>
            <w:r>
              <w:rPr>
                <w:rFonts w:hint="eastAsia" w:cs="Times New Roman"/>
                <w:b/>
                <w:bCs/>
                <w:color w:val="auto"/>
                <w:kern w:val="0"/>
                <w:szCs w:val="21"/>
                <w:highlight w:val="none"/>
                <w:lang w:val="en-US" w:eastAsia="zh-CN"/>
              </w:rPr>
              <w:t>符合性</w:t>
            </w:r>
          </w:p>
        </w:tc>
      </w:tr>
      <w:tr w14:paraId="2A3C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921" w:type="pct"/>
            <w:gridSpan w:val="3"/>
            <w:noWrap w:val="0"/>
            <w:vAlign w:val="center"/>
          </w:tcPr>
          <w:p w14:paraId="492D4699">
            <w:pPr>
              <w:spacing w:line="240" w:lineRule="auto"/>
              <w:ind w:left="0" w:leftChars="0" w:right="0" w:rightChars="0"/>
              <w:jc w:val="center"/>
              <w:rPr>
                <w:rFonts w:hint="default"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巴彦淖尔市总体准入要求</w:t>
            </w:r>
          </w:p>
        </w:tc>
        <w:tc>
          <w:tcPr>
            <w:tcW w:w="2812" w:type="pct"/>
            <w:noWrap w:val="0"/>
            <w:vAlign w:val="center"/>
          </w:tcPr>
          <w:p w14:paraId="570BACA5">
            <w:pPr>
              <w:tabs>
                <w:tab w:val="left" w:pos="312"/>
              </w:tabs>
              <w:spacing w:line="240" w:lineRule="auto"/>
              <w:ind w:left="0" w:leftChars="0" w:right="0" w:rightChars="0"/>
              <w:rPr>
                <w:rFonts w:eastAsia="宋体"/>
                <w:color w:val="auto"/>
                <w:kern w:val="0"/>
                <w:szCs w:val="21"/>
                <w:highlight w:val="none"/>
              </w:rPr>
            </w:pPr>
            <w:r>
              <w:rPr>
                <w:rFonts w:eastAsia="宋体"/>
                <w:color w:val="auto"/>
                <w:kern w:val="0"/>
                <w:szCs w:val="21"/>
                <w:highlight w:val="none"/>
              </w:rPr>
              <w:t>1、根据《</w:t>
            </w:r>
            <w:r>
              <w:rPr>
                <w:rFonts w:hint="eastAsia" w:eastAsia="宋体"/>
                <w:color w:val="auto"/>
                <w:kern w:val="0"/>
                <w:szCs w:val="21"/>
                <w:highlight w:val="none"/>
              </w:rPr>
              <w:t>内蒙古自治区进一步规范化工行业项目建设的若干规定</w:t>
            </w:r>
            <w:r>
              <w:rPr>
                <w:rFonts w:eastAsia="宋体"/>
                <w:color w:val="auto"/>
                <w:kern w:val="0"/>
                <w:szCs w:val="21"/>
                <w:highlight w:val="none"/>
              </w:rPr>
              <w:t>》，</w:t>
            </w:r>
            <w:r>
              <w:rPr>
                <w:rFonts w:hint="eastAsia" w:eastAsia="宋体"/>
                <w:color w:val="auto"/>
                <w:kern w:val="0"/>
                <w:szCs w:val="21"/>
                <w:highlight w:val="none"/>
              </w:rPr>
              <w:t>现有园区扩大面积的，要与黄河中上游流域巴彦淖尔段及主要支流岸线至少保持1公里距离。</w:t>
            </w:r>
          </w:p>
          <w:p w14:paraId="05D1B2C5">
            <w:pPr>
              <w:tabs>
                <w:tab w:val="left" w:pos="312"/>
              </w:tabs>
              <w:spacing w:line="240" w:lineRule="auto"/>
              <w:ind w:left="0" w:leftChars="0" w:right="0" w:rightChars="0"/>
              <w:rPr>
                <w:rFonts w:eastAsia="宋体"/>
                <w:color w:val="auto"/>
                <w:kern w:val="0"/>
                <w:szCs w:val="21"/>
                <w:highlight w:val="none"/>
              </w:rPr>
            </w:pPr>
            <w:r>
              <w:rPr>
                <w:rFonts w:eastAsia="宋体"/>
                <w:color w:val="auto"/>
                <w:kern w:val="0"/>
                <w:szCs w:val="21"/>
                <w:highlight w:val="none"/>
              </w:rPr>
              <w:t>2、新建、改建、扩建</w:t>
            </w:r>
            <w:r>
              <w:rPr>
                <w:rFonts w:hint="eastAsia" w:eastAsia="宋体"/>
                <w:color w:val="auto"/>
                <w:kern w:val="0"/>
                <w:szCs w:val="21"/>
                <w:highlight w:val="none"/>
                <w:lang w:eastAsia="zh-CN"/>
              </w:rPr>
              <w:t>“</w:t>
            </w:r>
            <w:r>
              <w:rPr>
                <w:rFonts w:eastAsia="宋体"/>
                <w:color w:val="auto"/>
                <w:kern w:val="0"/>
                <w:szCs w:val="21"/>
                <w:highlight w:val="none"/>
              </w:rPr>
              <w:t>两高</w:t>
            </w:r>
            <w:r>
              <w:rPr>
                <w:rFonts w:hint="eastAsia" w:eastAsia="宋体"/>
                <w:color w:val="auto"/>
                <w:kern w:val="0"/>
                <w:szCs w:val="21"/>
                <w:highlight w:val="none"/>
                <w:lang w:eastAsia="zh-CN"/>
              </w:rPr>
              <w:t>”</w:t>
            </w:r>
            <w:r>
              <w:rPr>
                <w:rFonts w:eastAsia="宋体"/>
                <w:color w:val="auto"/>
                <w:kern w:val="0"/>
                <w:szCs w:val="21"/>
                <w:highlight w:val="none"/>
              </w:rPr>
              <w:t>项目须符合生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规划环评的产业园区。</w:t>
            </w:r>
            <w:r>
              <w:rPr>
                <w:rFonts w:hint="eastAsia" w:eastAsia="宋体"/>
                <w:color w:val="auto"/>
                <w:kern w:val="0"/>
                <w:szCs w:val="21"/>
                <w:highlight w:val="none"/>
              </w:rPr>
              <w:t>化工园区（集中区）外已认定为化工重点监控点的企业，在项目审批、建设和管理方面参照化工园区内企业执行。企业可按照化工项目建设管理有关规定，依法依规在厂区内或紧邻厂区新建、改扩建现有装备同类产品、产业链延链补链、循环经济利用、安全环保节能项目，但原则上不能新建上游产业。</w:t>
            </w:r>
          </w:p>
          <w:p w14:paraId="3253CFB9">
            <w:pPr>
              <w:tabs>
                <w:tab w:val="left" w:pos="312"/>
              </w:tabs>
              <w:spacing w:line="240" w:lineRule="auto"/>
              <w:ind w:left="0" w:leftChars="0" w:right="0" w:rightChars="0"/>
              <w:rPr>
                <w:rFonts w:eastAsia="宋体"/>
                <w:color w:val="auto"/>
                <w:kern w:val="0"/>
                <w:szCs w:val="21"/>
                <w:highlight w:val="none"/>
              </w:rPr>
            </w:pPr>
            <w:r>
              <w:rPr>
                <w:rFonts w:eastAsia="宋体"/>
                <w:color w:val="auto"/>
                <w:kern w:val="0"/>
                <w:szCs w:val="21"/>
                <w:highlight w:val="none"/>
              </w:rPr>
              <w:t>3、为改善区域环境质量，严格控制</w:t>
            </w:r>
            <w:r>
              <w:rPr>
                <w:rFonts w:hint="eastAsia" w:eastAsia="宋体"/>
                <w:color w:val="auto"/>
                <w:kern w:val="0"/>
                <w:szCs w:val="21"/>
                <w:highlight w:val="none"/>
                <w:lang w:eastAsia="zh-CN"/>
              </w:rPr>
              <w:t>“</w:t>
            </w:r>
            <w:r>
              <w:rPr>
                <w:rFonts w:eastAsia="宋体"/>
                <w:color w:val="auto"/>
                <w:kern w:val="0"/>
                <w:szCs w:val="21"/>
                <w:highlight w:val="none"/>
              </w:rPr>
              <w:t>两高</w:t>
            </w:r>
            <w:r>
              <w:rPr>
                <w:rFonts w:hint="eastAsia" w:eastAsia="宋体"/>
                <w:color w:val="auto"/>
                <w:kern w:val="0"/>
                <w:szCs w:val="21"/>
                <w:highlight w:val="none"/>
                <w:lang w:eastAsia="zh-CN"/>
              </w:rPr>
              <w:t>”</w:t>
            </w:r>
            <w:r>
              <w:rPr>
                <w:rFonts w:eastAsia="宋体"/>
                <w:color w:val="auto"/>
                <w:kern w:val="0"/>
                <w:szCs w:val="21"/>
                <w:highlight w:val="none"/>
              </w:rPr>
              <w:t>项目新增主要污染物排放，确保环境影响报告书及其批复文件要求的主要污染物排放量区域削减措施落实到位。建设项目应满足区域、流域控制单元环境质量改善目标管理要求。所在区域、流域控制单元环境质量未达到国家或者地方环境质量标准的，建设项目应提出有效的区域削减方案</w:t>
            </w:r>
            <w:r>
              <w:rPr>
                <w:rFonts w:hint="eastAsia" w:eastAsia="宋体"/>
                <w:color w:val="auto"/>
                <w:kern w:val="0"/>
                <w:szCs w:val="21"/>
                <w:highlight w:val="none"/>
                <w:lang w:eastAsia="zh-CN"/>
              </w:rPr>
              <w:t>，</w:t>
            </w:r>
            <w:r>
              <w:rPr>
                <w:rFonts w:eastAsia="宋体"/>
                <w:color w:val="auto"/>
                <w:kern w:val="0"/>
                <w:szCs w:val="21"/>
                <w:highlight w:val="none"/>
              </w:rPr>
              <w:t>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p w14:paraId="418B432D">
            <w:pPr>
              <w:tabs>
                <w:tab w:val="left" w:pos="312"/>
              </w:tabs>
              <w:spacing w:line="240" w:lineRule="auto"/>
              <w:ind w:left="0" w:leftChars="0" w:right="0" w:rightChars="0"/>
              <w:rPr>
                <w:rFonts w:eastAsia="宋体"/>
                <w:color w:val="auto"/>
                <w:kern w:val="0"/>
                <w:szCs w:val="21"/>
                <w:highlight w:val="none"/>
              </w:rPr>
            </w:pPr>
            <w:r>
              <w:rPr>
                <w:rFonts w:eastAsia="宋体"/>
                <w:color w:val="auto"/>
                <w:kern w:val="0"/>
                <w:szCs w:val="21"/>
                <w:highlight w:val="none"/>
              </w:rPr>
              <w:t>4、各类园区及建设项目选址</w:t>
            </w:r>
            <w:r>
              <w:rPr>
                <w:rFonts w:hint="eastAsia" w:eastAsia="宋体"/>
                <w:color w:val="auto"/>
                <w:kern w:val="0"/>
                <w:szCs w:val="21"/>
                <w:highlight w:val="none"/>
              </w:rPr>
              <w:t>应当</w:t>
            </w:r>
            <w:r>
              <w:rPr>
                <w:rFonts w:eastAsia="宋体"/>
                <w:color w:val="auto"/>
                <w:kern w:val="0"/>
                <w:szCs w:val="21"/>
                <w:highlight w:val="none"/>
              </w:rPr>
              <w:t>符合当地国土空间规划。</w:t>
            </w:r>
          </w:p>
          <w:p w14:paraId="00CC8031">
            <w:pPr>
              <w:tabs>
                <w:tab w:val="left" w:pos="312"/>
              </w:tabs>
              <w:spacing w:line="240" w:lineRule="auto"/>
              <w:ind w:left="0" w:leftChars="0" w:right="0" w:rightChars="0"/>
              <w:rPr>
                <w:rFonts w:eastAsia="宋体"/>
                <w:color w:val="auto"/>
                <w:kern w:val="0"/>
                <w:szCs w:val="21"/>
                <w:highlight w:val="none"/>
              </w:rPr>
            </w:pPr>
            <w:r>
              <w:rPr>
                <w:rFonts w:eastAsia="宋体"/>
                <w:color w:val="auto"/>
                <w:kern w:val="0"/>
                <w:szCs w:val="21"/>
                <w:highlight w:val="none"/>
              </w:rPr>
              <w:t>5、畜禽养殖禁养区内不得新建、扩建和改建各类畜禽养殖场，限养区内严格限制新建和扩建各类规模化畜禽养殖场。适养区内现有的各类畜禽养殖场必须落实污染防治措施，对污水、废渣和恶臭应进行定期监测，确保排放的污染物达到《畜禽养殖业污染物排放标准》（GB18596）的限值要求，并符合污染物排放总量控制要求。禁养区范围内的已建成的畜禽养殖场（小区）和养殖专业户，由所在地人民政府负责责令限期搬迁、关闭或取缔。</w:t>
            </w:r>
          </w:p>
          <w:p w14:paraId="3220BF4C">
            <w:pPr>
              <w:tabs>
                <w:tab w:val="left" w:pos="312"/>
              </w:tabs>
              <w:spacing w:line="240" w:lineRule="auto"/>
              <w:ind w:left="0" w:leftChars="0" w:right="0" w:rightChars="0"/>
              <w:rPr>
                <w:rFonts w:eastAsia="宋体"/>
                <w:color w:val="auto"/>
                <w:kern w:val="0"/>
                <w:szCs w:val="21"/>
                <w:highlight w:val="none"/>
              </w:rPr>
            </w:pPr>
            <w:r>
              <w:rPr>
                <w:rFonts w:eastAsia="宋体"/>
                <w:color w:val="auto"/>
                <w:kern w:val="0"/>
                <w:szCs w:val="21"/>
                <w:highlight w:val="none"/>
              </w:rPr>
              <w:t>6、建设对环境有影响的项目，建设单位应当根据国家关于建设项目环境保护分类管理的规定，按照对环境造成影响的程度，组织编制环境影响报告书、环境影响报告表或者填写环境影响登记表。严格落实排污许可管理要求，加强排污许可证实施监管，督促企业采取有效措施控制污染物排放，达到排污许可证规定的许可排放量要求。</w:t>
            </w:r>
          </w:p>
          <w:p w14:paraId="23394BEF">
            <w:pPr>
              <w:tabs>
                <w:tab w:val="left" w:pos="312"/>
              </w:tabs>
              <w:spacing w:line="240" w:lineRule="auto"/>
              <w:ind w:left="0" w:leftChars="0" w:right="0" w:rightChars="0"/>
              <w:rPr>
                <w:rFonts w:hint="default" w:ascii="Times New Roman" w:hAnsi="Times New Roman" w:eastAsia="宋体" w:cs="Times New Roman"/>
                <w:color w:val="auto"/>
                <w:szCs w:val="21"/>
                <w:highlight w:val="none"/>
              </w:rPr>
            </w:pPr>
            <w:r>
              <w:rPr>
                <w:rFonts w:hint="eastAsia" w:eastAsia="宋体"/>
                <w:color w:val="auto"/>
                <w:kern w:val="0"/>
                <w:szCs w:val="21"/>
                <w:highlight w:val="none"/>
              </w:rPr>
              <w:t>7、入园项目需符合园区产业定位、布局、规划环评等；根据《内蒙古自治区</w:t>
            </w:r>
            <w:r>
              <w:rPr>
                <w:rFonts w:hint="eastAsia" w:eastAsia="宋体"/>
                <w:color w:val="auto"/>
                <w:kern w:val="0"/>
                <w:szCs w:val="21"/>
                <w:highlight w:val="none"/>
                <w:lang w:eastAsia="zh-CN"/>
              </w:rPr>
              <w:t>“</w:t>
            </w:r>
            <w:r>
              <w:rPr>
                <w:rFonts w:hint="eastAsia" w:eastAsia="宋体"/>
                <w:color w:val="auto"/>
                <w:kern w:val="0"/>
                <w:szCs w:val="21"/>
                <w:highlight w:val="none"/>
              </w:rPr>
              <w:t>十四五</w:t>
            </w:r>
            <w:r>
              <w:rPr>
                <w:rFonts w:hint="eastAsia" w:eastAsia="宋体"/>
                <w:color w:val="auto"/>
                <w:kern w:val="0"/>
                <w:szCs w:val="21"/>
                <w:highlight w:val="none"/>
                <w:lang w:eastAsia="zh-CN"/>
              </w:rPr>
              <w:t>”</w:t>
            </w:r>
            <w:r>
              <w:rPr>
                <w:rFonts w:hint="eastAsia" w:eastAsia="宋体"/>
                <w:color w:val="auto"/>
                <w:kern w:val="0"/>
                <w:szCs w:val="21"/>
                <w:highlight w:val="none"/>
              </w:rPr>
              <w:t>危险废物集中处置设施建设规划》，原则上限制新建、扩建危险废物焚烧、填埋、水泥窑协同等集中处置设施。</w:t>
            </w:r>
          </w:p>
        </w:tc>
        <w:tc>
          <w:tcPr>
            <w:tcW w:w="1265" w:type="pct"/>
            <w:noWrap w:val="0"/>
            <w:vAlign w:val="center"/>
          </w:tcPr>
          <w:p w14:paraId="350B3A3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color w:val="auto"/>
                <w:kern w:val="0"/>
                <w:sz w:val="21"/>
                <w:szCs w:val="21"/>
                <w:highlight w:val="none"/>
                <w:lang w:val="en-US" w:eastAsia="zh-CN" w:bidi="ar"/>
              </w:rPr>
            </w:pPr>
            <w:r>
              <w:rPr>
                <w:rFonts w:hint="eastAsia" w:cs="Times New Roman"/>
                <w:b w:val="0"/>
                <w:bCs/>
                <w:color w:val="auto"/>
                <w:sz w:val="21"/>
                <w:szCs w:val="21"/>
                <w:highlight w:val="none"/>
                <w:lang w:val="en-US" w:eastAsia="zh-CN"/>
              </w:rPr>
              <w:t>1、本项目于磴口县沙金套海苏木巴音温都尔嘎查建设，用地手续齐全</w:t>
            </w:r>
            <w:r>
              <w:rPr>
                <w:rFonts w:hint="eastAsia" w:cs="Times New Roman"/>
                <w:color w:val="auto"/>
                <w:kern w:val="0"/>
                <w:sz w:val="21"/>
                <w:szCs w:val="21"/>
                <w:highlight w:val="none"/>
                <w:lang w:val="en-US" w:eastAsia="zh-CN" w:bidi="ar"/>
              </w:rPr>
              <w:t>，不涉及扩大园区面积且与黄河中上游流域巴彦淖尔段及主要支流岸线至少保持1公里距离；</w:t>
            </w:r>
          </w:p>
          <w:p w14:paraId="7C391172">
            <w:pPr>
              <w:pStyle w:val="6"/>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2、本项目不属于“两高”项目；</w:t>
            </w:r>
          </w:p>
          <w:p w14:paraId="07F2C3EC">
            <w:pPr>
              <w:pStyle w:val="6"/>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3、根据前文分析，本项目投产后产生的污染物均得到妥善处理不会造成区域环境质量恶化；</w:t>
            </w:r>
          </w:p>
          <w:p w14:paraId="7477473D">
            <w:pPr>
              <w:pStyle w:val="6"/>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cs="Times New Roman"/>
                <w:b w:val="0"/>
                <w:bCs/>
                <w:color w:val="auto"/>
                <w:sz w:val="21"/>
                <w:szCs w:val="21"/>
                <w:highlight w:val="none"/>
                <w:lang w:eastAsia="zh-CN"/>
              </w:rPr>
            </w:pPr>
            <w:r>
              <w:rPr>
                <w:rFonts w:hint="eastAsia" w:cs="Times New Roman"/>
                <w:color w:val="auto"/>
                <w:kern w:val="0"/>
                <w:sz w:val="21"/>
                <w:szCs w:val="21"/>
                <w:highlight w:val="none"/>
                <w:lang w:val="en-US" w:eastAsia="zh-CN" w:bidi="ar"/>
              </w:rPr>
              <w:t>4、本项目选址符合《巴彦淖尔市磴口县国土空间总体规划（2021—2035年）》</w:t>
            </w:r>
            <w:r>
              <w:rPr>
                <w:rFonts w:hint="eastAsia" w:cs="Times New Roman"/>
                <w:b w:val="0"/>
                <w:bCs/>
                <w:color w:val="auto"/>
                <w:sz w:val="21"/>
                <w:szCs w:val="21"/>
                <w:highlight w:val="none"/>
                <w:lang w:eastAsia="zh-CN"/>
              </w:rPr>
              <w:t>；</w:t>
            </w:r>
          </w:p>
          <w:p w14:paraId="70C1115F">
            <w:pPr>
              <w:pStyle w:val="6"/>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color w:val="auto"/>
                <w:sz w:val="21"/>
                <w:szCs w:val="21"/>
                <w:highlight w:val="none"/>
                <w:lang w:val="en-US" w:eastAsia="zh-CN"/>
              </w:rPr>
              <w:t>5、本次</w:t>
            </w:r>
            <w:r>
              <w:rPr>
                <w:rFonts w:hint="eastAsia" w:ascii="Times New Roman" w:hAnsi="Times New Roman" w:eastAsia="宋体" w:cs="Times New Roman"/>
                <w:b w:val="0"/>
                <w:bCs w:val="0"/>
                <w:color w:val="auto"/>
                <w:kern w:val="0"/>
                <w:sz w:val="21"/>
                <w:szCs w:val="21"/>
                <w:highlight w:val="none"/>
                <w:lang w:val="en-US" w:eastAsia="zh-CN" w:bidi="ar"/>
              </w:rPr>
              <w:t>新建</w:t>
            </w:r>
            <w:r>
              <w:rPr>
                <w:rFonts w:hint="default" w:ascii="Times New Roman" w:hAnsi="Times New Roman" w:eastAsia="宋体" w:cs="Times New Roman"/>
                <w:b w:val="0"/>
                <w:bCs w:val="0"/>
                <w:color w:val="auto"/>
                <w:kern w:val="0"/>
                <w:sz w:val="21"/>
                <w:szCs w:val="21"/>
                <w:highlight w:val="none"/>
                <w:lang w:val="en-US" w:eastAsia="zh-CN" w:bidi="ar"/>
              </w:rPr>
              <w:t>行业类别为</w:t>
            </w:r>
            <w:r>
              <w:rPr>
                <w:rFonts w:hint="eastAsia" w:cs="Times New Roman"/>
                <w:b w:val="0"/>
                <w:bCs w:val="0"/>
                <w:color w:val="auto"/>
                <w:kern w:val="0"/>
                <w:sz w:val="21"/>
                <w:szCs w:val="21"/>
                <w:highlight w:val="none"/>
                <w:lang w:val="en-US" w:eastAsia="zh-CN" w:bidi="ar"/>
              </w:rPr>
              <w:t>有机肥料及微生物肥料制造</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不涉及畜禽养殖；</w:t>
            </w:r>
          </w:p>
          <w:p w14:paraId="6A39ACE2">
            <w:pPr>
              <w:pStyle w:val="6"/>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color w:val="auto"/>
                <w:szCs w:val="21"/>
                <w:highlight w:val="none"/>
                <w:lang w:val="en-US" w:eastAsia="zh-CN"/>
              </w:rPr>
            </w:pPr>
            <w:r>
              <w:rPr>
                <w:rFonts w:hint="eastAsia" w:cs="Times New Roman"/>
                <w:b w:val="0"/>
                <w:bCs w:val="0"/>
                <w:color w:val="auto"/>
                <w:sz w:val="21"/>
                <w:szCs w:val="21"/>
                <w:highlight w:val="none"/>
                <w:lang w:val="en-US" w:eastAsia="zh-CN"/>
              </w:rPr>
              <w:t>6、本项目</w:t>
            </w:r>
            <w:r>
              <w:rPr>
                <w:rFonts w:eastAsia="宋体"/>
                <w:color w:val="auto"/>
                <w:sz w:val="21"/>
                <w:szCs w:val="21"/>
                <w:highlight w:val="none"/>
              </w:rPr>
              <w:t>根据国家关于建设项目环境保护分类管理的规定，组织编制环境影响报告表</w:t>
            </w:r>
            <w:r>
              <w:rPr>
                <w:rFonts w:hint="eastAsia"/>
                <w:color w:val="auto"/>
                <w:sz w:val="21"/>
                <w:szCs w:val="21"/>
                <w:highlight w:val="none"/>
                <w:lang w:eastAsia="zh-CN"/>
              </w:rPr>
              <w:t>、</w:t>
            </w:r>
            <w:r>
              <w:rPr>
                <w:rFonts w:hint="eastAsia"/>
                <w:color w:val="auto"/>
                <w:sz w:val="21"/>
                <w:szCs w:val="21"/>
                <w:highlight w:val="none"/>
                <w:lang w:val="en-US" w:eastAsia="zh-CN"/>
              </w:rPr>
              <w:t>排污许可证的申报；</w:t>
            </w:r>
          </w:p>
          <w:p w14:paraId="08D6985F">
            <w:pPr>
              <w:widowControl/>
              <w:rPr>
                <w:rFonts w:hint="default" w:ascii="Times New Roman" w:hAnsi="Times New Roman" w:eastAsia="宋体" w:cs="Times New Roman"/>
                <w:color w:val="auto"/>
                <w:kern w:val="0"/>
                <w:szCs w:val="21"/>
                <w:highlight w:val="none"/>
              </w:rPr>
            </w:pPr>
            <w:r>
              <w:rPr>
                <w:rFonts w:hint="eastAsia"/>
                <w:color w:val="auto"/>
                <w:szCs w:val="21"/>
                <w:highlight w:val="none"/>
                <w:lang w:val="en-US" w:eastAsia="zh-CN"/>
              </w:rPr>
              <w:t>7、本项目不在工业园区内。</w:t>
            </w:r>
          </w:p>
        </w:tc>
      </w:tr>
      <w:tr w14:paraId="77B0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376" w:type="pct"/>
            <w:vMerge w:val="restart"/>
            <w:noWrap w:val="0"/>
            <w:vAlign w:val="center"/>
          </w:tcPr>
          <w:p w14:paraId="27A00C4F">
            <w:pPr>
              <w:widowControl/>
              <w:ind w:firstLine="4" w:firstLineChars="2"/>
              <w:jc w:val="center"/>
              <w:rPr>
                <w:rFonts w:hint="eastAsia" w:ascii="Times New Roman" w:hAnsi="Times New Roman" w:eastAsia="宋体" w:cs="Times New Roman"/>
                <w:b/>
                <w:bCs/>
                <w:color w:val="auto"/>
                <w:kern w:val="0"/>
                <w:szCs w:val="21"/>
                <w:highlight w:val="none"/>
                <w:lang w:eastAsia="zh-CN"/>
              </w:rPr>
            </w:pPr>
            <w:r>
              <w:rPr>
                <w:rFonts w:hint="eastAsia" w:cs="Times New Roman"/>
                <w:b/>
                <w:bCs/>
                <w:color w:val="auto"/>
                <w:kern w:val="0"/>
                <w:szCs w:val="21"/>
                <w:highlight w:val="none"/>
                <w:lang w:eastAsia="zh-CN"/>
              </w:rPr>
              <w:t>ZH15082220002</w:t>
            </w:r>
          </w:p>
        </w:tc>
        <w:tc>
          <w:tcPr>
            <w:tcW w:w="291" w:type="pct"/>
            <w:vMerge w:val="restart"/>
            <w:noWrap w:val="0"/>
            <w:vAlign w:val="center"/>
          </w:tcPr>
          <w:p w14:paraId="5955228C">
            <w:pPr>
              <w:widowControl/>
              <w:ind w:firstLine="4" w:firstLineChars="2"/>
              <w:jc w:val="center"/>
              <w:rPr>
                <w:rFonts w:hint="eastAsia" w:cs="Times New Roman"/>
                <w:b/>
                <w:bCs/>
                <w:color w:val="auto"/>
                <w:kern w:val="0"/>
                <w:szCs w:val="21"/>
                <w:highlight w:val="none"/>
                <w:lang w:eastAsia="zh-CN"/>
              </w:rPr>
            </w:pPr>
            <w:r>
              <w:rPr>
                <w:rFonts w:hint="eastAsia" w:cs="Times New Roman"/>
                <w:b/>
                <w:bCs/>
                <w:color w:val="auto"/>
                <w:sz w:val="21"/>
                <w:szCs w:val="21"/>
                <w:highlight w:val="none"/>
                <w:lang w:val="en-US" w:eastAsia="zh-CN"/>
              </w:rPr>
              <w:t>磴口县奶牛产业园</w:t>
            </w:r>
          </w:p>
        </w:tc>
        <w:tc>
          <w:tcPr>
            <w:tcW w:w="254" w:type="pct"/>
            <w:noWrap w:val="0"/>
            <w:vAlign w:val="center"/>
          </w:tcPr>
          <w:p w14:paraId="238BD249">
            <w:pPr>
              <w:widowControl/>
              <w:ind w:firstLine="4" w:firstLineChars="2"/>
              <w:jc w:val="center"/>
              <w:rPr>
                <w:rFonts w:hint="eastAsia" w:ascii="Times New Roman" w:hAnsi="Times New Roman" w:eastAsia="宋体" w:cs="Times New Roman"/>
                <w:b/>
                <w:bCs/>
                <w:color w:val="auto"/>
                <w:kern w:val="0"/>
                <w:szCs w:val="21"/>
                <w:highlight w:val="none"/>
                <w:lang w:eastAsia="zh-CN"/>
              </w:rPr>
            </w:pPr>
            <w:r>
              <w:rPr>
                <w:rFonts w:hint="eastAsia" w:cs="Times New Roman"/>
                <w:b/>
                <w:bCs/>
                <w:color w:val="auto"/>
                <w:kern w:val="0"/>
                <w:szCs w:val="21"/>
                <w:highlight w:val="none"/>
                <w:lang w:eastAsia="zh-CN"/>
              </w:rPr>
              <w:t>空间布局约束</w:t>
            </w:r>
          </w:p>
        </w:tc>
        <w:tc>
          <w:tcPr>
            <w:tcW w:w="2812" w:type="pct"/>
            <w:noWrap w:val="0"/>
            <w:vAlign w:val="center"/>
          </w:tcPr>
          <w:p w14:paraId="57A91610">
            <w:pPr>
              <w:widowControl/>
              <w:spacing w:line="240" w:lineRule="auto"/>
              <w:ind w:left="0" w:leftChars="0" w:right="0" w:rightChars="0"/>
              <w:jc w:val="left"/>
              <w:rPr>
                <w:rFonts w:eastAsia="宋体"/>
                <w:color w:val="auto"/>
                <w:kern w:val="0"/>
                <w:szCs w:val="21"/>
                <w:highlight w:val="none"/>
              </w:rPr>
            </w:pPr>
            <w:r>
              <w:rPr>
                <w:rFonts w:eastAsia="宋体"/>
                <w:color w:val="auto"/>
                <w:kern w:val="0"/>
                <w:szCs w:val="21"/>
                <w:highlight w:val="none"/>
              </w:rPr>
              <w:t>1</w:t>
            </w:r>
            <w:r>
              <w:rPr>
                <w:rFonts w:hint="eastAsia" w:eastAsia="宋体"/>
                <w:color w:val="auto"/>
                <w:kern w:val="0"/>
                <w:szCs w:val="21"/>
                <w:highlight w:val="none"/>
              </w:rPr>
              <w:t>、新建、改建、扩建项目，必须符合园区产业定位、布局、规划等。</w:t>
            </w:r>
          </w:p>
          <w:p w14:paraId="5720AC4E">
            <w:pPr>
              <w:widowControl/>
              <w:spacing w:line="240" w:lineRule="auto"/>
              <w:ind w:left="0" w:leftChars="0" w:right="0" w:rightChars="0"/>
              <w:jc w:val="left"/>
              <w:rPr>
                <w:rFonts w:eastAsia="宋体"/>
                <w:color w:val="auto"/>
                <w:kern w:val="0"/>
                <w:szCs w:val="21"/>
                <w:highlight w:val="none"/>
              </w:rPr>
            </w:pPr>
            <w:r>
              <w:rPr>
                <w:rFonts w:eastAsia="宋体"/>
                <w:color w:val="auto"/>
                <w:kern w:val="0"/>
                <w:szCs w:val="21"/>
                <w:highlight w:val="none"/>
              </w:rPr>
              <w:t>2</w:t>
            </w:r>
            <w:r>
              <w:rPr>
                <w:rFonts w:hint="eastAsia" w:eastAsia="宋体"/>
                <w:color w:val="auto"/>
                <w:kern w:val="0"/>
                <w:szCs w:val="21"/>
                <w:highlight w:val="none"/>
              </w:rPr>
              <w:t>、规范病死畜禽无害化处理。集中无害化处理体系健全的地区，在做好动物疫病防控的前提下，原则上养殖场户的病死畜禽应委托专业无害化处理场进行集中处理。暂时不具备集中处理条件的地区自行处理的，要配备与养殖规模相适应的无害化处理设施设备，严格按照相关技术规范进行处理，逐步减少深埋、化尸窖、堆肥等处理方式，确保有效杀灭病原体，清洁安全，不污染环境。</w:t>
            </w:r>
          </w:p>
          <w:p w14:paraId="65D17741">
            <w:pPr>
              <w:widowControl/>
              <w:spacing w:line="240" w:lineRule="auto"/>
              <w:ind w:left="0" w:leftChars="0" w:right="0" w:rightChars="0"/>
              <w:jc w:val="left"/>
              <w:rPr>
                <w:rFonts w:eastAsia="宋体"/>
                <w:color w:val="auto"/>
                <w:kern w:val="0"/>
                <w:szCs w:val="21"/>
                <w:highlight w:val="none"/>
              </w:rPr>
            </w:pPr>
            <w:r>
              <w:rPr>
                <w:rFonts w:eastAsia="宋体"/>
                <w:color w:val="auto"/>
                <w:kern w:val="0"/>
                <w:szCs w:val="21"/>
                <w:highlight w:val="none"/>
              </w:rPr>
              <w:t>3、禁止侵占永久基本农田的生产经营活动。</w:t>
            </w:r>
          </w:p>
          <w:p w14:paraId="09B76EF2">
            <w:pPr>
              <w:widowControl/>
              <w:spacing w:line="240" w:lineRule="auto"/>
              <w:ind w:left="0" w:leftChars="0" w:right="0" w:rightChars="0"/>
              <w:rPr>
                <w:rFonts w:hint="default" w:ascii="Times New Roman" w:hAnsi="Times New Roman" w:eastAsia="宋体" w:cs="Times New Roman"/>
                <w:color w:val="auto"/>
                <w:highlight w:val="none"/>
              </w:rPr>
            </w:pPr>
            <w:r>
              <w:rPr>
                <w:rFonts w:eastAsia="宋体"/>
                <w:color w:val="auto"/>
                <w:kern w:val="0"/>
                <w:szCs w:val="21"/>
                <w:highlight w:val="none"/>
              </w:rPr>
              <w:t>4、新建、改建、扩建规模化畜禽养殖场（小区）要实施雨污分流、粪便污水资源化利用。</w:t>
            </w:r>
          </w:p>
        </w:tc>
        <w:tc>
          <w:tcPr>
            <w:tcW w:w="1265" w:type="pct"/>
            <w:noWrap w:val="0"/>
            <w:vAlign w:val="center"/>
          </w:tcPr>
          <w:p w14:paraId="633F85B0">
            <w:pPr>
              <w:widowControl/>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1、本项目不在工业园区内；</w:t>
            </w:r>
          </w:p>
          <w:p w14:paraId="15371628">
            <w:pPr>
              <w:pStyle w:val="6"/>
              <w:ind w:left="0" w:leftChars="0" w:firstLine="0" w:firstLineChars="0"/>
              <w:rPr>
                <w:rFonts w:hint="eastAsia" w:cs="Times New Roman"/>
                <w:b w:val="0"/>
                <w:bCs w:val="0"/>
                <w:color w:val="auto"/>
                <w:sz w:val="21"/>
                <w:szCs w:val="21"/>
                <w:highlight w:val="none"/>
                <w:lang w:val="en-US" w:eastAsia="zh-CN"/>
              </w:rPr>
            </w:pPr>
            <w:r>
              <w:rPr>
                <w:rFonts w:hint="eastAsia"/>
                <w:color w:val="auto"/>
                <w:highlight w:val="none"/>
                <w:lang w:val="en-US" w:eastAsia="zh-CN"/>
              </w:rPr>
              <w:t>2、</w:t>
            </w:r>
            <w:r>
              <w:rPr>
                <w:rFonts w:hint="eastAsia" w:cs="Times New Roman"/>
                <w:b w:val="0"/>
                <w:bCs/>
                <w:color w:val="auto"/>
                <w:sz w:val="21"/>
                <w:szCs w:val="21"/>
                <w:highlight w:val="none"/>
                <w:lang w:val="en-US" w:eastAsia="zh-CN"/>
              </w:rPr>
              <w:t>本次</w:t>
            </w:r>
            <w:r>
              <w:rPr>
                <w:rFonts w:hint="eastAsia" w:ascii="Times New Roman" w:hAnsi="Times New Roman" w:eastAsia="宋体" w:cs="Times New Roman"/>
                <w:b w:val="0"/>
                <w:bCs w:val="0"/>
                <w:color w:val="auto"/>
                <w:kern w:val="0"/>
                <w:sz w:val="21"/>
                <w:szCs w:val="21"/>
                <w:highlight w:val="none"/>
                <w:lang w:val="en-US" w:eastAsia="zh-CN" w:bidi="ar"/>
              </w:rPr>
              <w:t>新建</w:t>
            </w:r>
            <w:r>
              <w:rPr>
                <w:rFonts w:hint="default" w:ascii="Times New Roman" w:hAnsi="Times New Roman" w:eastAsia="宋体" w:cs="Times New Roman"/>
                <w:b w:val="0"/>
                <w:bCs w:val="0"/>
                <w:color w:val="auto"/>
                <w:kern w:val="0"/>
                <w:sz w:val="21"/>
                <w:szCs w:val="21"/>
                <w:highlight w:val="none"/>
                <w:lang w:val="en-US" w:eastAsia="zh-CN" w:bidi="ar"/>
              </w:rPr>
              <w:t>行业类别为</w:t>
            </w:r>
            <w:r>
              <w:rPr>
                <w:rFonts w:hint="eastAsia" w:cs="Times New Roman"/>
                <w:b w:val="0"/>
                <w:bCs w:val="0"/>
                <w:color w:val="auto"/>
                <w:kern w:val="0"/>
                <w:sz w:val="21"/>
                <w:szCs w:val="21"/>
                <w:highlight w:val="none"/>
                <w:lang w:val="en-US" w:eastAsia="zh-CN" w:bidi="ar"/>
              </w:rPr>
              <w:t>有机肥料及微生物肥料制造</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不涉及畜禽养殖；</w:t>
            </w:r>
          </w:p>
          <w:p w14:paraId="256FC729">
            <w:pPr>
              <w:pStyle w:val="6"/>
              <w:ind w:left="0" w:leftChars="0" w:firstLine="0" w:firstLineChars="0"/>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3、本项目新建厂区地址不属于永久基本农田，用地手续齐全；</w:t>
            </w:r>
          </w:p>
          <w:p w14:paraId="0613E1C4">
            <w:pPr>
              <w:pStyle w:val="6"/>
              <w:ind w:left="0" w:leftChars="0" w:firstLine="0" w:firstLineChars="0"/>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r>
              <w:rPr>
                <w:rFonts w:hint="eastAsia" w:cs="Times New Roman"/>
                <w:b w:val="0"/>
                <w:bCs/>
                <w:color w:val="auto"/>
                <w:sz w:val="21"/>
                <w:szCs w:val="21"/>
                <w:highlight w:val="none"/>
                <w:lang w:val="en-US" w:eastAsia="zh-CN"/>
              </w:rPr>
              <w:t>本次</w:t>
            </w:r>
            <w:r>
              <w:rPr>
                <w:rFonts w:hint="eastAsia" w:ascii="Times New Roman" w:hAnsi="Times New Roman" w:eastAsia="宋体" w:cs="Times New Roman"/>
                <w:b w:val="0"/>
                <w:bCs w:val="0"/>
                <w:color w:val="auto"/>
                <w:kern w:val="0"/>
                <w:sz w:val="21"/>
                <w:szCs w:val="21"/>
                <w:highlight w:val="none"/>
                <w:lang w:val="en-US" w:eastAsia="zh-CN" w:bidi="ar"/>
              </w:rPr>
              <w:t>新建</w:t>
            </w:r>
            <w:r>
              <w:rPr>
                <w:rFonts w:hint="default" w:ascii="Times New Roman" w:hAnsi="Times New Roman" w:eastAsia="宋体" w:cs="Times New Roman"/>
                <w:b w:val="0"/>
                <w:bCs w:val="0"/>
                <w:color w:val="auto"/>
                <w:kern w:val="0"/>
                <w:sz w:val="21"/>
                <w:szCs w:val="21"/>
                <w:highlight w:val="none"/>
                <w:lang w:val="en-US" w:eastAsia="zh-CN" w:bidi="ar"/>
              </w:rPr>
              <w:t>行业类别为</w:t>
            </w:r>
            <w:r>
              <w:rPr>
                <w:rFonts w:hint="eastAsia" w:cs="Times New Roman"/>
                <w:b w:val="0"/>
                <w:bCs w:val="0"/>
                <w:color w:val="auto"/>
                <w:kern w:val="0"/>
                <w:sz w:val="21"/>
                <w:szCs w:val="21"/>
                <w:highlight w:val="none"/>
                <w:lang w:val="en-US" w:eastAsia="zh-CN" w:bidi="ar"/>
              </w:rPr>
              <w:t>有机肥料及微生物肥料制造</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不涉及畜禽养殖。</w:t>
            </w:r>
          </w:p>
        </w:tc>
      </w:tr>
      <w:tr w14:paraId="63D9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376" w:type="pct"/>
            <w:vMerge w:val="continue"/>
            <w:noWrap w:val="0"/>
            <w:vAlign w:val="center"/>
          </w:tcPr>
          <w:p w14:paraId="3F5E125A">
            <w:pPr>
              <w:widowControl/>
              <w:ind w:firstLine="4" w:firstLineChars="2"/>
              <w:jc w:val="center"/>
              <w:rPr>
                <w:rFonts w:hint="default" w:ascii="Times New Roman" w:hAnsi="Times New Roman" w:eastAsia="宋体" w:cs="Times New Roman"/>
                <w:b/>
                <w:bCs/>
                <w:color w:val="auto"/>
                <w:kern w:val="0"/>
                <w:szCs w:val="21"/>
                <w:highlight w:val="none"/>
              </w:rPr>
            </w:pPr>
          </w:p>
        </w:tc>
        <w:tc>
          <w:tcPr>
            <w:tcW w:w="291" w:type="pct"/>
            <w:vMerge w:val="continue"/>
            <w:noWrap w:val="0"/>
            <w:vAlign w:val="center"/>
          </w:tcPr>
          <w:p w14:paraId="7AC32E1E">
            <w:pPr>
              <w:widowControl/>
              <w:ind w:firstLine="4" w:firstLineChars="2"/>
              <w:jc w:val="center"/>
              <w:rPr>
                <w:rFonts w:hint="default" w:ascii="Times New Roman" w:hAnsi="Times New Roman" w:eastAsia="宋体" w:cs="Times New Roman"/>
                <w:b/>
                <w:bCs/>
                <w:color w:val="auto"/>
                <w:kern w:val="0"/>
                <w:szCs w:val="21"/>
                <w:highlight w:val="none"/>
              </w:rPr>
            </w:pPr>
          </w:p>
        </w:tc>
        <w:tc>
          <w:tcPr>
            <w:tcW w:w="254" w:type="pct"/>
            <w:noWrap w:val="0"/>
            <w:vAlign w:val="center"/>
          </w:tcPr>
          <w:p w14:paraId="1065C467">
            <w:pPr>
              <w:widowControl/>
              <w:ind w:firstLine="4" w:firstLineChars="2"/>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资源利用效率要求</w:t>
            </w:r>
          </w:p>
        </w:tc>
        <w:tc>
          <w:tcPr>
            <w:tcW w:w="2812" w:type="pct"/>
            <w:noWrap w:val="0"/>
            <w:vAlign w:val="center"/>
          </w:tcPr>
          <w:p w14:paraId="3D3C108B">
            <w:pPr>
              <w:rPr>
                <w:rFonts w:hint="default" w:ascii="Times New Roman" w:hAnsi="Times New Roman" w:eastAsia="宋体" w:cs="Times New Roman"/>
                <w:color w:val="auto"/>
                <w:highlight w:val="none"/>
              </w:rPr>
            </w:pPr>
            <w:r>
              <w:rPr>
                <w:rFonts w:hint="eastAsia" w:eastAsia="宋体"/>
                <w:color w:val="auto"/>
                <w:kern w:val="0"/>
                <w:szCs w:val="21"/>
                <w:highlight w:val="none"/>
                <w:lang w:bidi="ar"/>
              </w:rPr>
              <w:t>新建、改建、扩建的工业项目，禁止擅自使用地下水；食品、制药等项目取用地下水，须经有管理权限的水行政主管部门批准。</w:t>
            </w:r>
          </w:p>
        </w:tc>
        <w:tc>
          <w:tcPr>
            <w:tcW w:w="1265" w:type="pct"/>
            <w:noWrap w:val="0"/>
            <w:vAlign w:val="center"/>
          </w:tcPr>
          <w:p w14:paraId="5E3EF13D">
            <w:pPr>
              <w:widowControl/>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本项目生产用水来源于外购罐装水，生活用水来源于外购的桶装水，不进行地下水开采活动。</w:t>
            </w:r>
          </w:p>
        </w:tc>
      </w:tr>
      <w:tr w14:paraId="212D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376" w:type="pct"/>
            <w:vMerge w:val="continue"/>
            <w:noWrap w:val="0"/>
            <w:vAlign w:val="center"/>
          </w:tcPr>
          <w:p w14:paraId="41EF8E06">
            <w:pPr>
              <w:widowControl/>
              <w:ind w:firstLine="4" w:firstLineChars="2"/>
              <w:jc w:val="center"/>
              <w:rPr>
                <w:rFonts w:hint="default" w:ascii="Times New Roman" w:hAnsi="Times New Roman" w:eastAsia="宋体" w:cs="Times New Roman"/>
                <w:b/>
                <w:bCs/>
                <w:color w:val="auto"/>
                <w:kern w:val="0"/>
                <w:szCs w:val="21"/>
                <w:highlight w:val="none"/>
              </w:rPr>
            </w:pPr>
          </w:p>
        </w:tc>
        <w:tc>
          <w:tcPr>
            <w:tcW w:w="291" w:type="pct"/>
            <w:vMerge w:val="continue"/>
            <w:noWrap w:val="0"/>
            <w:vAlign w:val="center"/>
          </w:tcPr>
          <w:p w14:paraId="5C76110C">
            <w:pPr>
              <w:widowControl/>
              <w:ind w:firstLine="4" w:firstLineChars="2"/>
              <w:jc w:val="center"/>
              <w:rPr>
                <w:rFonts w:hint="default" w:ascii="Times New Roman" w:hAnsi="Times New Roman" w:eastAsia="宋体" w:cs="Times New Roman"/>
                <w:b/>
                <w:bCs/>
                <w:color w:val="auto"/>
                <w:kern w:val="0"/>
                <w:szCs w:val="21"/>
                <w:highlight w:val="none"/>
              </w:rPr>
            </w:pPr>
          </w:p>
        </w:tc>
        <w:tc>
          <w:tcPr>
            <w:tcW w:w="254" w:type="pct"/>
            <w:noWrap w:val="0"/>
            <w:vAlign w:val="center"/>
          </w:tcPr>
          <w:p w14:paraId="7A41C50D">
            <w:pPr>
              <w:widowControl/>
              <w:ind w:firstLine="4" w:firstLineChars="2"/>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污染物</w:t>
            </w:r>
            <w:r>
              <w:rPr>
                <w:rFonts w:hint="eastAsia" w:cs="Times New Roman"/>
                <w:b/>
                <w:bCs/>
                <w:color w:val="auto"/>
                <w:kern w:val="0"/>
                <w:szCs w:val="21"/>
                <w:highlight w:val="none"/>
                <w:lang w:val="en-US" w:eastAsia="zh-CN"/>
              </w:rPr>
              <w:t>排</w:t>
            </w:r>
            <w:r>
              <w:rPr>
                <w:rFonts w:hint="default" w:ascii="Times New Roman" w:hAnsi="Times New Roman" w:eastAsia="宋体" w:cs="Times New Roman"/>
                <w:b/>
                <w:bCs/>
                <w:color w:val="auto"/>
                <w:kern w:val="0"/>
                <w:szCs w:val="21"/>
                <w:highlight w:val="none"/>
              </w:rPr>
              <w:cr/>
            </w:r>
            <w:r>
              <w:rPr>
                <w:rFonts w:hint="default" w:ascii="Times New Roman" w:hAnsi="Times New Roman" w:eastAsia="宋体" w:cs="Times New Roman"/>
                <w:b/>
                <w:bCs/>
                <w:color w:val="auto"/>
                <w:kern w:val="0"/>
                <w:szCs w:val="21"/>
                <w:highlight w:val="none"/>
              </w:rPr>
              <w:t>放管控</w:t>
            </w:r>
          </w:p>
        </w:tc>
        <w:tc>
          <w:tcPr>
            <w:tcW w:w="2812" w:type="pct"/>
            <w:noWrap w:val="0"/>
            <w:vAlign w:val="center"/>
          </w:tcPr>
          <w:p w14:paraId="6368B21E">
            <w:pPr>
              <w:widowControl/>
              <w:spacing w:line="240" w:lineRule="auto"/>
              <w:ind w:left="0" w:leftChars="0" w:right="0" w:rightChars="0"/>
              <w:jc w:val="left"/>
              <w:rPr>
                <w:rFonts w:eastAsia="宋体"/>
                <w:color w:val="auto"/>
                <w:szCs w:val="21"/>
                <w:highlight w:val="none"/>
              </w:rPr>
            </w:pPr>
            <w:r>
              <w:rPr>
                <w:rFonts w:eastAsia="宋体"/>
                <w:color w:val="auto"/>
                <w:szCs w:val="21"/>
                <w:highlight w:val="none"/>
              </w:rPr>
              <w:t>1、畜禽养殖业项目污染物排放应满足《畜禽养殖业污染物排放标准》（GB18596）。</w:t>
            </w:r>
          </w:p>
          <w:p w14:paraId="7991E3AF">
            <w:pPr>
              <w:widowControl/>
              <w:spacing w:line="240" w:lineRule="auto"/>
              <w:ind w:left="0" w:leftChars="0" w:right="0" w:rightChars="0"/>
              <w:jc w:val="left"/>
              <w:rPr>
                <w:rFonts w:eastAsia="宋体"/>
                <w:color w:val="auto"/>
                <w:szCs w:val="21"/>
                <w:highlight w:val="none"/>
              </w:rPr>
            </w:pPr>
            <w:r>
              <w:rPr>
                <w:rFonts w:eastAsia="宋体"/>
                <w:color w:val="auto"/>
                <w:szCs w:val="21"/>
                <w:highlight w:val="none"/>
              </w:rPr>
              <w:t>2、新建锅炉大气污染物排放要符合相关要求。</w:t>
            </w:r>
          </w:p>
          <w:p w14:paraId="6752FEA1">
            <w:pPr>
              <w:widowControl/>
              <w:spacing w:line="240" w:lineRule="auto"/>
              <w:ind w:left="0" w:leftChars="0" w:right="0" w:rightChars="0"/>
              <w:jc w:val="left"/>
              <w:rPr>
                <w:rFonts w:eastAsia="宋体"/>
                <w:color w:val="auto"/>
                <w:szCs w:val="21"/>
                <w:highlight w:val="none"/>
              </w:rPr>
            </w:pPr>
            <w:r>
              <w:rPr>
                <w:rFonts w:eastAsia="宋体"/>
                <w:color w:val="auto"/>
                <w:szCs w:val="21"/>
                <w:highlight w:val="none"/>
              </w:rPr>
              <w:t>3、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从事畜禽养殖和畜禽养殖废弃物处理活动，应当及时对畜禽粪便、畜禽尸体、污水等进行收集、贮存、清运，防止恶臭和畜禽养殖废弃物渗出、泄漏。</w:t>
            </w:r>
          </w:p>
          <w:p w14:paraId="5F471E2E">
            <w:pPr>
              <w:widowControl/>
              <w:spacing w:line="240" w:lineRule="auto"/>
              <w:ind w:left="0" w:leftChars="0" w:right="0" w:rightChars="0"/>
              <w:jc w:val="left"/>
              <w:rPr>
                <w:rFonts w:eastAsia="宋体"/>
                <w:color w:val="auto"/>
                <w:szCs w:val="21"/>
                <w:highlight w:val="none"/>
              </w:rPr>
            </w:pPr>
            <w:r>
              <w:rPr>
                <w:rFonts w:eastAsia="宋体"/>
                <w:color w:val="auto"/>
                <w:szCs w:val="21"/>
                <w:highlight w:val="none"/>
              </w:rPr>
              <w:t>4、严格落实农业农村部、生态环境部《畜禽养殖场（户）粪污处理设施建设技术指南》（农办牧〔2022〕19号）要求，畜禽养殖场（户）宜采用干清粪、水泡粪、地面垫料、床（网）下垫料等清粪工艺，逐步淘汰水冲粪工艺，合理控制清粪环节用水量；新建养殖场采用干清粪工艺的，鼓励进行机械干清粪；鼓励畜禽养殖场采用碗式或液位控制等防溢漏饮水器，减少饮水漏水；新建猪、鸡等养殖场宜采取圈舍封闭半封闭管理，鼓励有条件的现有畜禽养殖场开展圈舍封闭改造，对恶臭气体进行收集处理。</w:t>
            </w:r>
          </w:p>
          <w:p w14:paraId="246DCB19">
            <w:pPr>
              <w:tabs>
                <w:tab w:val="left" w:pos="312"/>
              </w:tabs>
              <w:rPr>
                <w:rFonts w:hint="default" w:ascii="Times New Roman" w:hAnsi="Times New Roman" w:eastAsia="宋体" w:cs="Times New Roman"/>
                <w:color w:val="auto"/>
                <w:highlight w:val="none"/>
              </w:rPr>
            </w:pPr>
            <w:r>
              <w:rPr>
                <w:rFonts w:eastAsia="宋体"/>
                <w:color w:val="auto"/>
                <w:szCs w:val="21"/>
                <w:highlight w:val="none"/>
              </w:rPr>
              <w:t>5、畜禽粪污的处理应根据排放去向或利用方式的不同执行相应的标准规范。对配套土地充足的养殖场户，粪污经无害化处理后还田利用具体要求及限量应符合《畜禽粪便无害化处理技术规范》（GB/T36195）和《畜禽粪便还田技术规范》（GB/T25246），配套土地面积应达到《畜禽粪污土地承载力测算技术指南》要求的最小面积。对配套土地不足的养殖场户，粪污经处理后向环境排放的，应符合《畜禽养殖业污染物排放标准》（GB18596）和地方有关排放标准。用于农田灌溉的，应符合《农田灌溉水质标准》（GB5084）。</w:t>
            </w:r>
          </w:p>
        </w:tc>
        <w:tc>
          <w:tcPr>
            <w:tcW w:w="1265" w:type="pct"/>
            <w:noWrap w:val="0"/>
            <w:vAlign w:val="center"/>
          </w:tcPr>
          <w:p w14:paraId="14807E2E">
            <w:pPr>
              <w:pStyle w:val="6"/>
              <w:ind w:left="0" w:leftChars="0" w:firstLine="0" w:firstLineChars="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b w:val="0"/>
                <w:bCs/>
                <w:color w:val="auto"/>
                <w:sz w:val="21"/>
                <w:szCs w:val="21"/>
                <w:highlight w:val="none"/>
                <w:lang w:val="en-US" w:eastAsia="zh-CN"/>
              </w:rPr>
              <w:t>本次</w:t>
            </w:r>
            <w:r>
              <w:rPr>
                <w:rFonts w:hint="default" w:ascii="Times New Roman" w:hAnsi="Times New Roman" w:eastAsia="宋体" w:cs="Times New Roman"/>
                <w:b w:val="0"/>
                <w:bCs w:val="0"/>
                <w:color w:val="auto"/>
                <w:kern w:val="0"/>
                <w:sz w:val="21"/>
                <w:szCs w:val="21"/>
                <w:highlight w:val="none"/>
                <w:lang w:val="en-US" w:eastAsia="zh-CN" w:bidi="ar"/>
              </w:rPr>
              <w:t>新建行业类别为</w:t>
            </w:r>
            <w:r>
              <w:rPr>
                <w:rFonts w:hint="default" w:ascii="Times New Roman" w:hAnsi="Times New Roman" w:cs="Times New Roman"/>
                <w:b w:val="0"/>
                <w:bCs w:val="0"/>
                <w:color w:val="auto"/>
                <w:kern w:val="0"/>
                <w:sz w:val="21"/>
                <w:szCs w:val="21"/>
                <w:highlight w:val="none"/>
                <w:lang w:val="en-US" w:eastAsia="zh-CN" w:bidi="ar"/>
              </w:rPr>
              <w:t>有机肥料及微生物肥料制造</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不涉及畜禽养殖；</w:t>
            </w:r>
          </w:p>
          <w:p w14:paraId="6505770E">
            <w:pPr>
              <w:widowControl/>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2、本项目无烘干工序不涉及新建锅炉；</w:t>
            </w:r>
          </w:p>
          <w:p w14:paraId="231781C4">
            <w:pPr>
              <w:pStyle w:val="6"/>
              <w:ind w:left="0" w:leftChars="0" w:firstLine="0" w:firstLineChars="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b w:val="0"/>
                <w:bCs/>
                <w:color w:val="auto"/>
                <w:sz w:val="21"/>
                <w:szCs w:val="21"/>
                <w:highlight w:val="none"/>
                <w:lang w:val="en-US" w:eastAsia="zh-CN"/>
              </w:rPr>
              <w:t>本次</w:t>
            </w:r>
            <w:r>
              <w:rPr>
                <w:rFonts w:hint="default" w:ascii="Times New Roman" w:hAnsi="Times New Roman" w:eastAsia="宋体" w:cs="Times New Roman"/>
                <w:b w:val="0"/>
                <w:bCs w:val="0"/>
                <w:color w:val="auto"/>
                <w:kern w:val="0"/>
                <w:sz w:val="21"/>
                <w:szCs w:val="21"/>
                <w:highlight w:val="none"/>
                <w:lang w:val="en-US" w:eastAsia="zh-CN" w:bidi="ar"/>
              </w:rPr>
              <w:t>新建行业类别为</w:t>
            </w:r>
            <w:r>
              <w:rPr>
                <w:rFonts w:hint="default" w:ascii="Times New Roman" w:hAnsi="Times New Roman" w:cs="Times New Roman"/>
                <w:b w:val="0"/>
                <w:bCs w:val="0"/>
                <w:color w:val="auto"/>
                <w:kern w:val="0"/>
                <w:sz w:val="21"/>
                <w:szCs w:val="21"/>
                <w:highlight w:val="none"/>
                <w:lang w:val="en-US" w:eastAsia="zh-CN" w:bidi="ar"/>
              </w:rPr>
              <w:t>有机肥料及微生物肥料制造</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不涉及畜禽养殖；</w:t>
            </w:r>
          </w:p>
          <w:p w14:paraId="72532C7F">
            <w:pPr>
              <w:pStyle w:val="6"/>
              <w:ind w:left="0" w:leftChars="0" w:firstLine="0" w:firstLineChars="0"/>
              <w:rPr>
                <w:rFonts w:hint="eastAsia" w:cs="Times New Roman"/>
                <w:b w:val="0"/>
                <w:bCs w:val="0"/>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r>
              <w:rPr>
                <w:rFonts w:hint="eastAsia" w:cs="Times New Roman"/>
                <w:b w:val="0"/>
                <w:bCs/>
                <w:color w:val="auto"/>
                <w:sz w:val="21"/>
                <w:szCs w:val="21"/>
                <w:highlight w:val="none"/>
                <w:lang w:val="en-US" w:eastAsia="zh-CN"/>
              </w:rPr>
              <w:t>本项目</w:t>
            </w:r>
            <w:r>
              <w:rPr>
                <w:rFonts w:hint="default" w:ascii="Times New Roman" w:hAnsi="Times New Roman" w:eastAsia="宋体" w:cs="Times New Roman"/>
                <w:b w:val="0"/>
                <w:bCs w:val="0"/>
                <w:color w:val="auto"/>
                <w:kern w:val="0"/>
                <w:sz w:val="21"/>
                <w:szCs w:val="21"/>
                <w:highlight w:val="none"/>
                <w:lang w:val="en-US" w:eastAsia="zh-CN" w:bidi="ar"/>
              </w:rPr>
              <w:t>行业类别为</w:t>
            </w:r>
            <w:r>
              <w:rPr>
                <w:rFonts w:hint="default" w:ascii="Times New Roman" w:hAnsi="Times New Roman" w:cs="Times New Roman"/>
                <w:b w:val="0"/>
                <w:bCs w:val="0"/>
                <w:color w:val="auto"/>
                <w:kern w:val="0"/>
                <w:sz w:val="21"/>
                <w:szCs w:val="21"/>
                <w:highlight w:val="none"/>
                <w:lang w:val="en-US" w:eastAsia="zh-CN" w:bidi="ar"/>
              </w:rPr>
              <w:t>有机肥料及微生物肥料制造</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不涉及畜禽养殖</w:t>
            </w:r>
            <w:r>
              <w:rPr>
                <w:rFonts w:hint="eastAsia" w:cs="Times New Roman"/>
                <w:b w:val="0"/>
                <w:bCs w:val="0"/>
                <w:color w:val="auto"/>
                <w:sz w:val="21"/>
                <w:szCs w:val="21"/>
                <w:highlight w:val="none"/>
                <w:lang w:val="en-US" w:eastAsia="zh-CN"/>
              </w:rPr>
              <w:t>；</w:t>
            </w:r>
          </w:p>
          <w:p w14:paraId="470EAF8D">
            <w:pPr>
              <w:pStyle w:val="6"/>
              <w:ind w:left="0" w:leftChars="0" w:firstLine="0" w:firstLineChars="0"/>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5、本</w:t>
            </w:r>
            <w:r>
              <w:rPr>
                <w:rFonts w:hint="eastAsia" w:cs="Times New Roman"/>
                <w:b w:val="0"/>
                <w:bCs/>
                <w:color w:val="auto"/>
                <w:sz w:val="21"/>
                <w:szCs w:val="21"/>
                <w:highlight w:val="none"/>
                <w:lang w:val="en-US" w:eastAsia="zh-CN"/>
              </w:rPr>
              <w:t>项目</w:t>
            </w:r>
            <w:r>
              <w:rPr>
                <w:rFonts w:hint="default" w:ascii="Times New Roman" w:hAnsi="Times New Roman" w:eastAsia="宋体" w:cs="Times New Roman"/>
                <w:b w:val="0"/>
                <w:bCs w:val="0"/>
                <w:color w:val="auto"/>
                <w:kern w:val="0"/>
                <w:sz w:val="21"/>
                <w:szCs w:val="21"/>
                <w:highlight w:val="none"/>
                <w:lang w:val="en-US" w:eastAsia="zh-CN" w:bidi="ar"/>
              </w:rPr>
              <w:t>行业类别为</w:t>
            </w:r>
            <w:r>
              <w:rPr>
                <w:rFonts w:hint="default" w:ascii="Times New Roman" w:hAnsi="Times New Roman" w:cs="Times New Roman"/>
                <w:b w:val="0"/>
                <w:bCs w:val="0"/>
                <w:color w:val="auto"/>
                <w:kern w:val="0"/>
                <w:sz w:val="21"/>
                <w:szCs w:val="21"/>
                <w:highlight w:val="none"/>
                <w:lang w:val="en-US" w:eastAsia="zh-CN" w:bidi="ar"/>
              </w:rPr>
              <w:t>有机肥料及微生物肥料制造</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不涉及畜禽养殖</w:t>
            </w:r>
            <w:r>
              <w:rPr>
                <w:rFonts w:hint="eastAsia" w:cs="Times New Roman"/>
                <w:b w:val="0"/>
                <w:bCs w:val="0"/>
                <w:color w:val="auto"/>
                <w:sz w:val="21"/>
                <w:szCs w:val="21"/>
                <w:highlight w:val="none"/>
                <w:lang w:val="en-US" w:eastAsia="zh-CN"/>
              </w:rPr>
              <w:t>。</w:t>
            </w:r>
          </w:p>
        </w:tc>
      </w:tr>
      <w:tr w14:paraId="1A8F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376" w:type="pct"/>
            <w:vMerge w:val="continue"/>
            <w:noWrap w:val="0"/>
            <w:vAlign w:val="center"/>
          </w:tcPr>
          <w:p w14:paraId="750B1BD0">
            <w:pPr>
              <w:widowControl/>
              <w:ind w:firstLine="4" w:firstLineChars="2"/>
              <w:jc w:val="center"/>
              <w:rPr>
                <w:rFonts w:hint="default" w:ascii="Times New Roman" w:hAnsi="Times New Roman" w:eastAsia="宋体" w:cs="Times New Roman"/>
                <w:color w:val="auto"/>
                <w:kern w:val="0"/>
                <w:szCs w:val="21"/>
                <w:highlight w:val="none"/>
              </w:rPr>
            </w:pPr>
          </w:p>
        </w:tc>
        <w:tc>
          <w:tcPr>
            <w:tcW w:w="291" w:type="pct"/>
            <w:vMerge w:val="continue"/>
            <w:noWrap w:val="0"/>
            <w:vAlign w:val="center"/>
          </w:tcPr>
          <w:p w14:paraId="04A71792">
            <w:pPr>
              <w:widowControl/>
              <w:ind w:firstLine="4" w:firstLineChars="2"/>
              <w:jc w:val="center"/>
              <w:rPr>
                <w:rFonts w:hint="default" w:ascii="Times New Roman" w:hAnsi="Times New Roman" w:eastAsia="宋体" w:cs="Times New Roman"/>
                <w:b/>
                <w:bCs/>
                <w:color w:val="auto"/>
                <w:kern w:val="0"/>
                <w:szCs w:val="21"/>
                <w:highlight w:val="none"/>
              </w:rPr>
            </w:pPr>
          </w:p>
        </w:tc>
        <w:tc>
          <w:tcPr>
            <w:tcW w:w="254" w:type="pct"/>
            <w:noWrap w:val="0"/>
            <w:vAlign w:val="center"/>
          </w:tcPr>
          <w:p w14:paraId="7EDC44B2">
            <w:pPr>
              <w:widowControl/>
              <w:ind w:firstLine="4" w:firstLineChars="2"/>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bCs/>
                <w:color w:val="auto"/>
                <w:kern w:val="0"/>
                <w:szCs w:val="21"/>
                <w:highlight w:val="none"/>
              </w:rPr>
              <w:t>环境风险防控</w:t>
            </w:r>
          </w:p>
        </w:tc>
        <w:tc>
          <w:tcPr>
            <w:tcW w:w="2812" w:type="pct"/>
            <w:noWrap w:val="0"/>
            <w:vAlign w:val="center"/>
          </w:tcPr>
          <w:p w14:paraId="63014687">
            <w:pPr>
              <w:widowControl/>
              <w:ind w:firstLine="4" w:firstLineChars="2"/>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加强园区及入园企业环境应急设施整合共享，形成园区应急物资联动资源库，建立有效的拦截、降污、导流、暂存等工程措施，防止泄漏物、消防废水等进入园区外环境。建立园区环境应急监测机制，强化园区风险防控。制定园区环境风险事故防范和应急预案并定期更新。</w:t>
            </w:r>
          </w:p>
          <w:p w14:paraId="42FB9CBB">
            <w:pPr>
              <w:widowControl/>
              <w:ind w:firstLine="4" w:firstLineChars="2"/>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2、依法严查向滩涂、坑塘、废弃矿井、渗坑渗井等非法排污的环境违法行为。</w:t>
            </w:r>
          </w:p>
          <w:p w14:paraId="6E733B5F">
            <w:pPr>
              <w:widowControl/>
              <w:ind w:firstLine="4" w:firstLineChars="2"/>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Cs w:val="21"/>
                <w:highlight w:val="none"/>
              </w:rPr>
              <w:t>3、应根据《中华人民共和国动物防疫法》及其配套法规的要求，结合当地实际情况，对规定疫病和有选择的疫病进行预防接种工作，并注意选择适宜的疫苗、免疫程序和免疫方法。</w:t>
            </w:r>
          </w:p>
        </w:tc>
        <w:tc>
          <w:tcPr>
            <w:tcW w:w="1265" w:type="pct"/>
            <w:noWrap w:val="0"/>
            <w:vAlign w:val="center"/>
          </w:tcPr>
          <w:p w14:paraId="6956E4EA">
            <w:pPr>
              <w:rPr>
                <w:rFonts w:hint="eastAsia" w:cs="Times New Roman"/>
                <w:color w:val="auto"/>
                <w:sz w:val="21"/>
                <w:szCs w:val="21"/>
                <w:highlight w:val="none"/>
                <w:lang w:eastAsia="zh-CN"/>
              </w:rPr>
            </w:pPr>
            <w:r>
              <w:rPr>
                <w:rFonts w:hint="eastAsia" w:cs="Times New Roman"/>
                <w:color w:val="auto"/>
                <w:highlight w:val="none"/>
                <w:lang w:val="en-US" w:eastAsia="zh-CN"/>
              </w:rPr>
              <w:t>1、本项目不在园区范围内，项目建成后将</w:t>
            </w:r>
            <w:r>
              <w:rPr>
                <w:rFonts w:hint="eastAsia" w:ascii="Times New Roman" w:hAnsi="Times New Roman" w:eastAsia="宋体" w:cs="Times New Roman"/>
                <w:color w:val="auto"/>
                <w:sz w:val="21"/>
                <w:szCs w:val="21"/>
                <w:highlight w:val="none"/>
                <w:lang w:val="en-US" w:eastAsia="zh-CN"/>
              </w:rPr>
              <w:t>严格按照要求</w:t>
            </w:r>
            <w:r>
              <w:rPr>
                <w:rFonts w:hint="default" w:ascii="Times New Roman" w:hAnsi="Times New Roman" w:eastAsia="宋体" w:cs="Times New Roman"/>
                <w:color w:val="auto"/>
                <w:sz w:val="21"/>
                <w:szCs w:val="21"/>
                <w:highlight w:val="none"/>
              </w:rPr>
              <w:t>制定突发环境事件应急预案并备案</w:t>
            </w:r>
            <w:r>
              <w:rPr>
                <w:rFonts w:hint="eastAsia" w:cs="Times New Roman"/>
                <w:color w:val="auto"/>
                <w:sz w:val="21"/>
                <w:szCs w:val="21"/>
                <w:highlight w:val="none"/>
                <w:lang w:eastAsia="zh-CN"/>
              </w:rPr>
              <w:t>；</w:t>
            </w:r>
          </w:p>
          <w:p w14:paraId="71F3AD7C">
            <w:pPr>
              <w:pStyle w:val="6"/>
              <w:ind w:left="0" w:leftChars="0" w:firstLine="0" w:firstLineChars="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2、本项目水洗塔中的水循环利用，</w:t>
            </w:r>
            <w:r>
              <w:rPr>
                <w:rFonts w:hint="eastAsia" w:ascii="Times New Roman" w:hAnsi="Times New Roman" w:eastAsia="宋体" w:cs="Times New Roman"/>
                <w:color w:val="auto"/>
                <w:sz w:val="21"/>
                <w:szCs w:val="21"/>
                <w:highlight w:val="none"/>
                <w:lang w:val="en-US" w:eastAsia="zh-CN"/>
              </w:rPr>
              <w:t>水洗塔内排水，定期回用于稀释菌种</w:t>
            </w:r>
            <w:r>
              <w:rPr>
                <w:rFonts w:hint="eastAsia" w:cs="Times New Roman"/>
                <w:color w:val="auto"/>
                <w:sz w:val="21"/>
                <w:szCs w:val="21"/>
                <w:highlight w:val="none"/>
                <w:lang w:val="en-US" w:eastAsia="zh-CN"/>
              </w:rPr>
              <w:t>，不能消纳部分排至化粪池；玻璃钢化粪池内生活污水委托环卫部门定期清运处理，不会向滩涂、坑塘、废弃矿井、渗坑渗井等非法排污；</w:t>
            </w:r>
          </w:p>
          <w:p w14:paraId="0ABC598D">
            <w:pPr>
              <w:pStyle w:val="6"/>
              <w:ind w:left="0" w:leftChars="0"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eastAsia" w:cs="Times New Roman"/>
                <w:b w:val="0"/>
                <w:bCs w:val="0"/>
                <w:color w:val="auto"/>
                <w:sz w:val="21"/>
                <w:szCs w:val="21"/>
                <w:highlight w:val="none"/>
                <w:lang w:val="en-US" w:eastAsia="zh-CN"/>
              </w:rPr>
              <w:t>本</w:t>
            </w:r>
            <w:r>
              <w:rPr>
                <w:rFonts w:hint="eastAsia" w:cs="Times New Roman"/>
                <w:b w:val="0"/>
                <w:bCs/>
                <w:color w:val="auto"/>
                <w:sz w:val="21"/>
                <w:szCs w:val="21"/>
                <w:highlight w:val="none"/>
                <w:lang w:val="en-US" w:eastAsia="zh-CN"/>
              </w:rPr>
              <w:t>项目</w:t>
            </w:r>
            <w:r>
              <w:rPr>
                <w:rFonts w:hint="default" w:ascii="Times New Roman" w:hAnsi="Times New Roman" w:eastAsia="宋体" w:cs="Times New Roman"/>
                <w:b w:val="0"/>
                <w:bCs w:val="0"/>
                <w:color w:val="auto"/>
                <w:kern w:val="0"/>
                <w:sz w:val="21"/>
                <w:szCs w:val="21"/>
                <w:highlight w:val="none"/>
                <w:lang w:val="en-US" w:eastAsia="zh-CN" w:bidi="ar"/>
              </w:rPr>
              <w:t>行业类别为</w:t>
            </w:r>
            <w:r>
              <w:rPr>
                <w:rFonts w:hint="default" w:ascii="Times New Roman" w:hAnsi="Times New Roman" w:cs="Times New Roman"/>
                <w:b w:val="0"/>
                <w:bCs w:val="0"/>
                <w:color w:val="auto"/>
                <w:kern w:val="0"/>
                <w:sz w:val="21"/>
                <w:szCs w:val="21"/>
                <w:highlight w:val="none"/>
                <w:lang w:val="en-US" w:eastAsia="zh-CN" w:bidi="ar"/>
              </w:rPr>
              <w:t>有机肥料及微生物肥料制造</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不涉及畜禽养殖</w:t>
            </w:r>
            <w:r>
              <w:rPr>
                <w:rFonts w:hint="eastAsia" w:cs="Times New Roman"/>
                <w:b w:val="0"/>
                <w:bCs w:val="0"/>
                <w:color w:val="auto"/>
                <w:sz w:val="21"/>
                <w:szCs w:val="21"/>
                <w:highlight w:val="none"/>
                <w:lang w:val="en-US" w:eastAsia="zh-CN"/>
              </w:rPr>
              <w:t>。</w:t>
            </w:r>
          </w:p>
        </w:tc>
      </w:tr>
      <w:bookmarkEnd w:id="2"/>
    </w:tbl>
    <w:p w14:paraId="28D921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cs="Times New Roman"/>
          <w:color w:val="auto"/>
          <w:sz w:val="24"/>
          <w:szCs w:val="24"/>
          <w:highlight w:val="none"/>
        </w:rPr>
        <w:sectPr>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sz w:val="24"/>
          <w:szCs w:val="24"/>
          <w:highlight w:val="none"/>
        </w:rPr>
        <w:t>综上所述，本项目符合生态环境分区管控中的相关规定及要求。</w:t>
      </w:r>
    </w:p>
    <w:p w14:paraId="6212149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outlineLvl w:val="0"/>
        <w:rPr>
          <w:rFonts w:hint="default" w:ascii="Times New Roman" w:hAnsi="Times New Roman" w:cs="Times New Roman"/>
          <w:snapToGrid w:val="0"/>
          <w:color w:val="auto"/>
          <w:sz w:val="30"/>
          <w:szCs w:val="30"/>
          <w:highlight w:val="none"/>
        </w:rPr>
      </w:pPr>
      <w:r>
        <w:rPr>
          <w:rFonts w:hint="default" w:ascii="Times New Roman" w:hAnsi="Times New Roman" w:cs="Times New Roman"/>
          <w:snapToGrid w:val="0"/>
          <w:color w:val="auto"/>
          <w:sz w:val="30"/>
          <w:szCs w:val="30"/>
          <w:highlight w:val="none"/>
        </w:rPr>
        <w:t>二、建设项目工程分析</w:t>
      </w:r>
    </w:p>
    <w:tbl>
      <w:tblPr>
        <w:tblStyle w:val="32"/>
        <w:tblW w:w="497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8"/>
        <w:gridCol w:w="8802"/>
      </w:tblGrid>
      <w:tr w14:paraId="74B23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236" w:type="pct"/>
            <w:noWrap w:val="0"/>
            <w:vAlign w:val="center"/>
          </w:tcPr>
          <w:p w14:paraId="67BCEAA1">
            <w:pPr>
              <w:pStyle w:val="29"/>
              <w:adjustRightInd w:val="0"/>
              <w:snapToGrid w:val="0"/>
              <w:spacing w:before="0" w:beforeAutospacing="0" w:after="0" w:afterAutospacing="0"/>
              <w:jc w:val="center"/>
              <w:rPr>
                <w:rFonts w:hint="eastAsia" w:ascii="Times New Roman" w:hAnsi="Times New Roman" w:eastAsia="宋体" w:cs="Times New Roman"/>
                <w:b/>
                <w:bCs/>
                <w:color w:val="auto"/>
                <w:kern w:val="2"/>
                <w:szCs w:val="24"/>
                <w:highlight w:val="none"/>
                <w:lang w:eastAsia="zh-CN"/>
              </w:rPr>
            </w:pPr>
            <w:r>
              <w:rPr>
                <w:rFonts w:hint="eastAsia" w:ascii="Times New Roman" w:hAnsi="Times New Roman" w:cs="Times New Roman"/>
                <w:b/>
                <w:bCs/>
                <w:color w:val="auto"/>
                <w:kern w:val="2"/>
                <w:szCs w:val="24"/>
                <w:highlight w:val="none"/>
                <w:lang w:val="en-US" w:eastAsia="zh-CN"/>
              </w:rPr>
              <w:t>建设内容</w:t>
            </w:r>
          </w:p>
          <w:p w14:paraId="0DE04399">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1CE5C4E6">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1832567E">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127C1EB8">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56E757E6">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39AE05FE">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016A8547">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46B8C2C9">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344117BF">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3C0A3149">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0C5D9B2D">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3F5C225F">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6796E02D">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47F290BC">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7AED7561">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40DF9D40">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10FC78CD">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6FD3F95C">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2A900215">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696C58B7">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234EA142">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1C5FFC83">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57462024">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1F83E379">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705EBFCE">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47B41D67">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68D1C321">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60317FCF">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6ABE41DB">
            <w:pPr>
              <w:pStyle w:val="29"/>
              <w:adjustRightInd w:val="0"/>
              <w:snapToGrid w:val="0"/>
              <w:spacing w:before="0" w:beforeAutospacing="0" w:after="0" w:afterAutospacing="0"/>
              <w:jc w:val="center"/>
              <w:rPr>
                <w:rFonts w:hint="default" w:ascii="Times New Roman" w:hAnsi="Times New Roman" w:cs="Times New Roman"/>
                <w:b/>
                <w:bCs/>
                <w:color w:val="auto"/>
                <w:kern w:val="2"/>
                <w:szCs w:val="24"/>
                <w:highlight w:val="none"/>
              </w:rPr>
            </w:pPr>
          </w:p>
          <w:p w14:paraId="253CF3C4">
            <w:pPr>
              <w:pStyle w:val="31"/>
              <w:spacing w:line="240" w:lineRule="exact"/>
              <w:ind w:firstLine="480"/>
              <w:jc w:val="center"/>
              <w:rPr>
                <w:rFonts w:hint="default" w:ascii="Times New Roman" w:hAnsi="Times New Roman" w:cs="Times New Roman"/>
                <w:b/>
                <w:bCs/>
                <w:color w:val="auto"/>
                <w:highlight w:val="none"/>
              </w:rPr>
            </w:pPr>
          </w:p>
        </w:tc>
        <w:tc>
          <w:tcPr>
            <w:tcW w:w="4763" w:type="pct"/>
            <w:noWrap w:val="0"/>
            <w:vAlign w:val="top"/>
          </w:tcPr>
          <w:p w14:paraId="6A639B1E">
            <w:pPr>
              <w:pStyle w:val="107"/>
              <w:ind w:firstLine="480"/>
              <w:rPr>
                <w:rFonts w:hint="default" w:ascii="Times New Roman" w:hAnsi="Times New Roman" w:cs="Times New Roman"/>
                <w:color w:val="auto"/>
                <w:highlight w:val="none"/>
              </w:rPr>
            </w:pPr>
            <w:r>
              <w:rPr>
                <w:rFonts w:hint="eastAsia" w:cs="Times New Roman"/>
                <w:color w:val="auto"/>
                <w:highlight w:val="none"/>
                <w:lang w:eastAsia="zh-CN"/>
              </w:rPr>
              <w:t>内蒙古田功夫生物科技有限公司</w:t>
            </w:r>
            <w:r>
              <w:rPr>
                <w:rFonts w:hint="default" w:ascii="Times New Roman" w:hAnsi="Times New Roman" w:cs="Times New Roman"/>
                <w:color w:val="auto"/>
                <w:highlight w:val="none"/>
              </w:rPr>
              <w:t>于</w:t>
            </w:r>
            <w:r>
              <w:rPr>
                <w:rFonts w:hint="eastAsia" w:cs="Times New Roman"/>
                <w:color w:val="auto"/>
                <w:kern w:val="0"/>
                <w:highlight w:val="none"/>
                <w:lang w:eastAsia="zh-CN" w:bidi="ar"/>
              </w:rPr>
              <w:t>巴彦淖尔市磴口县沙金套海苏木巴音温都尔嘎查</w:t>
            </w:r>
            <w:r>
              <w:rPr>
                <w:rFonts w:hint="default" w:ascii="Times New Roman" w:hAnsi="Times New Roman" w:cs="Times New Roman"/>
                <w:color w:val="auto"/>
                <w:kern w:val="0"/>
                <w:szCs w:val="22"/>
                <w:highlight w:val="none"/>
              </w:rPr>
              <w:t>建设《</w:t>
            </w:r>
            <w:r>
              <w:rPr>
                <w:rFonts w:hint="eastAsia" w:cs="Times New Roman"/>
                <w:color w:val="auto"/>
                <w:highlight w:val="none"/>
                <w:lang w:eastAsia="zh-CN"/>
              </w:rPr>
              <w:t>内蒙古田功夫生物科技有限公司有机肥秸秆与畜禽粪污资源化利用项目</w:t>
            </w:r>
            <w:r>
              <w:rPr>
                <w:rFonts w:hint="default" w:ascii="Times New Roman" w:hAnsi="Times New Roman" w:cs="Times New Roman"/>
                <w:color w:val="auto"/>
                <w:kern w:val="0"/>
                <w:szCs w:val="22"/>
                <w:highlight w:val="none"/>
              </w:rPr>
              <w:t>》</w:t>
            </w:r>
            <w:r>
              <w:rPr>
                <w:rFonts w:hint="default" w:ascii="Times New Roman" w:hAnsi="Times New Roman" w:cs="Times New Roman"/>
                <w:color w:val="auto"/>
                <w:highlight w:val="none"/>
              </w:rPr>
              <w:t>，项目</w:t>
            </w:r>
            <w:r>
              <w:rPr>
                <w:rFonts w:hint="eastAsia" w:cs="Times New Roman"/>
                <w:color w:val="auto"/>
                <w:highlight w:val="none"/>
                <w:lang w:val="en-US" w:eastAsia="zh-CN"/>
              </w:rPr>
              <w:t>两期</w:t>
            </w:r>
            <w:r>
              <w:rPr>
                <w:rFonts w:hint="default" w:ascii="Times New Roman" w:hAnsi="Times New Roman" w:cs="Times New Roman"/>
                <w:color w:val="auto"/>
                <w:highlight w:val="none"/>
              </w:rPr>
              <w:t>建成后每年资源化</w:t>
            </w:r>
            <w:r>
              <w:rPr>
                <w:rFonts w:hint="eastAsia" w:cs="Times New Roman"/>
                <w:color w:val="auto"/>
                <w:highlight w:val="none"/>
                <w:lang w:val="en-US" w:eastAsia="zh-CN"/>
              </w:rPr>
              <w:t>利用65万吨畜禽动物粪便、25万吨农作物秸秆，生产30万吨有机肥；一期工程基础有机肥的生产利用56.576万吨畜禽动物粪便、21.724万吨农作物秸秆，年产26万吨基础有机肥；二期工程高端有机肥的生产利用8.424万吨畜禽动物粪便、3.276万吨农作物秸秆，年产4万吨高端有机肥</w:t>
            </w:r>
            <w:r>
              <w:rPr>
                <w:rFonts w:hint="default" w:ascii="Times New Roman" w:hAnsi="Times New Roman" w:cs="Times New Roman"/>
                <w:color w:val="auto"/>
                <w:highlight w:val="none"/>
              </w:rPr>
              <w:t>。</w:t>
            </w:r>
          </w:p>
          <w:p w14:paraId="122A1528">
            <w:pPr>
              <w:pStyle w:val="10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根据《中华人民共和国环境影响评价法》</w:t>
            </w:r>
            <w:r>
              <w:rPr>
                <w:rFonts w:hint="eastAsia" w:cs="Times New Roman"/>
                <w:color w:val="auto"/>
                <w:highlight w:val="none"/>
                <w:lang w:eastAsia="zh-CN"/>
              </w:rPr>
              <w:t>（</w:t>
            </w:r>
            <w:r>
              <w:rPr>
                <w:rFonts w:hint="default" w:ascii="Times New Roman" w:hAnsi="Times New Roman" w:cs="Times New Roman"/>
                <w:color w:val="auto"/>
                <w:highlight w:val="none"/>
              </w:rPr>
              <w:t>中华人民共和国主席令第48号</w:t>
            </w:r>
            <w:r>
              <w:rPr>
                <w:rFonts w:hint="eastAsia" w:cs="Times New Roman"/>
                <w:color w:val="auto"/>
                <w:highlight w:val="none"/>
                <w:lang w:eastAsia="zh-CN"/>
              </w:rPr>
              <w:t>）</w:t>
            </w:r>
            <w:r>
              <w:rPr>
                <w:rFonts w:hint="default" w:ascii="Times New Roman" w:hAnsi="Times New Roman" w:cs="Times New Roman"/>
                <w:color w:val="auto"/>
                <w:highlight w:val="none"/>
              </w:rPr>
              <w:t>和中华人民共和国国务院令第682号关于《建设项目环境保护管理条例》的有关规定，该项目需进行环境影响评价，根据《建设项目环境影响评价分类管理名录》（生态环境部令第1号，2021年1月1日起施行）部分内容要求，本项目属于</w:t>
            </w:r>
            <w:r>
              <w:rPr>
                <w:rFonts w:hint="eastAsia" w:cs="Times New Roman"/>
                <w:color w:val="auto"/>
                <w:highlight w:val="none"/>
                <w:lang w:eastAsia="zh-CN"/>
              </w:rPr>
              <w:t>“</w:t>
            </w:r>
            <w:r>
              <w:rPr>
                <w:rFonts w:hint="default" w:ascii="Times New Roman" w:hAnsi="Times New Roman" w:cs="Times New Roman"/>
                <w:color w:val="auto"/>
                <w:highlight w:val="none"/>
              </w:rPr>
              <w:t>二十三、化学原料和化学制品制造业26--45肥料制造262--其他</w:t>
            </w:r>
            <w:r>
              <w:rPr>
                <w:rFonts w:hint="eastAsia" w:cs="Times New Roman"/>
                <w:color w:val="auto"/>
                <w:highlight w:val="none"/>
                <w:lang w:eastAsia="zh-CN"/>
              </w:rPr>
              <w:t>”</w:t>
            </w:r>
            <w:r>
              <w:rPr>
                <w:rFonts w:hint="default" w:ascii="Times New Roman" w:hAnsi="Times New Roman" w:cs="Times New Roman"/>
                <w:color w:val="auto"/>
                <w:highlight w:val="none"/>
              </w:rPr>
              <w:t>，应当编制环境影响报告表。受</w:t>
            </w:r>
            <w:r>
              <w:rPr>
                <w:rFonts w:hint="eastAsia" w:cs="Times New Roman"/>
                <w:color w:val="auto"/>
                <w:highlight w:val="none"/>
                <w:lang w:eastAsia="zh-CN"/>
              </w:rPr>
              <w:t>内蒙古田功夫生物科技有限公司</w:t>
            </w:r>
            <w:r>
              <w:rPr>
                <w:rFonts w:hint="default" w:ascii="Times New Roman" w:hAnsi="Times New Roman" w:cs="Times New Roman"/>
                <w:color w:val="auto"/>
                <w:highlight w:val="none"/>
              </w:rPr>
              <w:t>的委托，</w:t>
            </w:r>
            <w:r>
              <w:rPr>
                <w:rFonts w:hint="default" w:ascii="Times New Roman" w:hAnsi="Times New Roman" w:cs="Times New Roman"/>
                <w:color w:val="auto"/>
                <w:highlight w:val="none"/>
                <w:lang w:eastAsia="zh-CN"/>
              </w:rPr>
              <w:t>巴彦淖尔市嘉境环保有限公司</w:t>
            </w:r>
            <w:r>
              <w:rPr>
                <w:rFonts w:hint="default" w:ascii="Times New Roman" w:hAnsi="Times New Roman" w:cs="Times New Roman"/>
                <w:color w:val="auto"/>
                <w:highlight w:val="none"/>
              </w:rPr>
              <w:t>承担了该项目的环境影响评价工作。接受委托</w:t>
            </w:r>
            <w:r>
              <w:rPr>
                <w:rFonts w:hint="eastAsia" w:cs="Times New Roman"/>
                <w:color w:val="auto"/>
                <w:highlight w:val="none"/>
                <w:lang w:eastAsia="zh-CN"/>
              </w:rPr>
              <w:t>内蒙古田功夫生物科技有限公司</w:t>
            </w:r>
            <w:r>
              <w:rPr>
                <w:rFonts w:hint="default" w:ascii="Times New Roman" w:hAnsi="Times New Roman" w:cs="Times New Roman"/>
                <w:color w:val="auto"/>
                <w:highlight w:val="none"/>
              </w:rPr>
              <w:t>后，</w:t>
            </w:r>
            <w:r>
              <w:rPr>
                <w:rFonts w:hint="eastAsia" w:cs="Times New Roman"/>
                <w:color w:val="auto"/>
                <w:highlight w:val="none"/>
                <w:lang w:val="en-US" w:eastAsia="zh-CN"/>
              </w:rPr>
              <w:t>巴彦淖尔市嘉境环保有限公司</w:t>
            </w:r>
            <w:r>
              <w:rPr>
                <w:rFonts w:hint="default" w:ascii="Times New Roman" w:hAnsi="Times New Roman" w:cs="Times New Roman"/>
                <w:color w:val="auto"/>
                <w:highlight w:val="none"/>
              </w:rPr>
              <w:t>根据《中华人民共和国环境影响评价法》、《建设项目环境保护管理条例》、《环境影响评价技术导则》等有关环保法律、法规的要求，结合该工程的性质、特点以及该区域环境功能特征，通过实地调查、现场踏勘、资料收集及必要的监测，并依据有关资料和在同类工程分析、类比的基础上，按照环评导则要求，编制完成该项目的环境影响报告表。</w:t>
            </w:r>
          </w:p>
          <w:p w14:paraId="34700D75">
            <w:pPr>
              <w:spacing w:line="360" w:lineRule="auto"/>
              <w:rPr>
                <w:rFonts w:hint="default" w:ascii="Times New Roman" w:hAnsi="Times New Roman" w:cs="Times New Roman"/>
                <w:b/>
                <w:bCs/>
                <w:color w:val="auto"/>
                <w:sz w:val="24"/>
                <w:szCs w:val="21"/>
                <w:highlight w:val="none"/>
              </w:rPr>
            </w:pPr>
            <w:r>
              <w:rPr>
                <w:rFonts w:hint="default" w:ascii="Times New Roman" w:hAnsi="Times New Roman" w:cs="Times New Roman"/>
                <w:b/>
                <w:bCs/>
                <w:color w:val="auto"/>
                <w:sz w:val="24"/>
                <w:szCs w:val="21"/>
                <w:highlight w:val="none"/>
              </w:rPr>
              <w:t>1、项目基本情况</w:t>
            </w:r>
          </w:p>
          <w:p w14:paraId="3DCD124E">
            <w:pPr>
              <w:spacing w:line="360" w:lineRule="auto"/>
              <w:ind w:firstLine="48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项目名称：</w:t>
            </w:r>
            <w:r>
              <w:rPr>
                <w:rFonts w:hint="eastAsia" w:cs="Times New Roman"/>
                <w:color w:val="auto"/>
                <w:sz w:val="24"/>
                <w:szCs w:val="21"/>
                <w:highlight w:val="none"/>
                <w:lang w:eastAsia="zh-CN"/>
              </w:rPr>
              <w:t>内蒙古田功夫生物科技有限公司有机肥秸秆与畜禽粪污资源化利用项目</w:t>
            </w:r>
            <w:r>
              <w:rPr>
                <w:rFonts w:hint="default" w:ascii="Times New Roman" w:hAnsi="Times New Roman" w:cs="Times New Roman"/>
                <w:color w:val="auto"/>
                <w:sz w:val="24"/>
                <w:szCs w:val="21"/>
                <w:highlight w:val="none"/>
              </w:rPr>
              <w:t>；</w:t>
            </w:r>
          </w:p>
          <w:p w14:paraId="0426C67C">
            <w:pPr>
              <w:spacing w:line="360" w:lineRule="auto"/>
              <w:ind w:firstLine="48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建设性质：新建；</w:t>
            </w:r>
          </w:p>
          <w:p w14:paraId="5C2A94D0">
            <w:pPr>
              <w:pStyle w:val="107"/>
              <w:ind w:firstLine="48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地理位置：本项目位于</w:t>
            </w:r>
            <w:r>
              <w:rPr>
                <w:rFonts w:hint="default" w:ascii="Times New Roman" w:hAnsi="Times New Roman" w:cs="Times New Roman"/>
                <w:color w:val="auto"/>
                <w:sz w:val="24"/>
                <w:szCs w:val="21"/>
                <w:highlight w:val="none"/>
                <w:shd w:val="clear" w:color="auto" w:fill="FFFFFF"/>
              </w:rPr>
              <w:t>内蒙古</w:t>
            </w:r>
            <w:r>
              <w:rPr>
                <w:rFonts w:hint="eastAsia" w:cs="Times New Roman"/>
                <w:color w:val="auto"/>
                <w:sz w:val="24"/>
                <w:szCs w:val="21"/>
                <w:highlight w:val="none"/>
                <w:shd w:val="clear" w:color="auto" w:fill="FFFFFF"/>
                <w:lang w:eastAsia="zh-CN"/>
              </w:rPr>
              <w:t>巴彦淖尔市磴口县沙金套海苏木巴音温都尔嘎查</w:t>
            </w:r>
            <w:r>
              <w:rPr>
                <w:rFonts w:hint="eastAsia" w:cs="Times New Roman"/>
                <w:color w:val="auto"/>
                <w:sz w:val="24"/>
                <w:szCs w:val="21"/>
                <w:highlight w:val="none"/>
                <w:lang w:val="en-US" w:eastAsia="zh-CN"/>
              </w:rPr>
              <w:t>。中心</w:t>
            </w:r>
            <w:r>
              <w:rPr>
                <w:rFonts w:hint="default" w:ascii="Times New Roman" w:hAnsi="Times New Roman" w:cs="Times New Roman"/>
                <w:color w:val="auto"/>
                <w:sz w:val="24"/>
                <w:szCs w:val="21"/>
                <w:highlight w:val="none"/>
              </w:rPr>
              <w:t>地理坐标为</w:t>
            </w:r>
            <w:r>
              <w:rPr>
                <w:rFonts w:hint="default" w:ascii="Times New Roman" w:hAnsi="Times New Roman" w:cs="Times New Roman"/>
                <w:color w:val="auto"/>
                <w:sz w:val="24"/>
                <w:highlight w:val="none"/>
              </w:rPr>
              <w:t>E</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106°42'50.4907"，N</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40°30'03.3585"</w:t>
            </w:r>
            <w:r>
              <w:rPr>
                <w:rFonts w:hint="eastAsia" w:cs="Times New Roman"/>
                <w:color w:val="auto"/>
                <w:sz w:val="24"/>
                <w:highlight w:val="none"/>
                <w:lang w:eastAsia="zh-CN"/>
              </w:rPr>
              <w:t>，</w:t>
            </w:r>
            <w:r>
              <w:rPr>
                <w:rFonts w:hint="default" w:ascii="Times New Roman" w:hAnsi="Times New Roman" w:cs="Times New Roman"/>
                <w:color w:val="auto"/>
                <w:highlight w:val="none"/>
              </w:rPr>
              <w:t>本项目东</w:t>
            </w:r>
            <w:r>
              <w:rPr>
                <w:rFonts w:hint="eastAsia" w:cs="Times New Roman"/>
                <w:color w:val="auto"/>
                <w:highlight w:val="none"/>
                <w:lang w:val="en-US" w:eastAsia="zh-CN"/>
              </w:rPr>
              <w:t>侧为道路</w:t>
            </w:r>
            <w:r>
              <w:rPr>
                <w:rFonts w:hint="eastAsia" w:cs="Times New Roman"/>
                <w:color w:val="auto"/>
                <w:highlight w:val="none"/>
                <w:lang w:eastAsia="zh-CN"/>
              </w:rPr>
              <w:t>，</w:t>
            </w:r>
            <w:r>
              <w:rPr>
                <w:rFonts w:hint="eastAsia" w:cs="Times New Roman"/>
                <w:color w:val="auto"/>
                <w:highlight w:val="none"/>
                <w:lang w:val="en-US" w:eastAsia="zh-CN"/>
              </w:rPr>
              <w:t>西侧</w:t>
            </w:r>
            <w:r>
              <w:rPr>
                <w:rFonts w:hint="default" w:ascii="Times New Roman" w:hAnsi="Times New Roman" w:cs="Times New Roman"/>
                <w:color w:val="auto"/>
                <w:highlight w:val="none"/>
              </w:rPr>
              <w:t>、</w:t>
            </w:r>
            <w:r>
              <w:rPr>
                <w:rFonts w:hint="eastAsia" w:cs="Times New Roman"/>
                <w:color w:val="auto"/>
                <w:highlight w:val="none"/>
                <w:lang w:val="en-US" w:eastAsia="zh-CN"/>
              </w:rPr>
              <w:t>南侧空地约220亩，</w:t>
            </w:r>
            <w:r>
              <w:rPr>
                <w:rFonts w:hint="default" w:ascii="Times New Roman" w:hAnsi="Times New Roman" w:cs="Times New Roman"/>
                <w:color w:val="auto"/>
                <w:highlight w:val="none"/>
              </w:rPr>
              <w:t>北侧</w:t>
            </w:r>
            <w:r>
              <w:rPr>
                <w:rFonts w:hint="eastAsia" w:cs="Times New Roman"/>
                <w:color w:val="auto"/>
                <w:highlight w:val="none"/>
                <w:lang w:val="en-US" w:eastAsia="zh-CN"/>
              </w:rPr>
              <w:t>为现代牧业金沙牧场厂区</w:t>
            </w:r>
            <w:r>
              <w:rPr>
                <w:rFonts w:hint="default" w:ascii="Times New Roman" w:hAnsi="Times New Roman" w:cs="Times New Roman"/>
                <w:color w:val="auto"/>
                <w:sz w:val="24"/>
                <w:szCs w:val="21"/>
                <w:highlight w:val="none"/>
              </w:rPr>
              <w:t>。项目地理位置图见附图1、四邻</w:t>
            </w:r>
            <w:r>
              <w:rPr>
                <w:rFonts w:hint="eastAsia" w:cs="Times New Roman"/>
                <w:color w:val="auto"/>
                <w:sz w:val="24"/>
                <w:szCs w:val="21"/>
                <w:highlight w:val="none"/>
                <w:lang w:val="en-US" w:eastAsia="zh-CN"/>
              </w:rPr>
              <w:t>及</w:t>
            </w:r>
            <w:r>
              <w:rPr>
                <w:rFonts w:hint="default" w:ascii="Times New Roman" w:hAnsi="Times New Roman" w:cs="Times New Roman"/>
                <w:color w:val="auto"/>
                <w:sz w:val="24"/>
                <w:szCs w:val="21"/>
                <w:highlight w:val="none"/>
              </w:rPr>
              <w:t>现状见附图2；</w:t>
            </w:r>
          </w:p>
          <w:p w14:paraId="26C32D53">
            <w:pPr>
              <w:spacing w:line="360" w:lineRule="auto"/>
              <w:ind w:firstLine="48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项目投资：总投资</w:t>
            </w:r>
            <w:r>
              <w:rPr>
                <w:rFonts w:hint="eastAsia" w:cs="Times New Roman"/>
                <w:color w:val="auto"/>
                <w:sz w:val="24"/>
                <w:szCs w:val="21"/>
                <w:highlight w:val="none"/>
                <w:lang w:val="en-US" w:eastAsia="zh-CN"/>
              </w:rPr>
              <w:t>10500</w:t>
            </w:r>
            <w:r>
              <w:rPr>
                <w:rFonts w:hint="default" w:ascii="Times New Roman" w:hAnsi="Times New Roman" w:cs="Times New Roman"/>
                <w:color w:val="auto"/>
                <w:sz w:val="24"/>
                <w:szCs w:val="21"/>
                <w:highlight w:val="none"/>
              </w:rPr>
              <w:t>万元人民币。</w:t>
            </w:r>
          </w:p>
          <w:p w14:paraId="31F7237A">
            <w:pPr>
              <w:spacing w:line="360" w:lineRule="auto"/>
              <w:ind w:firstLine="480"/>
              <w:rPr>
                <w:rFonts w:hint="default" w:ascii="Times New Roman" w:hAnsi="Times New Roman" w:eastAsia="宋体" w:cs="Times New Roman"/>
                <w:color w:val="auto"/>
                <w:sz w:val="24"/>
                <w:szCs w:val="21"/>
                <w:highlight w:val="none"/>
                <w:lang w:val="en-US" w:eastAsia="zh-CN"/>
              </w:rPr>
            </w:pPr>
            <w:r>
              <w:rPr>
                <w:rFonts w:hint="default" w:ascii="Times New Roman" w:hAnsi="Times New Roman" w:cs="Times New Roman"/>
                <w:color w:val="auto"/>
                <w:sz w:val="24"/>
                <w:szCs w:val="21"/>
                <w:highlight w:val="none"/>
              </w:rPr>
              <w:t>占地面积：项目占地面积</w:t>
            </w:r>
            <w:r>
              <w:rPr>
                <w:rFonts w:hint="eastAsia" w:cs="Times New Roman"/>
                <w:color w:val="auto"/>
                <w:sz w:val="24"/>
                <w:szCs w:val="21"/>
                <w:highlight w:val="none"/>
                <w:lang w:val="en-US" w:eastAsia="zh-CN"/>
              </w:rPr>
              <w:t>36000</w:t>
            </w:r>
            <w:r>
              <w:rPr>
                <w:rFonts w:hint="default" w:ascii="Times New Roman" w:hAnsi="Times New Roman" w:cs="Times New Roman"/>
                <w:color w:val="auto"/>
                <w:sz w:val="24"/>
                <w:szCs w:val="21"/>
                <w:highlight w:val="none"/>
              </w:rPr>
              <w:t>m</w:t>
            </w:r>
            <w:r>
              <w:rPr>
                <w:rFonts w:hint="default" w:ascii="Times New Roman" w:hAnsi="Times New Roman" w:cs="Times New Roman"/>
                <w:color w:val="auto"/>
                <w:sz w:val="24"/>
                <w:szCs w:val="21"/>
                <w:highlight w:val="none"/>
                <w:vertAlign w:val="superscript"/>
              </w:rPr>
              <w:t>2</w:t>
            </w: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占地类型：天然牧草地（查询文件见附件3）</w:t>
            </w:r>
          </w:p>
          <w:p w14:paraId="12DAC83D">
            <w:pPr>
              <w:spacing w:line="360" w:lineRule="auto"/>
              <w:ind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劳动定员及生产制度：本项目劳动定员</w:t>
            </w:r>
            <w:r>
              <w:rPr>
                <w:rFonts w:hint="eastAsia" w:cs="Times New Roman"/>
                <w:color w:val="auto"/>
                <w:sz w:val="24"/>
                <w:szCs w:val="21"/>
                <w:highlight w:val="none"/>
                <w:lang w:val="en-US" w:eastAsia="zh-CN"/>
              </w:rPr>
              <w:t>20</w:t>
            </w:r>
            <w:r>
              <w:rPr>
                <w:rFonts w:hint="default" w:ascii="Times New Roman" w:hAnsi="Times New Roman" w:cs="Times New Roman"/>
                <w:color w:val="auto"/>
                <w:sz w:val="24"/>
                <w:szCs w:val="21"/>
                <w:highlight w:val="none"/>
              </w:rPr>
              <w:t>人，</w:t>
            </w:r>
            <w:r>
              <w:rPr>
                <w:rFonts w:hint="eastAsia" w:cs="Times New Roman"/>
                <w:color w:val="auto"/>
                <w:sz w:val="24"/>
                <w:szCs w:val="21"/>
                <w:highlight w:val="none"/>
                <w:lang w:val="en-US" w:eastAsia="zh-CN"/>
              </w:rPr>
              <w:t>厂区不设置食宿。</w:t>
            </w:r>
            <w:r>
              <w:rPr>
                <w:rFonts w:hint="default" w:ascii="Times New Roman" w:hAnsi="Times New Roman" w:cs="Times New Roman"/>
                <w:color w:val="auto"/>
                <w:sz w:val="24"/>
                <w:szCs w:val="21"/>
                <w:highlight w:val="none"/>
              </w:rPr>
              <w:t>全年生产约</w:t>
            </w:r>
            <w:r>
              <w:rPr>
                <w:rFonts w:hint="eastAsia" w:cs="Times New Roman"/>
                <w:color w:val="auto"/>
                <w:sz w:val="24"/>
                <w:szCs w:val="21"/>
                <w:highlight w:val="none"/>
                <w:lang w:val="en-US" w:eastAsia="zh-CN"/>
              </w:rPr>
              <w:t>300</w:t>
            </w:r>
            <w:r>
              <w:rPr>
                <w:rFonts w:hint="default" w:ascii="Times New Roman" w:hAnsi="Times New Roman" w:cs="Times New Roman"/>
                <w:color w:val="auto"/>
                <w:sz w:val="24"/>
                <w:szCs w:val="21"/>
                <w:highlight w:val="none"/>
              </w:rPr>
              <w:t>天，日生产时间</w:t>
            </w:r>
            <w:r>
              <w:rPr>
                <w:rFonts w:hint="eastAsia" w:cs="Times New Roman"/>
                <w:color w:val="auto"/>
                <w:sz w:val="24"/>
                <w:szCs w:val="21"/>
                <w:highlight w:val="none"/>
                <w:lang w:val="en-US" w:eastAsia="zh-CN"/>
              </w:rPr>
              <w:t>8</w:t>
            </w:r>
            <w:r>
              <w:rPr>
                <w:rFonts w:hint="default" w:ascii="Times New Roman" w:hAnsi="Times New Roman" w:cs="Times New Roman"/>
                <w:color w:val="auto"/>
                <w:sz w:val="24"/>
                <w:szCs w:val="21"/>
                <w:highlight w:val="none"/>
              </w:rPr>
              <w:t>小时，全年生产</w:t>
            </w:r>
            <w:r>
              <w:rPr>
                <w:rFonts w:hint="eastAsia" w:cs="Times New Roman"/>
                <w:color w:val="auto"/>
                <w:sz w:val="24"/>
                <w:szCs w:val="21"/>
                <w:highlight w:val="none"/>
                <w:lang w:val="en-US" w:eastAsia="zh-CN"/>
              </w:rPr>
              <w:t>2400</w:t>
            </w:r>
            <w:r>
              <w:rPr>
                <w:rFonts w:hint="default" w:ascii="Times New Roman" w:hAnsi="Times New Roman" w:cs="Times New Roman"/>
                <w:color w:val="auto"/>
                <w:sz w:val="24"/>
                <w:szCs w:val="21"/>
                <w:highlight w:val="none"/>
              </w:rPr>
              <w:t>小时</w:t>
            </w: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发酵时间为4800小时</w:t>
            </w:r>
            <w:r>
              <w:rPr>
                <w:rFonts w:hint="eastAsia" w:cs="Times New Roman"/>
                <w:color w:val="auto"/>
                <w:sz w:val="24"/>
                <w:szCs w:val="21"/>
                <w:highlight w:val="none"/>
                <w:lang w:eastAsia="zh-CN"/>
              </w:rPr>
              <w:t>）</w:t>
            </w:r>
            <w:r>
              <w:rPr>
                <w:rFonts w:hint="default" w:ascii="Times New Roman" w:hAnsi="Times New Roman" w:cs="Times New Roman"/>
                <w:color w:val="auto"/>
                <w:sz w:val="24"/>
                <w:szCs w:val="21"/>
                <w:highlight w:val="none"/>
              </w:rPr>
              <w:t>。</w:t>
            </w:r>
          </w:p>
          <w:p w14:paraId="75DCBCFC">
            <w:pPr>
              <w:adjustRightInd w:val="0"/>
              <w:snapToGrid w:val="0"/>
              <w:spacing w:line="360" w:lineRule="auto"/>
              <w:jc w:val="left"/>
              <w:rPr>
                <w:rFonts w:hint="default" w:ascii="Times New Roman" w:hAnsi="Times New Roman" w:cs="Times New Roman"/>
                <w:b/>
                <w:bCs/>
                <w:color w:val="auto"/>
                <w:sz w:val="24"/>
                <w:szCs w:val="21"/>
                <w:highlight w:val="none"/>
              </w:rPr>
            </w:pPr>
            <w:r>
              <w:rPr>
                <w:rFonts w:hint="default" w:ascii="Times New Roman" w:hAnsi="Times New Roman" w:cs="Times New Roman"/>
                <w:b/>
                <w:bCs/>
                <w:color w:val="auto"/>
                <w:sz w:val="24"/>
                <w:szCs w:val="21"/>
                <w:highlight w:val="none"/>
              </w:rPr>
              <w:t>2、项目组成</w:t>
            </w:r>
          </w:p>
          <w:p w14:paraId="29E5E0BD">
            <w:pPr>
              <w:spacing w:line="360" w:lineRule="auto"/>
              <w:ind w:firstLine="480"/>
              <w:rPr>
                <w:rFonts w:hint="eastAsia" w:cs="Times New Roman"/>
                <w:color w:val="auto"/>
                <w:sz w:val="24"/>
                <w:szCs w:val="21"/>
                <w:highlight w:val="none"/>
                <w:lang w:val="en-US" w:eastAsia="zh-CN"/>
              </w:rPr>
            </w:pPr>
            <w:r>
              <w:rPr>
                <w:rFonts w:hint="default" w:ascii="Times New Roman" w:hAnsi="Times New Roman" w:cs="Times New Roman"/>
                <w:color w:val="auto"/>
                <w:sz w:val="24"/>
                <w:szCs w:val="21"/>
                <w:highlight w:val="none"/>
              </w:rPr>
              <w:t>本项目</w:t>
            </w:r>
            <w:r>
              <w:rPr>
                <w:rFonts w:hint="eastAsia" w:cs="Times New Roman"/>
                <w:color w:val="auto"/>
                <w:sz w:val="24"/>
                <w:szCs w:val="21"/>
                <w:highlight w:val="none"/>
                <w:lang w:val="en-US" w:eastAsia="zh-CN"/>
              </w:rPr>
              <w:t>建成后可利用动物粪便和农作物秸秆年生产加工微生物有机肥30万吨，项目</w:t>
            </w:r>
            <w:r>
              <w:rPr>
                <w:rFonts w:hint="default" w:ascii="Times New Roman" w:hAnsi="Times New Roman" w:cs="Times New Roman"/>
                <w:color w:val="auto"/>
                <w:sz w:val="24"/>
                <w:szCs w:val="21"/>
                <w:highlight w:val="none"/>
              </w:rPr>
              <w:t>总占地面积</w:t>
            </w:r>
            <w:r>
              <w:rPr>
                <w:rFonts w:hint="eastAsia" w:cs="Times New Roman"/>
                <w:color w:val="auto"/>
                <w:sz w:val="24"/>
                <w:szCs w:val="21"/>
                <w:highlight w:val="none"/>
                <w:lang w:val="en-US" w:eastAsia="zh-CN"/>
              </w:rPr>
              <w:t>36000</w:t>
            </w:r>
            <w:r>
              <w:rPr>
                <w:rFonts w:hint="default" w:ascii="Times New Roman" w:hAnsi="Times New Roman" w:cs="Times New Roman"/>
                <w:color w:val="auto"/>
                <w:sz w:val="24"/>
                <w:szCs w:val="21"/>
                <w:highlight w:val="none"/>
              </w:rPr>
              <w:t>m</w:t>
            </w:r>
            <w:r>
              <w:rPr>
                <w:rFonts w:hint="default" w:ascii="Times New Roman" w:hAnsi="Times New Roman" w:cs="Times New Roman"/>
                <w:color w:val="auto"/>
                <w:sz w:val="24"/>
                <w:szCs w:val="21"/>
                <w:highlight w:val="none"/>
                <w:vertAlign w:val="superscript"/>
              </w:rPr>
              <w:t>2</w:t>
            </w:r>
            <w:r>
              <w:rPr>
                <w:rFonts w:hint="default" w:ascii="Times New Roman" w:hAnsi="Times New Roman" w:cs="Times New Roman"/>
                <w:color w:val="auto"/>
                <w:sz w:val="24"/>
                <w:szCs w:val="21"/>
                <w:highlight w:val="none"/>
              </w:rPr>
              <w:t>，</w:t>
            </w:r>
            <w:r>
              <w:rPr>
                <w:rFonts w:hint="eastAsia" w:cs="Times New Roman"/>
                <w:color w:val="auto"/>
                <w:sz w:val="24"/>
                <w:szCs w:val="21"/>
                <w:highlight w:val="none"/>
                <w:lang w:val="en-US" w:eastAsia="zh-CN"/>
              </w:rPr>
              <w:t>一期建筑面积约20000m</w:t>
            </w:r>
            <w:r>
              <w:rPr>
                <w:rFonts w:hint="eastAsia" w:cs="Times New Roman"/>
                <w:color w:val="auto"/>
                <w:sz w:val="24"/>
                <w:szCs w:val="21"/>
                <w:highlight w:val="none"/>
                <w:vertAlign w:val="superscript"/>
                <w:lang w:val="en-US" w:eastAsia="zh-CN"/>
              </w:rPr>
              <w:t>2</w:t>
            </w:r>
            <w:r>
              <w:rPr>
                <w:rFonts w:hint="eastAsia" w:cs="Times New Roman"/>
                <w:color w:val="auto"/>
                <w:sz w:val="24"/>
                <w:szCs w:val="21"/>
                <w:highlight w:val="none"/>
                <w:lang w:val="en-US" w:eastAsia="zh-CN"/>
              </w:rPr>
              <w:t>生产车间，原材料储备库5000m</w:t>
            </w:r>
            <w:r>
              <w:rPr>
                <w:rFonts w:hint="eastAsia" w:cs="Times New Roman"/>
                <w:color w:val="auto"/>
                <w:sz w:val="24"/>
                <w:szCs w:val="21"/>
                <w:highlight w:val="none"/>
                <w:vertAlign w:val="superscript"/>
                <w:lang w:val="en-US" w:eastAsia="zh-CN"/>
              </w:rPr>
              <w:t>2</w:t>
            </w:r>
            <w:r>
              <w:rPr>
                <w:rFonts w:hint="eastAsia" w:cs="Times New Roman"/>
                <w:color w:val="auto"/>
                <w:sz w:val="24"/>
                <w:szCs w:val="21"/>
                <w:highlight w:val="none"/>
                <w:lang w:val="en-US" w:eastAsia="zh-CN"/>
              </w:rPr>
              <w:t>，300m</w:t>
            </w:r>
            <w:r>
              <w:rPr>
                <w:rFonts w:hint="eastAsia" w:cs="Times New Roman"/>
                <w:color w:val="auto"/>
                <w:sz w:val="24"/>
                <w:szCs w:val="21"/>
                <w:highlight w:val="none"/>
                <w:vertAlign w:val="superscript"/>
                <w:lang w:val="en-US" w:eastAsia="zh-CN"/>
              </w:rPr>
              <w:t>2</w:t>
            </w:r>
            <w:r>
              <w:rPr>
                <w:rFonts w:hint="eastAsia" w:cs="Times New Roman"/>
                <w:color w:val="auto"/>
                <w:sz w:val="24"/>
                <w:szCs w:val="21"/>
                <w:highlight w:val="none"/>
                <w:lang w:val="en-US" w:eastAsia="zh-CN"/>
              </w:rPr>
              <w:t>的办公管理区；二期新建约10000m</w:t>
            </w:r>
            <w:r>
              <w:rPr>
                <w:rFonts w:hint="eastAsia" w:cs="Times New Roman"/>
                <w:color w:val="auto"/>
                <w:sz w:val="24"/>
                <w:szCs w:val="21"/>
                <w:highlight w:val="none"/>
                <w:vertAlign w:val="superscript"/>
                <w:lang w:val="en-US" w:eastAsia="zh-CN"/>
              </w:rPr>
              <w:t>2</w:t>
            </w:r>
            <w:r>
              <w:rPr>
                <w:rFonts w:hint="eastAsia" w:cs="Times New Roman"/>
                <w:color w:val="auto"/>
                <w:sz w:val="24"/>
                <w:szCs w:val="21"/>
                <w:highlight w:val="none"/>
                <w:lang w:val="en-US" w:eastAsia="zh-CN"/>
              </w:rPr>
              <w:t>纳米膜车间，专业生产和研发高端专用精制有机肥。项目建成后年生产26万吨基础有机肥和4万吨高端有机肥。</w:t>
            </w:r>
          </w:p>
          <w:p w14:paraId="2B8A1583">
            <w:pPr>
              <w:spacing w:line="360" w:lineRule="auto"/>
              <w:ind w:firstLine="480"/>
              <w:rPr>
                <w:rFonts w:hint="default" w:ascii="Times New Roman" w:hAnsi="Times New Roman" w:cs="Times New Roman"/>
                <w:color w:val="auto"/>
                <w:szCs w:val="21"/>
                <w:highlight w:val="none"/>
              </w:rPr>
            </w:pPr>
            <w:r>
              <w:rPr>
                <w:rFonts w:hint="eastAsia" w:cs="Times New Roman"/>
                <w:color w:val="auto"/>
                <w:sz w:val="24"/>
                <w:szCs w:val="21"/>
                <w:highlight w:val="none"/>
                <w:lang w:val="en-US" w:eastAsia="zh-CN"/>
              </w:rPr>
              <w:t>本项目分两期建设、验收。预计于2026年底完成一期工程：20000m</w:t>
            </w:r>
            <w:r>
              <w:rPr>
                <w:rFonts w:hint="eastAsia" w:cs="Times New Roman"/>
                <w:color w:val="auto"/>
                <w:sz w:val="24"/>
                <w:szCs w:val="21"/>
                <w:highlight w:val="none"/>
                <w:vertAlign w:val="superscript"/>
                <w:lang w:val="en-US" w:eastAsia="zh-CN"/>
              </w:rPr>
              <w:t>2</w:t>
            </w:r>
            <w:r>
              <w:rPr>
                <w:rFonts w:hint="eastAsia" w:cs="Times New Roman"/>
                <w:color w:val="auto"/>
                <w:sz w:val="24"/>
                <w:szCs w:val="21"/>
                <w:highlight w:val="none"/>
                <w:lang w:val="en-US" w:eastAsia="zh-CN"/>
              </w:rPr>
              <w:t>生产车间，原材料储备库5000m</w:t>
            </w:r>
            <w:r>
              <w:rPr>
                <w:rFonts w:hint="eastAsia" w:cs="Times New Roman"/>
                <w:color w:val="auto"/>
                <w:sz w:val="24"/>
                <w:szCs w:val="21"/>
                <w:highlight w:val="none"/>
                <w:vertAlign w:val="superscript"/>
                <w:lang w:val="en-US" w:eastAsia="zh-CN"/>
              </w:rPr>
              <w:t>2</w:t>
            </w:r>
            <w:r>
              <w:rPr>
                <w:rFonts w:hint="eastAsia" w:cs="Times New Roman"/>
                <w:color w:val="auto"/>
                <w:sz w:val="24"/>
                <w:szCs w:val="21"/>
                <w:highlight w:val="none"/>
                <w:lang w:val="en-US" w:eastAsia="zh-CN"/>
              </w:rPr>
              <w:t>，300m</w:t>
            </w:r>
            <w:r>
              <w:rPr>
                <w:rFonts w:hint="eastAsia" w:cs="Times New Roman"/>
                <w:color w:val="auto"/>
                <w:sz w:val="24"/>
                <w:szCs w:val="21"/>
                <w:highlight w:val="none"/>
                <w:vertAlign w:val="superscript"/>
                <w:lang w:val="en-US" w:eastAsia="zh-CN"/>
              </w:rPr>
              <w:t>2</w:t>
            </w:r>
            <w:r>
              <w:rPr>
                <w:rFonts w:hint="eastAsia" w:cs="Times New Roman"/>
                <w:color w:val="auto"/>
                <w:sz w:val="24"/>
                <w:szCs w:val="21"/>
                <w:highlight w:val="none"/>
                <w:lang w:val="en-US" w:eastAsia="zh-CN"/>
              </w:rPr>
              <w:t>的办公管理区，年生产30万吨有机肥的投资建设；预计于2028年底完成二期工程：10000m</w:t>
            </w:r>
            <w:r>
              <w:rPr>
                <w:rFonts w:hint="eastAsia" w:cs="Times New Roman"/>
                <w:color w:val="auto"/>
                <w:sz w:val="24"/>
                <w:szCs w:val="21"/>
                <w:highlight w:val="none"/>
                <w:vertAlign w:val="superscript"/>
                <w:lang w:val="en-US" w:eastAsia="zh-CN"/>
              </w:rPr>
              <w:t>2</w:t>
            </w:r>
            <w:r>
              <w:rPr>
                <w:rFonts w:hint="eastAsia" w:cs="Times New Roman"/>
                <w:color w:val="auto"/>
                <w:sz w:val="24"/>
                <w:szCs w:val="21"/>
                <w:highlight w:val="none"/>
                <w:lang w:val="en-US" w:eastAsia="zh-CN"/>
              </w:rPr>
              <w:t>纳米膜车间，只进行高端有机肥的纳米膜发酵；二期建成后一期工程年产26万吨基础有机肥，二期工程年产4万吨高端有机肥。本项目基础有机肥、高端有机肥共用1条生产线，仅发酵场地不同（一期基础有机肥发酵时，发酵场地设在生产车间内的发酵间。二期高端有机肥发酵时，发酵场地则位于专门的纳米膜发酵车间）。</w:t>
            </w:r>
            <w:r>
              <w:rPr>
                <w:rFonts w:hint="default" w:ascii="Times New Roman" w:hAnsi="Times New Roman" w:cs="Times New Roman"/>
                <w:color w:val="auto"/>
                <w:sz w:val="24"/>
                <w:szCs w:val="21"/>
                <w:highlight w:val="none"/>
              </w:rPr>
              <w:t>项目组成情况见表2-1。</w:t>
            </w:r>
          </w:p>
          <w:p w14:paraId="1F4319C6">
            <w:pPr>
              <w:autoSpaceDE w:val="0"/>
              <w:autoSpaceDN w:val="0"/>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表2-1   项目组成一览表</w:t>
            </w:r>
          </w:p>
          <w:tbl>
            <w:tblPr>
              <w:tblStyle w:val="32"/>
              <w:tblW w:w="86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2"/>
              <w:gridCol w:w="435"/>
              <w:gridCol w:w="690"/>
              <w:gridCol w:w="585"/>
              <w:gridCol w:w="690"/>
              <w:gridCol w:w="1227"/>
              <w:gridCol w:w="528"/>
              <w:gridCol w:w="418"/>
              <w:gridCol w:w="7"/>
              <w:gridCol w:w="2240"/>
              <w:gridCol w:w="1521"/>
            </w:tblGrid>
            <w:tr w14:paraId="4A266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2" w:type="pct"/>
                  <w:gridSpan w:val="2"/>
                  <w:vMerge w:val="restart"/>
                  <w:tcBorders>
                    <w:tl2br w:val="nil"/>
                    <w:tr2bl w:val="nil"/>
                  </w:tcBorders>
                  <w:noWrap w:val="0"/>
                  <w:vAlign w:val="center"/>
                </w:tcPr>
                <w:p w14:paraId="4F62F299">
                  <w:pPr>
                    <w:pStyle w:val="95"/>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项目名称</w:t>
                  </w:r>
                </w:p>
              </w:tc>
              <w:tc>
                <w:tcPr>
                  <w:tcW w:w="3680" w:type="pct"/>
                  <w:gridSpan w:val="8"/>
                  <w:tcBorders>
                    <w:tl2br w:val="nil"/>
                    <w:tr2bl w:val="nil"/>
                  </w:tcBorders>
                  <w:noWrap w:val="0"/>
                  <w:vAlign w:val="center"/>
                </w:tcPr>
                <w:p w14:paraId="1B24F6B5">
                  <w:pPr>
                    <w:pStyle w:val="95"/>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工程内容</w:t>
                  </w:r>
                </w:p>
              </w:tc>
              <w:tc>
                <w:tcPr>
                  <w:tcW w:w="876" w:type="pct"/>
                  <w:vMerge w:val="restart"/>
                  <w:tcBorders>
                    <w:tl2br w:val="nil"/>
                    <w:tr2bl w:val="nil"/>
                  </w:tcBorders>
                  <w:noWrap w:val="0"/>
                  <w:vAlign w:val="center"/>
                </w:tcPr>
                <w:p w14:paraId="5493CE32">
                  <w:pPr>
                    <w:pStyle w:val="95"/>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r>
            <w:tr w14:paraId="04994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2" w:type="pct"/>
                  <w:gridSpan w:val="2"/>
                  <w:vMerge w:val="continue"/>
                  <w:tcBorders>
                    <w:tl2br w:val="nil"/>
                    <w:tr2bl w:val="nil"/>
                  </w:tcBorders>
                  <w:noWrap w:val="0"/>
                  <w:vAlign w:val="center"/>
                </w:tcPr>
                <w:p w14:paraId="0BA63BF2">
                  <w:pPr>
                    <w:pStyle w:val="95"/>
                    <w:rPr>
                      <w:rFonts w:hint="default" w:ascii="Times New Roman" w:hAnsi="Times New Roman" w:cs="Times New Roman"/>
                      <w:b/>
                      <w:bCs/>
                      <w:color w:val="auto"/>
                      <w:sz w:val="21"/>
                      <w:szCs w:val="21"/>
                      <w:highlight w:val="none"/>
                    </w:rPr>
                  </w:pPr>
                </w:p>
              </w:tc>
              <w:tc>
                <w:tcPr>
                  <w:tcW w:w="2144" w:type="pct"/>
                  <w:gridSpan w:val="5"/>
                  <w:tcBorders>
                    <w:tl2br w:val="nil"/>
                    <w:tr2bl w:val="nil"/>
                  </w:tcBorders>
                  <w:noWrap w:val="0"/>
                  <w:vAlign w:val="center"/>
                </w:tcPr>
                <w:p w14:paraId="27C1BFD5">
                  <w:pPr>
                    <w:pStyle w:val="95"/>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一期工程</w:t>
                  </w:r>
                </w:p>
              </w:tc>
              <w:tc>
                <w:tcPr>
                  <w:tcW w:w="1536" w:type="pct"/>
                  <w:gridSpan w:val="3"/>
                  <w:tcBorders>
                    <w:tl2br w:val="nil"/>
                    <w:tr2bl w:val="nil"/>
                  </w:tcBorders>
                  <w:noWrap w:val="0"/>
                  <w:vAlign w:val="center"/>
                </w:tcPr>
                <w:p w14:paraId="3D3F571D">
                  <w:pPr>
                    <w:pStyle w:val="95"/>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二期工程</w:t>
                  </w:r>
                </w:p>
              </w:tc>
              <w:tc>
                <w:tcPr>
                  <w:tcW w:w="876" w:type="pct"/>
                  <w:vMerge w:val="continue"/>
                  <w:tcBorders>
                    <w:tl2br w:val="nil"/>
                    <w:tr2bl w:val="nil"/>
                  </w:tcBorders>
                  <w:noWrap w:val="0"/>
                  <w:vAlign w:val="center"/>
                </w:tcPr>
                <w:p w14:paraId="1C72AB69">
                  <w:pPr>
                    <w:pStyle w:val="95"/>
                    <w:rPr>
                      <w:rFonts w:hint="default" w:ascii="Times New Roman" w:hAnsi="Times New Roman" w:cs="Times New Roman"/>
                      <w:b/>
                      <w:bCs/>
                      <w:color w:val="auto"/>
                      <w:sz w:val="21"/>
                      <w:szCs w:val="21"/>
                      <w:highlight w:val="none"/>
                    </w:rPr>
                  </w:pPr>
                </w:p>
              </w:tc>
            </w:tr>
            <w:tr w14:paraId="1CCDB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442" w:type="pct"/>
                  <w:gridSpan w:val="2"/>
                  <w:vMerge w:val="restart"/>
                  <w:tcBorders>
                    <w:tl2br w:val="nil"/>
                    <w:tr2bl w:val="nil"/>
                  </w:tcBorders>
                  <w:noWrap w:val="0"/>
                  <w:vAlign w:val="center"/>
                </w:tcPr>
                <w:p w14:paraId="7374DF3E">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主体工程</w:t>
                  </w:r>
                </w:p>
              </w:tc>
              <w:tc>
                <w:tcPr>
                  <w:tcW w:w="397" w:type="pct"/>
                  <w:tcBorders>
                    <w:tl2br w:val="nil"/>
                    <w:tr2bl w:val="nil"/>
                  </w:tcBorders>
                  <w:noWrap w:val="0"/>
                  <w:vAlign w:val="center"/>
                </w:tcPr>
                <w:p w14:paraId="2DA4A335">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生产车间</w:t>
                  </w:r>
                </w:p>
              </w:tc>
              <w:tc>
                <w:tcPr>
                  <w:tcW w:w="1746" w:type="pct"/>
                  <w:gridSpan w:val="4"/>
                  <w:tcBorders>
                    <w:tl2br w:val="nil"/>
                    <w:tr2bl w:val="nil"/>
                  </w:tcBorders>
                  <w:noWrap w:val="0"/>
                  <w:vAlign w:val="center"/>
                </w:tcPr>
                <w:p w14:paraId="67964801">
                  <w:pPr>
                    <w:pStyle w:val="29"/>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位于厂区正中，</w:t>
                  </w:r>
                  <w:r>
                    <w:rPr>
                      <w:rFonts w:hint="eastAsia" w:ascii="Times New Roman" w:hAnsi="Times New Roman" w:cs="Times New Roman"/>
                      <w:color w:val="auto"/>
                      <w:sz w:val="21"/>
                      <w:szCs w:val="21"/>
                      <w:highlight w:val="none"/>
                      <w:lang w:val="en-US" w:eastAsia="zh-CN"/>
                    </w:rPr>
                    <w:t>仅设置1条生产线，</w:t>
                  </w:r>
                  <w:r>
                    <w:rPr>
                      <w:rFonts w:hint="default" w:ascii="Times New Roman" w:hAnsi="Times New Roman" w:eastAsia="宋体" w:cs="Times New Roman"/>
                      <w:color w:val="auto"/>
                      <w:sz w:val="21"/>
                      <w:szCs w:val="21"/>
                      <w:highlight w:val="none"/>
                      <w:lang w:val="en-US" w:eastAsia="zh-CN"/>
                    </w:rPr>
                    <w:t>建筑面积20000m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，全封闭单层彩钢结构，檐高9m，柱距6m，内设配料区</w:t>
                  </w:r>
                  <w:r>
                    <w:rPr>
                      <w:rFonts w:hint="eastAsia" w:ascii="Times New Roman" w:hAnsi="Times New Roman" w:cs="Times New Roman"/>
                      <w:color w:val="auto"/>
                      <w:sz w:val="21"/>
                      <w:szCs w:val="21"/>
                      <w:highlight w:val="none"/>
                      <w:lang w:val="en-US" w:eastAsia="zh-CN"/>
                    </w:rPr>
                    <w:t>（用于粉碎搅拌未发酵的牛粪、秸秆原料）</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单独隔出的</w:t>
                  </w:r>
                  <w:r>
                    <w:rPr>
                      <w:rFonts w:hint="default" w:ascii="Times New Roman" w:hAnsi="Times New Roman" w:eastAsia="宋体" w:cs="Times New Roman"/>
                      <w:color w:val="auto"/>
                      <w:sz w:val="21"/>
                      <w:szCs w:val="21"/>
                      <w:highlight w:val="none"/>
                      <w:lang w:val="en-US" w:eastAsia="zh-CN"/>
                    </w:rPr>
                    <w:t>发酵</w:t>
                  </w:r>
                  <w:r>
                    <w:rPr>
                      <w:rFonts w:hint="eastAsia" w:ascii="Times New Roman" w:hAnsi="Times New Roman" w:cs="Times New Roman"/>
                      <w:color w:val="auto"/>
                      <w:sz w:val="21"/>
                      <w:szCs w:val="21"/>
                      <w:highlight w:val="none"/>
                      <w:lang w:val="en-US" w:eastAsia="zh-CN"/>
                    </w:rPr>
                    <w:t>间（用于基础有机肥的发酵）</w:t>
                  </w:r>
                  <w:r>
                    <w:rPr>
                      <w:rFonts w:hint="default" w:ascii="Times New Roman" w:hAnsi="Times New Roman" w:eastAsia="宋体" w:cs="Times New Roman"/>
                      <w:color w:val="auto"/>
                      <w:sz w:val="21"/>
                      <w:szCs w:val="21"/>
                      <w:highlight w:val="none"/>
                      <w:lang w:val="en-US" w:eastAsia="zh-CN"/>
                    </w:rPr>
                    <w:t>、深加工区</w:t>
                  </w:r>
                  <w:r>
                    <w:rPr>
                      <w:rFonts w:hint="eastAsia" w:ascii="Times New Roman" w:hAnsi="Times New Roman" w:cs="Times New Roman"/>
                      <w:color w:val="auto"/>
                      <w:sz w:val="21"/>
                      <w:szCs w:val="21"/>
                      <w:highlight w:val="none"/>
                      <w:lang w:val="en-US" w:eastAsia="zh-CN"/>
                    </w:rPr>
                    <w:t>（用于发酵后肥料加菌、二次粉碎、搅拌，筛分等）</w:t>
                  </w:r>
                  <w:r>
                    <w:rPr>
                      <w:rFonts w:hint="default" w:ascii="Times New Roman" w:hAnsi="Times New Roman" w:eastAsia="宋体" w:cs="Times New Roman"/>
                      <w:color w:val="auto"/>
                      <w:sz w:val="21"/>
                      <w:szCs w:val="21"/>
                      <w:highlight w:val="none"/>
                      <w:lang w:val="en-US" w:eastAsia="zh-CN"/>
                    </w:rPr>
                    <w:t>、成品包装区，配套设备基础、通风、除尘除臭、防渗设施（</w:t>
                  </w:r>
                  <w:r>
                    <w:rPr>
                      <w:rFonts w:hint="default" w:ascii="Times New Roman" w:hAnsi="Times New Roman" w:eastAsia="宋体" w:cs="Times New Roman"/>
                      <w:color w:val="auto"/>
                      <w:spacing w:val="-6"/>
                      <w:sz w:val="21"/>
                      <w:szCs w:val="21"/>
                      <w:highlight w:val="none"/>
                      <w:lang w:val="en-US" w:eastAsia="zh-CN" w:bidi="zh-CN"/>
                    </w:rPr>
                    <w:t>地面采用</w:t>
                  </w:r>
                  <w:r>
                    <w:rPr>
                      <w:rFonts w:hint="default" w:ascii="Times New Roman" w:hAnsi="Times New Roman" w:eastAsia="宋体" w:cs="Times New Roman"/>
                      <w:color w:val="auto"/>
                      <w:sz w:val="21"/>
                      <w:szCs w:val="21"/>
                      <w:highlight w:val="none"/>
                      <w:lang w:val="en-US" w:eastAsia="zh-CN"/>
                    </w:rPr>
                    <w:t>C30防渗混凝土+2mmHDPE膜，厚度≥150mm，防渗等级K≤10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p>
              </w:tc>
              <w:tc>
                <w:tcPr>
                  <w:tcW w:w="245" w:type="pct"/>
                  <w:gridSpan w:val="2"/>
                  <w:vMerge w:val="restart"/>
                  <w:tcBorders>
                    <w:tl2br w:val="nil"/>
                    <w:tr2bl w:val="nil"/>
                  </w:tcBorders>
                  <w:noWrap w:val="0"/>
                  <w:vAlign w:val="center"/>
                </w:tcPr>
                <w:p w14:paraId="3E6C0B06">
                  <w:pPr>
                    <w:pStyle w:val="95"/>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纳米膜发酵车间</w:t>
                  </w:r>
                </w:p>
              </w:tc>
              <w:tc>
                <w:tcPr>
                  <w:tcW w:w="1291" w:type="pct"/>
                  <w:vMerge w:val="restart"/>
                  <w:tcBorders>
                    <w:tl2br w:val="nil"/>
                    <w:tr2bl w:val="nil"/>
                  </w:tcBorders>
                  <w:noWrap w:val="0"/>
                  <w:vAlign w:val="center"/>
                </w:tcPr>
                <w:p w14:paraId="3BDB72C4">
                  <w:pPr>
                    <w:pStyle w:val="29"/>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位于厂区正中与生产车间相邻，建筑面积10000m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，单层彩钢结构，檐高8m，用于高端有机肥</w:t>
                  </w:r>
                  <w:r>
                    <w:rPr>
                      <w:rFonts w:hint="eastAsia" w:ascii="Times New Roman" w:hAnsi="Times New Roman" w:eastAsia="宋体" w:cs="Times New Roman"/>
                      <w:color w:val="auto"/>
                      <w:sz w:val="21"/>
                      <w:szCs w:val="21"/>
                      <w:highlight w:val="none"/>
                      <w:lang w:val="en-US" w:eastAsia="zh-CN"/>
                    </w:rPr>
                    <w:t>发酵</w:t>
                  </w:r>
                  <w:r>
                    <w:rPr>
                      <w:rFonts w:hint="default" w:ascii="Times New Roman" w:hAnsi="Times New Roman" w:eastAsia="宋体" w:cs="Times New Roman"/>
                      <w:color w:val="auto"/>
                      <w:sz w:val="21"/>
                      <w:szCs w:val="21"/>
                      <w:highlight w:val="none"/>
                      <w:lang w:val="en-US" w:eastAsia="zh-CN"/>
                    </w:rPr>
                    <w:t>，全封闭设置、配备曝气、防渗设施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6"/>
                      <w:sz w:val="21"/>
                      <w:szCs w:val="21"/>
                      <w:highlight w:val="none"/>
                      <w:lang w:val="en-US" w:eastAsia="zh-CN" w:bidi="zh-CN"/>
                    </w:rPr>
                    <w:t>地面采用</w:t>
                  </w:r>
                  <w:r>
                    <w:rPr>
                      <w:rFonts w:hint="default" w:ascii="Times New Roman" w:hAnsi="Times New Roman" w:eastAsia="宋体" w:cs="Times New Roman"/>
                      <w:color w:val="auto"/>
                      <w:sz w:val="21"/>
                      <w:szCs w:val="21"/>
                      <w:highlight w:val="none"/>
                      <w:lang w:val="en-US" w:eastAsia="zh-CN"/>
                    </w:rPr>
                    <w:t>C30防渗混凝土+2mmHDPE膜，厚度≥150mm，防渗等级K≤10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r>
                    <w:rPr>
                      <w:rFonts w:hint="default" w:ascii="Times New Roman" w:hAnsi="Times New Roman" w:eastAsia="宋体" w:cs="Times New Roman"/>
                      <w:color w:val="auto"/>
                      <w:sz w:val="21"/>
                      <w:szCs w:val="21"/>
                      <w:highlight w:val="none"/>
                      <w:lang w:eastAsia="zh-CN"/>
                    </w:rPr>
                    <w:t>）</w:t>
                  </w:r>
                </w:p>
              </w:tc>
              <w:tc>
                <w:tcPr>
                  <w:tcW w:w="876" w:type="pct"/>
                  <w:vMerge w:val="restart"/>
                  <w:tcBorders>
                    <w:tl2br w:val="nil"/>
                    <w:tr2bl w:val="nil"/>
                  </w:tcBorders>
                  <w:noWrap w:val="0"/>
                  <w:vAlign w:val="center"/>
                </w:tcPr>
                <w:p w14:paraId="7D7C2012">
                  <w:pPr>
                    <w:pStyle w:val="95"/>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纳米膜发酵车间只进行高端有机肥的发酵。除曝气、布料设备外不布设任何生产设备，高端有机肥发酵完成后，由装载机统一运输至生产车间内生产</w:t>
                  </w:r>
                </w:p>
              </w:tc>
            </w:tr>
            <w:tr w14:paraId="55B67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442" w:type="pct"/>
                  <w:gridSpan w:val="2"/>
                  <w:vMerge w:val="continue"/>
                  <w:tcBorders>
                    <w:tl2br w:val="nil"/>
                    <w:tr2bl w:val="nil"/>
                  </w:tcBorders>
                  <w:noWrap w:val="0"/>
                  <w:vAlign w:val="center"/>
                </w:tcPr>
                <w:p w14:paraId="2D37B7D4">
                  <w:pPr>
                    <w:pStyle w:val="95"/>
                    <w:rPr>
                      <w:rFonts w:hint="default" w:ascii="Times New Roman" w:hAnsi="Times New Roman" w:cs="Times New Roman"/>
                      <w:color w:val="auto"/>
                      <w:sz w:val="21"/>
                      <w:szCs w:val="21"/>
                      <w:highlight w:val="none"/>
                    </w:rPr>
                  </w:pPr>
                </w:p>
              </w:tc>
              <w:tc>
                <w:tcPr>
                  <w:tcW w:w="397" w:type="pct"/>
                  <w:tcBorders>
                    <w:tl2br w:val="nil"/>
                    <w:tr2bl w:val="nil"/>
                  </w:tcBorders>
                  <w:noWrap w:val="0"/>
                  <w:vAlign w:val="center"/>
                </w:tcPr>
                <w:p w14:paraId="43F236DB">
                  <w:pPr>
                    <w:pStyle w:val="95"/>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发酵间</w:t>
                  </w:r>
                </w:p>
              </w:tc>
              <w:tc>
                <w:tcPr>
                  <w:tcW w:w="1746" w:type="pct"/>
                  <w:gridSpan w:val="4"/>
                  <w:tcBorders>
                    <w:tl2br w:val="nil"/>
                    <w:tr2bl w:val="nil"/>
                  </w:tcBorders>
                  <w:noWrap w:val="0"/>
                  <w:vAlign w:val="center"/>
                </w:tcPr>
                <w:p w14:paraId="7D42691B">
                  <w:pPr>
                    <w:pStyle w:val="29"/>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位于生产车间内西北侧单独间隔，占地500m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，用于基础有机肥的发酵熟化，配备负压集气装置+二级活性炭吸附+水洗塔。地面防渗与生产车间一致</w:t>
                  </w:r>
                  <w:r>
                    <w:rPr>
                      <w:rFonts w:hint="default" w:ascii="Times New Roman" w:hAnsi="Times New Roman" w:eastAsia="宋体" w:cs="Times New Roman"/>
                      <w:color w:val="auto"/>
                      <w:spacing w:val="-6"/>
                      <w:sz w:val="21"/>
                      <w:szCs w:val="21"/>
                      <w:highlight w:val="none"/>
                      <w:lang w:val="en-US" w:eastAsia="zh-CN" w:bidi="zh-CN"/>
                    </w:rPr>
                    <w:t>采用</w:t>
                  </w:r>
                  <w:r>
                    <w:rPr>
                      <w:rFonts w:hint="default" w:ascii="Times New Roman" w:hAnsi="Times New Roman" w:eastAsia="宋体" w:cs="Times New Roman"/>
                      <w:color w:val="auto"/>
                      <w:sz w:val="21"/>
                      <w:szCs w:val="21"/>
                      <w:highlight w:val="none"/>
                      <w:lang w:val="en-US" w:eastAsia="zh-CN"/>
                    </w:rPr>
                    <w:t>C30防渗混凝土+2mmHDPE膜，厚度≥150mm，防渗等级K≤10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p>
              </w:tc>
              <w:tc>
                <w:tcPr>
                  <w:tcW w:w="245" w:type="pct"/>
                  <w:gridSpan w:val="2"/>
                  <w:vMerge w:val="continue"/>
                  <w:tcBorders>
                    <w:tl2br w:val="nil"/>
                    <w:tr2bl w:val="nil"/>
                  </w:tcBorders>
                  <w:noWrap w:val="0"/>
                  <w:vAlign w:val="center"/>
                </w:tcPr>
                <w:p w14:paraId="2EFCAAF2">
                  <w:pPr>
                    <w:pStyle w:val="95"/>
                    <w:rPr>
                      <w:rFonts w:hint="default" w:ascii="Times New Roman" w:hAnsi="Times New Roman" w:eastAsia="宋体" w:cs="Times New Roman"/>
                      <w:color w:val="auto"/>
                      <w:sz w:val="21"/>
                      <w:szCs w:val="21"/>
                      <w:highlight w:val="none"/>
                      <w:lang w:val="en-US" w:eastAsia="zh-CN"/>
                    </w:rPr>
                  </w:pPr>
                </w:p>
              </w:tc>
              <w:tc>
                <w:tcPr>
                  <w:tcW w:w="1291" w:type="pct"/>
                  <w:vMerge w:val="continue"/>
                  <w:tcBorders>
                    <w:tl2br w:val="nil"/>
                    <w:tr2bl w:val="nil"/>
                  </w:tcBorders>
                  <w:noWrap w:val="0"/>
                  <w:vAlign w:val="center"/>
                </w:tcPr>
                <w:p w14:paraId="2B6D84AC">
                  <w:pPr>
                    <w:pStyle w:val="29"/>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p>
              </w:tc>
              <w:tc>
                <w:tcPr>
                  <w:tcW w:w="876" w:type="pct"/>
                  <w:vMerge w:val="continue"/>
                  <w:tcBorders>
                    <w:tl2br w:val="nil"/>
                    <w:tr2bl w:val="nil"/>
                  </w:tcBorders>
                  <w:noWrap w:val="0"/>
                  <w:vAlign w:val="center"/>
                </w:tcPr>
                <w:p w14:paraId="4B738830">
                  <w:pPr>
                    <w:pStyle w:val="95"/>
                    <w:rPr>
                      <w:rFonts w:hint="eastAsia" w:cs="Times New Roman"/>
                      <w:color w:val="auto"/>
                      <w:sz w:val="21"/>
                      <w:szCs w:val="21"/>
                      <w:highlight w:val="none"/>
                      <w:lang w:val="en-US" w:eastAsia="zh-CN"/>
                    </w:rPr>
                  </w:pPr>
                </w:p>
              </w:tc>
            </w:tr>
            <w:tr w14:paraId="0047B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42" w:type="pct"/>
                  <w:gridSpan w:val="2"/>
                  <w:vMerge w:val="restart"/>
                  <w:tcBorders>
                    <w:tl2br w:val="nil"/>
                    <w:tr2bl w:val="nil"/>
                  </w:tcBorders>
                  <w:noWrap w:val="0"/>
                  <w:vAlign w:val="center"/>
                </w:tcPr>
                <w:p w14:paraId="773F0A0C">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储运工程</w:t>
                  </w:r>
                </w:p>
              </w:tc>
              <w:tc>
                <w:tcPr>
                  <w:tcW w:w="397" w:type="pct"/>
                  <w:tcBorders>
                    <w:tl2br w:val="nil"/>
                    <w:tr2bl w:val="nil"/>
                  </w:tcBorders>
                  <w:noWrap w:val="0"/>
                  <w:vAlign w:val="center"/>
                </w:tcPr>
                <w:p w14:paraId="72C6E930">
                  <w:pPr>
                    <w:pStyle w:val="95"/>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原材料储备库</w:t>
                  </w:r>
                </w:p>
              </w:tc>
              <w:tc>
                <w:tcPr>
                  <w:tcW w:w="1746" w:type="pct"/>
                  <w:gridSpan w:val="4"/>
                  <w:tcBorders>
                    <w:tl2br w:val="nil"/>
                    <w:tr2bl w:val="nil"/>
                  </w:tcBorders>
                  <w:noWrap w:val="0"/>
                  <w:vAlign w:val="center"/>
                </w:tcPr>
                <w:p w14:paraId="513FD56C">
                  <w:pPr>
                    <w:pStyle w:val="95"/>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位于生产车间外北侧，紧邻生产车间设置占地</w:t>
                  </w:r>
                  <w:r>
                    <w:rPr>
                      <w:rFonts w:hint="eastAsia" w:ascii="Times New Roman" w:hAnsi="Times New Roman" w:cs="Times New Roman"/>
                      <w:color w:val="auto"/>
                      <w:sz w:val="21"/>
                      <w:szCs w:val="21"/>
                      <w:highlight w:val="none"/>
                      <w:lang w:val="en-US" w:eastAsia="zh-CN"/>
                    </w:rPr>
                    <w:t>面积5000m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全封闭</w:t>
                  </w:r>
                  <w:r>
                    <w:rPr>
                      <w:rFonts w:hint="eastAsia" w:ascii="Times New Roman" w:hAnsi="Times New Roman" w:cs="Times New Roman"/>
                      <w:color w:val="auto"/>
                      <w:sz w:val="21"/>
                      <w:szCs w:val="21"/>
                      <w:highlight w:val="none"/>
                      <w:lang w:val="en-US" w:eastAsia="zh-CN"/>
                    </w:rPr>
                    <w:t>轻钢结构彩钢</w:t>
                  </w:r>
                  <w:r>
                    <w:rPr>
                      <w:rFonts w:hint="eastAsia" w:cs="Times New Roman"/>
                      <w:color w:val="auto"/>
                      <w:sz w:val="21"/>
                      <w:szCs w:val="21"/>
                      <w:highlight w:val="none"/>
                      <w:lang w:val="en-US" w:eastAsia="zh-CN"/>
                    </w:rPr>
                    <w:t>库</w:t>
                  </w:r>
                  <w:r>
                    <w:rPr>
                      <w:rFonts w:hint="eastAsia" w:ascii="Times New Roman" w:hAnsi="Times New Roman" w:cs="Times New Roman"/>
                      <w:color w:val="auto"/>
                      <w:sz w:val="21"/>
                      <w:szCs w:val="21"/>
                      <w:highlight w:val="none"/>
                      <w:lang w:val="en-US" w:eastAsia="zh-CN"/>
                    </w:rPr>
                    <w:t>，檐高6m，设防雨、防渗、通风设施，用于秸秆暂存</w:t>
                  </w:r>
                  <w:r>
                    <w:rPr>
                      <w:rFonts w:hint="eastAsia" w:cs="Times New Roman"/>
                      <w:color w:val="auto"/>
                      <w:sz w:val="21"/>
                      <w:szCs w:val="21"/>
                      <w:highlight w:val="none"/>
                      <w:lang w:val="en-US" w:eastAsia="zh-CN"/>
                    </w:rPr>
                    <w:t>（粪便即时按需购买附近牧场未发酵的牛粪作为原料，由汽车运输至生产车间投入使用，无需储存）</w:t>
                  </w:r>
                </w:p>
              </w:tc>
              <w:tc>
                <w:tcPr>
                  <w:tcW w:w="245" w:type="pct"/>
                  <w:gridSpan w:val="2"/>
                  <w:tcBorders>
                    <w:tl2br w:val="nil"/>
                    <w:tr2bl w:val="nil"/>
                  </w:tcBorders>
                  <w:noWrap w:val="0"/>
                  <w:vAlign w:val="center"/>
                </w:tcPr>
                <w:p w14:paraId="090D75AB">
                  <w:pPr>
                    <w:pStyle w:val="95"/>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91" w:type="pct"/>
                  <w:tcBorders>
                    <w:tl2br w:val="nil"/>
                    <w:tr2bl w:val="nil"/>
                  </w:tcBorders>
                  <w:noWrap w:val="0"/>
                  <w:vAlign w:val="center"/>
                </w:tcPr>
                <w:p w14:paraId="76FEAC54">
                  <w:pPr>
                    <w:pStyle w:val="95"/>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76" w:type="pct"/>
                  <w:tcBorders>
                    <w:tl2br w:val="nil"/>
                    <w:tr2bl w:val="nil"/>
                  </w:tcBorders>
                  <w:noWrap w:val="0"/>
                  <w:vAlign w:val="center"/>
                </w:tcPr>
                <w:p w14:paraId="619F9C7C">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新建</w:t>
                  </w:r>
                </w:p>
              </w:tc>
            </w:tr>
            <w:tr w14:paraId="48ACD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42" w:type="pct"/>
                  <w:gridSpan w:val="2"/>
                  <w:vMerge w:val="continue"/>
                  <w:tcBorders>
                    <w:tl2br w:val="nil"/>
                    <w:tr2bl w:val="nil"/>
                  </w:tcBorders>
                  <w:noWrap w:val="0"/>
                  <w:vAlign w:val="center"/>
                </w:tcPr>
                <w:p w14:paraId="3154DBBB">
                  <w:pPr>
                    <w:pStyle w:val="95"/>
                    <w:rPr>
                      <w:rFonts w:hint="default" w:ascii="Times New Roman" w:hAnsi="Times New Roman" w:cs="Times New Roman"/>
                      <w:color w:val="auto"/>
                      <w:sz w:val="21"/>
                      <w:szCs w:val="21"/>
                      <w:highlight w:val="none"/>
                      <w:lang w:val="en-US" w:eastAsia="zh-CN"/>
                    </w:rPr>
                  </w:pPr>
                </w:p>
              </w:tc>
              <w:tc>
                <w:tcPr>
                  <w:tcW w:w="397" w:type="pct"/>
                  <w:tcBorders>
                    <w:tl2br w:val="nil"/>
                    <w:tr2bl w:val="nil"/>
                  </w:tcBorders>
                  <w:noWrap w:val="0"/>
                  <w:vAlign w:val="center"/>
                </w:tcPr>
                <w:p w14:paraId="3A7A9646">
                  <w:pPr>
                    <w:pStyle w:val="95"/>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成品库</w:t>
                  </w:r>
                </w:p>
              </w:tc>
              <w:tc>
                <w:tcPr>
                  <w:tcW w:w="1746" w:type="pct"/>
                  <w:gridSpan w:val="4"/>
                  <w:tcBorders>
                    <w:tl2br w:val="nil"/>
                    <w:tr2bl w:val="nil"/>
                  </w:tcBorders>
                  <w:noWrap w:val="0"/>
                  <w:vAlign w:val="center"/>
                </w:tcPr>
                <w:p w14:paraId="543F175A">
                  <w:pPr>
                    <w:pStyle w:val="95"/>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布设于生产车间内南侧，面积</w:t>
                  </w:r>
                  <w:r>
                    <w:rPr>
                      <w:rFonts w:hint="eastAsia" w:ascii="Times New Roman" w:hAnsi="Times New Roman" w:cs="Times New Roman"/>
                      <w:color w:val="auto"/>
                      <w:sz w:val="21"/>
                      <w:szCs w:val="21"/>
                      <w:highlight w:val="none"/>
                      <w:lang w:val="en-US" w:eastAsia="zh-CN"/>
                    </w:rPr>
                    <w:t>5000m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，用于</w:t>
                  </w:r>
                  <w:r>
                    <w:rPr>
                      <w:rFonts w:hint="eastAsia" w:cs="Times New Roman"/>
                      <w:color w:val="auto"/>
                      <w:sz w:val="21"/>
                      <w:szCs w:val="21"/>
                      <w:highlight w:val="none"/>
                      <w:lang w:val="en-US" w:eastAsia="zh-CN"/>
                    </w:rPr>
                    <w:t>成品</w:t>
                  </w:r>
                  <w:r>
                    <w:rPr>
                      <w:rFonts w:hint="eastAsia" w:ascii="Times New Roman" w:hAnsi="Times New Roman" w:cs="Times New Roman"/>
                      <w:color w:val="auto"/>
                      <w:sz w:val="21"/>
                      <w:szCs w:val="21"/>
                      <w:highlight w:val="none"/>
                      <w:lang w:val="en-US" w:eastAsia="zh-CN"/>
                    </w:rPr>
                    <w:t>暂存</w:t>
                  </w:r>
                </w:p>
              </w:tc>
              <w:tc>
                <w:tcPr>
                  <w:tcW w:w="245" w:type="pct"/>
                  <w:gridSpan w:val="2"/>
                  <w:tcBorders>
                    <w:tl2br w:val="nil"/>
                    <w:tr2bl w:val="nil"/>
                  </w:tcBorders>
                  <w:noWrap w:val="0"/>
                  <w:vAlign w:val="center"/>
                </w:tcPr>
                <w:p w14:paraId="0EB19A91">
                  <w:pPr>
                    <w:pStyle w:val="95"/>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91" w:type="pct"/>
                  <w:tcBorders>
                    <w:tl2br w:val="nil"/>
                    <w:tr2bl w:val="nil"/>
                  </w:tcBorders>
                  <w:noWrap w:val="0"/>
                  <w:vAlign w:val="center"/>
                </w:tcPr>
                <w:p w14:paraId="0839D30A">
                  <w:pPr>
                    <w:pStyle w:val="95"/>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76" w:type="pct"/>
                  <w:tcBorders>
                    <w:tl2br w:val="nil"/>
                    <w:tr2bl w:val="nil"/>
                  </w:tcBorders>
                  <w:noWrap w:val="0"/>
                  <w:vAlign w:val="center"/>
                </w:tcPr>
                <w:p w14:paraId="0E2B2667">
                  <w:pPr>
                    <w:pStyle w:val="95"/>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40572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pct"/>
                  <w:gridSpan w:val="2"/>
                  <w:vMerge w:val="continue"/>
                  <w:tcBorders>
                    <w:tl2br w:val="nil"/>
                    <w:tr2bl w:val="nil"/>
                  </w:tcBorders>
                  <w:noWrap w:val="0"/>
                  <w:vAlign w:val="center"/>
                </w:tcPr>
                <w:p w14:paraId="0B9C32EC">
                  <w:pPr>
                    <w:pStyle w:val="95"/>
                    <w:rPr>
                      <w:rFonts w:hint="default" w:ascii="Times New Roman" w:hAnsi="Times New Roman" w:eastAsia="宋体" w:cs="Times New Roman"/>
                      <w:color w:val="auto"/>
                      <w:sz w:val="21"/>
                      <w:szCs w:val="21"/>
                      <w:highlight w:val="none"/>
                      <w:lang w:val="en-US" w:eastAsia="zh-CN"/>
                    </w:rPr>
                  </w:pPr>
                </w:p>
              </w:tc>
              <w:tc>
                <w:tcPr>
                  <w:tcW w:w="397" w:type="pct"/>
                  <w:tcBorders>
                    <w:tl2br w:val="nil"/>
                    <w:tr2bl w:val="nil"/>
                  </w:tcBorders>
                  <w:noWrap w:val="0"/>
                  <w:vAlign w:val="center"/>
                </w:tcPr>
                <w:p w14:paraId="421EECD7">
                  <w:pPr>
                    <w:pStyle w:val="95"/>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一般固废间</w:t>
                  </w:r>
                </w:p>
              </w:tc>
              <w:tc>
                <w:tcPr>
                  <w:tcW w:w="1746" w:type="pct"/>
                  <w:gridSpan w:val="4"/>
                  <w:tcBorders>
                    <w:tl2br w:val="nil"/>
                    <w:tr2bl w:val="nil"/>
                  </w:tcBorders>
                  <w:noWrap w:val="0"/>
                  <w:vAlign w:val="center"/>
                </w:tcPr>
                <w:p w14:paraId="14AA77DF">
                  <w:pPr>
                    <w:pStyle w:val="95"/>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布设于生产车间内东南侧，面积30</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，用于</w:t>
                  </w:r>
                  <w:r>
                    <w:rPr>
                      <w:rFonts w:hint="eastAsia" w:cs="Times New Roman"/>
                      <w:color w:val="auto"/>
                      <w:sz w:val="21"/>
                      <w:szCs w:val="21"/>
                      <w:highlight w:val="none"/>
                      <w:lang w:val="en-US" w:eastAsia="zh-CN"/>
                    </w:rPr>
                    <w:t>腐熟菌种、 功能菌种废包装袋等一般固废的</w:t>
                  </w:r>
                  <w:r>
                    <w:rPr>
                      <w:rFonts w:hint="eastAsia" w:ascii="Times New Roman" w:hAnsi="Times New Roman" w:cs="Times New Roman"/>
                      <w:color w:val="auto"/>
                      <w:sz w:val="21"/>
                      <w:szCs w:val="21"/>
                      <w:highlight w:val="none"/>
                      <w:lang w:val="en-US" w:eastAsia="zh-CN"/>
                    </w:rPr>
                    <w:t>暂存</w:t>
                  </w:r>
                  <w:r>
                    <w:rPr>
                      <w:rFonts w:hint="eastAsia" w:cs="Times New Roman"/>
                      <w:color w:val="auto"/>
                      <w:sz w:val="21"/>
                      <w:szCs w:val="21"/>
                      <w:highlight w:val="none"/>
                      <w:lang w:val="en-US" w:eastAsia="zh-CN"/>
                    </w:rPr>
                    <w:t>（地面采用C30防渗混凝土+2mmHDPE膜，厚度≥150mm，防渗等级K≤10</w:t>
                  </w:r>
                  <w:r>
                    <w:rPr>
                      <w:rFonts w:hint="eastAsia" w:cs="Times New Roman"/>
                      <w:color w:val="auto"/>
                      <w:sz w:val="21"/>
                      <w:szCs w:val="21"/>
                      <w:highlight w:val="none"/>
                      <w:vertAlign w:val="superscript"/>
                      <w:lang w:val="en-US" w:eastAsia="zh-CN"/>
                    </w:rPr>
                    <w:t>-7</w:t>
                  </w:r>
                  <w:r>
                    <w:rPr>
                      <w:rFonts w:hint="eastAsia" w:cs="Times New Roman"/>
                      <w:color w:val="auto"/>
                      <w:sz w:val="21"/>
                      <w:szCs w:val="21"/>
                      <w:highlight w:val="none"/>
                      <w:lang w:val="en-US" w:eastAsia="zh-CN"/>
                    </w:rPr>
                    <w:t>cm/s）；</w:t>
                  </w:r>
                </w:p>
              </w:tc>
              <w:tc>
                <w:tcPr>
                  <w:tcW w:w="245" w:type="pct"/>
                  <w:gridSpan w:val="2"/>
                  <w:tcBorders>
                    <w:tl2br w:val="nil"/>
                    <w:tr2bl w:val="nil"/>
                  </w:tcBorders>
                  <w:noWrap w:val="0"/>
                  <w:vAlign w:val="center"/>
                </w:tcPr>
                <w:p w14:paraId="6AC07817">
                  <w:pPr>
                    <w:pStyle w:val="95"/>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91" w:type="pct"/>
                  <w:tcBorders>
                    <w:tl2br w:val="nil"/>
                    <w:tr2bl w:val="nil"/>
                  </w:tcBorders>
                  <w:noWrap w:val="0"/>
                  <w:vAlign w:val="center"/>
                </w:tcPr>
                <w:p w14:paraId="12696D2D">
                  <w:pPr>
                    <w:pStyle w:val="95"/>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76" w:type="pct"/>
                  <w:tcBorders>
                    <w:tl2br w:val="nil"/>
                    <w:tr2bl w:val="nil"/>
                  </w:tcBorders>
                  <w:noWrap w:val="0"/>
                  <w:vAlign w:val="center"/>
                </w:tcPr>
                <w:p w14:paraId="0EEDC619">
                  <w:pPr>
                    <w:pStyle w:val="95"/>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7A784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pct"/>
                  <w:gridSpan w:val="2"/>
                  <w:vMerge w:val="continue"/>
                  <w:tcBorders>
                    <w:tl2br w:val="nil"/>
                    <w:tr2bl w:val="nil"/>
                  </w:tcBorders>
                  <w:noWrap w:val="0"/>
                  <w:vAlign w:val="center"/>
                </w:tcPr>
                <w:p w14:paraId="1CE119AB">
                  <w:pPr>
                    <w:pStyle w:val="95"/>
                    <w:rPr>
                      <w:rFonts w:hint="default" w:ascii="Times New Roman" w:hAnsi="Times New Roman" w:eastAsia="宋体" w:cs="Times New Roman"/>
                      <w:color w:val="auto"/>
                      <w:sz w:val="21"/>
                      <w:szCs w:val="21"/>
                      <w:highlight w:val="none"/>
                      <w:lang w:val="en-US" w:eastAsia="zh-CN"/>
                    </w:rPr>
                  </w:pPr>
                </w:p>
              </w:tc>
              <w:tc>
                <w:tcPr>
                  <w:tcW w:w="397" w:type="pct"/>
                  <w:tcBorders>
                    <w:tl2br w:val="nil"/>
                    <w:tr2bl w:val="nil"/>
                  </w:tcBorders>
                  <w:noWrap w:val="0"/>
                  <w:vAlign w:val="center"/>
                </w:tcPr>
                <w:p w14:paraId="6DCBC087">
                  <w:pPr>
                    <w:pStyle w:val="95"/>
                    <w:rPr>
                      <w:rFonts w:hint="default" w:cs="Times New Roman"/>
                      <w:color w:val="auto"/>
                      <w:sz w:val="21"/>
                      <w:szCs w:val="21"/>
                      <w:highlight w:val="none"/>
                      <w:lang w:val="en-US" w:eastAsia="zh-CN"/>
                    </w:rPr>
                  </w:pPr>
                  <w:r>
                    <w:rPr>
                      <w:rFonts w:hint="eastAsia" w:cs="Times New Roman"/>
                      <w:color w:val="auto"/>
                      <w:szCs w:val="21"/>
                      <w:highlight w:val="none"/>
                      <w:lang w:val="en-US" w:eastAsia="zh-CN"/>
                    </w:rPr>
                    <w:t>危废间</w:t>
                  </w:r>
                </w:p>
              </w:tc>
              <w:tc>
                <w:tcPr>
                  <w:tcW w:w="1746" w:type="pct"/>
                  <w:gridSpan w:val="4"/>
                  <w:tcBorders>
                    <w:tl2br w:val="nil"/>
                    <w:tr2bl w:val="nil"/>
                  </w:tcBorders>
                  <w:noWrap w:val="0"/>
                  <w:vAlign w:val="center"/>
                </w:tcPr>
                <w:p w14:paraId="79FC6EFE">
                  <w:pPr>
                    <w:pStyle w:val="95"/>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布设于生产车间内东南侧、紧邻一般固废间，面积30m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，用于暂存修理替换后的桶装废润滑油（</w:t>
                  </w:r>
                  <w:r>
                    <w:rPr>
                      <w:rFonts w:hint="eastAsia" w:cs="Times New Roman"/>
                      <w:color w:val="auto"/>
                      <w:szCs w:val="21"/>
                      <w:highlight w:val="none"/>
                      <w:lang w:val="en-US" w:eastAsia="zh-CN"/>
                    </w:rPr>
                    <w:t>危废间地面及裙角进行防渗处理，地面防渗措施为在混凝土上铺设复合土工膜+水泥砂浆抹灰及环氧树脂耐油防腐地坪，渗透系数≤ 10</w:t>
                  </w:r>
                  <w:r>
                    <w:rPr>
                      <w:rFonts w:hint="eastAsia" w:cs="Times New Roman"/>
                      <w:color w:val="auto"/>
                      <w:szCs w:val="21"/>
                      <w:highlight w:val="none"/>
                      <w:vertAlign w:val="superscript"/>
                      <w:lang w:val="en-US" w:eastAsia="zh-CN"/>
                    </w:rPr>
                    <w:t>-10</w:t>
                  </w:r>
                  <w:r>
                    <w:rPr>
                      <w:rFonts w:hint="eastAsia" w:cs="Times New Roman"/>
                      <w:color w:val="auto"/>
                      <w:szCs w:val="21"/>
                      <w:highlight w:val="none"/>
                      <w:lang w:val="en-US" w:eastAsia="zh-CN"/>
                    </w:rPr>
                    <w:t>cm/s并设置收集池、导流槽等设施。</w:t>
                  </w:r>
                  <w:r>
                    <w:rPr>
                      <w:rFonts w:hint="eastAsia" w:cs="Times New Roman"/>
                      <w:color w:val="auto"/>
                      <w:sz w:val="21"/>
                      <w:szCs w:val="21"/>
                      <w:highlight w:val="none"/>
                      <w:vertAlign w:val="baseline"/>
                      <w:lang w:val="en-US" w:eastAsia="zh-CN"/>
                    </w:rPr>
                    <w:t>）</w:t>
                  </w:r>
                </w:p>
              </w:tc>
              <w:tc>
                <w:tcPr>
                  <w:tcW w:w="245" w:type="pct"/>
                  <w:gridSpan w:val="2"/>
                  <w:tcBorders>
                    <w:tl2br w:val="nil"/>
                    <w:tr2bl w:val="nil"/>
                  </w:tcBorders>
                  <w:noWrap w:val="0"/>
                  <w:vAlign w:val="center"/>
                </w:tcPr>
                <w:p w14:paraId="319B553A">
                  <w:pPr>
                    <w:pStyle w:val="95"/>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91" w:type="pct"/>
                  <w:tcBorders>
                    <w:tl2br w:val="nil"/>
                    <w:tr2bl w:val="nil"/>
                  </w:tcBorders>
                  <w:noWrap w:val="0"/>
                  <w:vAlign w:val="center"/>
                </w:tcPr>
                <w:p w14:paraId="542A8427">
                  <w:pPr>
                    <w:pStyle w:val="95"/>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76" w:type="pct"/>
                  <w:tcBorders>
                    <w:tl2br w:val="nil"/>
                    <w:tr2bl w:val="nil"/>
                  </w:tcBorders>
                  <w:noWrap w:val="0"/>
                  <w:vAlign w:val="center"/>
                </w:tcPr>
                <w:p w14:paraId="378E4E0B">
                  <w:pPr>
                    <w:pStyle w:val="95"/>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79853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442" w:type="pct"/>
                  <w:gridSpan w:val="2"/>
                  <w:vMerge w:val="restart"/>
                  <w:tcBorders>
                    <w:tl2br w:val="nil"/>
                    <w:tr2bl w:val="nil"/>
                  </w:tcBorders>
                  <w:noWrap w:val="0"/>
                  <w:vAlign w:val="center"/>
                </w:tcPr>
                <w:p w14:paraId="6C45FDA1">
                  <w:pPr>
                    <w:pStyle w:val="95"/>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辅助工程</w:t>
                  </w:r>
                </w:p>
              </w:tc>
              <w:tc>
                <w:tcPr>
                  <w:tcW w:w="397" w:type="pct"/>
                  <w:tcBorders>
                    <w:tl2br w:val="nil"/>
                    <w:tr2bl w:val="nil"/>
                  </w:tcBorders>
                  <w:noWrap w:val="0"/>
                  <w:vAlign w:val="center"/>
                </w:tcPr>
                <w:p w14:paraId="6962F522">
                  <w:pPr>
                    <w:pStyle w:val="95"/>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办公管理区</w:t>
                  </w:r>
                </w:p>
              </w:tc>
              <w:tc>
                <w:tcPr>
                  <w:tcW w:w="1746" w:type="pct"/>
                  <w:gridSpan w:val="4"/>
                  <w:tcBorders>
                    <w:tl2br w:val="nil"/>
                    <w:tr2bl w:val="nil"/>
                  </w:tcBorders>
                  <w:noWrap w:val="0"/>
                  <w:vAlign w:val="center"/>
                </w:tcPr>
                <w:p w14:paraId="2CF82086">
                  <w:pPr>
                    <w:pStyle w:val="29"/>
                    <w:spacing w:before="0" w:beforeAutospacing="0" w:after="0" w:afterAutospacing="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位于厂区主入口东侧，</w:t>
                  </w:r>
                  <w:r>
                    <w:rPr>
                      <w:rFonts w:hint="default" w:ascii="Times New Roman" w:hAnsi="Times New Roman" w:cs="Times New Roman"/>
                      <w:color w:val="auto"/>
                      <w:sz w:val="21"/>
                      <w:szCs w:val="21"/>
                      <w:highlight w:val="none"/>
                      <w:lang w:val="en-US" w:eastAsia="zh-CN"/>
                    </w:rPr>
                    <w:t>建筑面积300</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，框架结构</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层，含办公区、</w:t>
                  </w:r>
                  <w:r>
                    <w:rPr>
                      <w:rFonts w:hint="eastAsia" w:ascii="Times New Roman" w:hAnsi="Times New Roman" w:cs="Times New Roman"/>
                      <w:color w:val="auto"/>
                      <w:sz w:val="21"/>
                      <w:szCs w:val="21"/>
                      <w:highlight w:val="none"/>
                      <w:lang w:val="en-US" w:eastAsia="zh-CN"/>
                    </w:rPr>
                    <w:t>质量检验室</w:t>
                  </w:r>
                  <w:r>
                    <w:rPr>
                      <w:rFonts w:hint="default" w:ascii="Times New Roman" w:hAnsi="Times New Roman" w:cs="Times New Roman"/>
                      <w:color w:val="auto"/>
                      <w:sz w:val="21"/>
                      <w:szCs w:val="21"/>
                      <w:highlight w:val="none"/>
                      <w:lang w:val="en-US" w:eastAsia="zh-CN"/>
                    </w:rPr>
                    <w:t>、配电室、卫生间，配套给排水、消防、安防等系统</w:t>
                  </w:r>
                </w:p>
              </w:tc>
              <w:tc>
                <w:tcPr>
                  <w:tcW w:w="245" w:type="pct"/>
                  <w:gridSpan w:val="2"/>
                  <w:tcBorders>
                    <w:tl2br w:val="nil"/>
                    <w:tr2bl w:val="nil"/>
                  </w:tcBorders>
                  <w:noWrap w:val="0"/>
                  <w:vAlign w:val="center"/>
                </w:tcPr>
                <w:p w14:paraId="5D75DACF">
                  <w:pPr>
                    <w:pStyle w:val="29"/>
                    <w:spacing w:before="0" w:beforeAutospacing="0" w:after="0" w:afterAutospacing="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291" w:type="pct"/>
                  <w:tcBorders>
                    <w:tl2br w:val="nil"/>
                    <w:tr2bl w:val="nil"/>
                  </w:tcBorders>
                  <w:noWrap w:val="0"/>
                  <w:vAlign w:val="center"/>
                </w:tcPr>
                <w:p w14:paraId="7A77780A">
                  <w:pPr>
                    <w:pStyle w:val="29"/>
                    <w:spacing w:before="0" w:beforeAutospacing="0" w:after="0" w:afterAutospacing="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876" w:type="pct"/>
                  <w:tcBorders>
                    <w:tl2br w:val="nil"/>
                    <w:tr2bl w:val="nil"/>
                  </w:tcBorders>
                  <w:noWrap w:val="0"/>
                  <w:vAlign w:val="center"/>
                </w:tcPr>
                <w:p w14:paraId="3981AE76">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新建</w:t>
                  </w:r>
                </w:p>
              </w:tc>
            </w:tr>
            <w:tr w14:paraId="65747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442" w:type="pct"/>
                  <w:gridSpan w:val="2"/>
                  <w:vMerge w:val="continue"/>
                  <w:tcBorders>
                    <w:tl2br w:val="nil"/>
                    <w:tr2bl w:val="nil"/>
                  </w:tcBorders>
                  <w:noWrap w:val="0"/>
                  <w:vAlign w:val="center"/>
                </w:tcPr>
                <w:p w14:paraId="2C2F9AB9">
                  <w:pPr>
                    <w:pStyle w:val="95"/>
                    <w:rPr>
                      <w:rFonts w:hint="default" w:ascii="Times New Roman" w:hAnsi="Times New Roman" w:cs="Times New Roman"/>
                      <w:color w:val="auto"/>
                      <w:sz w:val="21"/>
                      <w:szCs w:val="21"/>
                      <w:highlight w:val="none"/>
                    </w:rPr>
                  </w:pPr>
                </w:p>
              </w:tc>
              <w:tc>
                <w:tcPr>
                  <w:tcW w:w="397" w:type="pct"/>
                  <w:tcBorders>
                    <w:tl2br w:val="nil"/>
                    <w:tr2bl w:val="nil"/>
                  </w:tcBorders>
                  <w:noWrap w:val="0"/>
                  <w:vAlign w:val="center"/>
                </w:tcPr>
                <w:p w14:paraId="104AD995">
                  <w:pPr>
                    <w:pStyle w:val="95"/>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质量检验室</w:t>
                  </w:r>
                </w:p>
              </w:tc>
              <w:tc>
                <w:tcPr>
                  <w:tcW w:w="1746" w:type="pct"/>
                  <w:gridSpan w:val="4"/>
                  <w:tcBorders>
                    <w:tl2br w:val="nil"/>
                    <w:tr2bl w:val="nil"/>
                  </w:tcBorders>
                  <w:noWrap w:val="0"/>
                  <w:vAlign w:val="center"/>
                </w:tcPr>
                <w:p w14:paraId="70100900">
                  <w:pPr>
                    <w:pStyle w:val="29"/>
                    <w:spacing w:before="0" w:beforeAutospacing="0" w:after="0" w:afterAutospacing="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位于办公管理区内，面积50m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质量检验室</w:t>
                  </w:r>
                  <w:r>
                    <w:rPr>
                      <w:rFonts w:hint="default" w:ascii="Times New Roman" w:hAnsi="Times New Roman" w:cs="Times New Roman"/>
                      <w:color w:val="auto"/>
                      <w:spacing w:val="-6"/>
                      <w:sz w:val="21"/>
                      <w:szCs w:val="21"/>
                      <w:highlight w:val="none"/>
                      <w:lang w:val="en-US" w:eastAsia="zh-CN" w:bidi="zh-CN"/>
                    </w:rPr>
                    <w:t>地面采用</w:t>
                  </w:r>
                  <w:r>
                    <w:rPr>
                      <w:rFonts w:hint="default" w:ascii="Times New Roman" w:hAnsi="Times New Roman" w:cs="Times New Roman"/>
                      <w:color w:val="auto"/>
                      <w:sz w:val="21"/>
                      <w:szCs w:val="21"/>
                      <w:highlight w:val="none"/>
                      <w:lang w:val="en-US" w:eastAsia="zh-CN"/>
                    </w:rPr>
                    <w:t>C30防渗混凝土+2mmHDPE膜，厚度≥150mm，防渗等级K≤10</w:t>
                  </w:r>
                  <w:r>
                    <w:rPr>
                      <w:rFonts w:hint="default" w:ascii="Times New Roman" w:hAnsi="Times New Roman" w:cs="Times New Roman"/>
                      <w:color w:val="auto"/>
                      <w:sz w:val="21"/>
                      <w:szCs w:val="21"/>
                      <w:highlight w:val="none"/>
                      <w:vertAlign w:val="superscript"/>
                      <w:lang w:val="en-US" w:eastAsia="zh-CN"/>
                    </w:rPr>
                    <w:t>-7</w:t>
                  </w:r>
                  <w:r>
                    <w:rPr>
                      <w:rFonts w:hint="default" w:ascii="Times New Roman" w:hAnsi="Times New Roman" w:cs="Times New Roman"/>
                      <w:color w:val="auto"/>
                      <w:sz w:val="21"/>
                      <w:szCs w:val="21"/>
                      <w:highlight w:val="none"/>
                      <w:lang w:val="en-US" w:eastAsia="zh-CN"/>
                    </w:rPr>
                    <w:t>cm/s</w:t>
                  </w:r>
                  <w:r>
                    <w:rPr>
                      <w:rFonts w:hint="default" w:ascii="Times New Roman" w:hAnsi="Times New Roman" w:cs="Times New Roman"/>
                      <w:color w:val="auto"/>
                      <w:spacing w:val="-2"/>
                      <w:sz w:val="21"/>
                      <w:szCs w:val="21"/>
                      <w:highlight w:val="none"/>
                      <w:lang w:val="en-US" w:eastAsia="zh-CN"/>
                    </w:rPr>
                    <w:t>，主要功能为抽样检测产品的质量</w:t>
                  </w:r>
                </w:p>
              </w:tc>
              <w:tc>
                <w:tcPr>
                  <w:tcW w:w="245" w:type="pct"/>
                  <w:gridSpan w:val="2"/>
                  <w:tcBorders>
                    <w:tl2br w:val="nil"/>
                    <w:tr2bl w:val="nil"/>
                  </w:tcBorders>
                  <w:noWrap w:val="0"/>
                  <w:vAlign w:val="center"/>
                </w:tcPr>
                <w:p w14:paraId="66676701">
                  <w:pPr>
                    <w:pStyle w:val="29"/>
                    <w:spacing w:before="0" w:beforeAutospacing="0" w:after="0" w:afterAutospacing="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291" w:type="pct"/>
                  <w:tcBorders>
                    <w:tl2br w:val="nil"/>
                    <w:tr2bl w:val="nil"/>
                  </w:tcBorders>
                  <w:noWrap w:val="0"/>
                  <w:vAlign w:val="center"/>
                </w:tcPr>
                <w:p w14:paraId="58D06CF7">
                  <w:pPr>
                    <w:pStyle w:val="29"/>
                    <w:spacing w:before="0" w:beforeAutospacing="0" w:after="0" w:afterAutospacing="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876" w:type="pct"/>
                  <w:tcBorders>
                    <w:tl2br w:val="nil"/>
                    <w:tr2bl w:val="nil"/>
                  </w:tcBorders>
                  <w:noWrap w:val="0"/>
                  <w:vAlign w:val="center"/>
                </w:tcPr>
                <w:p w14:paraId="03BDBA63">
                  <w:pPr>
                    <w:pStyle w:val="95"/>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447EB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 w:type="pct"/>
                  <w:vMerge w:val="restart"/>
                  <w:tcBorders>
                    <w:tl2br w:val="nil"/>
                    <w:tr2bl w:val="nil"/>
                  </w:tcBorders>
                  <w:noWrap w:val="0"/>
                  <w:vAlign w:val="center"/>
                </w:tcPr>
                <w:p w14:paraId="5E131865">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公用工程</w:t>
                  </w:r>
                </w:p>
              </w:tc>
              <w:tc>
                <w:tcPr>
                  <w:tcW w:w="250" w:type="pct"/>
                  <w:tcBorders>
                    <w:tl2br w:val="nil"/>
                    <w:tr2bl w:val="nil"/>
                  </w:tcBorders>
                  <w:noWrap w:val="0"/>
                  <w:vAlign w:val="center"/>
                </w:tcPr>
                <w:p w14:paraId="2D6279A1">
                  <w:pPr>
                    <w:pStyle w:val="95"/>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供水</w:t>
                  </w:r>
                </w:p>
              </w:tc>
              <w:tc>
                <w:tcPr>
                  <w:tcW w:w="3680" w:type="pct"/>
                  <w:gridSpan w:val="8"/>
                  <w:tcBorders>
                    <w:tl2br w:val="nil"/>
                    <w:tr2bl w:val="nil"/>
                  </w:tcBorders>
                  <w:noWrap w:val="0"/>
                  <w:vAlign w:val="center"/>
                </w:tcPr>
                <w:p w14:paraId="78B4BA56">
                  <w:pPr>
                    <w:pStyle w:val="2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r>
                    <w:rPr>
                      <w:rFonts w:hint="eastAsia" w:ascii="Times New Roman" w:hAnsi="Times New Roman" w:cs="Times New Roman"/>
                      <w:color w:val="auto"/>
                      <w:sz w:val="21"/>
                      <w:szCs w:val="21"/>
                      <w:highlight w:val="none"/>
                      <w:lang w:val="en-US" w:eastAsia="zh-CN"/>
                    </w:rPr>
                    <w:t>水洗塔用水来源于外购磴口县饮斯源纯净水有限公司罐装水、生活</w:t>
                  </w:r>
                  <w:r>
                    <w:rPr>
                      <w:rFonts w:hint="default" w:ascii="Times New Roman" w:hAnsi="Times New Roman" w:cs="Times New Roman"/>
                      <w:color w:val="auto"/>
                      <w:sz w:val="21"/>
                      <w:szCs w:val="21"/>
                      <w:highlight w:val="none"/>
                    </w:rPr>
                    <w:t>用水</w:t>
                  </w:r>
                  <w:r>
                    <w:rPr>
                      <w:rFonts w:hint="default" w:ascii="Times New Roman" w:hAnsi="Times New Roman" w:cs="Times New Roman"/>
                      <w:color w:val="auto"/>
                      <w:sz w:val="21"/>
                      <w:szCs w:val="21"/>
                      <w:highlight w:val="none"/>
                      <w:lang w:val="en-US" w:eastAsia="zh-CN"/>
                    </w:rPr>
                    <w:t>来源于外购的桶装水</w:t>
                  </w:r>
                </w:p>
              </w:tc>
              <w:tc>
                <w:tcPr>
                  <w:tcW w:w="876" w:type="pct"/>
                  <w:tcBorders>
                    <w:tl2br w:val="nil"/>
                    <w:tr2bl w:val="nil"/>
                  </w:tcBorders>
                  <w:noWrap w:val="0"/>
                  <w:vAlign w:val="center"/>
                </w:tcPr>
                <w:p w14:paraId="2A420482">
                  <w:pPr>
                    <w:pStyle w:val="95"/>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外购</w:t>
                  </w:r>
                </w:p>
              </w:tc>
            </w:tr>
            <w:tr w14:paraId="432A8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1" w:type="pct"/>
                  <w:vMerge w:val="continue"/>
                  <w:tcBorders>
                    <w:tl2br w:val="nil"/>
                    <w:tr2bl w:val="nil"/>
                  </w:tcBorders>
                  <w:noWrap w:val="0"/>
                  <w:vAlign w:val="center"/>
                </w:tcPr>
                <w:p w14:paraId="4417591C">
                  <w:pPr>
                    <w:pStyle w:val="95"/>
                    <w:rPr>
                      <w:rFonts w:hint="default" w:ascii="Times New Roman" w:hAnsi="Times New Roman" w:cs="Times New Roman"/>
                      <w:color w:val="auto"/>
                      <w:sz w:val="21"/>
                      <w:szCs w:val="21"/>
                      <w:highlight w:val="none"/>
                    </w:rPr>
                  </w:pPr>
                </w:p>
              </w:tc>
              <w:tc>
                <w:tcPr>
                  <w:tcW w:w="250" w:type="pct"/>
                  <w:vMerge w:val="restart"/>
                  <w:tcBorders>
                    <w:tl2br w:val="nil"/>
                    <w:tr2bl w:val="nil"/>
                  </w:tcBorders>
                  <w:noWrap w:val="0"/>
                  <w:vAlign w:val="center"/>
                </w:tcPr>
                <w:p w14:paraId="2CA5152F">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排水</w:t>
                  </w:r>
                </w:p>
              </w:tc>
              <w:tc>
                <w:tcPr>
                  <w:tcW w:w="3680" w:type="pct"/>
                  <w:gridSpan w:val="8"/>
                  <w:tcBorders>
                    <w:tl2br w:val="nil"/>
                    <w:tr2bl w:val="nil"/>
                  </w:tcBorders>
                  <w:noWrap w:val="0"/>
                  <w:vAlign w:val="center"/>
                </w:tcPr>
                <w:p w14:paraId="32924EB1">
                  <w:pPr>
                    <w:pStyle w:val="95"/>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水洗塔中的水循环利用，</w:t>
                  </w:r>
                  <w:r>
                    <w:rPr>
                      <w:rFonts w:hint="eastAsia" w:ascii="Times New Roman" w:hAnsi="Times New Roman" w:eastAsia="宋体" w:cs="Times New Roman"/>
                      <w:color w:val="auto"/>
                      <w:sz w:val="21"/>
                      <w:szCs w:val="21"/>
                      <w:highlight w:val="none"/>
                      <w:lang w:val="en-US" w:eastAsia="zh-CN"/>
                    </w:rPr>
                    <w:t>水洗塔内排水</w:t>
                  </w:r>
                  <w:r>
                    <w:rPr>
                      <w:rFonts w:hint="eastAsia" w:cs="Times New Roman"/>
                      <w:color w:val="auto"/>
                      <w:sz w:val="21"/>
                      <w:szCs w:val="21"/>
                      <w:highlight w:val="none"/>
                      <w:lang w:val="en-US" w:eastAsia="zh-CN"/>
                    </w:rPr>
                    <w:t>0.2t/月，回用于稀释菌种；不能消纳部分排至化粪池</w:t>
                  </w:r>
                </w:p>
              </w:tc>
              <w:tc>
                <w:tcPr>
                  <w:tcW w:w="876" w:type="pct"/>
                  <w:tcBorders>
                    <w:tl2br w:val="nil"/>
                    <w:tr2bl w:val="nil"/>
                  </w:tcBorders>
                  <w:noWrap w:val="0"/>
                  <w:vAlign w:val="center"/>
                </w:tcPr>
                <w:p w14:paraId="3A9B48D5">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新建</w:t>
                  </w:r>
                </w:p>
              </w:tc>
            </w:tr>
            <w:tr w14:paraId="0D9F4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91" w:type="pct"/>
                  <w:vMerge w:val="continue"/>
                  <w:tcBorders>
                    <w:tl2br w:val="nil"/>
                    <w:tr2bl w:val="nil"/>
                  </w:tcBorders>
                  <w:noWrap w:val="0"/>
                  <w:vAlign w:val="center"/>
                </w:tcPr>
                <w:p w14:paraId="520FEF3B">
                  <w:pPr>
                    <w:pStyle w:val="95"/>
                    <w:rPr>
                      <w:rFonts w:hint="default" w:ascii="Times New Roman" w:hAnsi="Times New Roman" w:cs="Times New Roman"/>
                      <w:color w:val="auto"/>
                      <w:sz w:val="21"/>
                      <w:szCs w:val="21"/>
                      <w:highlight w:val="none"/>
                    </w:rPr>
                  </w:pPr>
                </w:p>
              </w:tc>
              <w:tc>
                <w:tcPr>
                  <w:tcW w:w="250" w:type="pct"/>
                  <w:vMerge w:val="continue"/>
                  <w:tcBorders>
                    <w:tl2br w:val="nil"/>
                    <w:tr2bl w:val="nil"/>
                  </w:tcBorders>
                  <w:noWrap w:val="0"/>
                  <w:vAlign w:val="center"/>
                </w:tcPr>
                <w:p w14:paraId="52F28434">
                  <w:pPr>
                    <w:pStyle w:val="95"/>
                    <w:rPr>
                      <w:rFonts w:hint="default" w:ascii="Times New Roman" w:hAnsi="Times New Roman" w:cs="Times New Roman"/>
                      <w:color w:val="auto"/>
                      <w:sz w:val="21"/>
                      <w:szCs w:val="21"/>
                      <w:highlight w:val="none"/>
                    </w:rPr>
                  </w:pPr>
                </w:p>
              </w:tc>
              <w:tc>
                <w:tcPr>
                  <w:tcW w:w="3680" w:type="pct"/>
                  <w:gridSpan w:val="8"/>
                  <w:tcBorders>
                    <w:tl2br w:val="nil"/>
                    <w:tr2bl w:val="nil"/>
                  </w:tcBorders>
                  <w:noWrap w:val="0"/>
                  <w:vAlign w:val="center"/>
                </w:tcPr>
                <w:p w14:paraId="079625E7">
                  <w:pPr>
                    <w:pStyle w:val="95"/>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化粪池，设置容积为4m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的玻璃钢化粪池（玻璃钢耐酸碱、抗腐蚀，埋地不漏水，不会污染地下水土），化粪池内生活污水委托环卫部门定期清运处理</w:t>
                  </w:r>
                </w:p>
              </w:tc>
              <w:tc>
                <w:tcPr>
                  <w:tcW w:w="876" w:type="pct"/>
                  <w:tcBorders>
                    <w:tl2br w:val="nil"/>
                    <w:tr2bl w:val="nil"/>
                  </w:tcBorders>
                  <w:noWrap w:val="0"/>
                  <w:vAlign w:val="center"/>
                </w:tcPr>
                <w:p w14:paraId="4C2F428D">
                  <w:pPr>
                    <w:pStyle w:val="95"/>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26794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91" w:type="pct"/>
                  <w:vMerge w:val="continue"/>
                  <w:tcBorders>
                    <w:tl2br w:val="nil"/>
                    <w:tr2bl w:val="nil"/>
                  </w:tcBorders>
                  <w:noWrap w:val="0"/>
                  <w:vAlign w:val="center"/>
                </w:tcPr>
                <w:p w14:paraId="54D9E87C">
                  <w:pPr>
                    <w:pStyle w:val="95"/>
                    <w:rPr>
                      <w:rFonts w:hint="default" w:ascii="Times New Roman" w:hAnsi="Times New Roman" w:cs="Times New Roman"/>
                      <w:color w:val="auto"/>
                      <w:sz w:val="21"/>
                      <w:szCs w:val="21"/>
                      <w:highlight w:val="none"/>
                    </w:rPr>
                  </w:pPr>
                </w:p>
              </w:tc>
              <w:tc>
                <w:tcPr>
                  <w:tcW w:w="250" w:type="pct"/>
                  <w:tcBorders>
                    <w:tl2br w:val="nil"/>
                    <w:tr2bl w:val="nil"/>
                  </w:tcBorders>
                  <w:noWrap w:val="0"/>
                  <w:vAlign w:val="center"/>
                </w:tcPr>
                <w:p w14:paraId="2F1320C6">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w:t>
                  </w:r>
                </w:p>
              </w:tc>
              <w:tc>
                <w:tcPr>
                  <w:tcW w:w="3680" w:type="pct"/>
                  <w:gridSpan w:val="8"/>
                  <w:tcBorders>
                    <w:tl2br w:val="nil"/>
                    <w:tr2bl w:val="nil"/>
                  </w:tcBorders>
                  <w:noWrap w:val="0"/>
                  <w:vAlign w:val="center"/>
                </w:tcPr>
                <w:p w14:paraId="6C02FB6A">
                  <w:pPr>
                    <w:pStyle w:val="2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本项目配套建设供配电室1座，电源由供电高压线路接引，能够满足项目用电需求。</w:t>
                  </w:r>
                </w:p>
              </w:tc>
              <w:tc>
                <w:tcPr>
                  <w:tcW w:w="876" w:type="pct"/>
                  <w:tcBorders>
                    <w:tl2br w:val="nil"/>
                    <w:tr2bl w:val="nil"/>
                  </w:tcBorders>
                  <w:noWrap w:val="0"/>
                  <w:vAlign w:val="center"/>
                </w:tcPr>
                <w:p w14:paraId="6A2814F5">
                  <w:pPr>
                    <w:pStyle w:val="95"/>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z w:val="21"/>
                      <w:szCs w:val="21"/>
                      <w:highlight w:val="none"/>
                    </w:rPr>
                    <w:t>新建</w:t>
                  </w:r>
                </w:p>
              </w:tc>
            </w:tr>
            <w:tr w14:paraId="6FF83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 w:type="pct"/>
                  <w:vMerge w:val="continue"/>
                  <w:tcBorders>
                    <w:tl2br w:val="nil"/>
                    <w:tr2bl w:val="nil"/>
                  </w:tcBorders>
                  <w:noWrap w:val="0"/>
                  <w:vAlign w:val="center"/>
                </w:tcPr>
                <w:p w14:paraId="21C58B8D">
                  <w:pPr>
                    <w:pStyle w:val="95"/>
                    <w:rPr>
                      <w:rFonts w:hint="default" w:ascii="Times New Roman" w:hAnsi="Times New Roman" w:cs="Times New Roman"/>
                      <w:color w:val="auto"/>
                      <w:sz w:val="21"/>
                      <w:szCs w:val="21"/>
                      <w:highlight w:val="none"/>
                    </w:rPr>
                  </w:pPr>
                </w:p>
              </w:tc>
              <w:tc>
                <w:tcPr>
                  <w:tcW w:w="250" w:type="pct"/>
                  <w:tcBorders>
                    <w:tl2br w:val="nil"/>
                    <w:tr2bl w:val="nil"/>
                  </w:tcBorders>
                  <w:noWrap w:val="0"/>
                  <w:vAlign w:val="center"/>
                </w:tcPr>
                <w:p w14:paraId="0A68447C">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供热</w:t>
                  </w:r>
                </w:p>
              </w:tc>
              <w:tc>
                <w:tcPr>
                  <w:tcW w:w="4557" w:type="pct"/>
                  <w:gridSpan w:val="9"/>
                  <w:tcBorders>
                    <w:tl2br w:val="nil"/>
                    <w:tr2bl w:val="nil"/>
                  </w:tcBorders>
                  <w:noWrap w:val="0"/>
                  <w:vAlign w:val="center"/>
                </w:tcPr>
                <w:p w14:paraId="2BEBD41B">
                  <w:pPr>
                    <w:pStyle w:val="29"/>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项目冬季供暖采用电采暖</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项目无烘干工序</w:t>
                  </w:r>
                  <w:r>
                    <w:rPr>
                      <w:rFonts w:hint="eastAsia"/>
                      <w:color w:val="auto"/>
                      <w:sz w:val="21"/>
                      <w:szCs w:val="21"/>
                      <w:highlight w:val="none"/>
                      <w:lang w:eastAsia="zh-CN"/>
                    </w:rPr>
                    <w:t>（</w:t>
                  </w:r>
                  <w:r>
                    <w:rPr>
                      <w:rFonts w:hint="eastAsia"/>
                      <w:color w:val="auto"/>
                      <w:sz w:val="21"/>
                      <w:szCs w:val="21"/>
                      <w:highlight w:val="none"/>
                      <w:lang w:val="en-US" w:eastAsia="zh-CN"/>
                    </w:rPr>
                    <w:t>本项目未发酵的的牛粪为</w:t>
                  </w:r>
                  <w:r>
                    <w:rPr>
                      <w:rFonts w:hint="eastAsia"/>
                      <w:color w:val="auto"/>
                      <w:sz w:val="21"/>
                      <w:szCs w:val="21"/>
                      <w:highlight w:val="none"/>
                      <w:lang w:eastAsia="zh-CN"/>
                    </w:rPr>
                    <w:t>黏稠糊状</w:t>
                  </w:r>
                  <w:r>
                    <w:rPr>
                      <w:rFonts w:hint="eastAsia"/>
                      <w:color w:val="auto"/>
                      <w:sz w:val="21"/>
                      <w:szCs w:val="21"/>
                      <w:highlight w:val="none"/>
                      <w:lang w:val="en-US" w:eastAsia="zh-CN"/>
                    </w:rPr>
                    <w:t>是</w:t>
                  </w:r>
                  <w:r>
                    <w:rPr>
                      <w:rFonts w:hint="eastAsia"/>
                      <w:color w:val="auto"/>
                      <w:sz w:val="21"/>
                      <w:szCs w:val="21"/>
                      <w:highlight w:val="none"/>
                      <w:lang w:eastAsia="zh-CN"/>
                    </w:rPr>
                    <w:t>堆肥发酵的初始原料状态，</w:t>
                  </w:r>
                  <w:r>
                    <w:rPr>
                      <w:rFonts w:hint="eastAsia"/>
                      <w:color w:val="auto"/>
                      <w:sz w:val="21"/>
                      <w:szCs w:val="21"/>
                      <w:highlight w:val="none"/>
                      <w:lang w:val="en-US" w:eastAsia="zh-CN"/>
                    </w:rPr>
                    <w:t>不需晾晒直接与秸秆成比例进入预处理可减少生产加水用量</w:t>
                  </w:r>
                  <w:r>
                    <w:rPr>
                      <w:rFonts w:hint="eastAsia"/>
                      <w:color w:val="auto"/>
                      <w:sz w:val="21"/>
                      <w:szCs w:val="21"/>
                      <w:highlight w:val="none"/>
                      <w:lang w:eastAsia="zh-CN"/>
                    </w:rPr>
                    <w:t>，</w:t>
                  </w:r>
                  <w:r>
                    <w:rPr>
                      <w:rFonts w:hint="eastAsia"/>
                      <w:color w:val="auto"/>
                      <w:sz w:val="21"/>
                      <w:szCs w:val="21"/>
                      <w:highlight w:val="none"/>
                      <w:lang w:val="en-US" w:eastAsia="zh-CN"/>
                    </w:rPr>
                    <w:t>且不易渗水）</w:t>
                  </w:r>
                  <w:r>
                    <w:rPr>
                      <w:rFonts w:hint="eastAsia" w:ascii="Times New Roman" w:hAnsi="Times New Roman" w:cs="Times New Roman"/>
                      <w:color w:val="auto"/>
                      <w:sz w:val="21"/>
                      <w:szCs w:val="21"/>
                      <w:highlight w:val="none"/>
                      <w:lang w:val="en-US" w:eastAsia="zh-CN"/>
                    </w:rPr>
                    <w:t>，不建设相应的烘干设备。基础有机肥发酵利用腐熟菌种与原料中的有机物堆肥发热保证发酵温度；高端有机肥发酵除菌种外，纳米膜车间池底设置曝气加热系统保证发酵温度</w:t>
                  </w:r>
                </w:p>
              </w:tc>
            </w:tr>
            <w:tr w14:paraId="49EB6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91" w:type="pct"/>
                  <w:vMerge w:val="restart"/>
                  <w:tcBorders>
                    <w:tl2br w:val="nil"/>
                    <w:tr2bl w:val="nil"/>
                  </w:tcBorders>
                  <w:noWrap w:val="0"/>
                  <w:vAlign w:val="center"/>
                </w:tcPr>
                <w:p w14:paraId="2E48ABB1">
                  <w:pPr>
                    <w:pStyle w:val="95"/>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环保工程</w:t>
                  </w:r>
                </w:p>
              </w:tc>
              <w:tc>
                <w:tcPr>
                  <w:tcW w:w="250" w:type="pct"/>
                  <w:vMerge w:val="restart"/>
                  <w:tcBorders>
                    <w:tl2br w:val="nil"/>
                    <w:tr2bl w:val="nil"/>
                  </w:tcBorders>
                  <w:noWrap w:val="0"/>
                  <w:vAlign w:val="center"/>
                </w:tcPr>
                <w:p w14:paraId="49333EFA">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735" w:type="pct"/>
                  <w:gridSpan w:val="2"/>
                  <w:tcBorders>
                    <w:tl2br w:val="nil"/>
                    <w:tr2bl w:val="nil"/>
                  </w:tcBorders>
                  <w:noWrap w:val="0"/>
                  <w:vAlign w:val="center"/>
                </w:tcPr>
                <w:p w14:paraId="7A68DBA0">
                  <w:pPr>
                    <w:pStyle w:val="29"/>
                    <w:spacing w:before="0" w:beforeAutospacing="0" w:after="0" w:afterAutospacing="0"/>
                    <w:jc w:val="center"/>
                    <w:rPr>
                      <w:rFonts w:hint="default" w:ascii="Times New Roman" w:hAnsi="Times New Roman" w:cs="Times New Roman"/>
                      <w:color w:val="auto"/>
                      <w:spacing w:val="-2"/>
                      <w:sz w:val="21"/>
                      <w:szCs w:val="21"/>
                      <w:highlight w:val="none"/>
                    </w:rPr>
                  </w:pPr>
                  <w:r>
                    <w:rPr>
                      <w:rFonts w:hint="eastAsia" w:ascii="Times New Roman" w:hAnsi="Times New Roman" w:cs="Times New Roman"/>
                      <w:color w:val="auto"/>
                      <w:sz w:val="21"/>
                      <w:szCs w:val="21"/>
                      <w:highlight w:val="none"/>
                      <w:lang w:val="en-US" w:eastAsia="zh-CN"/>
                    </w:rPr>
                    <w:t>原材料储备库</w:t>
                  </w:r>
                </w:p>
              </w:tc>
              <w:tc>
                <w:tcPr>
                  <w:tcW w:w="2945" w:type="pct"/>
                  <w:gridSpan w:val="6"/>
                  <w:tcBorders>
                    <w:tl2br w:val="nil"/>
                    <w:tr2bl w:val="nil"/>
                  </w:tcBorders>
                  <w:noWrap w:val="0"/>
                  <w:vAlign w:val="center"/>
                </w:tcPr>
                <w:p w14:paraId="691419DE">
                  <w:pPr>
                    <w:pStyle w:val="29"/>
                    <w:spacing w:before="0" w:beforeAutospacing="0" w:after="0" w:afterAutospacing="0"/>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由于原料含水率较大且运输过程使用全封闭车辆，运输、装卸过程中无粉尘产生；全封闭设置，由于原料含水率较大，产生粉尘量较少，无组织排放</w:t>
                  </w:r>
                </w:p>
              </w:tc>
              <w:tc>
                <w:tcPr>
                  <w:tcW w:w="876" w:type="pct"/>
                  <w:vMerge w:val="restart"/>
                  <w:tcBorders>
                    <w:tl2br w:val="nil"/>
                    <w:tr2bl w:val="nil"/>
                  </w:tcBorders>
                  <w:noWrap w:val="0"/>
                  <w:vAlign w:val="center"/>
                </w:tcPr>
                <w:p w14:paraId="612BE705">
                  <w:pPr>
                    <w:pStyle w:val="95"/>
                    <w:rPr>
                      <w:rFonts w:hint="eastAsia" w:ascii="Times New Roman" w:hAnsi="Times New Roman" w:eastAsia="宋体" w:cs="Times New Roman"/>
                      <w:color w:val="auto"/>
                      <w:sz w:val="21"/>
                      <w:szCs w:val="21"/>
                      <w:highlight w:val="none"/>
                      <w:lang w:eastAsia="zh-CN"/>
                    </w:rPr>
                  </w:pPr>
                  <w:r>
                    <w:rPr>
                      <w:rFonts w:hint="eastAsia"/>
                      <w:color w:val="auto"/>
                      <w:highlight w:val="none"/>
                      <w:lang w:val="en-US" w:eastAsia="zh-CN"/>
                    </w:rPr>
                    <w:t>由于本项目一、二期共用1条生产线，除发酵场地、发酵工艺不同导致发酵工序环保措施不同外，其余环境保护措施均相同</w:t>
                  </w:r>
                </w:p>
              </w:tc>
            </w:tr>
            <w:tr w14:paraId="2B56D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91" w:type="pct"/>
                  <w:vMerge w:val="continue"/>
                  <w:tcBorders>
                    <w:tl2br w:val="nil"/>
                    <w:tr2bl w:val="nil"/>
                  </w:tcBorders>
                  <w:noWrap w:val="0"/>
                  <w:vAlign w:val="center"/>
                </w:tcPr>
                <w:p w14:paraId="2E22B019">
                  <w:pPr>
                    <w:pStyle w:val="95"/>
                    <w:rPr>
                      <w:rFonts w:hint="default" w:ascii="Times New Roman" w:hAnsi="Times New Roman" w:cs="Times New Roman"/>
                      <w:color w:val="auto"/>
                      <w:sz w:val="21"/>
                      <w:szCs w:val="21"/>
                      <w:highlight w:val="none"/>
                    </w:rPr>
                  </w:pPr>
                </w:p>
              </w:tc>
              <w:tc>
                <w:tcPr>
                  <w:tcW w:w="250" w:type="pct"/>
                  <w:vMerge w:val="continue"/>
                  <w:tcBorders>
                    <w:tl2br w:val="nil"/>
                    <w:tr2bl w:val="nil"/>
                  </w:tcBorders>
                  <w:noWrap w:val="0"/>
                  <w:vAlign w:val="center"/>
                </w:tcPr>
                <w:p w14:paraId="49759937">
                  <w:pPr>
                    <w:pStyle w:val="95"/>
                    <w:rPr>
                      <w:rFonts w:hint="default" w:ascii="Times New Roman" w:hAnsi="Times New Roman" w:cs="Times New Roman"/>
                      <w:color w:val="auto"/>
                      <w:sz w:val="21"/>
                      <w:szCs w:val="21"/>
                      <w:highlight w:val="none"/>
                    </w:rPr>
                  </w:pPr>
                </w:p>
              </w:tc>
              <w:tc>
                <w:tcPr>
                  <w:tcW w:w="735" w:type="pct"/>
                  <w:gridSpan w:val="2"/>
                  <w:tcBorders>
                    <w:tl2br w:val="nil"/>
                    <w:tr2bl w:val="nil"/>
                  </w:tcBorders>
                  <w:noWrap w:val="0"/>
                  <w:vAlign w:val="center"/>
                </w:tcPr>
                <w:p w14:paraId="630C9446">
                  <w:pPr>
                    <w:pStyle w:val="29"/>
                    <w:spacing w:before="0" w:beforeAutospacing="0" w:after="0" w:afterAutospacing="0"/>
                    <w:jc w:val="center"/>
                    <w:rPr>
                      <w:rFonts w:hint="eastAsia"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粉碎</w:t>
                  </w:r>
                  <w:r>
                    <w:rPr>
                      <w:rFonts w:hint="eastAsia" w:ascii="Times New Roman" w:hAnsi="Times New Roman" w:cs="Times New Roman"/>
                      <w:color w:val="auto"/>
                      <w:spacing w:val="-2"/>
                      <w:sz w:val="21"/>
                      <w:szCs w:val="21"/>
                      <w:highlight w:val="none"/>
                      <w:lang w:eastAsia="zh-CN"/>
                    </w:rPr>
                    <w:t>、</w:t>
                  </w:r>
                  <w:r>
                    <w:rPr>
                      <w:rFonts w:hint="eastAsia" w:ascii="Times New Roman" w:hAnsi="Times New Roman" w:cs="Times New Roman"/>
                      <w:color w:val="auto"/>
                      <w:spacing w:val="-2"/>
                      <w:sz w:val="21"/>
                      <w:szCs w:val="21"/>
                      <w:highlight w:val="none"/>
                      <w:lang w:val="en-US" w:eastAsia="zh-CN"/>
                    </w:rPr>
                    <w:t>搅拌</w:t>
                  </w:r>
                </w:p>
              </w:tc>
              <w:tc>
                <w:tcPr>
                  <w:tcW w:w="2945" w:type="pct"/>
                  <w:gridSpan w:val="6"/>
                  <w:tcBorders>
                    <w:tl2br w:val="nil"/>
                    <w:tr2bl w:val="nil"/>
                  </w:tcBorders>
                  <w:noWrap w:val="0"/>
                  <w:vAlign w:val="center"/>
                </w:tcPr>
                <w:p w14:paraId="0F0D4561">
                  <w:pPr>
                    <w:pStyle w:val="29"/>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本项目粉碎、筛分、制粒、包装工段会产生粉尘，各个设备进料口（各设备出料口与输送管道封闭连接，产生大量的粉尘主要集中于进料口）均设置1个集气罩（尺寸</w:t>
                  </w:r>
                  <w:r>
                    <w:rPr>
                      <w:rFonts w:hint="default" w:ascii="Times New Roman" w:hAnsi="Times New Roman" w:eastAsia="宋体" w:cs="Times New Roman"/>
                      <w:bCs/>
                      <w:color w:val="auto"/>
                      <w:sz w:val="21"/>
                      <w:szCs w:val="21"/>
                      <w:highlight w:val="none"/>
                      <w:lang w:val="en-US" w:eastAsia="zh-CN"/>
                    </w:rPr>
                    <w:t>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1.5m</w:t>
                  </w:r>
                  <w:r>
                    <w:rPr>
                      <w:rFonts w:hint="eastAsia" w:ascii="Times New Roman" w:hAnsi="Times New Roman" w:cs="Times New Roman"/>
                      <w:color w:val="auto"/>
                      <w:sz w:val="21"/>
                      <w:szCs w:val="21"/>
                      <w:highlight w:val="none"/>
                      <w:lang w:val="en-US" w:eastAsia="zh-CN"/>
                    </w:rPr>
                    <w:t>），通过管道将收集的粉尘输送至1台布袋除尘处理后经1根15m高，内径0.5m的排气筒（#1）排放</w:t>
                  </w:r>
                </w:p>
              </w:tc>
              <w:tc>
                <w:tcPr>
                  <w:tcW w:w="876" w:type="pct"/>
                  <w:vMerge w:val="continue"/>
                  <w:tcBorders>
                    <w:tl2br w:val="nil"/>
                    <w:tr2bl w:val="nil"/>
                  </w:tcBorders>
                  <w:noWrap w:val="0"/>
                  <w:vAlign w:val="center"/>
                </w:tcPr>
                <w:p w14:paraId="791B0AC7">
                  <w:pPr>
                    <w:pStyle w:val="29"/>
                    <w:spacing w:before="0" w:beforeAutospacing="0" w:after="0" w:afterAutospacing="0"/>
                    <w:jc w:val="center"/>
                    <w:rPr>
                      <w:rFonts w:hint="default" w:ascii="Times New Roman" w:hAnsi="Times New Roman" w:cs="Times New Roman"/>
                      <w:color w:val="auto"/>
                      <w:sz w:val="21"/>
                      <w:szCs w:val="21"/>
                      <w:highlight w:val="none"/>
                    </w:rPr>
                  </w:pPr>
                </w:p>
              </w:tc>
            </w:tr>
            <w:tr w14:paraId="50FA6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8" w:hRule="atLeast"/>
                <w:jc w:val="center"/>
              </w:trPr>
              <w:tc>
                <w:tcPr>
                  <w:tcW w:w="191" w:type="pct"/>
                  <w:vMerge w:val="continue"/>
                  <w:tcBorders>
                    <w:tl2br w:val="nil"/>
                    <w:tr2bl w:val="nil"/>
                  </w:tcBorders>
                  <w:noWrap w:val="0"/>
                  <w:vAlign w:val="center"/>
                </w:tcPr>
                <w:p w14:paraId="1DC4D334">
                  <w:pPr>
                    <w:pStyle w:val="29"/>
                    <w:spacing w:before="0" w:beforeAutospacing="0" w:after="0" w:afterAutospacing="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noWrap w:val="0"/>
                  <w:vAlign w:val="center"/>
                </w:tcPr>
                <w:p w14:paraId="3D9725DC">
                  <w:pPr>
                    <w:pStyle w:val="29"/>
                    <w:spacing w:before="0" w:beforeAutospacing="0" w:after="0" w:afterAutospacing="0"/>
                    <w:jc w:val="center"/>
                    <w:rPr>
                      <w:rFonts w:hint="default" w:ascii="Times New Roman" w:hAnsi="Times New Roman" w:cs="Times New Roman"/>
                      <w:color w:val="auto"/>
                      <w:sz w:val="21"/>
                      <w:szCs w:val="21"/>
                      <w:highlight w:val="none"/>
                    </w:rPr>
                  </w:pPr>
                </w:p>
              </w:tc>
              <w:tc>
                <w:tcPr>
                  <w:tcW w:w="735" w:type="pct"/>
                  <w:gridSpan w:val="2"/>
                  <w:tcBorders>
                    <w:tl2br w:val="nil"/>
                    <w:tr2bl w:val="nil"/>
                  </w:tcBorders>
                  <w:noWrap w:val="0"/>
                  <w:vAlign w:val="center"/>
                </w:tcPr>
                <w:p w14:paraId="6339CB7C">
                  <w:pPr>
                    <w:pStyle w:val="29"/>
                    <w:spacing w:before="0" w:beforeAutospacing="0" w:after="0" w:afterAutospacing="0"/>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生产车间发酵间（基础有机肥发酵）</w:t>
                  </w:r>
                </w:p>
              </w:tc>
              <w:tc>
                <w:tcPr>
                  <w:tcW w:w="1105" w:type="pct"/>
                  <w:gridSpan w:val="2"/>
                  <w:tcBorders>
                    <w:tl2br w:val="nil"/>
                    <w:tr2bl w:val="nil"/>
                  </w:tcBorders>
                  <w:noWrap w:val="0"/>
                  <w:vAlign w:val="center"/>
                </w:tcPr>
                <w:p w14:paraId="2D1934ED">
                  <w:pPr>
                    <w:pStyle w:val="29"/>
                    <w:spacing w:before="0" w:beforeAutospacing="0" w:after="0" w:afterAutospacing="0"/>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生产车间发酵间产生的恶臭气体通过负压收集后，进入二级活性炭吸附除臭装置+水洗塔处理后经</w:t>
                  </w:r>
                  <w:r>
                    <w:rPr>
                      <w:rFonts w:hint="eastAsia" w:ascii="Times New Roman" w:hAnsi="Times New Roman" w:cs="Times New Roman"/>
                      <w:color w:val="auto"/>
                      <w:sz w:val="21"/>
                      <w:szCs w:val="21"/>
                      <w:highlight w:val="none"/>
                      <w:lang w:val="en-US" w:eastAsia="zh-CN"/>
                    </w:rPr>
                    <w:t>1根15m高，内径0.5m的排气筒（#2）排放</w:t>
                  </w:r>
                </w:p>
              </w:tc>
              <w:tc>
                <w:tcPr>
                  <w:tcW w:w="545" w:type="pct"/>
                  <w:gridSpan w:val="2"/>
                  <w:tcBorders>
                    <w:tl2br w:val="nil"/>
                    <w:tr2bl w:val="nil"/>
                  </w:tcBorders>
                  <w:noWrap w:val="0"/>
                  <w:vAlign w:val="center"/>
                </w:tcPr>
                <w:p w14:paraId="5349DFFB">
                  <w:pPr>
                    <w:pStyle w:val="29"/>
                    <w:spacing w:before="0" w:beforeAutospacing="0" w:after="0" w:afterAutospacing="0"/>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纳米膜发酵车间废气（高端有机肥发酵）</w:t>
                  </w:r>
                </w:p>
              </w:tc>
              <w:tc>
                <w:tcPr>
                  <w:tcW w:w="1295" w:type="pct"/>
                  <w:gridSpan w:val="2"/>
                  <w:tcBorders>
                    <w:tl2br w:val="nil"/>
                    <w:tr2bl w:val="nil"/>
                  </w:tcBorders>
                  <w:noWrap w:val="0"/>
                  <w:vAlign w:val="center"/>
                </w:tcPr>
                <w:p w14:paraId="573D8FB4">
                  <w:pPr>
                    <w:pStyle w:val="29"/>
                    <w:spacing w:before="0" w:beforeAutospacing="0" w:after="0" w:afterAutospacing="0"/>
                    <w:jc w:val="center"/>
                    <w:rPr>
                      <w:rFonts w:hint="eastAsia" w:ascii="Times New Roman" w:hAnsi="Times New Roman"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纳米膜车间全封闭设置，且覆盖的功能膜具有选择透过性，膜内水蒸气和二氧化碳等小分子气体可以透过膜排放，臭气等大分子气体被阻隔在车间内，减少臭气的排放和氨的流失保证肥效。故纳米膜车间产生的废气，定期在车间内、膜外喷洒生物除臭剂，</w:t>
                  </w:r>
                </w:p>
              </w:tc>
              <w:tc>
                <w:tcPr>
                  <w:tcW w:w="876" w:type="pct"/>
                  <w:tcBorders>
                    <w:tl2br w:val="nil"/>
                    <w:tr2bl w:val="nil"/>
                  </w:tcBorders>
                  <w:noWrap w:val="0"/>
                  <w:vAlign w:val="center"/>
                </w:tcPr>
                <w:p w14:paraId="31ACE8E0">
                  <w:pPr>
                    <w:pStyle w:val="29"/>
                    <w:spacing w:before="0" w:beforeAutospacing="0" w:after="0" w:afterAutospacing="0"/>
                    <w:jc w:val="center"/>
                    <w:rPr>
                      <w:color w:val="auto"/>
                      <w:sz w:val="21"/>
                      <w:szCs w:val="21"/>
                      <w:highlight w:val="none"/>
                    </w:rPr>
                  </w:pPr>
                  <w:r>
                    <w:rPr>
                      <w:rFonts w:hint="eastAsia" w:ascii="Times New Roman" w:hAnsi="Times New Roman" w:cs="Times New Roman"/>
                      <w:color w:val="auto"/>
                      <w:sz w:val="21"/>
                      <w:szCs w:val="21"/>
                      <w:highlight w:val="none"/>
                      <w:lang w:val="en-US" w:eastAsia="zh-CN"/>
                    </w:rPr>
                    <w:t>高端有机肥纳米膜车间发酵技术与基础有机肥发酵技术不经相同。</w:t>
                  </w:r>
                </w:p>
                <w:p w14:paraId="5EF1A7A1">
                  <w:pPr>
                    <w:pStyle w:val="29"/>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且</w:t>
                  </w:r>
                  <w:r>
                    <w:rPr>
                      <w:rFonts w:hint="eastAsia" w:ascii="Times New Roman" w:hAnsi="Times New Roman" w:cs="Times New Roman"/>
                      <w:color w:val="auto"/>
                      <w:spacing w:val="-2"/>
                      <w:sz w:val="21"/>
                      <w:szCs w:val="21"/>
                      <w:highlight w:val="none"/>
                      <w:lang w:val="en-US" w:eastAsia="zh-CN"/>
                    </w:rPr>
                    <w:t>纳米膜车间发酵使用的原料远远少于基础有机肥故臭气排放量少。</w:t>
                  </w:r>
                </w:p>
              </w:tc>
            </w:tr>
            <w:tr w14:paraId="00E3F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91" w:type="pct"/>
                  <w:vMerge w:val="continue"/>
                  <w:tcBorders>
                    <w:tl2br w:val="nil"/>
                    <w:tr2bl w:val="nil"/>
                  </w:tcBorders>
                  <w:noWrap w:val="0"/>
                  <w:vAlign w:val="center"/>
                </w:tcPr>
                <w:p w14:paraId="61CA11DF">
                  <w:pPr>
                    <w:pStyle w:val="95"/>
                    <w:rPr>
                      <w:rFonts w:hint="default" w:ascii="Times New Roman" w:hAnsi="Times New Roman" w:cs="Times New Roman"/>
                      <w:color w:val="auto"/>
                      <w:sz w:val="21"/>
                      <w:szCs w:val="21"/>
                      <w:highlight w:val="none"/>
                    </w:rPr>
                  </w:pPr>
                </w:p>
              </w:tc>
              <w:tc>
                <w:tcPr>
                  <w:tcW w:w="250" w:type="pct"/>
                  <w:tcBorders>
                    <w:tl2br w:val="nil"/>
                    <w:tr2bl w:val="nil"/>
                  </w:tcBorders>
                  <w:noWrap w:val="0"/>
                  <w:vAlign w:val="center"/>
                </w:tcPr>
                <w:p w14:paraId="70B20275">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3680" w:type="pct"/>
                  <w:gridSpan w:val="8"/>
                  <w:tcBorders>
                    <w:tl2br w:val="nil"/>
                    <w:tr2bl w:val="nil"/>
                  </w:tcBorders>
                  <w:noWrap w:val="0"/>
                  <w:vAlign w:val="center"/>
                </w:tcPr>
                <w:p w14:paraId="3ACEE884">
                  <w:pPr>
                    <w:pStyle w:val="95"/>
                    <w:jc w:val="center"/>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水洗塔中的水循环利用，</w:t>
                  </w:r>
                  <w:r>
                    <w:rPr>
                      <w:rFonts w:hint="eastAsia" w:cs="Times New Roman"/>
                      <w:color w:val="auto"/>
                      <w:sz w:val="21"/>
                      <w:szCs w:val="21"/>
                      <w:highlight w:val="none"/>
                      <w:lang w:val="en-US" w:eastAsia="zh-CN"/>
                    </w:rPr>
                    <w:t>水洗塔内排水回用于稀释菌种，不能消纳部分排至化粪池；玻璃钢化粪池内生活污水委托环卫部门定期清运处理</w:t>
                  </w:r>
                  <w:r>
                    <w:rPr>
                      <w:rFonts w:hint="default" w:ascii="Times New Roman" w:hAnsi="Times New Roman" w:cs="Times New Roman"/>
                      <w:color w:val="auto"/>
                      <w:sz w:val="21"/>
                      <w:szCs w:val="21"/>
                      <w:highlight w:val="none"/>
                    </w:rPr>
                    <w:t>。</w:t>
                  </w:r>
                </w:p>
              </w:tc>
              <w:tc>
                <w:tcPr>
                  <w:tcW w:w="876" w:type="pct"/>
                  <w:vMerge w:val="restart"/>
                  <w:tcBorders>
                    <w:tl2br w:val="nil"/>
                    <w:tr2bl w:val="nil"/>
                  </w:tcBorders>
                  <w:noWrap w:val="0"/>
                  <w:vAlign w:val="center"/>
                </w:tcPr>
                <w:p w14:paraId="562DEC08">
                  <w:pPr>
                    <w:pStyle w:val="95"/>
                    <w:rPr>
                      <w:rFonts w:hint="default" w:ascii="Times New Roman" w:hAnsi="Times New Roman" w:cs="Times New Roman"/>
                      <w:color w:val="auto"/>
                      <w:sz w:val="21"/>
                      <w:szCs w:val="21"/>
                      <w:highlight w:val="none"/>
                      <w:lang w:val="en-US"/>
                    </w:rPr>
                  </w:pPr>
                  <w:r>
                    <w:rPr>
                      <w:rFonts w:hint="eastAsia"/>
                      <w:color w:val="auto"/>
                      <w:highlight w:val="none"/>
                      <w:lang w:val="en-US" w:eastAsia="zh-CN"/>
                    </w:rPr>
                    <w:t>由于本项目一、二期共用1条生产线，除发酵场地、发酵工艺不同导致发酵工序环保措施不同外，其余环境保护措施均相同</w:t>
                  </w:r>
                </w:p>
              </w:tc>
            </w:tr>
            <w:tr w14:paraId="259B2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91" w:type="pct"/>
                  <w:vMerge w:val="continue"/>
                  <w:tcBorders>
                    <w:tl2br w:val="nil"/>
                    <w:tr2bl w:val="nil"/>
                  </w:tcBorders>
                  <w:noWrap w:val="0"/>
                  <w:vAlign w:val="center"/>
                </w:tcPr>
                <w:p w14:paraId="3880D2EB">
                  <w:pPr>
                    <w:pStyle w:val="95"/>
                    <w:rPr>
                      <w:rFonts w:hint="default" w:ascii="Times New Roman" w:hAnsi="Times New Roman" w:cs="Times New Roman"/>
                      <w:color w:val="auto"/>
                      <w:sz w:val="21"/>
                      <w:szCs w:val="21"/>
                      <w:highlight w:val="none"/>
                    </w:rPr>
                  </w:pPr>
                </w:p>
              </w:tc>
              <w:tc>
                <w:tcPr>
                  <w:tcW w:w="250" w:type="pct"/>
                  <w:tcBorders>
                    <w:tl2br w:val="nil"/>
                    <w:tr2bl w:val="nil"/>
                  </w:tcBorders>
                  <w:noWrap w:val="0"/>
                  <w:vAlign w:val="center"/>
                </w:tcPr>
                <w:p w14:paraId="4B335796">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3680" w:type="pct"/>
                  <w:gridSpan w:val="8"/>
                  <w:tcBorders>
                    <w:tl2br w:val="nil"/>
                    <w:tr2bl w:val="nil"/>
                  </w:tcBorders>
                  <w:noWrap w:val="0"/>
                  <w:vAlign w:val="center"/>
                </w:tcPr>
                <w:p w14:paraId="6760C3C4">
                  <w:pPr>
                    <w:pStyle w:val="95"/>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通过</w:t>
                  </w:r>
                  <w:r>
                    <w:rPr>
                      <w:rFonts w:hint="eastAsia" w:cs="Times New Roman"/>
                      <w:color w:val="auto"/>
                      <w:sz w:val="21"/>
                      <w:szCs w:val="21"/>
                      <w:highlight w:val="none"/>
                      <w:lang w:val="en-US" w:eastAsia="zh-CN"/>
                    </w:rPr>
                    <w:t>基</w:t>
                  </w:r>
                  <w:r>
                    <w:rPr>
                      <w:rFonts w:hint="default" w:ascii="Times New Roman" w:hAnsi="Times New Roman" w:cs="Times New Roman"/>
                      <w:color w:val="auto"/>
                      <w:sz w:val="21"/>
                      <w:szCs w:val="21"/>
                      <w:highlight w:val="none"/>
                    </w:rPr>
                    <w:cr/>
                  </w:r>
                  <w:r>
                    <w:rPr>
                      <w:rFonts w:hint="default" w:ascii="Times New Roman" w:hAnsi="Times New Roman" w:cs="Times New Roman"/>
                      <w:color w:val="auto"/>
                      <w:sz w:val="21"/>
                      <w:szCs w:val="21"/>
                      <w:highlight w:val="none"/>
                    </w:rPr>
                    <w:t>础减震设备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置于室内等措施，可有效地降低噪声。</w:t>
                  </w:r>
                </w:p>
              </w:tc>
              <w:tc>
                <w:tcPr>
                  <w:tcW w:w="876" w:type="pct"/>
                  <w:vMerge w:val="continue"/>
                  <w:tcBorders>
                    <w:tl2br w:val="nil"/>
                    <w:tr2bl w:val="nil"/>
                  </w:tcBorders>
                  <w:noWrap w:val="0"/>
                  <w:vAlign w:val="center"/>
                </w:tcPr>
                <w:p w14:paraId="4A4EE08C">
                  <w:pPr>
                    <w:pStyle w:val="95"/>
                    <w:rPr>
                      <w:rFonts w:hint="default" w:ascii="Times New Roman" w:hAnsi="Times New Roman" w:cs="Times New Roman"/>
                      <w:color w:val="auto"/>
                      <w:sz w:val="21"/>
                      <w:szCs w:val="21"/>
                      <w:highlight w:val="none"/>
                    </w:rPr>
                  </w:pPr>
                </w:p>
              </w:tc>
            </w:tr>
            <w:tr w14:paraId="2B6B8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91" w:type="pct"/>
                  <w:vMerge w:val="continue"/>
                  <w:tcBorders>
                    <w:tl2br w:val="nil"/>
                    <w:tr2bl w:val="nil"/>
                  </w:tcBorders>
                  <w:noWrap w:val="0"/>
                  <w:vAlign w:val="center"/>
                </w:tcPr>
                <w:p w14:paraId="5BD7B2F9">
                  <w:pPr>
                    <w:pStyle w:val="95"/>
                    <w:rPr>
                      <w:rFonts w:hint="default" w:ascii="Times New Roman" w:hAnsi="Times New Roman" w:cs="Times New Roman"/>
                      <w:color w:val="auto"/>
                      <w:sz w:val="21"/>
                      <w:szCs w:val="21"/>
                      <w:highlight w:val="none"/>
                    </w:rPr>
                  </w:pPr>
                </w:p>
              </w:tc>
              <w:tc>
                <w:tcPr>
                  <w:tcW w:w="250" w:type="pct"/>
                  <w:vMerge w:val="restart"/>
                  <w:tcBorders>
                    <w:tl2br w:val="nil"/>
                    <w:tr2bl w:val="nil"/>
                  </w:tcBorders>
                  <w:noWrap w:val="0"/>
                  <w:vAlign w:val="center"/>
                </w:tcPr>
                <w:p w14:paraId="244E6835">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3680" w:type="pct"/>
                  <w:gridSpan w:val="8"/>
                  <w:tcBorders>
                    <w:tl2br w:val="nil"/>
                    <w:tr2bl w:val="nil"/>
                  </w:tcBorders>
                  <w:noWrap w:val="0"/>
                  <w:vAlign w:val="center"/>
                </w:tcPr>
                <w:p w14:paraId="6455A036">
                  <w:pPr>
                    <w:pStyle w:val="95"/>
                    <w:jc w:val="center"/>
                    <w:rPr>
                      <w:rFonts w:hint="default" w:ascii="Times New Roman" w:hAnsi="Times New Roman" w:cs="Times New Roman"/>
                      <w:color w:val="auto"/>
                      <w:spacing w:val="-6"/>
                      <w:sz w:val="21"/>
                      <w:szCs w:val="21"/>
                      <w:highlight w:val="none"/>
                      <w:lang w:bidi="zh-CN"/>
                    </w:rPr>
                  </w:pPr>
                  <w:r>
                    <w:rPr>
                      <w:rFonts w:hint="default" w:ascii="Times New Roman" w:hAnsi="Times New Roman" w:cs="Times New Roman"/>
                      <w:color w:val="auto"/>
                      <w:spacing w:val="-6"/>
                      <w:sz w:val="21"/>
                      <w:szCs w:val="21"/>
                      <w:highlight w:val="none"/>
                      <w:lang w:bidi="zh-CN"/>
                    </w:rPr>
                    <w:t>生活垃圾经垃圾桶收集，由</w:t>
                  </w:r>
                  <w:r>
                    <w:rPr>
                      <w:rFonts w:hint="default" w:ascii="Times New Roman" w:hAnsi="Times New Roman" w:cs="Times New Roman"/>
                      <w:color w:val="auto"/>
                      <w:spacing w:val="-6"/>
                      <w:sz w:val="21"/>
                      <w:szCs w:val="21"/>
                      <w:highlight w:val="none"/>
                      <w:lang w:val="zh-CN" w:bidi="zh-CN"/>
                    </w:rPr>
                    <w:t>环卫部门统一处置</w:t>
                  </w:r>
                </w:p>
              </w:tc>
              <w:tc>
                <w:tcPr>
                  <w:tcW w:w="876" w:type="pct"/>
                  <w:vMerge w:val="continue"/>
                  <w:tcBorders>
                    <w:tl2br w:val="nil"/>
                    <w:tr2bl w:val="nil"/>
                  </w:tcBorders>
                  <w:noWrap w:val="0"/>
                  <w:vAlign w:val="center"/>
                </w:tcPr>
                <w:p w14:paraId="54A69E15">
                  <w:pPr>
                    <w:pStyle w:val="95"/>
                    <w:rPr>
                      <w:rFonts w:hint="default" w:ascii="Times New Roman" w:hAnsi="Times New Roman" w:cs="Times New Roman"/>
                      <w:color w:val="auto"/>
                      <w:sz w:val="21"/>
                      <w:szCs w:val="21"/>
                      <w:highlight w:val="none"/>
                    </w:rPr>
                  </w:pPr>
                </w:p>
              </w:tc>
            </w:tr>
            <w:tr w14:paraId="2830B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91" w:type="pct"/>
                  <w:vMerge w:val="continue"/>
                  <w:tcBorders>
                    <w:tl2br w:val="nil"/>
                    <w:tr2bl w:val="nil"/>
                  </w:tcBorders>
                  <w:noWrap w:val="0"/>
                  <w:vAlign w:val="center"/>
                </w:tcPr>
                <w:p w14:paraId="766A18F0">
                  <w:pPr>
                    <w:pStyle w:val="95"/>
                    <w:jc w:val="center"/>
                    <w:rPr>
                      <w:color w:val="auto"/>
                      <w:highlight w:val="none"/>
                    </w:rPr>
                  </w:pPr>
                </w:p>
              </w:tc>
              <w:tc>
                <w:tcPr>
                  <w:tcW w:w="250" w:type="pct"/>
                  <w:vMerge w:val="continue"/>
                  <w:tcBorders>
                    <w:tl2br w:val="nil"/>
                    <w:tr2bl w:val="nil"/>
                  </w:tcBorders>
                  <w:noWrap w:val="0"/>
                  <w:vAlign w:val="center"/>
                </w:tcPr>
                <w:p w14:paraId="620AB46B">
                  <w:pPr>
                    <w:pStyle w:val="95"/>
                    <w:jc w:val="center"/>
                    <w:rPr>
                      <w:color w:val="auto"/>
                      <w:highlight w:val="none"/>
                    </w:rPr>
                  </w:pPr>
                </w:p>
              </w:tc>
              <w:tc>
                <w:tcPr>
                  <w:tcW w:w="3680" w:type="pct"/>
                  <w:gridSpan w:val="8"/>
                  <w:tcBorders>
                    <w:tl2br w:val="nil"/>
                    <w:tr2bl w:val="nil"/>
                  </w:tcBorders>
                  <w:noWrap w:val="0"/>
                  <w:vAlign w:val="center"/>
                </w:tcPr>
                <w:p w14:paraId="4D49B2A6">
                  <w:pPr>
                    <w:pStyle w:val="95"/>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腐熟菌种、 功能菌种废包装袋等</w:t>
                  </w:r>
                  <w:r>
                    <w:rPr>
                      <w:rFonts w:hint="default" w:ascii="Times New Roman" w:hAnsi="Times New Roman" w:cs="Times New Roman"/>
                      <w:color w:val="auto"/>
                      <w:sz w:val="21"/>
                      <w:szCs w:val="21"/>
                      <w:highlight w:val="none"/>
                    </w:rPr>
                    <w:t>集中收集</w:t>
                  </w:r>
                  <w:r>
                    <w:rPr>
                      <w:rFonts w:hint="eastAsia" w:cs="Times New Roman"/>
                      <w:color w:val="auto"/>
                      <w:sz w:val="21"/>
                      <w:szCs w:val="21"/>
                      <w:highlight w:val="none"/>
                      <w:lang w:val="en-US" w:eastAsia="zh-CN"/>
                    </w:rPr>
                    <w:t>至一般固废间</w:t>
                  </w:r>
                  <w:r>
                    <w:rPr>
                      <w:rFonts w:hint="default" w:ascii="Times New Roman" w:hAnsi="Times New Roman" w:cs="Times New Roman"/>
                      <w:color w:val="auto"/>
                      <w:sz w:val="21"/>
                      <w:szCs w:val="21"/>
                      <w:highlight w:val="none"/>
                    </w:rPr>
                    <w:t>后</w:t>
                  </w:r>
                  <w:r>
                    <w:rPr>
                      <w:rFonts w:hint="eastAsia" w:cs="Times New Roman"/>
                      <w:color w:val="auto"/>
                      <w:sz w:val="21"/>
                      <w:szCs w:val="21"/>
                      <w:highlight w:val="none"/>
                      <w:lang w:val="en-US" w:eastAsia="zh-CN"/>
                    </w:rPr>
                    <w:t>环卫部门处理</w:t>
                  </w:r>
                </w:p>
              </w:tc>
              <w:tc>
                <w:tcPr>
                  <w:tcW w:w="876" w:type="pct"/>
                  <w:vMerge w:val="continue"/>
                  <w:tcBorders>
                    <w:tl2br w:val="nil"/>
                    <w:tr2bl w:val="nil"/>
                  </w:tcBorders>
                  <w:noWrap w:val="0"/>
                  <w:vAlign w:val="center"/>
                </w:tcPr>
                <w:p w14:paraId="7BCCBA52">
                  <w:pPr>
                    <w:pStyle w:val="95"/>
                    <w:jc w:val="center"/>
                    <w:rPr>
                      <w:rFonts w:hint="default" w:ascii="Times New Roman" w:hAnsi="Times New Roman" w:cs="Times New Roman"/>
                      <w:color w:val="auto"/>
                      <w:spacing w:val="-6"/>
                      <w:sz w:val="21"/>
                      <w:szCs w:val="21"/>
                      <w:highlight w:val="none"/>
                      <w:lang w:bidi="zh-CN"/>
                    </w:rPr>
                  </w:pPr>
                </w:p>
              </w:tc>
            </w:tr>
            <w:tr w14:paraId="30048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 w:type="pct"/>
                  <w:vMerge w:val="continue"/>
                  <w:tcBorders>
                    <w:tl2br w:val="nil"/>
                    <w:tr2bl w:val="nil"/>
                  </w:tcBorders>
                  <w:noWrap w:val="0"/>
                  <w:vAlign w:val="center"/>
                </w:tcPr>
                <w:p w14:paraId="3B496DBD">
                  <w:pPr>
                    <w:pStyle w:val="95"/>
                    <w:jc w:val="center"/>
                    <w:rPr>
                      <w:rFonts w:hint="default" w:ascii="Times New Roman" w:hAnsi="Times New Roman" w:cs="Times New Roman"/>
                      <w:color w:val="auto"/>
                      <w:spacing w:val="-6"/>
                      <w:sz w:val="21"/>
                      <w:szCs w:val="21"/>
                      <w:highlight w:val="none"/>
                      <w:lang w:bidi="zh-CN"/>
                    </w:rPr>
                  </w:pPr>
                </w:p>
              </w:tc>
              <w:tc>
                <w:tcPr>
                  <w:tcW w:w="250" w:type="pct"/>
                  <w:vMerge w:val="continue"/>
                  <w:tcBorders>
                    <w:tl2br w:val="nil"/>
                    <w:tr2bl w:val="nil"/>
                  </w:tcBorders>
                  <w:noWrap w:val="0"/>
                  <w:vAlign w:val="center"/>
                </w:tcPr>
                <w:p w14:paraId="64E37B0D">
                  <w:pPr>
                    <w:pStyle w:val="95"/>
                    <w:jc w:val="center"/>
                    <w:rPr>
                      <w:rFonts w:hint="default" w:ascii="Times New Roman" w:hAnsi="Times New Roman" w:cs="Times New Roman"/>
                      <w:color w:val="auto"/>
                      <w:spacing w:val="-6"/>
                      <w:sz w:val="21"/>
                      <w:szCs w:val="21"/>
                      <w:highlight w:val="none"/>
                      <w:lang w:bidi="zh-CN"/>
                    </w:rPr>
                  </w:pPr>
                </w:p>
              </w:tc>
              <w:tc>
                <w:tcPr>
                  <w:tcW w:w="3680" w:type="pct"/>
                  <w:gridSpan w:val="8"/>
                  <w:tcBorders>
                    <w:tl2br w:val="nil"/>
                    <w:tr2bl w:val="nil"/>
                  </w:tcBorders>
                  <w:noWrap w:val="0"/>
                  <w:vAlign w:val="center"/>
                </w:tcPr>
                <w:p w14:paraId="22B8B2DB">
                  <w:pPr>
                    <w:pStyle w:val="95"/>
                    <w:jc w:val="center"/>
                    <w:rPr>
                      <w:rFonts w:hint="eastAsia" w:cs="Times New Roman"/>
                      <w:color w:val="auto"/>
                      <w:spacing w:val="-6"/>
                      <w:sz w:val="21"/>
                      <w:szCs w:val="21"/>
                      <w:highlight w:val="none"/>
                      <w:lang w:val="en-US" w:bidi="zh-CN"/>
                    </w:rPr>
                  </w:pPr>
                  <w:r>
                    <w:rPr>
                      <w:rFonts w:hint="eastAsia" w:cs="Times New Roman"/>
                      <w:color w:val="auto"/>
                      <w:spacing w:val="-6"/>
                      <w:sz w:val="21"/>
                      <w:szCs w:val="21"/>
                      <w:highlight w:val="none"/>
                      <w:lang w:val="en-US" w:bidi="zh-CN"/>
                    </w:rPr>
                    <w:t>废活性炭由活性炭吸附装置厂家每半年更换一次，厂家更换后及时拉运处理，不在厂内暂存</w:t>
                  </w:r>
                </w:p>
              </w:tc>
              <w:tc>
                <w:tcPr>
                  <w:tcW w:w="876" w:type="pct"/>
                  <w:vMerge w:val="continue"/>
                  <w:tcBorders>
                    <w:tl2br w:val="nil"/>
                    <w:tr2bl w:val="nil"/>
                  </w:tcBorders>
                  <w:noWrap w:val="0"/>
                  <w:vAlign w:val="center"/>
                </w:tcPr>
                <w:p w14:paraId="68FB6D8E">
                  <w:pPr>
                    <w:pStyle w:val="95"/>
                    <w:jc w:val="center"/>
                    <w:rPr>
                      <w:rFonts w:hint="default" w:ascii="Times New Roman" w:hAnsi="Times New Roman" w:cs="Times New Roman"/>
                      <w:color w:val="auto"/>
                      <w:spacing w:val="-6"/>
                      <w:sz w:val="21"/>
                      <w:szCs w:val="21"/>
                      <w:highlight w:val="none"/>
                      <w:lang w:bidi="zh-CN"/>
                    </w:rPr>
                  </w:pPr>
                </w:p>
              </w:tc>
            </w:tr>
            <w:tr w14:paraId="1B987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91" w:type="pct"/>
                  <w:vMerge w:val="continue"/>
                  <w:tcBorders>
                    <w:tl2br w:val="nil"/>
                    <w:tr2bl w:val="nil"/>
                  </w:tcBorders>
                  <w:noWrap w:val="0"/>
                  <w:vAlign w:val="center"/>
                </w:tcPr>
                <w:p w14:paraId="479CE1B7">
                  <w:pPr>
                    <w:pStyle w:val="95"/>
                    <w:jc w:val="center"/>
                    <w:rPr>
                      <w:rFonts w:hint="default" w:ascii="Times New Roman" w:hAnsi="Times New Roman" w:cs="Times New Roman"/>
                      <w:color w:val="auto"/>
                      <w:spacing w:val="-6"/>
                      <w:sz w:val="21"/>
                      <w:szCs w:val="21"/>
                      <w:highlight w:val="none"/>
                      <w:lang w:bidi="zh-CN"/>
                    </w:rPr>
                  </w:pPr>
                </w:p>
              </w:tc>
              <w:tc>
                <w:tcPr>
                  <w:tcW w:w="250" w:type="pct"/>
                  <w:vMerge w:val="continue"/>
                  <w:tcBorders>
                    <w:tl2br w:val="nil"/>
                    <w:tr2bl w:val="nil"/>
                  </w:tcBorders>
                  <w:noWrap w:val="0"/>
                  <w:vAlign w:val="center"/>
                </w:tcPr>
                <w:p w14:paraId="358459D8">
                  <w:pPr>
                    <w:pStyle w:val="95"/>
                    <w:jc w:val="center"/>
                    <w:rPr>
                      <w:rFonts w:hint="default" w:ascii="Times New Roman" w:hAnsi="Times New Roman" w:cs="Times New Roman"/>
                      <w:color w:val="auto"/>
                      <w:spacing w:val="-6"/>
                      <w:sz w:val="21"/>
                      <w:szCs w:val="21"/>
                      <w:highlight w:val="none"/>
                      <w:lang w:bidi="zh-CN"/>
                    </w:rPr>
                  </w:pPr>
                </w:p>
              </w:tc>
              <w:tc>
                <w:tcPr>
                  <w:tcW w:w="3680" w:type="pct"/>
                  <w:gridSpan w:val="8"/>
                  <w:tcBorders>
                    <w:tl2br w:val="nil"/>
                    <w:tr2bl w:val="nil"/>
                  </w:tcBorders>
                  <w:noWrap w:val="0"/>
                  <w:vAlign w:val="center"/>
                </w:tcPr>
                <w:p w14:paraId="48E296DF">
                  <w:pPr>
                    <w:pStyle w:val="95"/>
                    <w:jc w:val="center"/>
                    <w:rPr>
                      <w:rFonts w:hint="default" w:cs="Times New Roman"/>
                      <w:color w:val="auto"/>
                      <w:spacing w:val="-6"/>
                      <w:sz w:val="21"/>
                      <w:szCs w:val="21"/>
                      <w:highlight w:val="none"/>
                      <w:lang w:val="en-US" w:bidi="zh-CN"/>
                    </w:rPr>
                  </w:pPr>
                  <w:r>
                    <w:rPr>
                      <w:rFonts w:hint="eastAsia" w:cs="Times New Roman"/>
                      <w:color w:val="auto"/>
                      <w:spacing w:val="-6"/>
                      <w:sz w:val="21"/>
                      <w:szCs w:val="21"/>
                      <w:highlight w:val="none"/>
                      <w:lang w:val="en-US" w:bidi="zh-CN"/>
                    </w:rPr>
                    <w:t>质量检验室一般固废，</w:t>
                  </w:r>
                  <w:r>
                    <w:rPr>
                      <w:rFonts w:hint="eastAsia"/>
                      <w:color w:val="auto"/>
                      <w:highlight w:val="none"/>
                      <w:lang w:val="en-US" w:eastAsia="zh-CN"/>
                    </w:rPr>
                    <w:t>分类收集至一般固废间后环卫部门处理</w:t>
                  </w:r>
                </w:p>
              </w:tc>
              <w:tc>
                <w:tcPr>
                  <w:tcW w:w="876" w:type="pct"/>
                  <w:vMerge w:val="continue"/>
                  <w:tcBorders>
                    <w:tl2br w:val="nil"/>
                    <w:tr2bl w:val="nil"/>
                  </w:tcBorders>
                  <w:noWrap w:val="0"/>
                  <w:vAlign w:val="center"/>
                </w:tcPr>
                <w:p w14:paraId="334304C6">
                  <w:pPr>
                    <w:pStyle w:val="95"/>
                    <w:jc w:val="center"/>
                    <w:rPr>
                      <w:rFonts w:hint="default" w:ascii="Times New Roman" w:hAnsi="Times New Roman" w:cs="Times New Roman"/>
                      <w:color w:val="auto"/>
                      <w:spacing w:val="-6"/>
                      <w:sz w:val="21"/>
                      <w:szCs w:val="21"/>
                      <w:highlight w:val="none"/>
                      <w:lang w:bidi="zh-CN"/>
                    </w:rPr>
                  </w:pPr>
                </w:p>
              </w:tc>
            </w:tr>
            <w:tr w14:paraId="67271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91" w:type="pct"/>
                  <w:vMerge w:val="continue"/>
                  <w:tcBorders>
                    <w:tl2br w:val="nil"/>
                    <w:tr2bl w:val="nil"/>
                  </w:tcBorders>
                  <w:noWrap w:val="0"/>
                  <w:vAlign w:val="center"/>
                </w:tcPr>
                <w:p w14:paraId="59245D99">
                  <w:pPr>
                    <w:pStyle w:val="95"/>
                    <w:jc w:val="center"/>
                    <w:rPr>
                      <w:rFonts w:hint="default" w:ascii="Times New Roman" w:hAnsi="Times New Roman" w:cs="Times New Roman"/>
                      <w:color w:val="auto"/>
                      <w:spacing w:val="-6"/>
                      <w:sz w:val="21"/>
                      <w:szCs w:val="21"/>
                      <w:highlight w:val="none"/>
                      <w:lang w:bidi="zh-CN"/>
                    </w:rPr>
                  </w:pPr>
                </w:p>
              </w:tc>
              <w:tc>
                <w:tcPr>
                  <w:tcW w:w="250" w:type="pct"/>
                  <w:vMerge w:val="continue"/>
                  <w:tcBorders>
                    <w:tl2br w:val="nil"/>
                    <w:tr2bl w:val="nil"/>
                  </w:tcBorders>
                  <w:noWrap w:val="0"/>
                  <w:vAlign w:val="center"/>
                </w:tcPr>
                <w:p w14:paraId="52649FB4">
                  <w:pPr>
                    <w:pStyle w:val="95"/>
                    <w:jc w:val="center"/>
                    <w:rPr>
                      <w:rFonts w:hint="default" w:ascii="Times New Roman" w:hAnsi="Times New Roman" w:cs="Times New Roman"/>
                      <w:color w:val="auto"/>
                      <w:spacing w:val="-6"/>
                      <w:sz w:val="21"/>
                      <w:szCs w:val="21"/>
                      <w:highlight w:val="none"/>
                      <w:lang w:bidi="zh-CN"/>
                    </w:rPr>
                  </w:pPr>
                </w:p>
              </w:tc>
              <w:tc>
                <w:tcPr>
                  <w:tcW w:w="3680" w:type="pct"/>
                  <w:gridSpan w:val="8"/>
                  <w:tcBorders>
                    <w:tl2br w:val="nil"/>
                    <w:tr2bl w:val="nil"/>
                  </w:tcBorders>
                  <w:noWrap w:val="0"/>
                  <w:vAlign w:val="center"/>
                </w:tcPr>
                <w:p w14:paraId="795C7CC5">
                  <w:pPr>
                    <w:pStyle w:val="95"/>
                    <w:jc w:val="center"/>
                    <w:rPr>
                      <w:rFonts w:hint="default" w:cs="Times New Roman"/>
                      <w:color w:val="auto"/>
                      <w:spacing w:val="-6"/>
                      <w:sz w:val="21"/>
                      <w:szCs w:val="21"/>
                      <w:highlight w:val="none"/>
                      <w:lang w:val="en-US" w:bidi="zh-CN"/>
                    </w:rPr>
                  </w:pPr>
                  <w:r>
                    <w:rPr>
                      <w:rFonts w:hint="eastAsia" w:cs="Times New Roman"/>
                      <w:color w:val="auto"/>
                      <w:spacing w:val="-6"/>
                      <w:sz w:val="21"/>
                      <w:szCs w:val="21"/>
                      <w:highlight w:val="none"/>
                      <w:lang w:val="en-US" w:bidi="zh-CN"/>
                    </w:rPr>
                    <w:t>质量检验室危废，</w:t>
                  </w:r>
                  <w:r>
                    <w:rPr>
                      <w:rFonts w:hint="eastAsia" w:cs="Times New Roman"/>
                      <w:color w:val="auto"/>
                      <w:spacing w:val="-6"/>
                      <w:sz w:val="21"/>
                      <w:szCs w:val="21"/>
                      <w:highlight w:val="none"/>
                      <w:lang w:val="en-US" w:eastAsia="zh-CN" w:bidi="zh-CN"/>
                    </w:rPr>
                    <w:t>分类收集、专用容器密闭贮存至危废间，建立危废台账，定期委托有资质单位规范转运处置</w:t>
                  </w:r>
                </w:p>
              </w:tc>
              <w:tc>
                <w:tcPr>
                  <w:tcW w:w="876" w:type="pct"/>
                  <w:vMerge w:val="continue"/>
                  <w:tcBorders>
                    <w:tl2br w:val="nil"/>
                    <w:tr2bl w:val="nil"/>
                  </w:tcBorders>
                  <w:noWrap w:val="0"/>
                  <w:vAlign w:val="center"/>
                </w:tcPr>
                <w:p w14:paraId="3CB14DB8">
                  <w:pPr>
                    <w:pStyle w:val="95"/>
                    <w:jc w:val="center"/>
                    <w:rPr>
                      <w:rFonts w:hint="default" w:ascii="Times New Roman" w:hAnsi="Times New Roman" w:cs="Times New Roman"/>
                      <w:color w:val="auto"/>
                      <w:spacing w:val="-6"/>
                      <w:sz w:val="21"/>
                      <w:szCs w:val="21"/>
                      <w:highlight w:val="none"/>
                      <w:lang w:bidi="zh-CN"/>
                    </w:rPr>
                  </w:pPr>
                </w:p>
              </w:tc>
            </w:tr>
            <w:tr w14:paraId="08079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91" w:type="pct"/>
                  <w:vMerge w:val="continue"/>
                  <w:tcBorders>
                    <w:tl2br w:val="nil"/>
                    <w:tr2bl w:val="nil"/>
                  </w:tcBorders>
                  <w:noWrap w:val="0"/>
                  <w:vAlign w:val="center"/>
                </w:tcPr>
                <w:p w14:paraId="1CA6F959">
                  <w:pPr>
                    <w:pStyle w:val="95"/>
                    <w:jc w:val="center"/>
                    <w:rPr>
                      <w:rFonts w:hint="default" w:ascii="Times New Roman" w:hAnsi="Times New Roman" w:cs="Times New Roman"/>
                      <w:color w:val="auto"/>
                      <w:spacing w:val="-6"/>
                      <w:sz w:val="21"/>
                      <w:szCs w:val="21"/>
                      <w:highlight w:val="none"/>
                      <w:lang w:bidi="zh-CN"/>
                    </w:rPr>
                  </w:pPr>
                </w:p>
              </w:tc>
              <w:tc>
                <w:tcPr>
                  <w:tcW w:w="250" w:type="pct"/>
                  <w:vMerge w:val="continue"/>
                  <w:tcBorders>
                    <w:tl2br w:val="nil"/>
                    <w:tr2bl w:val="nil"/>
                  </w:tcBorders>
                  <w:noWrap w:val="0"/>
                  <w:vAlign w:val="center"/>
                </w:tcPr>
                <w:p w14:paraId="5D85FCAE">
                  <w:pPr>
                    <w:pStyle w:val="95"/>
                    <w:jc w:val="center"/>
                    <w:rPr>
                      <w:rFonts w:hint="default" w:ascii="Times New Roman" w:hAnsi="Times New Roman" w:cs="Times New Roman"/>
                      <w:color w:val="auto"/>
                      <w:spacing w:val="-6"/>
                      <w:sz w:val="21"/>
                      <w:szCs w:val="21"/>
                      <w:highlight w:val="none"/>
                      <w:lang w:bidi="zh-CN"/>
                    </w:rPr>
                  </w:pPr>
                </w:p>
              </w:tc>
              <w:tc>
                <w:tcPr>
                  <w:tcW w:w="3680" w:type="pct"/>
                  <w:gridSpan w:val="8"/>
                  <w:tcBorders>
                    <w:tl2br w:val="nil"/>
                    <w:tr2bl w:val="nil"/>
                  </w:tcBorders>
                  <w:noWrap w:val="0"/>
                  <w:vAlign w:val="center"/>
                </w:tcPr>
                <w:p w14:paraId="355A2259">
                  <w:pPr>
                    <w:pStyle w:val="95"/>
                    <w:jc w:val="center"/>
                    <w:rPr>
                      <w:rFonts w:hint="default" w:cs="Times New Roman"/>
                      <w:color w:val="auto"/>
                      <w:spacing w:val="-6"/>
                      <w:sz w:val="21"/>
                      <w:szCs w:val="21"/>
                      <w:highlight w:val="none"/>
                      <w:lang w:val="en-US" w:bidi="zh-CN"/>
                    </w:rPr>
                  </w:pPr>
                  <w:r>
                    <w:rPr>
                      <w:rFonts w:hint="eastAsia" w:cs="Times New Roman"/>
                      <w:color w:val="auto"/>
                      <w:spacing w:val="-6"/>
                      <w:sz w:val="21"/>
                      <w:szCs w:val="21"/>
                      <w:highlight w:val="none"/>
                      <w:lang w:val="en-US" w:bidi="zh-CN"/>
                    </w:rPr>
                    <w:t>废润滑油</w:t>
                  </w:r>
                  <w:r>
                    <w:rPr>
                      <w:rFonts w:hint="eastAsia"/>
                      <w:color w:val="auto"/>
                      <w:highlight w:val="none"/>
                      <w:lang w:eastAsia="zh-CN"/>
                    </w:rPr>
                    <w:t>、</w:t>
                  </w:r>
                  <w:r>
                    <w:rPr>
                      <w:rFonts w:hint="eastAsia"/>
                      <w:color w:val="auto"/>
                      <w:highlight w:val="none"/>
                      <w:lang w:val="en-US" w:eastAsia="zh-CN"/>
                    </w:rPr>
                    <w:t>废润滑油桶</w:t>
                  </w:r>
                  <w:r>
                    <w:rPr>
                      <w:rFonts w:hint="eastAsia" w:cs="Times New Roman"/>
                      <w:color w:val="auto"/>
                      <w:spacing w:val="-6"/>
                      <w:sz w:val="21"/>
                      <w:szCs w:val="21"/>
                      <w:highlight w:val="none"/>
                      <w:lang w:val="en-US" w:bidi="zh-CN"/>
                    </w:rPr>
                    <w:t>，</w:t>
                  </w:r>
                  <w:r>
                    <w:rPr>
                      <w:rFonts w:hint="eastAsia" w:cs="Times New Roman"/>
                      <w:color w:val="auto"/>
                      <w:spacing w:val="-6"/>
                      <w:sz w:val="21"/>
                      <w:szCs w:val="21"/>
                      <w:highlight w:val="none"/>
                      <w:lang w:val="en-US" w:eastAsia="zh-CN" w:bidi="zh-CN"/>
                    </w:rPr>
                    <w:t>修理替换后的废润滑油桶装至废润滑油桶内暂存至危废间定期委托有资质单位规范转运处置</w:t>
                  </w:r>
                </w:p>
              </w:tc>
              <w:tc>
                <w:tcPr>
                  <w:tcW w:w="876" w:type="pct"/>
                  <w:vMerge w:val="continue"/>
                  <w:tcBorders>
                    <w:tl2br w:val="nil"/>
                    <w:tr2bl w:val="nil"/>
                  </w:tcBorders>
                  <w:noWrap w:val="0"/>
                  <w:vAlign w:val="center"/>
                </w:tcPr>
                <w:p w14:paraId="28059A1C">
                  <w:pPr>
                    <w:pStyle w:val="95"/>
                    <w:jc w:val="center"/>
                    <w:rPr>
                      <w:rFonts w:hint="default" w:ascii="Times New Roman" w:hAnsi="Times New Roman" w:cs="Times New Roman"/>
                      <w:color w:val="auto"/>
                      <w:spacing w:val="-6"/>
                      <w:sz w:val="21"/>
                      <w:szCs w:val="21"/>
                      <w:highlight w:val="none"/>
                      <w:lang w:bidi="zh-CN"/>
                    </w:rPr>
                  </w:pPr>
                </w:p>
              </w:tc>
            </w:tr>
            <w:tr w14:paraId="5AEE5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91" w:type="pct"/>
                  <w:vMerge w:val="continue"/>
                  <w:tcBorders>
                    <w:tl2br w:val="nil"/>
                    <w:tr2bl w:val="nil"/>
                  </w:tcBorders>
                  <w:noWrap w:val="0"/>
                  <w:vAlign w:val="center"/>
                </w:tcPr>
                <w:p w14:paraId="3D8DE251">
                  <w:pPr>
                    <w:pStyle w:val="95"/>
                    <w:jc w:val="center"/>
                    <w:rPr>
                      <w:rFonts w:hint="default" w:ascii="Times New Roman" w:hAnsi="Times New Roman" w:cs="Times New Roman"/>
                      <w:color w:val="auto"/>
                      <w:spacing w:val="-6"/>
                      <w:sz w:val="21"/>
                      <w:szCs w:val="21"/>
                      <w:highlight w:val="none"/>
                      <w:lang w:bidi="zh-CN"/>
                    </w:rPr>
                  </w:pPr>
                </w:p>
              </w:tc>
              <w:tc>
                <w:tcPr>
                  <w:tcW w:w="250" w:type="pct"/>
                  <w:vMerge w:val="continue"/>
                  <w:tcBorders>
                    <w:tl2br w:val="nil"/>
                    <w:tr2bl w:val="nil"/>
                  </w:tcBorders>
                  <w:noWrap w:val="0"/>
                  <w:vAlign w:val="center"/>
                </w:tcPr>
                <w:p w14:paraId="387008D9">
                  <w:pPr>
                    <w:pStyle w:val="95"/>
                    <w:jc w:val="center"/>
                    <w:rPr>
                      <w:rFonts w:hint="default" w:ascii="Times New Roman" w:hAnsi="Times New Roman" w:cs="Times New Roman"/>
                      <w:color w:val="auto"/>
                      <w:spacing w:val="-6"/>
                      <w:sz w:val="21"/>
                      <w:szCs w:val="21"/>
                      <w:highlight w:val="none"/>
                      <w:lang w:bidi="zh-CN"/>
                    </w:rPr>
                  </w:pPr>
                </w:p>
              </w:tc>
              <w:tc>
                <w:tcPr>
                  <w:tcW w:w="3680" w:type="pct"/>
                  <w:gridSpan w:val="8"/>
                  <w:tcBorders>
                    <w:tl2br w:val="nil"/>
                    <w:tr2bl w:val="nil"/>
                  </w:tcBorders>
                  <w:noWrap w:val="0"/>
                  <w:vAlign w:val="center"/>
                </w:tcPr>
                <w:p w14:paraId="1D494453">
                  <w:pPr>
                    <w:pStyle w:val="95"/>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危废间地面及裙角进行防渗处理，地面防渗措施为在混凝土上铺设复合土工膜+水泥砂浆抹灰及环氧树脂耐油防腐地坪，渗透系数≤ 10</w:t>
                  </w:r>
                  <w:r>
                    <w:rPr>
                      <w:rFonts w:hint="eastAsia" w:cs="Times New Roman"/>
                      <w:color w:val="auto"/>
                      <w:szCs w:val="21"/>
                      <w:highlight w:val="none"/>
                      <w:vertAlign w:val="superscript"/>
                      <w:lang w:val="en-US" w:eastAsia="zh-CN"/>
                    </w:rPr>
                    <w:t>-10</w:t>
                  </w:r>
                  <w:r>
                    <w:rPr>
                      <w:rFonts w:hint="eastAsia" w:cs="Times New Roman"/>
                      <w:color w:val="auto"/>
                      <w:szCs w:val="21"/>
                      <w:highlight w:val="none"/>
                      <w:lang w:val="en-US" w:eastAsia="zh-CN"/>
                    </w:rPr>
                    <w:t>cm/s并设置收集池、导流槽等设施。</w:t>
                  </w:r>
                </w:p>
              </w:tc>
              <w:tc>
                <w:tcPr>
                  <w:tcW w:w="876" w:type="pct"/>
                  <w:vMerge w:val="continue"/>
                  <w:tcBorders>
                    <w:tl2br w:val="nil"/>
                    <w:tr2bl w:val="nil"/>
                  </w:tcBorders>
                  <w:noWrap w:val="0"/>
                  <w:vAlign w:val="center"/>
                </w:tcPr>
                <w:p w14:paraId="276AA752">
                  <w:pPr>
                    <w:pStyle w:val="95"/>
                    <w:jc w:val="center"/>
                    <w:rPr>
                      <w:rFonts w:hint="default" w:ascii="Times New Roman" w:hAnsi="Times New Roman" w:cs="Times New Roman"/>
                      <w:color w:val="auto"/>
                      <w:spacing w:val="-6"/>
                      <w:sz w:val="21"/>
                      <w:szCs w:val="21"/>
                      <w:highlight w:val="none"/>
                      <w:lang w:bidi="zh-CN"/>
                    </w:rPr>
                  </w:pPr>
                </w:p>
              </w:tc>
            </w:tr>
            <w:tr w14:paraId="643EB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 w:type="pct"/>
                  <w:vMerge w:val="continue"/>
                  <w:tcBorders>
                    <w:tl2br w:val="nil"/>
                    <w:tr2bl w:val="nil"/>
                  </w:tcBorders>
                  <w:noWrap w:val="0"/>
                  <w:vAlign w:val="center"/>
                </w:tcPr>
                <w:p w14:paraId="64B91DBD">
                  <w:pPr>
                    <w:pStyle w:val="95"/>
                    <w:rPr>
                      <w:rFonts w:hint="default" w:ascii="Times New Roman" w:hAnsi="Times New Roman" w:cs="Times New Roman"/>
                      <w:color w:val="auto"/>
                      <w:sz w:val="21"/>
                      <w:szCs w:val="21"/>
                      <w:highlight w:val="none"/>
                    </w:rPr>
                  </w:pPr>
                </w:p>
              </w:tc>
              <w:tc>
                <w:tcPr>
                  <w:tcW w:w="250" w:type="pct"/>
                  <w:vMerge w:val="restart"/>
                  <w:tcBorders>
                    <w:tl2br w:val="nil"/>
                    <w:tr2bl w:val="nil"/>
                  </w:tcBorders>
                  <w:noWrap w:val="0"/>
                  <w:vAlign w:val="center"/>
                </w:tcPr>
                <w:p w14:paraId="3014E7BA">
                  <w:pPr>
                    <w:pStyle w:val="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w:t>
                  </w:r>
                </w:p>
              </w:tc>
              <w:tc>
                <w:tcPr>
                  <w:tcW w:w="1132" w:type="pct"/>
                  <w:gridSpan w:val="3"/>
                  <w:tcBorders>
                    <w:tl2br w:val="nil"/>
                    <w:tr2bl w:val="nil"/>
                  </w:tcBorders>
                  <w:noWrap w:val="0"/>
                  <w:vAlign w:val="center"/>
                </w:tcPr>
                <w:p w14:paraId="21DA43FC">
                  <w:pPr>
                    <w:pStyle w:val="9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重点防渗区</w:t>
                  </w:r>
                </w:p>
              </w:tc>
              <w:tc>
                <w:tcPr>
                  <w:tcW w:w="2548" w:type="pct"/>
                  <w:gridSpan w:val="5"/>
                  <w:tcBorders>
                    <w:tl2br w:val="nil"/>
                    <w:tr2bl w:val="nil"/>
                  </w:tcBorders>
                  <w:noWrap w:val="0"/>
                  <w:vAlign w:val="center"/>
                </w:tcPr>
                <w:p w14:paraId="3EB07575">
                  <w:pPr>
                    <w:pStyle w:val="95"/>
                    <w:keepNext w:val="0"/>
                    <w:keepLines w:val="0"/>
                    <w:pageBreakBefore w:val="0"/>
                    <w:widowControl w:val="0"/>
                    <w:kinsoku/>
                    <w:wordWrap/>
                    <w:overflowPunct/>
                    <w:topLinePunct w:val="0"/>
                    <w:autoSpaceDE/>
                    <w:autoSpaceDN/>
                    <w:bidi w:val="0"/>
                    <w:adjustRightInd/>
                    <w:snapToGrid/>
                    <w:ind w:firstLine="412" w:firstLineChars="200"/>
                    <w:jc w:val="left"/>
                    <w:textAlignment w:val="auto"/>
                    <w:rPr>
                      <w:rFonts w:hint="default"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危废间地面及裙角进行防渗处理，地面防渗措施为在混凝土上铺设复合土工膜+水泥砂浆抹灰及环氧树脂耐油防腐地坪，渗透系数≤ 10</w:t>
                  </w:r>
                  <w:r>
                    <w:rPr>
                      <w:rFonts w:hint="eastAsia" w:cs="Times New Roman"/>
                      <w:color w:val="auto"/>
                      <w:spacing w:val="-2"/>
                      <w:sz w:val="21"/>
                      <w:szCs w:val="21"/>
                      <w:highlight w:val="none"/>
                      <w:vertAlign w:val="superscript"/>
                      <w:lang w:val="en-US" w:eastAsia="zh-CN"/>
                    </w:rPr>
                    <w:t>-10</w:t>
                  </w:r>
                  <w:r>
                    <w:rPr>
                      <w:rFonts w:hint="eastAsia" w:cs="Times New Roman"/>
                      <w:color w:val="auto"/>
                      <w:spacing w:val="-2"/>
                      <w:sz w:val="21"/>
                      <w:szCs w:val="21"/>
                      <w:highlight w:val="none"/>
                      <w:lang w:val="en-US" w:eastAsia="zh-CN"/>
                    </w:rPr>
                    <w:t>cm/s并设置收集池、导流槽等设施。</w:t>
                  </w:r>
                </w:p>
              </w:tc>
              <w:tc>
                <w:tcPr>
                  <w:tcW w:w="876" w:type="pct"/>
                  <w:vMerge w:val="continue"/>
                  <w:tcBorders>
                    <w:tl2br w:val="nil"/>
                    <w:tr2bl w:val="nil"/>
                  </w:tcBorders>
                  <w:noWrap w:val="0"/>
                  <w:vAlign w:val="center"/>
                </w:tcPr>
                <w:p w14:paraId="41A7858F">
                  <w:pPr>
                    <w:pStyle w:val="95"/>
                    <w:rPr>
                      <w:rFonts w:hint="eastAsia" w:ascii="Times New Roman" w:hAnsi="Times New Roman" w:eastAsia="宋体" w:cs="Times New Roman"/>
                      <w:color w:val="auto"/>
                      <w:sz w:val="21"/>
                      <w:szCs w:val="21"/>
                      <w:highlight w:val="none"/>
                      <w:lang w:eastAsia="zh-CN"/>
                    </w:rPr>
                  </w:pPr>
                </w:p>
              </w:tc>
            </w:tr>
            <w:tr w14:paraId="38D8F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91" w:type="pct"/>
                  <w:vMerge w:val="continue"/>
                  <w:tcBorders>
                    <w:tl2br w:val="nil"/>
                    <w:tr2bl w:val="nil"/>
                  </w:tcBorders>
                  <w:noWrap w:val="0"/>
                  <w:vAlign w:val="center"/>
                </w:tcPr>
                <w:p w14:paraId="4F7E03F3">
                  <w:pPr>
                    <w:pStyle w:val="95"/>
                    <w:keepNext w:val="0"/>
                    <w:keepLines w:val="0"/>
                    <w:pageBreakBefore w:val="0"/>
                    <w:widowControl w:val="0"/>
                    <w:kinsoku/>
                    <w:wordWrap/>
                    <w:overflowPunct/>
                    <w:topLinePunct w:val="0"/>
                    <w:autoSpaceDE/>
                    <w:autoSpaceDN/>
                    <w:bidi w:val="0"/>
                    <w:adjustRightInd/>
                    <w:snapToGrid/>
                    <w:ind w:firstLine="420" w:firstLineChars="200"/>
                    <w:jc w:val="left"/>
                    <w:textAlignment w:val="auto"/>
                    <w:rPr>
                      <w:color w:val="auto"/>
                      <w:highlight w:val="none"/>
                    </w:rPr>
                  </w:pPr>
                </w:p>
              </w:tc>
              <w:tc>
                <w:tcPr>
                  <w:tcW w:w="250" w:type="pct"/>
                  <w:vMerge w:val="continue"/>
                  <w:tcBorders>
                    <w:tl2br w:val="nil"/>
                    <w:tr2bl w:val="nil"/>
                  </w:tcBorders>
                  <w:noWrap w:val="0"/>
                  <w:vAlign w:val="center"/>
                </w:tcPr>
                <w:p w14:paraId="05ED1432">
                  <w:pPr>
                    <w:pStyle w:val="95"/>
                    <w:keepNext w:val="0"/>
                    <w:keepLines w:val="0"/>
                    <w:pageBreakBefore w:val="0"/>
                    <w:widowControl w:val="0"/>
                    <w:kinsoku/>
                    <w:wordWrap/>
                    <w:overflowPunct/>
                    <w:topLinePunct w:val="0"/>
                    <w:autoSpaceDE/>
                    <w:autoSpaceDN/>
                    <w:bidi w:val="0"/>
                    <w:adjustRightInd/>
                    <w:snapToGrid/>
                    <w:ind w:firstLine="420" w:firstLineChars="200"/>
                    <w:jc w:val="left"/>
                    <w:textAlignment w:val="auto"/>
                    <w:rPr>
                      <w:color w:val="auto"/>
                      <w:highlight w:val="none"/>
                    </w:rPr>
                  </w:pPr>
                </w:p>
              </w:tc>
              <w:tc>
                <w:tcPr>
                  <w:tcW w:w="1132" w:type="pct"/>
                  <w:gridSpan w:val="3"/>
                  <w:tcBorders>
                    <w:tl2br w:val="nil"/>
                    <w:tr2bl w:val="nil"/>
                  </w:tcBorders>
                  <w:noWrap w:val="0"/>
                  <w:vAlign w:val="center"/>
                </w:tcPr>
                <w:p w14:paraId="49863FCB">
                  <w:pPr>
                    <w:pStyle w:val="95"/>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highlight w:val="none"/>
                      <w:lang w:val="en-US" w:eastAsia="zh-CN"/>
                    </w:rPr>
                  </w:pPr>
                  <w:r>
                    <w:rPr>
                      <w:rFonts w:hint="eastAsia"/>
                      <w:color w:val="auto"/>
                      <w:highlight w:val="none"/>
                      <w:lang w:val="en-US" w:eastAsia="zh-CN"/>
                    </w:rPr>
                    <w:t>一般防渗区</w:t>
                  </w:r>
                </w:p>
              </w:tc>
              <w:tc>
                <w:tcPr>
                  <w:tcW w:w="2548" w:type="pct"/>
                  <w:gridSpan w:val="5"/>
                  <w:tcBorders>
                    <w:tl2br w:val="nil"/>
                    <w:tr2bl w:val="nil"/>
                  </w:tcBorders>
                  <w:noWrap w:val="0"/>
                  <w:vAlign w:val="center"/>
                </w:tcPr>
                <w:p w14:paraId="1C16D221">
                  <w:pPr>
                    <w:pStyle w:val="95"/>
                    <w:keepNext w:val="0"/>
                    <w:keepLines w:val="0"/>
                    <w:pageBreakBefore w:val="0"/>
                    <w:widowControl w:val="0"/>
                    <w:kinsoku/>
                    <w:wordWrap/>
                    <w:overflowPunct/>
                    <w:topLinePunct w:val="0"/>
                    <w:autoSpaceDE/>
                    <w:autoSpaceDN/>
                    <w:bidi w:val="0"/>
                    <w:adjustRightInd/>
                    <w:snapToGrid/>
                    <w:ind w:firstLine="396" w:firstLineChars="200"/>
                    <w:jc w:val="left"/>
                    <w:textAlignment w:val="auto"/>
                    <w:rPr>
                      <w:b/>
                      <w:bCs/>
                      <w:color w:val="auto"/>
                      <w:highlight w:val="none"/>
                    </w:rPr>
                  </w:pPr>
                  <w:r>
                    <w:rPr>
                      <w:rFonts w:hint="eastAsia" w:cs="Times New Roman"/>
                      <w:color w:val="auto"/>
                      <w:spacing w:val="-6"/>
                      <w:sz w:val="21"/>
                      <w:szCs w:val="21"/>
                      <w:highlight w:val="none"/>
                      <w:lang w:val="en-US" w:eastAsia="zh-CN" w:bidi="zh-CN"/>
                    </w:rPr>
                    <w:t>生产车间、纳米膜发酵车间、一般固废间</w:t>
                  </w:r>
                  <w:r>
                    <w:rPr>
                      <w:rFonts w:hint="eastAsia"/>
                      <w:color w:val="auto"/>
                      <w:highlight w:val="none"/>
                      <w:lang w:eastAsia="zh-CN"/>
                    </w:rPr>
                    <w:t>、</w:t>
                  </w:r>
                  <w:r>
                    <w:rPr>
                      <w:rFonts w:hint="eastAsia"/>
                      <w:color w:val="auto"/>
                      <w:highlight w:val="none"/>
                      <w:lang w:val="en-US" w:eastAsia="zh-CN"/>
                    </w:rPr>
                    <w:t>玻璃钢化粪池、</w:t>
                  </w:r>
                  <w:r>
                    <w:rPr>
                      <w:rFonts w:hint="eastAsia" w:cs="Times New Roman"/>
                      <w:color w:val="auto"/>
                      <w:sz w:val="21"/>
                      <w:szCs w:val="21"/>
                      <w:highlight w:val="none"/>
                      <w:lang w:val="en-US" w:eastAsia="zh-CN"/>
                    </w:rPr>
                    <w:t>质量检验室</w:t>
                  </w:r>
                  <w:r>
                    <w:rPr>
                      <w:rFonts w:hint="eastAsia" w:cs="Times New Roman"/>
                      <w:color w:val="auto"/>
                      <w:spacing w:val="-6"/>
                      <w:sz w:val="21"/>
                      <w:szCs w:val="21"/>
                      <w:highlight w:val="none"/>
                      <w:lang w:val="en-US" w:eastAsia="zh-CN" w:bidi="zh-CN"/>
                    </w:rPr>
                    <w:t>地面采用</w:t>
                  </w:r>
                  <w:r>
                    <w:rPr>
                      <w:rFonts w:hint="default"/>
                      <w:color w:val="auto"/>
                      <w:highlight w:val="none"/>
                      <w:lang w:val="en-US" w:eastAsia="zh-CN"/>
                    </w:rPr>
                    <w:t>C30防渗混凝土+2mmHDPE膜，厚度≥150mm，防渗等级K≤10</w:t>
                  </w:r>
                  <w:r>
                    <w:rPr>
                      <w:rFonts w:hint="eastAsia"/>
                      <w:color w:val="auto"/>
                      <w:highlight w:val="none"/>
                      <w:vertAlign w:val="superscript"/>
                      <w:lang w:val="en-US" w:eastAsia="zh-CN"/>
                    </w:rPr>
                    <w:t>-7</w:t>
                  </w:r>
                  <w:r>
                    <w:rPr>
                      <w:rFonts w:hint="default"/>
                      <w:color w:val="auto"/>
                      <w:highlight w:val="none"/>
                      <w:lang w:val="en-US" w:eastAsia="zh-CN"/>
                    </w:rPr>
                    <w:t>cm/s</w:t>
                  </w:r>
                  <w:r>
                    <w:rPr>
                      <w:rFonts w:hint="eastAsia"/>
                      <w:color w:val="auto"/>
                      <w:highlight w:val="none"/>
                      <w:lang w:val="en-US" w:eastAsia="zh-CN"/>
                    </w:rPr>
                    <w:t>；</w:t>
                  </w:r>
                </w:p>
              </w:tc>
              <w:tc>
                <w:tcPr>
                  <w:tcW w:w="876" w:type="pct"/>
                  <w:vMerge w:val="continue"/>
                  <w:tcBorders>
                    <w:tl2br w:val="nil"/>
                    <w:tr2bl w:val="nil"/>
                  </w:tcBorders>
                  <w:noWrap w:val="0"/>
                  <w:vAlign w:val="center"/>
                </w:tcPr>
                <w:p w14:paraId="132FC5DD">
                  <w:pPr>
                    <w:pStyle w:val="95"/>
                    <w:keepNext w:val="0"/>
                    <w:keepLines w:val="0"/>
                    <w:pageBreakBefore w:val="0"/>
                    <w:widowControl w:val="0"/>
                    <w:kinsoku/>
                    <w:wordWrap/>
                    <w:overflowPunct/>
                    <w:topLinePunct w:val="0"/>
                    <w:autoSpaceDE/>
                    <w:autoSpaceDN/>
                    <w:bidi w:val="0"/>
                    <w:adjustRightInd/>
                    <w:snapToGrid/>
                    <w:ind w:firstLine="420" w:firstLineChars="200"/>
                    <w:jc w:val="left"/>
                    <w:textAlignment w:val="auto"/>
                    <w:rPr>
                      <w:color w:val="auto"/>
                      <w:highlight w:val="none"/>
                    </w:rPr>
                  </w:pPr>
                </w:p>
              </w:tc>
            </w:tr>
            <w:tr w14:paraId="7A1D3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91" w:type="pct"/>
                  <w:vMerge w:val="continue"/>
                  <w:tcBorders>
                    <w:tl2br w:val="nil"/>
                    <w:tr2bl w:val="nil"/>
                  </w:tcBorders>
                  <w:noWrap w:val="0"/>
                  <w:vAlign w:val="center"/>
                </w:tcPr>
                <w:p w14:paraId="00928075">
                  <w:pPr>
                    <w:pStyle w:val="95"/>
                    <w:keepNext w:val="0"/>
                    <w:keepLines w:val="0"/>
                    <w:pageBreakBefore w:val="0"/>
                    <w:widowControl w:val="0"/>
                    <w:kinsoku/>
                    <w:wordWrap/>
                    <w:overflowPunct/>
                    <w:topLinePunct w:val="0"/>
                    <w:autoSpaceDE/>
                    <w:autoSpaceDN/>
                    <w:bidi w:val="0"/>
                    <w:adjustRightInd/>
                    <w:snapToGrid/>
                    <w:ind w:firstLine="420" w:firstLineChars="200"/>
                    <w:jc w:val="left"/>
                    <w:textAlignment w:val="auto"/>
                    <w:rPr>
                      <w:color w:val="auto"/>
                      <w:highlight w:val="none"/>
                    </w:rPr>
                  </w:pPr>
                </w:p>
              </w:tc>
              <w:tc>
                <w:tcPr>
                  <w:tcW w:w="250" w:type="pct"/>
                  <w:vMerge w:val="continue"/>
                  <w:tcBorders>
                    <w:tl2br w:val="nil"/>
                    <w:tr2bl w:val="nil"/>
                  </w:tcBorders>
                  <w:noWrap w:val="0"/>
                  <w:vAlign w:val="center"/>
                </w:tcPr>
                <w:p w14:paraId="60C9B76A">
                  <w:pPr>
                    <w:pStyle w:val="95"/>
                    <w:keepNext w:val="0"/>
                    <w:keepLines w:val="0"/>
                    <w:pageBreakBefore w:val="0"/>
                    <w:widowControl w:val="0"/>
                    <w:kinsoku/>
                    <w:wordWrap/>
                    <w:overflowPunct/>
                    <w:topLinePunct w:val="0"/>
                    <w:autoSpaceDE/>
                    <w:autoSpaceDN/>
                    <w:bidi w:val="0"/>
                    <w:adjustRightInd/>
                    <w:snapToGrid/>
                    <w:ind w:firstLine="420" w:firstLineChars="200"/>
                    <w:jc w:val="left"/>
                    <w:textAlignment w:val="auto"/>
                    <w:rPr>
                      <w:color w:val="auto"/>
                      <w:highlight w:val="none"/>
                    </w:rPr>
                  </w:pPr>
                </w:p>
              </w:tc>
              <w:tc>
                <w:tcPr>
                  <w:tcW w:w="1132" w:type="pct"/>
                  <w:gridSpan w:val="3"/>
                  <w:tcBorders>
                    <w:tl2br w:val="nil"/>
                    <w:tr2bl w:val="nil"/>
                  </w:tcBorders>
                  <w:noWrap w:val="0"/>
                  <w:vAlign w:val="center"/>
                </w:tcPr>
                <w:p w14:paraId="0732B6C3">
                  <w:pPr>
                    <w:pStyle w:val="95"/>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highlight w:val="none"/>
                      <w:lang w:val="en-US" w:eastAsia="zh-CN"/>
                    </w:rPr>
                  </w:pPr>
                  <w:r>
                    <w:rPr>
                      <w:rFonts w:hint="eastAsia"/>
                      <w:color w:val="auto"/>
                      <w:highlight w:val="none"/>
                      <w:lang w:val="en-US" w:eastAsia="zh-CN"/>
                    </w:rPr>
                    <w:t>简单防渗区</w:t>
                  </w:r>
                </w:p>
              </w:tc>
              <w:tc>
                <w:tcPr>
                  <w:tcW w:w="2548" w:type="pct"/>
                  <w:gridSpan w:val="5"/>
                  <w:tcBorders>
                    <w:tl2br w:val="nil"/>
                    <w:tr2bl w:val="nil"/>
                  </w:tcBorders>
                  <w:noWrap w:val="0"/>
                  <w:vAlign w:val="center"/>
                </w:tcPr>
                <w:p w14:paraId="5C51D787">
                  <w:pPr>
                    <w:pStyle w:val="95"/>
                    <w:keepNext w:val="0"/>
                    <w:keepLines w:val="0"/>
                    <w:pageBreakBefore w:val="0"/>
                    <w:widowControl w:val="0"/>
                    <w:kinsoku/>
                    <w:wordWrap/>
                    <w:overflowPunct/>
                    <w:topLinePunct w:val="0"/>
                    <w:autoSpaceDE/>
                    <w:autoSpaceDN/>
                    <w:bidi w:val="0"/>
                    <w:adjustRightInd/>
                    <w:snapToGrid/>
                    <w:ind w:firstLine="412" w:firstLineChars="200"/>
                    <w:jc w:val="both"/>
                    <w:textAlignment w:val="auto"/>
                    <w:rPr>
                      <w:color w:val="auto"/>
                      <w:highlight w:val="none"/>
                    </w:rPr>
                  </w:pPr>
                  <w:r>
                    <w:rPr>
                      <w:rFonts w:hint="eastAsia" w:cs="Times New Roman"/>
                      <w:color w:val="auto"/>
                      <w:spacing w:val="-2"/>
                      <w:sz w:val="21"/>
                      <w:szCs w:val="21"/>
                      <w:highlight w:val="none"/>
                      <w:lang w:val="en-US" w:eastAsia="zh-CN"/>
                    </w:rPr>
                    <w:t>原料储存库地面采用素</w:t>
                  </w:r>
                  <w:r>
                    <w:rPr>
                      <w:rFonts w:hint="default"/>
                      <w:color w:val="auto"/>
                      <w:highlight w:val="none"/>
                      <w:lang w:val="en-US" w:eastAsia="zh-CN"/>
                    </w:rPr>
                    <w:t>混凝土+防渗层</w:t>
                  </w:r>
                  <w:r>
                    <w:rPr>
                      <w:rFonts w:hint="eastAsia"/>
                      <w:color w:val="auto"/>
                      <w:highlight w:val="none"/>
                      <w:lang w:val="en-US" w:eastAsia="zh-CN"/>
                    </w:rPr>
                    <w:t>；</w:t>
                  </w:r>
                  <w:r>
                    <w:rPr>
                      <w:rFonts w:hint="eastAsia" w:cs="Times New Roman"/>
                      <w:color w:val="auto"/>
                      <w:spacing w:val="-2"/>
                      <w:sz w:val="21"/>
                      <w:szCs w:val="21"/>
                      <w:highlight w:val="none"/>
                      <w:lang w:val="en-US" w:eastAsia="zh-CN"/>
                    </w:rPr>
                    <w:t>办公管理区地面采用瓷砖/防滑地面。</w:t>
                  </w:r>
                </w:p>
              </w:tc>
              <w:tc>
                <w:tcPr>
                  <w:tcW w:w="876" w:type="pct"/>
                  <w:vMerge w:val="continue"/>
                  <w:tcBorders>
                    <w:tl2br w:val="nil"/>
                    <w:tr2bl w:val="nil"/>
                  </w:tcBorders>
                  <w:noWrap w:val="0"/>
                  <w:vAlign w:val="center"/>
                </w:tcPr>
                <w:p w14:paraId="2EED0D0C">
                  <w:pPr>
                    <w:pStyle w:val="95"/>
                    <w:keepNext w:val="0"/>
                    <w:keepLines w:val="0"/>
                    <w:pageBreakBefore w:val="0"/>
                    <w:widowControl w:val="0"/>
                    <w:kinsoku/>
                    <w:wordWrap/>
                    <w:overflowPunct/>
                    <w:topLinePunct w:val="0"/>
                    <w:autoSpaceDE/>
                    <w:autoSpaceDN/>
                    <w:bidi w:val="0"/>
                    <w:adjustRightInd/>
                    <w:snapToGrid/>
                    <w:ind w:firstLine="420" w:firstLineChars="200"/>
                    <w:jc w:val="left"/>
                    <w:textAlignment w:val="auto"/>
                    <w:rPr>
                      <w:color w:val="auto"/>
                      <w:highlight w:val="none"/>
                    </w:rPr>
                  </w:pPr>
                </w:p>
              </w:tc>
            </w:tr>
          </w:tbl>
          <w:p w14:paraId="4E386666">
            <w:pPr>
              <w:spacing w:line="470" w:lineRule="atLeast"/>
              <w:jc w:val="left"/>
              <w:rPr>
                <w:rFonts w:hint="default" w:ascii="Times New Roman" w:hAnsi="Times New Roman" w:cs="Times New Roman"/>
                <w:b/>
                <w:bCs/>
                <w:color w:val="auto"/>
                <w:sz w:val="24"/>
                <w:szCs w:val="21"/>
                <w:highlight w:val="none"/>
              </w:rPr>
            </w:pPr>
            <w:r>
              <w:rPr>
                <w:rFonts w:hint="default" w:ascii="Times New Roman" w:hAnsi="Times New Roman" w:cs="Times New Roman"/>
                <w:b/>
                <w:color w:val="auto"/>
                <w:sz w:val="24"/>
                <w:szCs w:val="21"/>
                <w:highlight w:val="none"/>
              </w:rPr>
              <w:t>3、</w:t>
            </w:r>
            <w:r>
              <w:rPr>
                <w:rFonts w:hint="default" w:ascii="Times New Roman" w:hAnsi="Times New Roman" w:cs="Times New Roman"/>
                <w:b/>
                <w:bCs/>
                <w:color w:val="auto"/>
                <w:sz w:val="24"/>
                <w:szCs w:val="21"/>
                <w:highlight w:val="none"/>
              </w:rPr>
              <w:t>主要生产设备</w:t>
            </w:r>
          </w:p>
          <w:p w14:paraId="3EE27FC2">
            <w:pPr>
              <w:spacing w:line="470" w:lineRule="atLeast"/>
              <w:ind w:firstLine="480"/>
              <w:rPr>
                <w:rFonts w:hint="default" w:ascii="Times New Roman" w:hAnsi="Times New Roman" w:cs="Times New Roman"/>
                <w:color w:val="auto"/>
                <w:szCs w:val="21"/>
                <w:highlight w:val="none"/>
              </w:rPr>
            </w:pPr>
            <w:r>
              <w:rPr>
                <w:rFonts w:hint="eastAsia" w:cs="Times New Roman"/>
                <w:color w:val="auto"/>
                <w:sz w:val="24"/>
                <w:szCs w:val="21"/>
                <w:highlight w:val="none"/>
                <w:lang w:val="en-US" w:eastAsia="zh-CN"/>
              </w:rPr>
              <w:t>本项目基础有机肥、高端有机肥共用1条生产线，仅发酵场地不同（一期基础有机肥发酵时，发酵场地设在生产车间内的发酵间。二期高端有机肥发酵时，发酵场地则位于专门的纳米膜发酵车间。由于纳米膜发酵车间采用的纳米膜堆肥发酵技术需用到曝气设备与特制功能膜，一期工程发酵间的配置不符合高端有机肥发酵技术的要求，所以发酵场地有所区别）。</w:t>
            </w:r>
            <w:r>
              <w:rPr>
                <w:rFonts w:hint="default" w:ascii="Times New Roman" w:hAnsi="Times New Roman" w:cs="Times New Roman"/>
                <w:color w:val="auto"/>
                <w:sz w:val="24"/>
                <w:szCs w:val="21"/>
                <w:highlight w:val="none"/>
              </w:rPr>
              <w:t>本项目</w:t>
            </w:r>
            <w:r>
              <w:rPr>
                <w:rFonts w:hint="eastAsia" w:cs="Times New Roman"/>
                <w:color w:val="auto"/>
                <w:sz w:val="24"/>
                <w:szCs w:val="21"/>
                <w:highlight w:val="none"/>
                <w:lang w:val="en-US" w:eastAsia="zh-CN"/>
              </w:rPr>
              <w:t>使用的</w:t>
            </w:r>
            <w:r>
              <w:rPr>
                <w:rFonts w:hint="default" w:ascii="Times New Roman" w:hAnsi="Times New Roman" w:cs="Times New Roman"/>
                <w:color w:val="auto"/>
                <w:sz w:val="24"/>
                <w:szCs w:val="21"/>
                <w:highlight w:val="none"/>
              </w:rPr>
              <w:t>主要生产设备见表2-2。</w:t>
            </w:r>
          </w:p>
          <w:p w14:paraId="14A385CE">
            <w:pPr>
              <w:pStyle w:val="96"/>
              <w:spacing w:before="120" w:beforeLines="50" w:line="240" w:lineRule="auto"/>
              <w:ind w:firstLine="0" w:firstLineChars="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表2-2</w:t>
            </w:r>
            <w:r>
              <w:rPr>
                <w:rFonts w:hint="eastAsia" w:ascii="Times New Roman" w:hAnsi="Times New Roman" w:cs="Times New Roman"/>
                <w:b/>
                <w:color w:val="auto"/>
                <w:sz w:val="24"/>
                <w:szCs w:val="24"/>
                <w:highlight w:val="none"/>
                <w:lang w:val="en-US" w:eastAsia="zh-CN"/>
              </w:rPr>
              <w:t>-1</w:t>
            </w:r>
            <w:r>
              <w:rPr>
                <w:rFonts w:hint="default" w:ascii="Times New Roman" w:hAnsi="Times New Roman" w:cs="Times New Roman"/>
                <w:b/>
                <w:color w:val="auto"/>
                <w:sz w:val="24"/>
                <w:szCs w:val="24"/>
                <w:highlight w:val="none"/>
              </w:rPr>
              <w:t xml:space="preserve">   项目</w:t>
            </w:r>
            <w:r>
              <w:rPr>
                <w:rFonts w:hint="eastAsia" w:ascii="Times New Roman" w:hAnsi="Times New Roman" w:cs="Times New Roman"/>
                <w:b/>
                <w:color w:val="auto"/>
                <w:sz w:val="24"/>
                <w:szCs w:val="24"/>
                <w:highlight w:val="none"/>
                <w:lang w:val="en-US" w:eastAsia="zh-CN"/>
              </w:rPr>
              <w:t>一期工程</w:t>
            </w:r>
            <w:r>
              <w:rPr>
                <w:rFonts w:hint="default" w:ascii="Times New Roman" w:hAnsi="Times New Roman" w:cs="Times New Roman"/>
                <w:b/>
                <w:color w:val="auto"/>
                <w:sz w:val="24"/>
                <w:szCs w:val="24"/>
                <w:highlight w:val="none"/>
              </w:rPr>
              <w:t>设备一览表</w:t>
            </w:r>
          </w:p>
          <w:tbl>
            <w:tblPr>
              <w:tblStyle w:val="32"/>
              <w:tblW w:w="4994"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953"/>
              <w:gridCol w:w="5258"/>
              <w:gridCol w:w="773"/>
            </w:tblGrid>
            <w:tr w14:paraId="44C01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45" w:type="pct"/>
                  <w:tcBorders>
                    <w:tl2br w:val="nil"/>
                    <w:tr2bl w:val="nil"/>
                  </w:tcBorders>
                  <w:noWrap w:val="0"/>
                  <w:vAlign w:val="center"/>
                </w:tcPr>
                <w:p w14:paraId="356F878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138" w:type="pct"/>
                  <w:tcBorders>
                    <w:tl2br w:val="nil"/>
                    <w:tr2bl w:val="nil"/>
                  </w:tcBorders>
                  <w:noWrap w:val="0"/>
                  <w:vAlign w:val="center"/>
                </w:tcPr>
                <w:p w14:paraId="70D7239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设备清单</w:t>
                  </w:r>
                </w:p>
              </w:tc>
              <w:tc>
                <w:tcPr>
                  <w:tcW w:w="3065" w:type="pct"/>
                  <w:tcBorders>
                    <w:tl2br w:val="nil"/>
                    <w:tr2bl w:val="nil"/>
                  </w:tcBorders>
                  <w:noWrap w:val="0"/>
                  <w:vAlign w:val="center"/>
                </w:tcPr>
                <w:p w14:paraId="6E702F26">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技 术 参 数</w:t>
                  </w:r>
                </w:p>
              </w:tc>
              <w:tc>
                <w:tcPr>
                  <w:tcW w:w="450" w:type="pct"/>
                  <w:tcBorders>
                    <w:tl2br w:val="nil"/>
                    <w:tr2bl w:val="nil"/>
                  </w:tcBorders>
                  <w:noWrap w:val="0"/>
                  <w:vAlign w:val="center"/>
                </w:tcPr>
                <w:p w14:paraId="4554762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 量</w:t>
                  </w:r>
                </w:p>
              </w:tc>
            </w:tr>
            <w:tr w14:paraId="464B07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000" w:type="pct"/>
                  <w:gridSpan w:val="4"/>
                  <w:tcBorders>
                    <w:tl2br w:val="nil"/>
                    <w:tr2bl w:val="nil"/>
                  </w:tcBorders>
                  <w:noWrap w:val="0"/>
                  <w:vAlign w:val="center"/>
                </w:tcPr>
                <w:p w14:paraId="0299DA4E">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发酵核心设备</w:t>
                  </w:r>
                </w:p>
              </w:tc>
            </w:tr>
            <w:tr w14:paraId="77757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5" w:type="pct"/>
                  <w:tcBorders>
                    <w:tl2br w:val="nil"/>
                    <w:tr2bl w:val="nil"/>
                  </w:tcBorders>
                  <w:noWrap w:val="0"/>
                  <w:vAlign w:val="center"/>
                </w:tcPr>
                <w:p w14:paraId="1DC3289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w:t>
                  </w:r>
                </w:p>
              </w:tc>
              <w:tc>
                <w:tcPr>
                  <w:tcW w:w="1138" w:type="pct"/>
                  <w:tcBorders>
                    <w:tl2br w:val="nil"/>
                    <w:tr2bl w:val="nil"/>
                  </w:tcBorders>
                  <w:noWrap w:val="0"/>
                  <w:vAlign w:val="center"/>
                </w:tcPr>
                <w:p w14:paraId="63F22ED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翻抛机</w:t>
                  </w:r>
                </w:p>
              </w:tc>
              <w:tc>
                <w:tcPr>
                  <w:tcW w:w="3065" w:type="pct"/>
                  <w:tcBorders>
                    <w:tl2br w:val="nil"/>
                    <w:tr2bl w:val="nil"/>
                  </w:tcBorders>
                  <w:noWrap w:val="0"/>
                  <w:vAlign w:val="center"/>
                </w:tcPr>
                <w:p w14:paraId="1592C72C">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轮盘式翻抛机</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XGFP=1500</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主跨15m，功率3</w:t>
                  </w:r>
                  <w:r>
                    <w:rPr>
                      <w:rFonts w:hint="default" w:ascii="Times New Roman" w:hAnsi="Times New Roman" w:eastAsia="宋体" w:cs="Times New Roman"/>
                      <w:b/>
                      <w:bCs/>
                      <w:color w:val="auto"/>
                      <w:sz w:val="21"/>
                      <w:szCs w:val="21"/>
                      <w:highlight w:val="none"/>
                    </w:rPr>
                    <w:cr/>
                  </w:r>
                  <w:r>
                    <w:rPr>
                      <w:rFonts w:hint="default" w:ascii="Times New Roman" w:hAnsi="Times New Roman" w:eastAsia="宋体" w:cs="Times New Roman"/>
                      <w:b/>
                      <w:bCs/>
                      <w:color w:val="auto"/>
                      <w:sz w:val="21"/>
                      <w:szCs w:val="21"/>
                      <w:highlight w:val="none"/>
                    </w:rPr>
                    <w:t>KW，圆盘直径2200mm（2个），工作能力200方/小时，总高度4.7m</w:t>
                  </w:r>
                </w:p>
              </w:tc>
              <w:tc>
                <w:tcPr>
                  <w:tcW w:w="450" w:type="pct"/>
                  <w:tcBorders>
                    <w:tl2br w:val="nil"/>
                    <w:tr2bl w:val="nil"/>
                  </w:tcBorders>
                  <w:noWrap w:val="0"/>
                  <w:vAlign w:val="center"/>
                </w:tcPr>
                <w:p w14:paraId="3BC29AF7">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1套</w:t>
                  </w:r>
                </w:p>
              </w:tc>
            </w:tr>
            <w:tr w14:paraId="15891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5" w:type="pct"/>
                  <w:tcBorders>
                    <w:tl2br w:val="nil"/>
                    <w:tr2bl w:val="nil"/>
                  </w:tcBorders>
                  <w:noWrap w:val="0"/>
                  <w:vAlign w:val="center"/>
                </w:tcPr>
                <w:p w14:paraId="6019B85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138" w:type="pct"/>
                  <w:tcBorders>
                    <w:tl2br w:val="nil"/>
                    <w:tr2bl w:val="nil"/>
                  </w:tcBorders>
                  <w:noWrap w:val="0"/>
                  <w:vAlign w:val="center"/>
                </w:tcPr>
                <w:p w14:paraId="7D35BC90">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主梁</w:t>
                  </w:r>
                </w:p>
              </w:tc>
              <w:tc>
                <w:tcPr>
                  <w:tcW w:w="3065" w:type="pct"/>
                  <w:tcBorders>
                    <w:tl2br w:val="nil"/>
                    <w:tr2bl w:val="nil"/>
                  </w:tcBorders>
                  <w:noWrap w:val="0"/>
                  <w:vAlign w:val="center"/>
                </w:tcPr>
                <w:p w14:paraId="0B6608D4">
                  <w:pPr>
                    <w:widowControl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400</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600</w:t>
                  </w:r>
                  <w:r>
                    <w:rPr>
                      <w:rFonts w:hint="default" w:ascii="Times New Roman" w:hAnsi="Times New Roman" w:eastAsia="宋体" w:cs="Times New Roman"/>
                      <w:color w:val="auto"/>
                      <w:sz w:val="21"/>
                      <w:szCs w:val="21"/>
                      <w:highlight w:val="none"/>
                    </w:rPr>
                    <w:t>钢板焊接</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盖板厚度12mm，立板厚度10mm。</w:t>
                  </w:r>
                </w:p>
              </w:tc>
              <w:tc>
                <w:tcPr>
                  <w:tcW w:w="450" w:type="pct"/>
                  <w:tcBorders>
                    <w:tl2br w:val="nil"/>
                    <w:tr2bl w:val="nil"/>
                  </w:tcBorders>
                  <w:noWrap w:val="0"/>
                  <w:vAlign w:val="center"/>
                </w:tcPr>
                <w:p w14:paraId="4140E77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420F9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5" w:type="pct"/>
                  <w:tcBorders>
                    <w:tl2br w:val="nil"/>
                    <w:tr2bl w:val="nil"/>
                  </w:tcBorders>
                  <w:noWrap w:val="0"/>
                  <w:vAlign w:val="center"/>
                </w:tcPr>
                <w:p w14:paraId="6F7B913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1138" w:type="pct"/>
                  <w:tcBorders>
                    <w:tl2br w:val="nil"/>
                    <w:tr2bl w:val="nil"/>
                  </w:tcBorders>
                  <w:noWrap w:val="0"/>
                  <w:vAlign w:val="center"/>
                </w:tcPr>
                <w:p w14:paraId="41C63412">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行走梁</w:t>
                  </w:r>
                </w:p>
              </w:tc>
              <w:tc>
                <w:tcPr>
                  <w:tcW w:w="3065" w:type="pct"/>
                  <w:tcBorders>
                    <w:tl2br w:val="nil"/>
                    <w:tr2bl w:val="nil"/>
                  </w:tcBorders>
                  <w:noWrap w:val="0"/>
                  <w:vAlign w:val="center"/>
                </w:tcPr>
                <w:p w14:paraId="4DD45D40">
                  <w:pPr>
                    <w:widowControl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rPr>
                    <w:t>200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10mm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厚度10mm</w:t>
                  </w:r>
                </w:p>
              </w:tc>
              <w:tc>
                <w:tcPr>
                  <w:tcW w:w="450" w:type="pct"/>
                  <w:tcBorders>
                    <w:tl2br w:val="nil"/>
                    <w:tr2bl w:val="nil"/>
                  </w:tcBorders>
                  <w:noWrap w:val="0"/>
                  <w:vAlign w:val="center"/>
                </w:tcPr>
                <w:p w14:paraId="69F5C65B">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7E205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5" w:type="pct"/>
                  <w:tcBorders>
                    <w:tl2br w:val="nil"/>
                    <w:tr2bl w:val="nil"/>
                  </w:tcBorders>
                  <w:noWrap w:val="0"/>
                  <w:vAlign w:val="center"/>
                </w:tcPr>
                <w:p w14:paraId="5D27941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138" w:type="pct"/>
                  <w:tcBorders>
                    <w:tl2br w:val="nil"/>
                    <w:tr2bl w:val="nil"/>
                  </w:tcBorders>
                  <w:noWrap w:val="0"/>
                  <w:vAlign w:val="center"/>
                </w:tcPr>
                <w:p w14:paraId="5B717F8A">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翻抛轮</w:t>
                  </w:r>
                </w:p>
              </w:tc>
              <w:tc>
                <w:tcPr>
                  <w:tcW w:w="3065" w:type="pct"/>
                  <w:tcBorders>
                    <w:tl2br w:val="nil"/>
                    <w:tr2bl w:val="nil"/>
                  </w:tcBorders>
                  <w:noWrap w:val="0"/>
                  <w:vAlign w:val="center"/>
                </w:tcPr>
                <w:p w14:paraId="26262426">
                  <w:pPr>
                    <w:widowControl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rPr>
                    <w:t>直径2200mm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厚度8mm，10mm。翻抛齿厚度14mm锰钢。</w:t>
                  </w:r>
                </w:p>
              </w:tc>
              <w:tc>
                <w:tcPr>
                  <w:tcW w:w="450" w:type="pct"/>
                  <w:tcBorders>
                    <w:tl2br w:val="nil"/>
                    <w:tr2bl w:val="nil"/>
                  </w:tcBorders>
                  <w:noWrap w:val="0"/>
                  <w:vAlign w:val="center"/>
                </w:tcPr>
                <w:p w14:paraId="5DF20FFF">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1F70D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5" w:type="pct"/>
                  <w:tcBorders>
                    <w:tl2br w:val="nil"/>
                    <w:tr2bl w:val="nil"/>
                  </w:tcBorders>
                  <w:noWrap w:val="0"/>
                  <w:vAlign w:val="center"/>
                </w:tcPr>
                <w:p w14:paraId="2D119DA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138" w:type="pct"/>
                  <w:tcBorders>
                    <w:tl2br w:val="nil"/>
                    <w:tr2bl w:val="nil"/>
                  </w:tcBorders>
                  <w:noWrap w:val="0"/>
                  <w:vAlign w:val="center"/>
                </w:tcPr>
                <w:p w14:paraId="56415C7B">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翻抛主电机</w:t>
                  </w:r>
                </w:p>
              </w:tc>
              <w:tc>
                <w:tcPr>
                  <w:tcW w:w="3065" w:type="pct"/>
                  <w:tcBorders>
                    <w:tl2br w:val="nil"/>
                    <w:tr2bl w:val="nil"/>
                  </w:tcBorders>
                  <w:noWrap w:val="0"/>
                  <w:vAlign w:val="center"/>
                </w:tcPr>
                <w:p w14:paraId="2DB102E1">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翻抛主电机</w:t>
                  </w:r>
                  <w:r>
                    <w:rPr>
                      <w:rFonts w:hint="default" w:ascii="Times New Roman" w:hAnsi="Times New Roman" w:eastAsia="宋体" w:cs="Times New Roman"/>
                      <w:color w:val="auto"/>
                      <w:sz w:val="21"/>
                      <w:szCs w:val="21"/>
                      <w:highlight w:val="none"/>
                      <w:lang w:val="en-US" w:eastAsia="zh-CN"/>
                    </w:rPr>
                    <w:t>37</w:t>
                  </w:r>
                  <w:r>
                    <w:rPr>
                      <w:rFonts w:hint="default" w:ascii="Times New Roman" w:hAnsi="Times New Roman" w:eastAsia="宋体" w:cs="Times New Roman"/>
                      <w:color w:val="auto"/>
                      <w:sz w:val="21"/>
                      <w:szCs w:val="21"/>
                      <w:highlight w:val="none"/>
                    </w:rPr>
                    <w:t>kw</w:t>
                  </w:r>
                </w:p>
              </w:tc>
              <w:tc>
                <w:tcPr>
                  <w:tcW w:w="450" w:type="pct"/>
                  <w:tcBorders>
                    <w:tl2br w:val="nil"/>
                    <w:tr2bl w:val="nil"/>
                  </w:tcBorders>
                  <w:noWrap w:val="0"/>
                  <w:vAlign w:val="center"/>
                </w:tcPr>
                <w:p w14:paraId="62130FBD">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1D292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5" w:type="pct"/>
                  <w:tcBorders>
                    <w:tl2br w:val="nil"/>
                    <w:tr2bl w:val="nil"/>
                  </w:tcBorders>
                  <w:noWrap w:val="0"/>
                  <w:vAlign w:val="center"/>
                </w:tcPr>
                <w:p w14:paraId="635A50C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138" w:type="pct"/>
                  <w:tcBorders>
                    <w:tl2br w:val="nil"/>
                    <w:tr2bl w:val="nil"/>
                  </w:tcBorders>
                  <w:noWrap w:val="0"/>
                  <w:vAlign w:val="center"/>
                </w:tcPr>
                <w:p w14:paraId="2D0DC532">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减速机</w:t>
                  </w:r>
                </w:p>
              </w:tc>
              <w:tc>
                <w:tcPr>
                  <w:tcW w:w="3065" w:type="pct"/>
                  <w:tcBorders>
                    <w:tl2br w:val="nil"/>
                    <w:tr2bl w:val="nil"/>
                  </w:tcBorders>
                  <w:noWrap w:val="0"/>
                  <w:vAlign w:val="center"/>
                </w:tcPr>
                <w:p w14:paraId="3D5ED68E">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K</w:t>
                  </w:r>
                  <w:r>
                    <w:rPr>
                      <w:rFonts w:hint="default" w:ascii="Times New Roman" w:hAnsi="Times New Roman" w:eastAsia="宋体" w:cs="Times New Roman"/>
                      <w:color w:val="auto"/>
                      <w:sz w:val="21"/>
                      <w:szCs w:val="21"/>
                      <w:highlight w:val="none"/>
                      <w:lang w:val="en-US" w:eastAsia="zh-CN"/>
                    </w:rPr>
                    <w:t>107</w:t>
                  </w:r>
                </w:p>
              </w:tc>
              <w:tc>
                <w:tcPr>
                  <w:tcW w:w="450" w:type="pct"/>
                  <w:tcBorders>
                    <w:tl2br w:val="nil"/>
                    <w:tr2bl w:val="nil"/>
                  </w:tcBorders>
                  <w:noWrap w:val="0"/>
                  <w:vAlign w:val="center"/>
                </w:tcPr>
                <w:p w14:paraId="6876D1B7">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2671B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5" w:type="pct"/>
                  <w:tcBorders>
                    <w:tl2br w:val="nil"/>
                    <w:tr2bl w:val="nil"/>
                  </w:tcBorders>
                  <w:noWrap w:val="0"/>
                  <w:vAlign w:val="center"/>
                </w:tcPr>
                <w:p w14:paraId="5FD49A4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1138" w:type="pct"/>
                  <w:tcBorders>
                    <w:tl2br w:val="nil"/>
                    <w:tr2bl w:val="nil"/>
                  </w:tcBorders>
                  <w:noWrap w:val="0"/>
                  <w:vAlign w:val="center"/>
                </w:tcPr>
                <w:p w14:paraId="763A9686">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大车行走电机</w:t>
                  </w:r>
                </w:p>
              </w:tc>
              <w:tc>
                <w:tcPr>
                  <w:tcW w:w="3065" w:type="pct"/>
                  <w:tcBorders>
                    <w:tl2br w:val="nil"/>
                    <w:tr2bl w:val="nil"/>
                  </w:tcBorders>
                  <w:noWrap w:val="0"/>
                  <w:vAlign w:val="center"/>
                </w:tcPr>
                <w:p w14:paraId="0F6F4623">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行走电机</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kw</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2，K系列减速机</w:t>
                  </w:r>
                </w:p>
              </w:tc>
              <w:tc>
                <w:tcPr>
                  <w:tcW w:w="450" w:type="pct"/>
                  <w:tcBorders>
                    <w:tl2br w:val="nil"/>
                    <w:tr2bl w:val="nil"/>
                  </w:tcBorders>
                  <w:noWrap w:val="0"/>
                  <w:vAlign w:val="center"/>
                </w:tcPr>
                <w:p w14:paraId="0A45672D">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7B89D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5" w:type="pct"/>
                  <w:tcBorders>
                    <w:tl2br w:val="nil"/>
                    <w:tr2bl w:val="nil"/>
                  </w:tcBorders>
                  <w:noWrap w:val="0"/>
                  <w:vAlign w:val="center"/>
                </w:tcPr>
                <w:p w14:paraId="2C6DB12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1138" w:type="pct"/>
                  <w:tcBorders>
                    <w:tl2br w:val="nil"/>
                    <w:tr2bl w:val="nil"/>
                  </w:tcBorders>
                  <w:noWrap w:val="0"/>
                  <w:vAlign w:val="center"/>
                </w:tcPr>
                <w:p w14:paraId="3AB8CC0E">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小车行走电机</w:t>
                  </w:r>
                </w:p>
              </w:tc>
              <w:tc>
                <w:tcPr>
                  <w:tcW w:w="3065" w:type="pct"/>
                  <w:tcBorders>
                    <w:tl2br w:val="nil"/>
                    <w:tr2bl w:val="nil"/>
                  </w:tcBorders>
                  <w:noWrap w:val="0"/>
                  <w:vAlign w:val="center"/>
                </w:tcPr>
                <w:p w14:paraId="64C728AB">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小车电机</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kw</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，K系列减速机</w:t>
                  </w:r>
                </w:p>
              </w:tc>
              <w:tc>
                <w:tcPr>
                  <w:tcW w:w="450" w:type="pct"/>
                  <w:tcBorders>
                    <w:tl2br w:val="nil"/>
                    <w:tr2bl w:val="nil"/>
                  </w:tcBorders>
                  <w:noWrap w:val="0"/>
                  <w:vAlign w:val="center"/>
                </w:tcPr>
                <w:p w14:paraId="3EE3F60F">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0DB22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5" w:type="pct"/>
                  <w:tcBorders>
                    <w:tl2br w:val="nil"/>
                    <w:tr2bl w:val="nil"/>
                  </w:tcBorders>
                  <w:noWrap w:val="0"/>
                  <w:vAlign w:val="center"/>
                </w:tcPr>
                <w:p w14:paraId="67C2F28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1138" w:type="pct"/>
                  <w:tcBorders>
                    <w:tl2br w:val="nil"/>
                    <w:tr2bl w:val="nil"/>
                  </w:tcBorders>
                  <w:noWrap w:val="0"/>
                  <w:vAlign w:val="center"/>
                </w:tcPr>
                <w:p w14:paraId="0BE4CCDD">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液压升降</w:t>
                  </w:r>
                </w:p>
              </w:tc>
              <w:tc>
                <w:tcPr>
                  <w:tcW w:w="3065" w:type="pct"/>
                  <w:tcBorders>
                    <w:tl2br w:val="nil"/>
                    <w:tr2bl w:val="nil"/>
                  </w:tcBorders>
                  <w:noWrap w:val="0"/>
                  <w:vAlign w:val="center"/>
                </w:tcPr>
                <w:p w14:paraId="7FB8DE40">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3kw</w:t>
                  </w:r>
                </w:p>
              </w:tc>
              <w:tc>
                <w:tcPr>
                  <w:tcW w:w="450" w:type="pct"/>
                  <w:tcBorders>
                    <w:tl2br w:val="nil"/>
                    <w:tr2bl w:val="nil"/>
                  </w:tcBorders>
                  <w:noWrap w:val="0"/>
                  <w:vAlign w:val="center"/>
                </w:tcPr>
                <w:p w14:paraId="6D6343FB">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406A7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5" w:type="pct"/>
                  <w:tcBorders>
                    <w:tl2br w:val="nil"/>
                    <w:tr2bl w:val="nil"/>
                  </w:tcBorders>
                  <w:noWrap w:val="0"/>
                  <w:vAlign w:val="center"/>
                </w:tcPr>
                <w:p w14:paraId="7BA7929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1138" w:type="pct"/>
                  <w:tcBorders>
                    <w:tl2br w:val="nil"/>
                    <w:tr2bl w:val="nil"/>
                  </w:tcBorders>
                  <w:noWrap w:val="0"/>
                  <w:vAlign w:val="center"/>
                </w:tcPr>
                <w:p w14:paraId="54459565">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处理量</w:t>
                  </w:r>
                </w:p>
              </w:tc>
              <w:tc>
                <w:tcPr>
                  <w:tcW w:w="3065" w:type="pct"/>
                  <w:tcBorders>
                    <w:tl2br w:val="nil"/>
                    <w:tr2bl w:val="nil"/>
                  </w:tcBorders>
                  <w:noWrap w:val="0"/>
                  <w:vAlign w:val="center"/>
                </w:tcPr>
                <w:p w14:paraId="4E3B8565">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400-500立方/小时</w:t>
                  </w:r>
                </w:p>
                <w:p w14:paraId="47FB9BC1">
                  <w:pPr>
                    <w:widowControl w:val="0"/>
                    <w:jc w:val="center"/>
                    <w:rPr>
                      <w:rFonts w:hint="default" w:ascii="Times New Roman" w:hAnsi="Times New Roman" w:eastAsia="宋体" w:cs="Times New Roman"/>
                      <w:bCs/>
                      <w:color w:val="auto"/>
                      <w:sz w:val="21"/>
                      <w:szCs w:val="21"/>
                      <w:highlight w:val="none"/>
                    </w:rPr>
                  </w:pPr>
                </w:p>
              </w:tc>
              <w:tc>
                <w:tcPr>
                  <w:tcW w:w="450" w:type="pct"/>
                  <w:tcBorders>
                    <w:tl2br w:val="nil"/>
                    <w:tr2bl w:val="nil"/>
                  </w:tcBorders>
                  <w:noWrap w:val="0"/>
                  <w:vAlign w:val="center"/>
                </w:tcPr>
                <w:p w14:paraId="36522989">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3607A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5" w:type="pct"/>
                  <w:tcBorders>
                    <w:tl2br w:val="nil"/>
                    <w:tr2bl w:val="nil"/>
                  </w:tcBorders>
                  <w:noWrap w:val="0"/>
                  <w:vAlign w:val="center"/>
                </w:tcPr>
                <w:p w14:paraId="70BD26C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w:t>
                  </w:r>
                </w:p>
              </w:tc>
              <w:tc>
                <w:tcPr>
                  <w:tcW w:w="1138" w:type="pct"/>
                  <w:tcBorders>
                    <w:tl2br w:val="nil"/>
                    <w:tr2bl w:val="nil"/>
                  </w:tcBorders>
                  <w:noWrap w:val="0"/>
                  <w:vAlign w:val="center"/>
                </w:tcPr>
                <w:p w14:paraId="2448DE4E">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翻抛深度</w:t>
                  </w:r>
                </w:p>
              </w:tc>
              <w:tc>
                <w:tcPr>
                  <w:tcW w:w="3065" w:type="pct"/>
                  <w:tcBorders>
                    <w:tl2br w:val="nil"/>
                    <w:tr2bl w:val="nil"/>
                  </w:tcBorders>
                  <w:noWrap w:val="0"/>
                  <w:vAlign w:val="center"/>
                </w:tcPr>
                <w:p w14:paraId="76881DF1">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翻抛深度1800-2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00mm</w:t>
                  </w:r>
                </w:p>
              </w:tc>
              <w:tc>
                <w:tcPr>
                  <w:tcW w:w="450" w:type="pct"/>
                  <w:tcBorders>
                    <w:tl2br w:val="nil"/>
                    <w:tr2bl w:val="nil"/>
                  </w:tcBorders>
                  <w:noWrap w:val="0"/>
                  <w:vAlign w:val="center"/>
                </w:tcPr>
                <w:p w14:paraId="408E8D9A">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265AB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5" w:type="pct"/>
                  <w:tcBorders>
                    <w:tl2br w:val="nil"/>
                    <w:tr2bl w:val="nil"/>
                  </w:tcBorders>
                  <w:noWrap w:val="0"/>
                  <w:vAlign w:val="center"/>
                </w:tcPr>
                <w:p w14:paraId="071F60B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1.11</w:t>
                  </w:r>
                </w:p>
              </w:tc>
              <w:tc>
                <w:tcPr>
                  <w:tcW w:w="1138" w:type="pct"/>
                  <w:tcBorders>
                    <w:tl2br w:val="nil"/>
                    <w:tr2bl w:val="nil"/>
                  </w:tcBorders>
                  <w:noWrap w:val="0"/>
                  <w:vAlign w:val="center"/>
                </w:tcPr>
                <w:p w14:paraId="2743FDF0">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发酵槽深度</w:t>
                  </w:r>
                </w:p>
              </w:tc>
              <w:tc>
                <w:tcPr>
                  <w:tcW w:w="3065" w:type="pct"/>
                  <w:tcBorders>
                    <w:tl2br w:val="nil"/>
                    <w:tr2bl w:val="nil"/>
                  </w:tcBorders>
                  <w:noWrap w:val="0"/>
                  <w:vAlign w:val="center"/>
                </w:tcPr>
                <w:p w14:paraId="72B18707">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发酵槽深度</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00mm</w:t>
                  </w:r>
                </w:p>
              </w:tc>
              <w:tc>
                <w:tcPr>
                  <w:tcW w:w="450" w:type="pct"/>
                  <w:tcBorders>
                    <w:tl2br w:val="nil"/>
                    <w:tr2bl w:val="nil"/>
                  </w:tcBorders>
                  <w:noWrap w:val="0"/>
                  <w:vAlign w:val="center"/>
                </w:tcPr>
                <w:p w14:paraId="0937C01A">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1F87C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45" w:type="pct"/>
                  <w:tcBorders>
                    <w:tl2br w:val="nil"/>
                    <w:tr2bl w:val="nil"/>
                  </w:tcBorders>
                  <w:noWrap w:val="0"/>
                  <w:vAlign w:val="center"/>
                </w:tcPr>
                <w:p w14:paraId="77A88C40">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p>
              </w:tc>
              <w:tc>
                <w:tcPr>
                  <w:tcW w:w="1138" w:type="pct"/>
                  <w:tcBorders>
                    <w:tl2br w:val="nil"/>
                    <w:tr2bl w:val="nil"/>
                  </w:tcBorders>
                  <w:noWrap w:val="0"/>
                  <w:vAlign w:val="center"/>
                </w:tcPr>
                <w:p w14:paraId="6D400C96">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一体式布料机（15m跨度）</w:t>
                  </w:r>
                </w:p>
              </w:tc>
              <w:tc>
                <w:tcPr>
                  <w:tcW w:w="3065" w:type="pct"/>
                  <w:tcBorders>
                    <w:tl2br w:val="nil"/>
                    <w:tr2bl w:val="nil"/>
                  </w:tcBorders>
                  <w:noWrap w:val="0"/>
                  <w:vAlign w:val="center"/>
                </w:tcPr>
                <w:p w14:paraId="0010C841">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框架下梁80</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120</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5mm、上梁80</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100</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5mm、立柱80</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80</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5mm和80</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40</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5mm、斜撑80</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80</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5mm的方管焊接而成，行走电机2.2KW</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3</w:t>
                  </w:r>
                </w:p>
              </w:tc>
              <w:tc>
                <w:tcPr>
                  <w:tcW w:w="450" w:type="pct"/>
                  <w:tcBorders>
                    <w:tl2br w:val="nil"/>
                    <w:tr2bl w:val="nil"/>
                  </w:tcBorders>
                  <w:noWrap w:val="0"/>
                  <w:vAlign w:val="center"/>
                </w:tcPr>
                <w:p w14:paraId="14F316BC">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1套</w:t>
                  </w:r>
                </w:p>
              </w:tc>
            </w:tr>
            <w:tr w14:paraId="31CB1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345" w:type="pct"/>
                  <w:tcBorders>
                    <w:tl2br w:val="nil"/>
                    <w:tr2bl w:val="nil"/>
                  </w:tcBorders>
                  <w:noWrap w:val="0"/>
                  <w:vAlign w:val="center"/>
                </w:tcPr>
                <w:p w14:paraId="224EFFF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1138" w:type="pct"/>
                  <w:tcBorders>
                    <w:tl2br w:val="nil"/>
                    <w:tr2bl w:val="nil"/>
                  </w:tcBorders>
                  <w:noWrap w:val="0"/>
                  <w:vAlign w:val="center"/>
                </w:tcPr>
                <w:p w14:paraId="4D4808AE">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布料皮带</w:t>
                  </w:r>
                </w:p>
              </w:tc>
              <w:tc>
                <w:tcPr>
                  <w:tcW w:w="3065" w:type="pct"/>
                  <w:tcBorders>
                    <w:tl2br w:val="nil"/>
                    <w:tr2bl w:val="nil"/>
                  </w:tcBorders>
                  <w:noWrap w:val="0"/>
                  <w:vAlign w:val="center"/>
                </w:tcPr>
                <w:p w14:paraId="2F00F0D4">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B800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14米</w:t>
                  </w:r>
                </w:p>
              </w:tc>
              <w:tc>
                <w:tcPr>
                  <w:tcW w:w="450" w:type="pct"/>
                  <w:tcBorders>
                    <w:tl2br w:val="nil"/>
                    <w:tr2bl w:val="nil"/>
                  </w:tcBorders>
                  <w:noWrap w:val="0"/>
                  <w:vAlign w:val="center"/>
                </w:tcPr>
                <w:p w14:paraId="2053721A">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50E812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45" w:type="pct"/>
                  <w:tcBorders>
                    <w:tl2br w:val="nil"/>
                    <w:tr2bl w:val="nil"/>
                  </w:tcBorders>
                  <w:noWrap w:val="0"/>
                  <w:vAlign w:val="center"/>
                </w:tcPr>
                <w:p w14:paraId="5FDFDA0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1138" w:type="pct"/>
                  <w:tcBorders>
                    <w:tl2br w:val="nil"/>
                    <w:tr2bl w:val="nil"/>
                  </w:tcBorders>
                  <w:noWrap w:val="0"/>
                  <w:vAlign w:val="center"/>
                </w:tcPr>
                <w:p w14:paraId="1713D0E3">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喂料皮带</w:t>
                  </w:r>
                </w:p>
              </w:tc>
              <w:tc>
                <w:tcPr>
                  <w:tcW w:w="3065" w:type="pct"/>
                  <w:tcBorders>
                    <w:tl2br w:val="nil"/>
                    <w:tr2bl w:val="nil"/>
                  </w:tcBorders>
                  <w:noWrap w:val="0"/>
                  <w:vAlign w:val="center"/>
                </w:tcPr>
                <w:p w14:paraId="4B9C2782">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B800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6米</w:t>
                  </w:r>
                </w:p>
              </w:tc>
              <w:tc>
                <w:tcPr>
                  <w:tcW w:w="450" w:type="pct"/>
                  <w:tcBorders>
                    <w:tl2br w:val="nil"/>
                    <w:tr2bl w:val="nil"/>
                  </w:tcBorders>
                  <w:noWrap w:val="0"/>
                  <w:vAlign w:val="center"/>
                </w:tcPr>
                <w:p w14:paraId="3C2671A6">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42420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45" w:type="pct"/>
                  <w:tcBorders>
                    <w:tl2br w:val="nil"/>
                    <w:tr2bl w:val="nil"/>
                  </w:tcBorders>
                  <w:noWrap w:val="0"/>
                  <w:vAlign w:val="center"/>
                </w:tcPr>
                <w:p w14:paraId="1D72651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p>
              </w:tc>
              <w:tc>
                <w:tcPr>
                  <w:tcW w:w="1138" w:type="pct"/>
                  <w:tcBorders>
                    <w:tl2br w:val="nil"/>
                    <w:tr2bl w:val="nil"/>
                  </w:tcBorders>
                  <w:noWrap w:val="0"/>
                  <w:vAlign w:val="center"/>
                </w:tcPr>
                <w:p w14:paraId="36356AFF">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电控箱</w:t>
                  </w:r>
                </w:p>
              </w:tc>
              <w:tc>
                <w:tcPr>
                  <w:tcW w:w="3065" w:type="pct"/>
                  <w:tcBorders>
                    <w:tl2br w:val="nil"/>
                    <w:tr2bl w:val="nil"/>
                  </w:tcBorders>
                  <w:noWrap w:val="0"/>
                  <w:vAlign w:val="center"/>
                </w:tcPr>
                <w:p w14:paraId="71305B6B">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PLC自动控制，遥控操作</w:t>
                  </w:r>
                </w:p>
              </w:tc>
              <w:tc>
                <w:tcPr>
                  <w:tcW w:w="450" w:type="pct"/>
                  <w:tcBorders>
                    <w:tl2br w:val="nil"/>
                    <w:tr2bl w:val="nil"/>
                  </w:tcBorders>
                  <w:noWrap w:val="0"/>
                  <w:vAlign w:val="center"/>
                </w:tcPr>
                <w:p w14:paraId="1EA4A995">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70B1B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45" w:type="pct"/>
                  <w:tcBorders>
                    <w:tl2br w:val="nil"/>
                    <w:tr2bl w:val="nil"/>
                  </w:tcBorders>
                  <w:noWrap w:val="0"/>
                  <w:vAlign w:val="center"/>
                </w:tcPr>
                <w:p w14:paraId="17206D37">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p>
              </w:tc>
              <w:tc>
                <w:tcPr>
                  <w:tcW w:w="4204" w:type="pct"/>
                  <w:gridSpan w:val="2"/>
                  <w:tcBorders>
                    <w:tl2br w:val="nil"/>
                    <w:tr2bl w:val="nil"/>
                  </w:tcBorders>
                  <w:noWrap w:val="0"/>
                  <w:vAlign w:val="center"/>
                </w:tcPr>
                <w:p w14:paraId="4096160E">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预混生产线</w:t>
                  </w:r>
                </w:p>
              </w:tc>
              <w:tc>
                <w:tcPr>
                  <w:tcW w:w="450" w:type="pct"/>
                  <w:tcBorders>
                    <w:tl2br w:val="nil"/>
                    <w:tr2bl w:val="nil"/>
                  </w:tcBorders>
                  <w:noWrap w:val="0"/>
                  <w:vAlign w:val="center"/>
                </w:tcPr>
                <w:p w14:paraId="64B4DBC2">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1套</w:t>
                  </w:r>
                </w:p>
              </w:tc>
            </w:tr>
            <w:tr w14:paraId="7B1BF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45" w:type="pct"/>
                  <w:tcBorders>
                    <w:tl2br w:val="nil"/>
                    <w:tr2bl w:val="nil"/>
                  </w:tcBorders>
                  <w:noWrap w:val="0"/>
                  <w:vAlign w:val="center"/>
                </w:tcPr>
                <w:p w14:paraId="5A7933C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1138" w:type="pct"/>
                  <w:tcBorders>
                    <w:tl2br w:val="nil"/>
                    <w:tr2bl w:val="nil"/>
                  </w:tcBorders>
                  <w:noWrap w:val="0"/>
                  <w:vAlign w:val="center"/>
                </w:tcPr>
                <w:p w14:paraId="16F05FE1">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辅料料仓</w:t>
                  </w:r>
                </w:p>
              </w:tc>
              <w:tc>
                <w:tcPr>
                  <w:tcW w:w="3065" w:type="pct"/>
                  <w:tcBorders>
                    <w:tl2br w:val="nil"/>
                    <w:tr2bl w:val="nil"/>
                  </w:tcBorders>
                  <w:noWrap w:val="0"/>
                  <w:vAlign w:val="center"/>
                </w:tcPr>
                <w:p w14:paraId="7B398403">
                  <w:pPr>
                    <w:widowControl w:val="0"/>
                    <w:spacing w:line="247"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标准外形尺：4000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2500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3500mm</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框架100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100方管</w:t>
                  </w:r>
                </w:p>
                <w:p w14:paraId="7AFF9005">
                  <w:pPr>
                    <w:widowControl w:val="0"/>
                    <w:numPr>
                      <w:ilvl w:val="0"/>
                      <w:numId w:val="0"/>
                    </w:numPr>
                    <w:spacing w:line="247"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板厚4mm</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皮带出料，带宽800mm</w:t>
                  </w:r>
                  <w:r>
                    <w:rPr>
                      <w:rFonts w:hint="eastAsia" w:cs="Times New Roman"/>
                      <w:color w:val="auto"/>
                      <w:sz w:val="21"/>
                      <w:szCs w:val="21"/>
                      <w:highlight w:val="none"/>
                      <w:lang w:eastAsia="zh-CN"/>
                    </w:rPr>
                    <w:t>；</w:t>
                  </w:r>
                </w:p>
                <w:p w14:paraId="58D0B254">
                  <w:pPr>
                    <w:widowControl w:val="0"/>
                    <w:spacing w:line="262" w:lineRule="exact"/>
                    <w:ind w:left="2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进料端加装100mm＊100mm的隔离网</w:t>
                  </w:r>
                  <w:r>
                    <w:rPr>
                      <w:rFonts w:hint="eastAsia" w:cs="Times New Roman"/>
                      <w:color w:val="auto"/>
                      <w:sz w:val="21"/>
                      <w:szCs w:val="21"/>
                      <w:highlight w:val="none"/>
                      <w:lang w:eastAsia="zh-CN"/>
                    </w:rPr>
                    <w:t>；</w:t>
                  </w:r>
                </w:p>
                <w:p w14:paraId="287517AB">
                  <w:pPr>
                    <w:widowControl w:val="0"/>
                    <w:spacing w:line="185"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（带搅拌装置，防堵料。</w:t>
                  </w:r>
                </w:p>
              </w:tc>
              <w:tc>
                <w:tcPr>
                  <w:tcW w:w="450" w:type="pct"/>
                  <w:tcBorders>
                    <w:tl2br w:val="nil"/>
                    <w:tr2bl w:val="nil"/>
                  </w:tcBorders>
                  <w:noWrap w:val="0"/>
                  <w:vAlign w:val="center"/>
                </w:tcPr>
                <w:p w14:paraId="6DAA070E">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0C2FD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45" w:type="pct"/>
                  <w:tcBorders>
                    <w:tl2br w:val="nil"/>
                    <w:tr2bl w:val="nil"/>
                  </w:tcBorders>
                  <w:noWrap w:val="0"/>
                  <w:vAlign w:val="center"/>
                </w:tcPr>
                <w:p w14:paraId="79144E8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1138" w:type="pct"/>
                  <w:tcBorders>
                    <w:tl2br w:val="nil"/>
                    <w:tr2bl w:val="nil"/>
                  </w:tcBorders>
                  <w:noWrap w:val="0"/>
                  <w:vAlign w:val="center"/>
                </w:tcPr>
                <w:p w14:paraId="2BED2C3B">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集料皮带机</w:t>
                  </w:r>
                </w:p>
              </w:tc>
              <w:tc>
                <w:tcPr>
                  <w:tcW w:w="3065" w:type="pct"/>
                  <w:tcBorders>
                    <w:tl2br w:val="nil"/>
                    <w:tr2bl w:val="nil"/>
                  </w:tcBorders>
                  <w:noWrap w:val="0"/>
                  <w:vAlign w:val="center"/>
                </w:tcPr>
                <w:p w14:paraId="35FB2B24">
                  <w:pPr>
                    <w:widowControl w:val="0"/>
                    <w:numPr>
                      <w:ilvl w:val="0"/>
                      <w:numId w:val="0"/>
                    </w:numPr>
                    <w:spacing w:line="259"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型号：B800型</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主架：10#槽钢</w:t>
                  </w:r>
                </w:p>
                <w:p w14:paraId="5E1664C9">
                  <w:pPr>
                    <w:widowControl w:val="0"/>
                    <w:numPr>
                      <w:ilvl w:val="0"/>
                      <w:numId w:val="0"/>
                    </w:numPr>
                    <w:spacing w:line="259"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托辊：89mm直径加重托辊</w:t>
                  </w:r>
                  <w:r>
                    <w:rPr>
                      <w:rFonts w:hint="eastAsia" w:cs="Times New Roman"/>
                      <w:color w:val="auto"/>
                      <w:sz w:val="21"/>
                      <w:szCs w:val="21"/>
                      <w:highlight w:val="none"/>
                      <w:lang w:eastAsia="zh-CN"/>
                    </w:rPr>
                    <w:t>；</w:t>
                  </w:r>
                </w:p>
                <w:p w14:paraId="05C465AF">
                  <w:pPr>
                    <w:widowControl w:val="0"/>
                    <w:numPr>
                      <w:ilvl w:val="0"/>
                      <w:numId w:val="0"/>
                    </w:numPr>
                    <w:spacing w:line="259"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皮带：耐磨矿山皮带，环形，无接头。</w:t>
                  </w:r>
                </w:p>
              </w:tc>
              <w:tc>
                <w:tcPr>
                  <w:tcW w:w="450" w:type="pct"/>
                  <w:tcBorders>
                    <w:tl2br w:val="nil"/>
                    <w:tr2bl w:val="nil"/>
                  </w:tcBorders>
                  <w:noWrap w:val="0"/>
                  <w:vAlign w:val="center"/>
                </w:tcPr>
                <w:p w14:paraId="403744F8">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5B902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45" w:type="pct"/>
                  <w:tcBorders>
                    <w:tl2br w:val="nil"/>
                    <w:tr2bl w:val="nil"/>
                  </w:tcBorders>
                  <w:noWrap w:val="0"/>
                  <w:vAlign w:val="center"/>
                </w:tcPr>
                <w:p w14:paraId="18E5AD0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1138" w:type="pct"/>
                  <w:tcBorders>
                    <w:tl2br w:val="nil"/>
                    <w:tr2bl w:val="nil"/>
                  </w:tcBorders>
                  <w:noWrap w:val="0"/>
                  <w:vAlign w:val="center"/>
                </w:tcPr>
                <w:p w14:paraId="7C6578D8">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搅拌机出料皮带</w:t>
                  </w:r>
                </w:p>
              </w:tc>
              <w:tc>
                <w:tcPr>
                  <w:tcW w:w="3065" w:type="pct"/>
                  <w:tcBorders>
                    <w:tl2br w:val="nil"/>
                    <w:tr2bl w:val="nil"/>
                  </w:tcBorders>
                  <w:noWrap w:val="0"/>
                  <w:vAlign w:val="center"/>
                </w:tcPr>
                <w:p w14:paraId="601E1734">
                  <w:pPr>
                    <w:widowControl w:val="0"/>
                    <w:spacing w:line="259"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型号：B800型</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主架：10#槽钢</w:t>
                  </w:r>
                </w:p>
                <w:p w14:paraId="3F68D68C">
                  <w:pPr>
                    <w:widowControl w:val="0"/>
                    <w:spacing w:line="259"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托辊：89mm直径加重托辊。</w:t>
                  </w:r>
                </w:p>
                <w:p w14:paraId="5B164CE7">
                  <w:pPr>
                    <w:widowControl w:val="0"/>
                    <w:spacing w:line="259"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皮带：耐磨矿山皮带，环形，无接头。</w:t>
                  </w:r>
                </w:p>
              </w:tc>
              <w:tc>
                <w:tcPr>
                  <w:tcW w:w="450" w:type="pct"/>
                  <w:tcBorders>
                    <w:tl2br w:val="nil"/>
                    <w:tr2bl w:val="nil"/>
                  </w:tcBorders>
                  <w:noWrap w:val="0"/>
                  <w:vAlign w:val="center"/>
                </w:tcPr>
                <w:p w14:paraId="2BF34EC3">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1条</w:t>
                  </w:r>
                </w:p>
              </w:tc>
            </w:tr>
            <w:tr w14:paraId="63370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45" w:type="pct"/>
                  <w:tcBorders>
                    <w:tl2br w:val="nil"/>
                    <w:tr2bl w:val="nil"/>
                  </w:tcBorders>
                  <w:noWrap w:val="0"/>
                  <w:vAlign w:val="center"/>
                </w:tcPr>
                <w:p w14:paraId="052B062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1138" w:type="pct"/>
                  <w:tcBorders>
                    <w:tl2br w:val="nil"/>
                    <w:tr2bl w:val="nil"/>
                  </w:tcBorders>
                  <w:noWrap w:val="0"/>
                  <w:vAlign w:val="center"/>
                </w:tcPr>
                <w:p w14:paraId="6C79E152">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左右分料皮带</w:t>
                  </w:r>
                </w:p>
              </w:tc>
              <w:tc>
                <w:tcPr>
                  <w:tcW w:w="3065" w:type="pct"/>
                  <w:tcBorders>
                    <w:tl2br w:val="nil"/>
                    <w:tr2bl w:val="nil"/>
                  </w:tcBorders>
                  <w:noWrap w:val="0"/>
                  <w:vAlign w:val="center"/>
                </w:tcPr>
                <w:p w14:paraId="62130E70">
                  <w:pPr>
                    <w:widowControl w:val="0"/>
                    <w:spacing w:line="259"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型号：B800型</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主架：10#槽钢</w:t>
                  </w:r>
                </w:p>
                <w:p w14:paraId="3B28DE70">
                  <w:pPr>
                    <w:widowControl w:val="0"/>
                    <w:spacing w:line="259"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托辊：89mm直径加重托辊。</w:t>
                  </w:r>
                </w:p>
                <w:p w14:paraId="7E6A49C2">
                  <w:pPr>
                    <w:widowControl w:val="0"/>
                    <w:spacing w:line="259"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皮带：耐磨矿山皮带，环形，无接头。</w:t>
                  </w:r>
                </w:p>
                <w:p w14:paraId="741562AD">
                  <w:pPr>
                    <w:widowControl w:val="0"/>
                    <w:spacing w:line="259"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正反转设计</w:t>
                  </w:r>
                </w:p>
              </w:tc>
              <w:tc>
                <w:tcPr>
                  <w:tcW w:w="450" w:type="pct"/>
                  <w:tcBorders>
                    <w:tl2br w:val="nil"/>
                    <w:tr2bl w:val="nil"/>
                  </w:tcBorders>
                  <w:noWrap w:val="0"/>
                  <w:vAlign w:val="center"/>
                </w:tcPr>
                <w:p w14:paraId="6DB6692D">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1条</w:t>
                  </w:r>
                </w:p>
              </w:tc>
            </w:tr>
            <w:tr w14:paraId="22AA0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45" w:type="pct"/>
                  <w:tcBorders>
                    <w:tl2br w:val="nil"/>
                    <w:tr2bl w:val="nil"/>
                  </w:tcBorders>
                  <w:noWrap w:val="0"/>
                  <w:vAlign w:val="center"/>
                </w:tcPr>
                <w:p w14:paraId="53A178A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1138" w:type="pct"/>
                  <w:tcBorders>
                    <w:tl2br w:val="nil"/>
                    <w:tr2bl w:val="nil"/>
                  </w:tcBorders>
                  <w:noWrap w:val="0"/>
                  <w:vAlign w:val="center"/>
                </w:tcPr>
                <w:p w14:paraId="55A627D9">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布料机上料皮带</w:t>
                  </w:r>
                </w:p>
              </w:tc>
              <w:tc>
                <w:tcPr>
                  <w:tcW w:w="3065" w:type="pct"/>
                  <w:tcBorders>
                    <w:tl2br w:val="nil"/>
                    <w:tr2bl w:val="nil"/>
                  </w:tcBorders>
                  <w:noWrap w:val="0"/>
                  <w:vAlign w:val="center"/>
                </w:tcPr>
                <w:p w14:paraId="074D07BB">
                  <w:pPr>
                    <w:widowControl w:val="0"/>
                    <w:spacing w:line="259"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型号：B800型</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主架：10#槽钢</w:t>
                  </w:r>
                </w:p>
                <w:p w14:paraId="6853D1A0">
                  <w:pPr>
                    <w:widowControl w:val="0"/>
                    <w:spacing w:line="259"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托辊：89mm直径加重托辊。</w:t>
                  </w:r>
                </w:p>
                <w:p w14:paraId="3673F5D4">
                  <w:pPr>
                    <w:widowControl w:val="0"/>
                    <w:spacing w:line="259"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皮带：耐磨矿山皮带，环形，无接头。</w:t>
                  </w:r>
                </w:p>
              </w:tc>
              <w:tc>
                <w:tcPr>
                  <w:tcW w:w="450" w:type="pct"/>
                  <w:tcBorders>
                    <w:tl2br w:val="nil"/>
                    <w:tr2bl w:val="nil"/>
                  </w:tcBorders>
                  <w:noWrap w:val="0"/>
                  <w:vAlign w:val="center"/>
                </w:tcPr>
                <w:p w14:paraId="6306592A">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1条</w:t>
                  </w:r>
                </w:p>
              </w:tc>
            </w:tr>
            <w:tr w14:paraId="0C459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pct"/>
                  <w:tcBorders>
                    <w:tl2br w:val="nil"/>
                    <w:tr2bl w:val="nil"/>
                  </w:tcBorders>
                  <w:noWrap w:val="0"/>
                  <w:vAlign w:val="center"/>
                </w:tcPr>
                <w:p w14:paraId="6C19ECB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w:t>
                  </w:r>
                </w:p>
              </w:tc>
              <w:tc>
                <w:tcPr>
                  <w:tcW w:w="1138" w:type="pct"/>
                  <w:tcBorders>
                    <w:tl2br w:val="nil"/>
                    <w:tr2bl w:val="nil"/>
                  </w:tcBorders>
                  <w:noWrap w:val="0"/>
                  <w:vAlign w:val="center"/>
                </w:tcPr>
                <w:p w14:paraId="60551DCD">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双轴搅拌机</w:t>
                  </w:r>
                </w:p>
              </w:tc>
              <w:tc>
                <w:tcPr>
                  <w:tcW w:w="3065" w:type="pct"/>
                  <w:tcBorders>
                    <w:tl2br w:val="nil"/>
                    <w:tr2bl w:val="nil"/>
                  </w:tcBorders>
                  <w:noWrap w:val="0"/>
                  <w:vAlign w:val="center"/>
                </w:tcPr>
                <w:p w14:paraId="2DCA4627">
                  <w:pPr>
                    <w:widowControl w:val="0"/>
                    <w:numPr>
                      <w:ilvl w:val="0"/>
                      <w:numId w:val="0"/>
                    </w:numPr>
                    <w:spacing w:line="2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箱体尺寸：1200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3000mm</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箱体厚度：8mm</w:t>
                  </w:r>
                </w:p>
                <w:p w14:paraId="3589FCC1">
                  <w:pPr>
                    <w:widowControl w:val="0"/>
                    <w:numPr>
                      <w:ilvl w:val="0"/>
                      <w:numId w:val="0"/>
                    </w:numPr>
                    <w:spacing w:line="2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绞叶：锰钢材质，厚度14mm。</w:t>
                  </w:r>
                </w:p>
                <w:p w14:paraId="57D99D9B">
                  <w:pPr>
                    <w:widowControl w:val="0"/>
                    <w:numPr>
                      <w:ilvl w:val="0"/>
                      <w:numId w:val="0"/>
                    </w:numPr>
                    <w:spacing w:line="22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电机2</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11kw摆线针电机</w:t>
                  </w:r>
                </w:p>
              </w:tc>
              <w:tc>
                <w:tcPr>
                  <w:tcW w:w="450" w:type="pct"/>
                  <w:tcBorders>
                    <w:tl2br w:val="nil"/>
                    <w:tr2bl w:val="nil"/>
                  </w:tcBorders>
                  <w:noWrap w:val="0"/>
                  <w:vAlign w:val="center"/>
                </w:tcPr>
                <w:p w14:paraId="1917B59D">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110C5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pct"/>
                  <w:tcBorders>
                    <w:tl2br w:val="nil"/>
                    <w:tr2bl w:val="nil"/>
                  </w:tcBorders>
                  <w:noWrap w:val="0"/>
                  <w:vAlign w:val="center"/>
                </w:tcPr>
                <w:p w14:paraId="7381B89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p>
              </w:tc>
              <w:tc>
                <w:tcPr>
                  <w:tcW w:w="1138" w:type="pct"/>
                  <w:tcBorders>
                    <w:tl2br w:val="nil"/>
                    <w:tr2bl w:val="nil"/>
                  </w:tcBorders>
                  <w:noWrap w:val="0"/>
                  <w:vAlign w:val="center"/>
                </w:tcPr>
                <w:p w14:paraId="14C689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集气罩</w:t>
                  </w:r>
                </w:p>
              </w:tc>
              <w:tc>
                <w:tcPr>
                  <w:tcW w:w="3065" w:type="pct"/>
                  <w:tcBorders>
                    <w:tl2br w:val="nil"/>
                    <w:tr2bl w:val="nil"/>
                  </w:tcBorders>
                  <w:noWrap w:val="0"/>
                  <w:vAlign w:val="center"/>
                </w:tcPr>
                <w:p w14:paraId="300A88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尺寸1.5m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不锈钢材质集气罩，集气效率达80%</w:t>
                  </w:r>
                </w:p>
              </w:tc>
              <w:tc>
                <w:tcPr>
                  <w:tcW w:w="450" w:type="pct"/>
                  <w:tcBorders>
                    <w:tl2br w:val="nil"/>
                    <w:tr2bl w:val="nil"/>
                  </w:tcBorders>
                  <w:noWrap w:val="0"/>
                  <w:vAlign w:val="center"/>
                </w:tcPr>
                <w:p w14:paraId="0F299EF5">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2C32F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45" w:type="pct"/>
                  <w:tcBorders>
                    <w:tl2br w:val="nil"/>
                    <w:tr2bl w:val="nil"/>
                  </w:tcBorders>
                  <w:noWrap w:val="0"/>
                  <w:vAlign w:val="center"/>
                </w:tcPr>
                <w:p w14:paraId="55E296C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w:t>
                  </w:r>
                </w:p>
              </w:tc>
              <w:tc>
                <w:tcPr>
                  <w:tcW w:w="1138" w:type="pct"/>
                  <w:tcBorders>
                    <w:tl2br w:val="nil"/>
                    <w:tr2bl w:val="nil"/>
                  </w:tcBorders>
                  <w:noWrap w:val="0"/>
                  <w:vAlign w:val="center"/>
                </w:tcPr>
                <w:p w14:paraId="610C73CB">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加菌机</w:t>
                  </w:r>
                </w:p>
              </w:tc>
              <w:tc>
                <w:tcPr>
                  <w:tcW w:w="3065" w:type="pct"/>
                  <w:tcBorders>
                    <w:tl2br w:val="nil"/>
                    <w:tr2bl w:val="nil"/>
                  </w:tcBorders>
                  <w:noWrap w:val="0"/>
                  <w:vAlign w:val="center"/>
                </w:tcPr>
                <w:p w14:paraId="077B480D">
                  <w:pPr>
                    <w:widowControl w:val="0"/>
                    <w:spacing w:line="236"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螺旋式加菌机</w:t>
                  </w:r>
                </w:p>
              </w:tc>
              <w:tc>
                <w:tcPr>
                  <w:tcW w:w="450" w:type="pct"/>
                  <w:tcBorders>
                    <w:tl2br w:val="nil"/>
                    <w:tr2bl w:val="nil"/>
                  </w:tcBorders>
                  <w:noWrap w:val="0"/>
                  <w:vAlign w:val="center"/>
                </w:tcPr>
                <w:p w14:paraId="5E6EE2EA">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1台</w:t>
                  </w:r>
                </w:p>
              </w:tc>
            </w:tr>
            <w:tr w14:paraId="498F2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45" w:type="pct"/>
                  <w:tcBorders>
                    <w:tl2br w:val="nil"/>
                    <w:tr2bl w:val="nil"/>
                  </w:tcBorders>
                  <w:noWrap w:val="0"/>
                  <w:vAlign w:val="center"/>
                </w:tcPr>
                <w:p w14:paraId="0E9F88D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3.10</w:t>
                  </w:r>
                </w:p>
              </w:tc>
              <w:tc>
                <w:tcPr>
                  <w:tcW w:w="1138" w:type="pct"/>
                  <w:tcBorders>
                    <w:tl2br w:val="nil"/>
                    <w:tr2bl w:val="nil"/>
                  </w:tcBorders>
                  <w:noWrap w:val="0"/>
                  <w:vAlign w:val="center"/>
                </w:tcPr>
                <w:p w14:paraId="6DBAAA93">
                  <w:pPr>
                    <w:spacing w:before="168" w:line="272" w:lineRule="auto"/>
                    <w:ind w:left="3" w:leftChars="0" w:right="49"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pacing w:val="4"/>
                      <w:sz w:val="21"/>
                      <w:szCs w:val="21"/>
                      <w:highlight w:val="none"/>
                    </w:rPr>
                    <w:t>铲车投</w:t>
                  </w:r>
                  <w:r>
                    <w:rPr>
                      <w:rFonts w:hint="default" w:ascii="Times New Roman" w:hAnsi="Times New Roman" w:eastAsia="宋体" w:cs="Times New Roman"/>
                      <w:color w:val="auto"/>
                      <w:spacing w:val="6"/>
                      <w:sz w:val="21"/>
                      <w:szCs w:val="21"/>
                      <w:highlight w:val="none"/>
                    </w:rPr>
                    <w:t>料仓</w:t>
                  </w:r>
                </w:p>
              </w:tc>
              <w:tc>
                <w:tcPr>
                  <w:tcW w:w="3065" w:type="pct"/>
                  <w:tcBorders>
                    <w:tl2br w:val="nil"/>
                    <w:tr2bl w:val="nil"/>
                  </w:tcBorders>
                  <w:noWrap w:val="0"/>
                  <w:vAlign w:val="center"/>
                </w:tcPr>
                <w:p w14:paraId="7CF092AC">
                  <w:pPr>
                    <w:widowControl/>
                    <w:numPr>
                      <w:ilvl w:val="0"/>
                      <w:numId w:val="0"/>
                    </w:numPr>
                    <w:spacing w:line="40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pacing w:val="7"/>
                      <w:sz w:val="21"/>
                      <w:szCs w:val="21"/>
                      <w:highlight w:val="none"/>
                    </w:rPr>
                    <w:t>功率：4.4KW；宽</w:t>
                  </w:r>
                  <w:r>
                    <w:rPr>
                      <w:rFonts w:hint="default" w:ascii="Times New Roman" w:hAnsi="Times New Roman" w:eastAsia="宋体" w:cs="Times New Roman"/>
                      <w:color w:val="auto"/>
                      <w:spacing w:val="-20"/>
                      <w:sz w:val="21"/>
                      <w:szCs w:val="21"/>
                      <w:highlight w:val="none"/>
                    </w:rPr>
                    <w:t xml:space="preserve"> 1800</w:t>
                  </w:r>
                  <w:r>
                    <w:rPr>
                      <w:rFonts w:hint="default" w:ascii="Times New Roman" w:hAnsi="Times New Roman" w:eastAsia="宋体" w:cs="Times New Roman"/>
                      <w:color w:val="auto"/>
                      <w:spacing w:val="7"/>
                      <w:sz w:val="21"/>
                      <w:szCs w:val="21"/>
                      <w:highlight w:val="none"/>
                    </w:rPr>
                    <w:t>×长</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pacing w:val="7"/>
                      <w:sz w:val="21"/>
                      <w:szCs w:val="21"/>
                      <w:highlight w:val="none"/>
                    </w:rPr>
                    <w:t>3500×高</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3"/>
                      <w:sz w:val="21"/>
                      <w:szCs w:val="21"/>
                      <w:highlight w:val="none"/>
                    </w:rPr>
                    <w:t>2400；</w:t>
                  </w:r>
                  <w:r>
                    <w:rPr>
                      <w:rFonts w:hint="default" w:ascii="Times New Roman" w:hAnsi="Times New Roman" w:eastAsia="宋体" w:cs="Times New Roman"/>
                      <w:color w:val="auto"/>
                      <w:spacing w:val="7"/>
                      <w:sz w:val="21"/>
                      <w:szCs w:val="21"/>
                      <w:highlight w:val="none"/>
                    </w:rPr>
                    <w:t>带下料搅拌，带600</w:t>
                  </w:r>
                  <w:r>
                    <w:rPr>
                      <w:rFonts w:hint="default" w:ascii="Times New Roman" w:hAnsi="Times New Roman" w:eastAsia="宋体" w:cs="Times New Roman"/>
                      <w:color w:val="auto"/>
                      <w:spacing w:val="-62"/>
                      <w:sz w:val="21"/>
                      <w:szCs w:val="21"/>
                      <w:highlight w:val="none"/>
                    </w:rPr>
                    <w:t xml:space="preserve"> </w:t>
                  </w:r>
                  <w:r>
                    <w:rPr>
                      <w:rFonts w:hint="default" w:ascii="Times New Roman" w:hAnsi="Times New Roman" w:eastAsia="宋体" w:cs="Times New Roman"/>
                      <w:color w:val="auto"/>
                      <w:spacing w:val="7"/>
                      <w:sz w:val="21"/>
                      <w:szCs w:val="21"/>
                      <w:highlight w:val="none"/>
                    </w:rPr>
                    <w:t>×4.米传送带，</w:t>
                  </w:r>
                  <w:r>
                    <w:rPr>
                      <w:rFonts w:hint="default" w:ascii="Times New Roman" w:hAnsi="Times New Roman" w:eastAsia="宋体" w:cs="Times New Roman"/>
                      <w:color w:val="auto"/>
                      <w:spacing w:val="12"/>
                      <w:sz w:val="21"/>
                      <w:szCs w:val="21"/>
                      <w:highlight w:val="none"/>
                    </w:rPr>
                    <w:t>皮带采用矿山</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2"/>
                      <w:sz w:val="21"/>
                      <w:szCs w:val="21"/>
                      <w:highlight w:val="none"/>
                    </w:rPr>
                    <w:t>带，更耐用</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6"/>
                      <w:sz w:val="21"/>
                      <w:szCs w:val="21"/>
                      <w:highlight w:val="none"/>
                    </w:rPr>
                    <w:t>料仓钢板</w:t>
                  </w:r>
                  <w:r>
                    <w:rPr>
                      <w:rFonts w:hint="default" w:ascii="Times New Roman" w:hAnsi="Times New Roman" w:eastAsia="宋体" w:cs="Times New Roman"/>
                      <w:color w:val="auto"/>
                      <w:spacing w:val="9"/>
                      <w:sz w:val="21"/>
                      <w:szCs w:val="21"/>
                      <w:highlight w:val="none"/>
                    </w:rPr>
                    <w:t>（碳钢Q235）</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6"/>
                      <w:sz w:val="21"/>
                      <w:szCs w:val="21"/>
                      <w:highlight w:val="none"/>
                    </w:rPr>
                    <w:t>厚4</w:t>
                  </w:r>
                  <w:r>
                    <w:rPr>
                      <w:rFonts w:hint="default" w:ascii="Times New Roman" w:hAnsi="Times New Roman" w:eastAsia="宋体" w:cs="Times New Roman"/>
                      <w:color w:val="auto"/>
                      <w:spacing w:val="-44"/>
                      <w:sz w:val="21"/>
                      <w:szCs w:val="21"/>
                      <w:highlight w:val="none"/>
                    </w:rPr>
                    <w:t xml:space="preserve"> </w:t>
                  </w:r>
                  <w:r>
                    <w:rPr>
                      <w:rFonts w:hint="default" w:ascii="Times New Roman" w:hAnsi="Times New Roman" w:eastAsia="宋体" w:cs="Times New Roman"/>
                      <w:color w:val="auto"/>
                      <w:spacing w:val="6"/>
                      <w:sz w:val="21"/>
                      <w:szCs w:val="21"/>
                      <w:highlight w:val="none"/>
                    </w:rPr>
                    <w:t>毫米</w:t>
                  </w: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rPr>
                    <w:t>流量可调，变频器控制输送速度</w:t>
                  </w: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12"/>
                      <w:sz w:val="21"/>
                      <w:szCs w:val="21"/>
                      <w:highlight w:val="none"/>
                    </w:rPr>
                    <w:t>顶部焊接遮挡板方便50铲车投料</w:t>
                  </w:r>
                  <w:r>
                    <w:rPr>
                      <w:rFonts w:hint="default" w:ascii="Times New Roman" w:hAnsi="Times New Roman" w:eastAsia="宋体" w:cs="Times New Roman"/>
                      <w:color w:val="auto"/>
                      <w:spacing w:val="2"/>
                      <w:sz w:val="21"/>
                      <w:szCs w:val="21"/>
                      <w:highlight w:val="none"/>
                    </w:rPr>
                    <w:t>。</w:t>
                  </w:r>
                </w:p>
              </w:tc>
              <w:tc>
                <w:tcPr>
                  <w:tcW w:w="450" w:type="pct"/>
                  <w:tcBorders>
                    <w:tl2br w:val="nil"/>
                    <w:tr2bl w:val="nil"/>
                  </w:tcBorders>
                  <w:noWrap w:val="0"/>
                  <w:vAlign w:val="center"/>
                </w:tcPr>
                <w:p w14:paraId="6AFEB2A1">
                  <w:pPr>
                    <w:pStyle w:val="119"/>
                    <w:spacing w:before="48" w:line="257" w:lineRule="exact"/>
                    <w:ind w:left="50" w:lef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1</w:t>
                  </w:r>
                  <w:r>
                    <w:rPr>
                      <w:rFonts w:hint="eastAsia" w:ascii="Times New Roman" w:hAnsi="Times New Roman" w:eastAsia="宋体" w:cs="Times New Roman"/>
                      <w:bCs/>
                      <w:color w:val="auto"/>
                      <w:sz w:val="21"/>
                      <w:szCs w:val="21"/>
                      <w:highlight w:val="none"/>
                      <w:lang w:val="en-US" w:eastAsia="zh-CN"/>
                    </w:rPr>
                    <w:t>台</w:t>
                  </w:r>
                </w:p>
              </w:tc>
            </w:tr>
            <w:tr w14:paraId="23BB6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45" w:type="pct"/>
                  <w:tcBorders>
                    <w:tl2br w:val="nil"/>
                    <w:tr2bl w:val="nil"/>
                  </w:tcBorders>
                  <w:noWrap w:val="0"/>
                  <w:vAlign w:val="center"/>
                </w:tcPr>
                <w:p w14:paraId="33BEDBA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3.11</w:t>
                  </w:r>
                </w:p>
              </w:tc>
              <w:tc>
                <w:tcPr>
                  <w:tcW w:w="1138" w:type="pct"/>
                  <w:tcBorders>
                    <w:tl2br w:val="nil"/>
                    <w:tr2bl w:val="nil"/>
                  </w:tcBorders>
                  <w:noWrap w:val="0"/>
                  <w:vAlign w:val="center"/>
                </w:tcPr>
                <w:p w14:paraId="4CBAFE69">
                  <w:pPr>
                    <w:spacing w:before="169" w:line="190" w:lineRule="auto"/>
                    <w:ind w:left="3"/>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pacing w:val="6"/>
                      <w:sz w:val="21"/>
                      <w:szCs w:val="21"/>
                      <w:highlight w:val="none"/>
                    </w:rPr>
                    <w:t>粉碎机</w:t>
                  </w:r>
                  <w:r>
                    <w:rPr>
                      <w:rFonts w:hint="default" w:ascii="Times New Roman" w:hAnsi="Times New Roman" w:eastAsia="宋体" w:cs="Times New Roman"/>
                      <w:color w:val="auto"/>
                      <w:spacing w:val="5"/>
                      <w:sz w:val="21"/>
                      <w:szCs w:val="21"/>
                      <w:highlight w:val="none"/>
                    </w:rPr>
                    <w:t>上料皮带</w:t>
                  </w:r>
                </w:p>
              </w:tc>
              <w:tc>
                <w:tcPr>
                  <w:tcW w:w="3065" w:type="pct"/>
                  <w:tcBorders>
                    <w:tl2br w:val="nil"/>
                    <w:tr2bl w:val="nil"/>
                  </w:tcBorders>
                  <w:noWrap w:val="0"/>
                  <w:vAlign w:val="center"/>
                </w:tcPr>
                <w:p w14:paraId="7BBC4204">
                  <w:pPr>
                    <w:spacing w:line="4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功率2.2KW；600</w:t>
                  </w:r>
                  <w:r>
                    <w:rPr>
                      <w:rFonts w:hint="default" w:ascii="Times New Roman" w:hAnsi="Times New Roman" w:eastAsia="宋体" w:cs="Times New Roman"/>
                      <w:color w:val="auto"/>
                      <w:spacing w:val="-62"/>
                      <w:sz w:val="21"/>
                      <w:szCs w:val="21"/>
                      <w:highlight w:val="none"/>
                    </w:rPr>
                    <w:t xml:space="preserve"> </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pacing w:val="-41"/>
                      <w:sz w:val="21"/>
                      <w:szCs w:val="21"/>
                      <w:highlight w:val="none"/>
                    </w:rPr>
                    <w:t xml:space="preserve"> </w:t>
                  </w:r>
                  <w:r>
                    <w:rPr>
                      <w:rFonts w:hint="default" w:ascii="Times New Roman" w:hAnsi="Times New Roman" w:eastAsia="宋体" w:cs="Times New Roman"/>
                      <w:color w:val="auto"/>
                      <w:spacing w:val="2"/>
                      <w:sz w:val="21"/>
                      <w:szCs w:val="21"/>
                      <w:highlight w:val="none"/>
                    </w:rPr>
                    <w:t>5米；</w:t>
                  </w:r>
                  <w:r>
                    <w:rPr>
                      <w:rFonts w:hint="default" w:ascii="Times New Roman" w:hAnsi="Times New Roman" w:eastAsia="宋体" w:cs="Times New Roman"/>
                      <w:color w:val="auto"/>
                      <w:spacing w:val="9"/>
                      <w:sz w:val="21"/>
                      <w:szCs w:val="21"/>
                      <w:highlight w:val="none"/>
                    </w:rPr>
                    <w:t>槽钢为国标（碳钢Q235）</w:t>
                  </w:r>
                  <w:r>
                    <w:rPr>
                      <w:rFonts w:hint="default" w:ascii="Times New Roman" w:hAnsi="Times New Roman" w:eastAsia="宋体" w:cs="Times New Roman"/>
                      <w:color w:val="auto"/>
                      <w:spacing w:val="44"/>
                      <w:sz w:val="21"/>
                      <w:szCs w:val="21"/>
                      <w:highlight w:val="none"/>
                    </w:rPr>
                    <w:t>；</w:t>
                  </w:r>
                </w:p>
                <w:p w14:paraId="2B3DFA19">
                  <w:pPr>
                    <w:widowControl/>
                    <w:numPr>
                      <w:ilvl w:val="0"/>
                      <w:numId w:val="0"/>
                    </w:numPr>
                    <w:spacing w:line="40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pacing w:val="9"/>
                      <w:sz w:val="21"/>
                      <w:szCs w:val="21"/>
                      <w:highlight w:val="none"/>
                    </w:rPr>
                    <w:t>皮带机含支腿，</w:t>
                  </w:r>
                  <w:r>
                    <w:rPr>
                      <w:rFonts w:hint="default" w:ascii="Times New Roman" w:hAnsi="Times New Roman" w:eastAsia="宋体" w:cs="Times New Roman"/>
                      <w:color w:val="auto"/>
                      <w:spacing w:val="-34"/>
                      <w:sz w:val="21"/>
                      <w:szCs w:val="21"/>
                      <w:highlight w:val="none"/>
                    </w:rPr>
                    <w:t xml:space="preserve"> </w:t>
                  </w:r>
                  <w:r>
                    <w:rPr>
                      <w:rFonts w:hint="default" w:ascii="Times New Roman" w:hAnsi="Times New Roman" w:eastAsia="宋体" w:cs="Times New Roman"/>
                      <w:color w:val="auto"/>
                      <w:spacing w:val="9"/>
                      <w:sz w:val="21"/>
                      <w:szCs w:val="21"/>
                      <w:highlight w:val="none"/>
                    </w:rPr>
                    <w:t>支架，</w:t>
                  </w:r>
                  <w:r>
                    <w:rPr>
                      <w:rFonts w:hint="default" w:ascii="Times New Roman" w:hAnsi="Times New Roman" w:eastAsia="宋体" w:cs="Times New Roman"/>
                      <w:color w:val="auto"/>
                      <w:spacing w:val="-33"/>
                      <w:sz w:val="21"/>
                      <w:szCs w:val="21"/>
                      <w:highlight w:val="none"/>
                    </w:rPr>
                    <w:t xml:space="preserve"> </w:t>
                  </w:r>
                  <w:r>
                    <w:rPr>
                      <w:rFonts w:hint="default" w:ascii="Times New Roman" w:hAnsi="Times New Roman" w:eastAsia="宋体" w:cs="Times New Roman"/>
                      <w:color w:val="auto"/>
                      <w:spacing w:val="9"/>
                      <w:sz w:val="21"/>
                      <w:szCs w:val="21"/>
                      <w:highlight w:val="none"/>
                    </w:rPr>
                    <w:t>前后</w:t>
                  </w:r>
                  <w:r>
                    <w:rPr>
                      <w:rFonts w:hint="default" w:ascii="Times New Roman" w:hAnsi="Times New Roman" w:eastAsia="宋体" w:cs="Times New Roman"/>
                      <w:color w:val="auto"/>
                      <w:spacing w:val="8"/>
                      <w:sz w:val="21"/>
                      <w:szCs w:val="21"/>
                      <w:highlight w:val="none"/>
                    </w:rPr>
                    <w:t>滚筒</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10"/>
                      <w:sz w:val="21"/>
                      <w:szCs w:val="21"/>
                      <w:highlight w:val="none"/>
                    </w:rPr>
                    <w:t>为钢筋滚筒,链条驱动， 匹配摆线针减速机；</w:t>
                  </w:r>
                  <w:r>
                    <w:rPr>
                      <w:rFonts w:hint="default" w:ascii="Times New Roman" w:hAnsi="Times New Roman" w:eastAsia="宋体" w:cs="Times New Roman"/>
                      <w:color w:val="auto"/>
                      <w:spacing w:val="14"/>
                      <w:sz w:val="21"/>
                      <w:szCs w:val="21"/>
                      <w:highlight w:val="none"/>
                    </w:rPr>
                    <w:t>皮带采用矿山设备专用皮带</w:t>
                  </w:r>
                </w:p>
              </w:tc>
              <w:tc>
                <w:tcPr>
                  <w:tcW w:w="450" w:type="pct"/>
                  <w:tcBorders>
                    <w:tl2br w:val="nil"/>
                    <w:tr2bl w:val="nil"/>
                  </w:tcBorders>
                  <w:noWrap w:val="0"/>
                  <w:vAlign w:val="center"/>
                </w:tcPr>
                <w:p w14:paraId="711A825A">
                  <w:pPr>
                    <w:pStyle w:val="119"/>
                    <w:spacing w:before="52" w:line="257" w:lineRule="exact"/>
                    <w:ind w:left="50" w:lef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1</w:t>
                  </w:r>
                  <w:r>
                    <w:rPr>
                      <w:rFonts w:hint="eastAsia" w:ascii="Times New Roman" w:hAnsi="Times New Roman" w:eastAsia="宋体" w:cs="Times New Roman"/>
                      <w:bCs/>
                      <w:color w:val="auto"/>
                      <w:sz w:val="21"/>
                      <w:szCs w:val="21"/>
                      <w:highlight w:val="none"/>
                      <w:lang w:val="en-US" w:eastAsia="zh-CN"/>
                    </w:rPr>
                    <w:t>台</w:t>
                  </w:r>
                </w:p>
              </w:tc>
            </w:tr>
            <w:tr w14:paraId="41B47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5" w:hRule="atLeast"/>
              </w:trPr>
              <w:tc>
                <w:tcPr>
                  <w:tcW w:w="345" w:type="pct"/>
                  <w:tcBorders>
                    <w:tl2br w:val="nil"/>
                    <w:tr2bl w:val="nil"/>
                  </w:tcBorders>
                  <w:noWrap w:val="0"/>
                  <w:vAlign w:val="center"/>
                </w:tcPr>
                <w:p w14:paraId="5515937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3.12</w:t>
                  </w:r>
                </w:p>
              </w:tc>
              <w:tc>
                <w:tcPr>
                  <w:tcW w:w="1138" w:type="pct"/>
                  <w:tcBorders>
                    <w:tl2br w:val="nil"/>
                    <w:tr2bl w:val="nil"/>
                  </w:tcBorders>
                  <w:noWrap w:val="0"/>
                  <w:vAlign w:val="center"/>
                </w:tcPr>
                <w:p w14:paraId="155EB94B">
                  <w:pPr>
                    <w:spacing w:before="112" w:line="190" w:lineRule="auto"/>
                    <w:ind w:left="12" w:lef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pacing w:val="19"/>
                      <w:sz w:val="21"/>
                      <w:szCs w:val="21"/>
                      <w:highlight w:val="none"/>
                      <w:lang w:val="en-US" w:eastAsia="zh-CN"/>
                    </w:rPr>
                    <w:t>粉碎机</w:t>
                  </w:r>
                </w:p>
              </w:tc>
              <w:tc>
                <w:tcPr>
                  <w:tcW w:w="3065" w:type="pct"/>
                  <w:tcBorders>
                    <w:tl2br w:val="nil"/>
                    <w:tr2bl w:val="nil"/>
                  </w:tcBorders>
                  <w:noWrap w:val="0"/>
                  <w:vAlign w:val="center"/>
                </w:tcPr>
                <w:p w14:paraId="2BEE70D5">
                  <w:pPr>
                    <w:numPr>
                      <w:ilvl w:val="0"/>
                      <w:numId w:val="0"/>
                    </w:numPr>
                    <w:spacing w:line="40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功率：37KW；四条皮带，保证不打滑</w:t>
                  </w:r>
                  <w:r>
                    <w:rPr>
                      <w:rFonts w:hint="eastAsia" w:ascii="Times New Roman" w:hAnsi="Times New Roman" w:eastAsia="宋体" w:cs="Times New Roman"/>
                      <w:color w:val="auto"/>
                      <w:sz w:val="21"/>
                      <w:szCs w:val="21"/>
                      <w:highlight w:val="none"/>
                      <w:lang w:eastAsia="zh-CN"/>
                    </w:rPr>
                    <w:t>；</w:t>
                  </w:r>
                </w:p>
                <w:p w14:paraId="2DB36FBA">
                  <w:pPr>
                    <w:numPr>
                      <w:ilvl w:val="0"/>
                      <w:numId w:val="0"/>
                    </w:numPr>
                    <w:spacing w:line="40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立式Ф800；产量20-30吨</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甩刀式粉碎，采用专门锯大理石的锯齿钢片，厚度10mm，耐磨耐用，刀片根据物料需求加装3-6个；内部采用双层破碎，破碎均匀，性能稳定，上下均有接料斗出料斗，有效防止粉尘；上部钢板厚度16mm，主体钢板10mm，配套架子底座4mm厚100方管</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轴承设计在机器顶部，防止进入脏东西造成堵塞</w:t>
                  </w:r>
                </w:p>
              </w:tc>
              <w:tc>
                <w:tcPr>
                  <w:tcW w:w="450" w:type="pct"/>
                  <w:tcBorders>
                    <w:tl2br w:val="nil"/>
                    <w:tr2bl w:val="nil"/>
                  </w:tcBorders>
                  <w:noWrap w:val="0"/>
                  <w:vAlign w:val="center"/>
                </w:tcPr>
                <w:p w14:paraId="2D37DCA5">
                  <w:pPr>
                    <w:pStyle w:val="119"/>
                    <w:spacing w:before="55" w:line="257" w:lineRule="exact"/>
                    <w:ind w:left="51" w:left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1台</w:t>
                  </w:r>
                </w:p>
              </w:tc>
            </w:tr>
            <w:tr w14:paraId="2CAEA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45" w:type="pct"/>
                  <w:tcBorders>
                    <w:tl2br w:val="nil"/>
                    <w:tr2bl w:val="nil"/>
                  </w:tcBorders>
                  <w:noWrap w:val="0"/>
                  <w:vAlign w:val="center"/>
                </w:tcPr>
                <w:p w14:paraId="64B3B7A8">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3.13</w:t>
                  </w:r>
                </w:p>
              </w:tc>
              <w:tc>
                <w:tcPr>
                  <w:tcW w:w="1138" w:type="pct"/>
                  <w:tcBorders>
                    <w:tl2br w:val="nil"/>
                    <w:tr2bl w:val="nil"/>
                  </w:tcBorders>
                  <w:noWrap w:val="0"/>
                  <w:vAlign w:val="center"/>
                </w:tcPr>
                <w:p w14:paraId="57E29448">
                  <w:pPr>
                    <w:jc w:val="center"/>
                    <w:rPr>
                      <w:rFonts w:hint="default" w:ascii="Times New Roman" w:hAnsi="Times New Roman" w:eastAsia="宋体" w:cs="Times New Roman"/>
                      <w:color w:val="auto"/>
                      <w:spacing w:val="19"/>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p>
              </w:tc>
              <w:tc>
                <w:tcPr>
                  <w:tcW w:w="3065" w:type="pct"/>
                  <w:tcBorders>
                    <w:tl2br w:val="nil"/>
                    <w:tr2bl w:val="nil"/>
                  </w:tcBorders>
                  <w:noWrap w:val="0"/>
                  <w:vAlign w:val="center"/>
                </w:tcPr>
                <w:p w14:paraId="204E48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尺寸1.5m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不锈钢材质集气罩，集气效率达80%</w:t>
                  </w:r>
                </w:p>
              </w:tc>
              <w:tc>
                <w:tcPr>
                  <w:tcW w:w="450" w:type="pct"/>
                  <w:tcBorders>
                    <w:tl2br w:val="nil"/>
                    <w:tr2bl w:val="nil"/>
                  </w:tcBorders>
                  <w:noWrap w:val="0"/>
                  <w:vAlign w:val="center"/>
                </w:tcPr>
                <w:p w14:paraId="4C8A1710">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0B896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4"/>
                  <w:tcBorders>
                    <w:tl2br w:val="nil"/>
                    <w:tr2bl w:val="nil"/>
                  </w:tcBorders>
                  <w:noWrap w:val="0"/>
                  <w:vAlign w:val="center"/>
                </w:tcPr>
                <w:p w14:paraId="045A6905">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有机肥生产线设备</w:t>
                  </w:r>
                </w:p>
              </w:tc>
            </w:tr>
            <w:tr w14:paraId="3CE5F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2AD90897">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eastAsia" w:cs="Times New Roman"/>
                      <w:b/>
                      <w:bCs/>
                      <w:i w:val="0"/>
                      <w:iCs w:val="0"/>
                      <w:color w:val="auto"/>
                      <w:kern w:val="0"/>
                      <w:sz w:val="21"/>
                      <w:szCs w:val="21"/>
                      <w:highlight w:val="none"/>
                      <w:u w:val="none"/>
                      <w:lang w:val="en-US" w:eastAsia="zh-CN" w:bidi="ar"/>
                    </w:rPr>
                    <w:t>4</w:t>
                  </w:r>
                </w:p>
              </w:tc>
              <w:tc>
                <w:tcPr>
                  <w:tcW w:w="1138" w:type="pct"/>
                  <w:tcBorders>
                    <w:tl2br w:val="nil"/>
                    <w:tr2bl w:val="nil"/>
                  </w:tcBorders>
                  <w:noWrap w:val="0"/>
                  <w:vAlign w:val="center"/>
                </w:tcPr>
                <w:p w14:paraId="0E3B8B25">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粉状有机肥生产线</w:t>
                  </w:r>
                </w:p>
              </w:tc>
              <w:tc>
                <w:tcPr>
                  <w:tcW w:w="3065" w:type="pct"/>
                  <w:tcBorders>
                    <w:tl2br w:val="nil"/>
                    <w:tr2bl w:val="nil"/>
                  </w:tcBorders>
                  <w:noWrap w:val="0"/>
                  <w:vAlign w:val="center"/>
                </w:tcPr>
                <w:p w14:paraId="0D5F5DE9">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包括物料粉碎机、搅拌机等设备</w:t>
                  </w:r>
                </w:p>
              </w:tc>
              <w:tc>
                <w:tcPr>
                  <w:tcW w:w="450" w:type="pct"/>
                  <w:tcBorders>
                    <w:tl2br w:val="nil"/>
                    <w:tr2bl w:val="nil"/>
                  </w:tcBorders>
                  <w:noWrap w:val="0"/>
                  <w:vAlign w:val="center"/>
                </w:tcPr>
                <w:p w14:paraId="071AF6F5">
                  <w:pPr>
                    <w:jc w:val="center"/>
                    <w:rPr>
                      <w:rFonts w:hint="default" w:ascii="Times New Roman" w:hAnsi="Times New Roman" w:eastAsia="宋体" w:cs="Times New Roman"/>
                      <w:b/>
                      <w:bCs/>
                      <w:color w:val="auto"/>
                      <w:sz w:val="21"/>
                      <w:szCs w:val="21"/>
                      <w:highlight w:val="none"/>
                      <w:lang w:val="en-US"/>
                    </w:rPr>
                  </w:pPr>
                  <w:r>
                    <w:rPr>
                      <w:rFonts w:hint="eastAsia" w:cs="Times New Roman"/>
                      <w:b/>
                      <w:bCs/>
                      <w:color w:val="auto"/>
                      <w:sz w:val="21"/>
                      <w:szCs w:val="21"/>
                      <w:highlight w:val="none"/>
                      <w:lang w:val="en-US" w:eastAsia="zh-CN"/>
                    </w:rPr>
                    <w:t>/</w:t>
                  </w:r>
                </w:p>
              </w:tc>
            </w:tr>
            <w:tr w14:paraId="05CE4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178C6E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4.1</w:t>
                  </w:r>
                </w:p>
              </w:tc>
              <w:tc>
                <w:tcPr>
                  <w:tcW w:w="1138" w:type="pct"/>
                  <w:tcBorders>
                    <w:tl2br w:val="nil"/>
                    <w:tr2bl w:val="nil"/>
                  </w:tcBorders>
                  <w:noWrap w:val="0"/>
                  <w:vAlign w:val="center"/>
                </w:tcPr>
                <w:p w14:paraId="69E86D7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铲车上料储料仓</w:t>
                  </w:r>
                </w:p>
              </w:tc>
              <w:tc>
                <w:tcPr>
                  <w:tcW w:w="3065" w:type="pct"/>
                  <w:tcBorders>
                    <w:tl2br w:val="nil"/>
                    <w:tr2bl w:val="nil"/>
                  </w:tcBorders>
                  <w:noWrap w:val="0"/>
                  <w:vAlign w:val="center"/>
                </w:tcPr>
                <w:p w14:paraId="0A50671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 xml:space="preserve">XM4000；5 </w:t>
                  </w:r>
                  <w:r>
                    <w:rPr>
                      <w:rFonts w:hint="eastAsia" w:ascii="Times New Roman" w:hAnsi="Times New Roman" w:eastAsia="宋体" w:cs="Times New Roman"/>
                      <w:b w:val="0"/>
                      <w:bCs/>
                      <w:i w:val="0"/>
                      <w:color w:val="auto"/>
                      <w:kern w:val="0"/>
                      <w:sz w:val="21"/>
                      <w:szCs w:val="21"/>
                      <w:highlight w:val="none"/>
                      <w:u w:val="none"/>
                      <w:lang w:val="en-US" w:eastAsia="zh-CN" w:bidi="ar"/>
                    </w:rPr>
                    <w:t>×</w:t>
                  </w:r>
                  <w:r>
                    <w:rPr>
                      <w:rFonts w:hint="default" w:ascii="Times New Roman" w:hAnsi="Times New Roman" w:eastAsia="宋体" w:cs="Times New Roman"/>
                      <w:b w:val="0"/>
                      <w:bCs/>
                      <w:i w:val="0"/>
                      <w:color w:val="auto"/>
                      <w:kern w:val="0"/>
                      <w:sz w:val="21"/>
                      <w:szCs w:val="21"/>
                      <w:highlight w:val="none"/>
                      <w:u w:val="none"/>
                      <w:lang w:val="en-US" w:eastAsia="zh-CN" w:bidi="ar"/>
                    </w:rPr>
                    <w:t xml:space="preserve">2.2 </w:t>
                  </w:r>
                  <w:r>
                    <w:rPr>
                      <w:rFonts w:hint="eastAsia" w:ascii="Times New Roman" w:hAnsi="Times New Roman" w:eastAsia="宋体" w:cs="Times New Roman"/>
                      <w:b w:val="0"/>
                      <w:bCs/>
                      <w:i w:val="0"/>
                      <w:color w:val="auto"/>
                      <w:kern w:val="0"/>
                      <w:sz w:val="21"/>
                      <w:szCs w:val="21"/>
                      <w:highlight w:val="none"/>
                      <w:u w:val="none"/>
                      <w:lang w:val="en-US" w:eastAsia="zh-CN" w:bidi="ar"/>
                    </w:rPr>
                    <w:t>×</w:t>
                  </w:r>
                  <w:r>
                    <w:rPr>
                      <w:rFonts w:hint="default" w:ascii="Times New Roman" w:hAnsi="Times New Roman" w:eastAsia="宋体" w:cs="Times New Roman"/>
                      <w:b w:val="0"/>
                      <w:bCs/>
                      <w:i w:val="0"/>
                      <w:color w:val="auto"/>
                      <w:kern w:val="0"/>
                      <w:sz w:val="21"/>
                      <w:szCs w:val="21"/>
                      <w:highlight w:val="none"/>
                      <w:u w:val="none"/>
                      <w:lang w:val="en-US" w:eastAsia="zh-CN" w:bidi="ar"/>
                    </w:rPr>
                    <w:t>2.2，流量、速度可调</w:t>
                  </w:r>
                </w:p>
              </w:tc>
              <w:tc>
                <w:tcPr>
                  <w:tcW w:w="450" w:type="pct"/>
                  <w:tcBorders>
                    <w:tl2br w:val="nil"/>
                    <w:tr2bl w:val="nil"/>
                  </w:tcBorders>
                  <w:noWrap w:val="0"/>
                  <w:vAlign w:val="center"/>
                </w:tcPr>
                <w:p w14:paraId="52F047C7">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2759F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7ED40B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4.2</w:t>
                  </w:r>
                </w:p>
              </w:tc>
              <w:tc>
                <w:tcPr>
                  <w:tcW w:w="1138" w:type="pct"/>
                  <w:tcBorders>
                    <w:tl2br w:val="nil"/>
                    <w:tr2bl w:val="nil"/>
                  </w:tcBorders>
                  <w:noWrap w:val="0"/>
                  <w:vAlign w:val="center"/>
                </w:tcPr>
                <w:p w14:paraId="65C949BA">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破碎机</w:t>
                  </w:r>
                </w:p>
              </w:tc>
              <w:tc>
                <w:tcPr>
                  <w:tcW w:w="3065" w:type="pct"/>
                  <w:tcBorders>
                    <w:tl2br w:val="nil"/>
                    <w:tr2bl w:val="nil"/>
                  </w:tcBorders>
                  <w:noWrap w:val="0"/>
                  <w:vAlign w:val="center"/>
                </w:tcPr>
                <w:p w14:paraId="4BF9EF9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LP1000；</w:t>
                  </w:r>
                </w:p>
              </w:tc>
              <w:tc>
                <w:tcPr>
                  <w:tcW w:w="450" w:type="pct"/>
                  <w:tcBorders>
                    <w:tl2br w:val="nil"/>
                    <w:tr2bl w:val="nil"/>
                  </w:tcBorders>
                  <w:noWrap w:val="0"/>
                  <w:vAlign w:val="center"/>
                </w:tcPr>
                <w:p w14:paraId="63D03FF5">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19689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039CDD56">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4.3</w:t>
                  </w:r>
                </w:p>
              </w:tc>
              <w:tc>
                <w:tcPr>
                  <w:tcW w:w="1138" w:type="pct"/>
                  <w:tcBorders>
                    <w:tl2br w:val="nil"/>
                    <w:tr2bl w:val="nil"/>
                  </w:tcBorders>
                  <w:noWrap w:val="0"/>
                  <w:vAlign w:val="center"/>
                </w:tcPr>
                <w:p w14:paraId="7084E852">
                  <w:pPr>
                    <w:jc w:val="center"/>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集气罩</w:t>
                  </w:r>
                </w:p>
              </w:tc>
              <w:tc>
                <w:tcPr>
                  <w:tcW w:w="3065" w:type="pct"/>
                  <w:tcBorders>
                    <w:tl2br w:val="nil"/>
                    <w:tr2bl w:val="nil"/>
                  </w:tcBorders>
                  <w:noWrap w:val="0"/>
                  <w:vAlign w:val="center"/>
                </w:tcPr>
                <w:p w14:paraId="45C9AF94">
                  <w:pPr>
                    <w:jc w:val="center"/>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default" w:ascii="Times New Roman" w:hAnsi="Times New Roman" w:eastAsia="宋体" w:cs="Times New Roman"/>
                      <w:bCs/>
                      <w:color w:val="auto"/>
                      <w:sz w:val="21"/>
                      <w:szCs w:val="21"/>
                      <w:highlight w:val="none"/>
                      <w:lang w:val="en-US" w:eastAsia="zh-CN"/>
                    </w:rPr>
                    <w:t>尺寸1.5m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不锈钢材质集气罩，集气效率达80%</w:t>
                  </w:r>
                </w:p>
              </w:tc>
              <w:tc>
                <w:tcPr>
                  <w:tcW w:w="450" w:type="pct"/>
                  <w:tcBorders>
                    <w:tl2br w:val="nil"/>
                    <w:tr2bl w:val="nil"/>
                  </w:tcBorders>
                  <w:noWrap w:val="0"/>
                  <w:vAlign w:val="center"/>
                </w:tcPr>
                <w:p w14:paraId="0A0DE630">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0A5EC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39D881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4.4</w:t>
                  </w:r>
                </w:p>
              </w:tc>
              <w:tc>
                <w:tcPr>
                  <w:tcW w:w="1138" w:type="pct"/>
                  <w:tcBorders>
                    <w:tl2br w:val="nil"/>
                    <w:tr2bl w:val="nil"/>
                  </w:tcBorders>
                  <w:noWrap w:val="0"/>
                  <w:vAlign w:val="center"/>
                </w:tcPr>
                <w:p w14:paraId="028B2F5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传送带机</w:t>
                  </w:r>
                </w:p>
              </w:tc>
              <w:tc>
                <w:tcPr>
                  <w:tcW w:w="3065" w:type="pct"/>
                  <w:tcBorders>
                    <w:tl2br w:val="nil"/>
                    <w:tr2bl w:val="nil"/>
                  </w:tcBorders>
                  <w:noWrap w:val="0"/>
                  <w:vAlign w:val="center"/>
                </w:tcPr>
                <w:p w14:paraId="7BC7CDE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XMP800×8000</w:t>
                  </w:r>
                </w:p>
              </w:tc>
              <w:tc>
                <w:tcPr>
                  <w:tcW w:w="450" w:type="pct"/>
                  <w:tcBorders>
                    <w:tl2br w:val="nil"/>
                    <w:tr2bl w:val="nil"/>
                  </w:tcBorders>
                  <w:noWrap w:val="0"/>
                  <w:vAlign w:val="center"/>
                </w:tcPr>
                <w:p w14:paraId="63031CA3">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02843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0ECFE2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4.5</w:t>
                  </w:r>
                </w:p>
              </w:tc>
              <w:tc>
                <w:tcPr>
                  <w:tcW w:w="1138" w:type="pct"/>
                  <w:tcBorders>
                    <w:tl2br w:val="nil"/>
                    <w:tr2bl w:val="nil"/>
                  </w:tcBorders>
                  <w:noWrap w:val="0"/>
                  <w:vAlign w:val="center"/>
                </w:tcPr>
                <w:p w14:paraId="3EB01C91">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控制柜</w:t>
                  </w:r>
                </w:p>
              </w:tc>
              <w:tc>
                <w:tcPr>
                  <w:tcW w:w="3065" w:type="pct"/>
                  <w:tcBorders>
                    <w:tl2br w:val="nil"/>
                    <w:tr2bl w:val="nil"/>
                  </w:tcBorders>
                  <w:noWrap w:val="0"/>
                  <w:vAlign w:val="center"/>
                </w:tcPr>
                <w:p w14:paraId="655FD23F">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对整套设备进行控制，</w:t>
                  </w:r>
                  <w:r>
                    <w:rPr>
                      <w:rFonts w:hint="eastAsia" w:ascii="Times New Roman" w:hAnsi="Times New Roman" w:eastAsia="宋体" w:cs="Times New Roman"/>
                      <w:b w:val="0"/>
                      <w:bCs/>
                      <w:color w:val="auto"/>
                      <w:sz w:val="21"/>
                      <w:szCs w:val="21"/>
                      <w:highlight w:val="none"/>
                      <w:lang w:val="en-US" w:eastAsia="zh-CN"/>
                    </w:rPr>
                    <w:t>操作</w:t>
                  </w:r>
                  <w:r>
                    <w:rPr>
                      <w:rFonts w:hint="default" w:ascii="Times New Roman" w:hAnsi="Times New Roman" w:eastAsia="宋体" w:cs="Times New Roman"/>
                      <w:b w:val="0"/>
                      <w:bCs/>
                      <w:color w:val="auto"/>
                      <w:sz w:val="21"/>
                      <w:szCs w:val="21"/>
                      <w:highlight w:val="none"/>
                      <w:lang w:val="en-US" w:eastAsia="zh-CN"/>
                    </w:rPr>
                    <w:t>简单，运行可靠</w:t>
                  </w:r>
                </w:p>
              </w:tc>
              <w:tc>
                <w:tcPr>
                  <w:tcW w:w="450" w:type="pct"/>
                  <w:tcBorders>
                    <w:tl2br w:val="nil"/>
                    <w:tr2bl w:val="nil"/>
                  </w:tcBorders>
                  <w:noWrap w:val="0"/>
                  <w:vAlign w:val="center"/>
                </w:tcPr>
                <w:p w14:paraId="58F44002">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7462B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25CAC4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4.6</w:t>
                  </w:r>
                </w:p>
              </w:tc>
              <w:tc>
                <w:tcPr>
                  <w:tcW w:w="1138" w:type="pct"/>
                  <w:tcBorders>
                    <w:tl2br w:val="nil"/>
                    <w:tr2bl w:val="nil"/>
                  </w:tcBorders>
                  <w:noWrap w:val="0"/>
                  <w:vAlign w:val="center"/>
                </w:tcPr>
                <w:p w14:paraId="3564E8D1">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卧式双轴混合搅拌机</w:t>
                  </w:r>
                </w:p>
              </w:tc>
              <w:tc>
                <w:tcPr>
                  <w:tcW w:w="3065" w:type="pct"/>
                  <w:tcBorders>
                    <w:tl2br w:val="nil"/>
                    <w:tr2bl w:val="nil"/>
                  </w:tcBorders>
                  <w:noWrap w:val="0"/>
                  <w:vAlign w:val="center"/>
                </w:tcPr>
                <w:p w14:paraId="6434AE75">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XM500；设备概述：长 5 米×宽1.3 米×高 0.8 米；搅拌机由电机带动减速机，搅拌仓螺旋轴同步异向</w:t>
                  </w:r>
                  <w:r>
                    <w:rPr>
                      <w:rFonts w:hint="default" w:ascii="Times New Roman" w:hAnsi="Times New Roman" w:eastAsia="宋体" w:cs="Times New Roman"/>
                      <w:b w:val="0"/>
                      <w:bCs/>
                      <w:i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i w:val="0"/>
                      <w:color w:val="auto"/>
                      <w:kern w:val="0"/>
                      <w:sz w:val="21"/>
                      <w:szCs w:val="21"/>
                      <w:highlight w:val="none"/>
                      <w:u w:val="none"/>
                      <w:lang w:val="en-US" w:eastAsia="zh-CN" w:bidi="ar"/>
                    </w:rPr>
                    <w:t>转动，混料均匀效率高，搅拌齿厚度 10mm 采用锰</w:t>
                  </w:r>
                  <w:r>
                    <w:rPr>
                      <w:rFonts w:hint="default" w:ascii="Times New Roman" w:hAnsi="Times New Roman" w:eastAsia="宋体" w:cs="Times New Roman"/>
                      <w:b w:val="0"/>
                      <w:bCs/>
                      <w:i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i w:val="0"/>
                      <w:color w:val="auto"/>
                      <w:kern w:val="0"/>
                      <w:sz w:val="21"/>
                      <w:szCs w:val="21"/>
                      <w:highlight w:val="none"/>
                      <w:u w:val="none"/>
                      <w:lang w:val="en-US" w:eastAsia="zh-CN" w:bidi="ar"/>
                    </w:rPr>
                    <w:t>钢渗碳处理耐磨程度高，物料接触部分喷涂环氧树</w:t>
                  </w:r>
                  <w:r>
                    <w:rPr>
                      <w:rFonts w:hint="default" w:ascii="Times New Roman" w:hAnsi="Times New Roman" w:eastAsia="宋体" w:cs="Times New Roman"/>
                      <w:b w:val="0"/>
                      <w:bCs/>
                      <w:i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i w:val="0"/>
                      <w:color w:val="auto"/>
                      <w:kern w:val="0"/>
                      <w:sz w:val="21"/>
                      <w:szCs w:val="21"/>
                      <w:highlight w:val="none"/>
                      <w:u w:val="none"/>
                      <w:lang w:val="en-US" w:eastAsia="zh-CN" w:bidi="ar"/>
                    </w:rPr>
                    <w:t>脂沥青漆。</w:t>
                  </w:r>
                </w:p>
              </w:tc>
              <w:tc>
                <w:tcPr>
                  <w:tcW w:w="450" w:type="pct"/>
                  <w:tcBorders>
                    <w:tl2br w:val="nil"/>
                    <w:tr2bl w:val="nil"/>
                  </w:tcBorders>
                  <w:noWrap w:val="0"/>
                  <w:vAlign w:val="center"/>
                </w:tcPr>
                <w:p w14:paraId="7818A04D">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55E95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667B2B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4.7</w:t>
                  </w:r>
                </w:p>
              </w:tc>
              <w:tc>
                <w:tcPr>
                  <w:tcW w:w="1138" w:type="pct"/>
                  <w:tcBorders>
                    <w:tl2br w:val="nil"/>
                    <w:tr2bl w:val="nil"/>
                  </w:tcBorders>
                  <w:noWrap w:val="0"/>
                  <w:vAlign w:val="center"/>
                </w:tcPr>
                <w:p w14:paraId="1178AED1">
                  <w:pPr>
                    <w:jc w:val="center"/>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集气罩</w:t>
                  </w:r>
                </w:p>
              </w:tc>
              <w:tc>
                <w:tcPr>
                  <w:tcW w:w="3065" w:type="pct"/>
                  <w:tcBorders>
                    <w:tl2br w:val="nil"/>
                    <w:tr2bl w:val="nil"/>
                  </w:tcBorders>
                  <w:noWrap w:val="0"/>
                  <w:vAlign w:val="center"/>
                </w:tcPr>
                <w:p w14:paraId="7584FB3E">
                  <w:pPr>
                    <w:jc w:val="center"/>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default" w:ascii="Times New Roman" w:hAnsi="Times New Roman" w:eastAsia="宋体" w:cs="Times New Roman"/>
                      <w:bCs/>
                      <w:color w:val="auto"/>
                      <w:sz w:val="21"/>
                      <w:szCs w:val="21"/>
                      <w:highlight w:val="none"/>
                      <w:lang w:val="en-US" w:eastAsia="zh-CN"/>
                    </w:rPr>
                    <w:t>尺寸1.5m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不锈钢材质集气罩，集气效率达80%</w:t>
                  </w:r>
                </w:p>
              </w:tc>
              <w:tc>
                <w:tcPr>
                  <w:tcW w:w="450" w:type="pct"/>
                  <w:tcBorders>
                    <w:tl2br w:val="nil"/>
                    <w:tr2bl w:val="nil"/>
                  </w:tcBorders>
                  <w:noWrap w:val="0"/>
                  <w:vAlign w:val="center"/>
                </w:tcPr>
                <w:p w14:paraId="1AF1071A">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35638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7E41A2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4.8</w:t>
                  </w:r>
                </w:p>
              </w:tc>
              <w:tc>
                <w:tcPr>
                  <w:tcW w:w="1138" w:type="pct"/>
                  <w:tcBorders>
                    <w:tl2br w:val="nil"/>
                    <w:tr2bl w:val="nil"/>
                  </w:tcBorders>
                  <w:noWrap w:val="0"/>
                  <w:vAlign w:val="center"/>
                </w:tcPr>
                <w:p w14:paraId="3C88C67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皮带输送机</w:t>
                  </w:r>
                </w:p>
              </w:tc>
              <w:tc>
                <w:tcPr>
                  <w:tcW w:w="3065" w:type="pct"/>
                  <w:tcBorders>
                    <w:tl2br w:val="nil"/>
                    <w:tr2bl w:val="nil"/>
                  </w:tcBorders>
                  <w:noWrap w:val="0"/>
                  <w:vAlign w:val="center"/>
                </w:tcPr>
                <w:p w14:paraId="43EE723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XMP800</w:t>
                  </w:r>
                </w:p>
              </w:tc>
              <w:tc>
                <w:tcPr>
                  <w:tcW w:w="450" w:type="pct"/>
                  <w:tcBorders>
                    <w:tl2br w:val="nil"/>
                    <w:tr2bl w:val="nil"/>
                  </w:tcBorders>
                  <w:noWrap w:val="0"/>
                  <w:vAlign w:val="center"/>
                </w:tcPr>
                <w:p w14:paraId="2EBADA53">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725BD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532FA600">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5</w:t>
                  </w:r>
                </w:p>
              </w:tc>
              <w:tc>
                <w:tcPr>
                  <w:tcW w:w="4204" w:type="pct"/>
                  <w:gridSpan w:val="2"/>
                  <w:tcBorders>
                    <w:tl2br w:val="nil"/>
                    <w:tr2bl w:val="nil"/>
                  </w:tcBorders>
                  <w:noWrap w:val="0"/>
                  <w:vAlign w:val="center"/>
                </w:tcPr>
                <w:p w14:paraId="0C28C0C5">
                  <w:pPr>
                    <w:jc w:val="center"/>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颗粒状有机肥生产线</w:t>
                  </w:r>
                </w:p>
              </w:tc>
              <w:tc>
                <w:tcPr>
                  <w:tcW w:w="450" w:type="pct"/>
                  <w:tcBorders>
                    <w:tl2br w:val="nil"/>
                    <w:tr2bl w:val="nil"/>
                  </w:tcBorders>
                  <w:noWrap w:val="0"/>
                  <w:vAlign w:val="center"/>
                </w:tcPr>
                <w:p w14:paraId="34491E6C">
                  <w:pPr>
                    <w:jc w:val="center"/>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1套</w:t>
                  </w:r>
                </w:p>
              </w:tc>
            </w:tr>
            <w:tr w14:paraId="62335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004D77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5.1</w:t>
                  </w:r>
                </w:p>
              </w:tc>
              <w:tc>
                <w:tcPr>
                  <w:tcW w:w="1138" w:type="pct"/>
                  <w:tcBorders>
                    <w:tl2br w:val="nil"/>
                    <w:tr2bl w:val="nil"/>
                  </w:tcBorders>
                  <w:noWrap w:val="0"/>
                  <w:vAlign w:val="center"/>
                </w:tcPr>
                <w:p w14:paraId="1240359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挤压造粒机</w:t>
                  </w:r>
                </w:p>
              </w:tc>
              <w:tc>
                <w:tcPr>
                  <w:tcW w:w="3065" w:type="pct"/>
                  <w:tcBorders>
                    <w:tl2br w:val="nil"/>
                    <w:tr2bl w:val="nil"/>
                  </w:tcBorders>
                  <w:noWrap w:val="0"/>
                  <w:vAlign w:val="center"/>
                </w:tcPr>
                <w:p w14:paraId="1717D62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XM-2.0</w:t>
                  </w:r>
                  <w:r>
                    <w:rPr>
                      <w:rFonts w:hint="eastAsia" w:cs="Times New Roman"/>
                      <w:b w:val="0"/>
                      <w:bCs/>
                      <w:i w:val="0"/>
                      <w:color w:val="auto"/>
                      <w:kern w:val="0"/>
                      <w:sz w:val="21"/>
                      <w:szCs w:val="21"/>
                      <w:highlight w:val="none"/>
                      <w:u w:val="none"/>
                      <w:lang w:val="en-US" w:eastAsia="zh-CN" w:bidi="ar"/>
                    </w:rPr>
                    <w:t>×</w:t>
                  </w:r>
                  <w:r>
                    <w:rPr>
                      <w:rFonts w:hint="default" w:ascii="Times New Roman" w:hAnsi="Times New Roman" w:eastAsia="宋体" w:cs="Times New Roman"/>
                      <w:b w:val="0"/>
                      <w:bCs/>
                      <w:i w:val="0"/>
                      <w:color w:val="auto"/>
                      <w:kern w:val="0"/>
                      <w:sz w:val="21"/>
                      <w:szCs w:val="21"/>
                      <w:highlight w:val="none"/>
                      <w:u w:val="none"/>
                      <w:lang w:val="en-US" w:eastAsia="zh-CN" w:bidi="ar"/>
                    </w:rPr>
                    <w:t>10；钢板厚度为12毫米内衬耐酸碱橡胶板滚圈、齿轮、挡轮、托轮等均为重型铸钢件。</w:t>
                  </w:r>
                </w:p>
              </w:tc>
              <w:tc>
                <w:tcPr>
                  <w:tcW w:w="450" w:type="pct"/>
                  <w:tcBorders>
                    <w:tl2br w:val="nil"/>
                    <w:tr2bl w:val="nil"/>
                  </w:tcBorders>
                  <w:noWrap w:val="0"/>
                  <w:vAlign w:val="center"/>
                </w:tcPr>
                <w:p w14:paraId="68BBABD7">
                  <w:pPr>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1台</w:t>
                  </w:r>
                </w:p>
              </w:tc>
            </w:tr>
            <w:tr w14:paraId="12E54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686601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5.2</w:t>
                  </w:r>
                </w:p>
              </w:tc>
              <w:tc>
                <w:tcPr>
                  <w:tcW w:w="1138" w:type="pct"/>
                  <w:tcBorders>
                    <w:tl2br w:val="nil"/>
                    <w:tr2bl w:val="nil"/>
                  </w:tcBorders>
                  <w:noWrap w:val="0"/>
                  <w:vAlign w:val="center"/>
                </w:tcPr>
                <w:p w14:paraId="783B389C">
                  <w:pPr>
                    <w:jc w:val="center"/>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集气罩</w:t>
                  </w:r>
                </w:p>
              </w:tc>
              <w:tc>
                <w:tcPr>
                  <w:tcW w:w="3065" w:type="pct"/>
                  <w:tcBorders>
                    <w:tl2br w:val="nil"/>
                    <w:tr2bl w:val="nil"/>
                  </w:tcBorders>
                  <w:noWrap w:val="0"/>
                  <w:vAlign w:val="center"/>
                </w:tcPr>
                <w:p w14:paraId="37F46917">
                  <w:pPr>
                    <w:jc w:val="center"/>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default" w:ascii="Times New Roman" w:hAnsi="Times New Roman" w:eastAsia="宋体" w:cs="Times New Roman"/>
                      <w:bCs/>
                      <w:color w:val="auto"/>
                      <w:sz w:val="21"/>
                      <w:szCs w:val="21"/>
                      <w:highlight w:val="none"/>
                      <w:lang w:val="en-US" w:eastAsia="zh-CN"/>
                    </w:rPr>
                    <w:t>尺寸1.5m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不锈钢材质集气罩，集气效率达80%</w:t>
                  </w:r>
                </w:p>
              </w:tc>
              <w:tc>
                <w:tcPr>
                  <w:tcW w:w="450" w:type="pct"/>
                  <w:tcBorders>
                    <w:tl2br w:val="nil"/>
                    <w:tr2bl w:val="nil"/>
                  </w:tcBorders>
                  <w:noWrap w:val="0"/>
                  <w:vAlign w:val="center"/>
                </w:tcPr>
                <w:p w14:paraId="695B25B7">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10F90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6761F5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5.3</w:t>
                  </w:r>
                </w:p>
              </w:tc>
              <w:tc>
                <w:tcPr>
                  <w:tcW w:w="1138" w:type="pct"/>
                  <w:tcBorders>
                    <w:tl2br w:val="nil"/>
                    <w:tr2bl w:val="nil"/>
                  </w:tcBorders>
                  <w:noWrap w:val="0"/>
                  <w:vAlign w:val="center"/>
                </w:tcPr>
                <w:p w14:paraId="524518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皮带输送机</w:t>
                  </w:r>
                </w:p>
              </w:tc>
              <w:tc>
                <w:tcPr>
                  <w:tcW w:w="3065" w:type="pct"/>
                  <w:tcBorders>
                    <w:tl2br w:val="nil"/>
                    <w:tr2bl w:val="nil"/>
                  </w:tcBorders>
                  <w:noWrap w:val="0"/>
                  <w:vAlign w:val="center"/>
                </w:tcPr>
                <w:p w14:paraId="1AD4006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B800</w:t>
                  </w:r>
                </w:p>
              </w:tc>
              <w:tc>
                <w:tcPr>
                  <w:tcW w:w="450" w:type="pct"/>
                  <w:tcBorders>
                    <w:tl2br w:val="nil"/>
                    <w:tr2bl w:val="nil"/>
                  </w:tcBorders>
                  <w:noWrap w:val="0"/>
                  <w:vAlign w:val="center"/>
                </w:tcPr>
                <w:p w14:paraId="2963B494">
                  <w:pPr>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1台</w:t>
                  </w:r>
                </w:p>
              </w:tc>
            </w:tr>
            <w:tr w14:paraId="689BA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70DDE7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5.4</w:t>
                  </w:r>
                </w:p>
              </w:tc>
              <w:tc>
                <w:tcPr>
                  <w:tcW w:w="1138" w:type="pct"/>
                  <w:tcBorders>
                    <w:tl2br w:val="nil"/>
                    <w:tr2bl w:val="nil"/>
                  </w:tcBorders>
                  <w:noWrap w:val="0"/>
                  <w:vAlign w:val="center"/>
                </w:tcPr>
                <w:p w14:paraId="2EAB0254">
                  <w:pPr>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颗粒筛分机</w:t>
                  </w:r>
                </w:p>
              </w:tc>
              <w:tc>
                <w:tcPr>
                  <w:tcW w:w="3065" w:type="pct"/>
                  <w:tcBorders>
                    <w:tl2br w:val="nil"/>
                    <w:tr2bl w:val="nil"/>
                  </w:tcBorders>
                  <w:noWrap w:val="0"/>
                  <w:vAlign w:val="center"/>
                </w:tcPr>
                <w:p w14:paraId="2AE27C52">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XM-2000-7000</w:t>
                  </w:r>
                  <w:r>
                    <w:rPr>
                      <w:rFonts w:hint="eastAsia" w:cs="Times New Roman"/>
                      <w:bCs/>
                      <w:color w:val="auto"/>
                      <w:sz w:val="21"/>
                      <w:szCs w:val="21"/>
                      <w:highlight w:val="none"/>
                      <w:lang w:val="en-US" w:eastAsia="zh-CN"/>
                    </w:rPr>
                    <w:t>；筛分机出料、进料均有借料装置，防止漏料；筛网装配带有压接装置，防止松动；搅拌筛料时配有拍打筛网装置，防止筛网粘料，提高下料的工作效率；筛网采用高强耐磨材质制作，使用寿命长，不易磨</w:t>
                  </w:r>
                  <w:r>
                    <w:rPr>
                      <w:rFonts w:hint="eastAsia" w:cs="Times New Roman"/>
                      <w:bCs/>
                      <w:color w:val="auto"/>
                      <w:sz w:val="21"/>
                      <w:szCs w:val="21"/>
                      <w:highlight w:val="none"/>
                      <w:lang w:val="en-US" w:eastAsia="zh-CN"/>
                    </w:rPr>
                    <w:br w:type="textWrapping"/>
                  </w:r>
                  <w:r>
                    <w:rPr>
                      <w:rFonts w:hint="eastAsia" w:cs="Times New Roman"/>
                      <w:bCs/>
                      <w:color w:val="auto"/>
                      <w:sz w:val="21"/>
                      <w:szCs w:val="21"/>
                      <w:highlight w:val="none"/>
                      <w:lang w:val="en-US" w:eastAsia="zh-CN"/>
                    </w:rPr>
                    <w:t>坏，不需要经常更换</w:t>
                  </w:r>
                </w:p>
              </w:tc>
              <w:tc>
                <w:tcPr>
                  <w:tcW w:w="450" w:type="pct"/>
                  <w:tcBorders>
                    <w:tl2br w:val="nil"/>
                    <w:tr2bl w:val="nil"/>
                  </w:tcBorders>
                  <w:noWrap w:val="0"/>
                  <w:vAlign w:val="center"/>
                </w:tcPr>
                <w:p w14:paraId="509D3051">
                  <w:pPr>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1台</w:t>
                  </w:r>
                </w:p>
              </w:tc>
            </w:tr>
            <w:tr w14:paraId="32B96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92" w:type="dxa"/>
                  <w:tcBorders>
                    <w:tl2br w:val="nil"/>
                    <w:tr2bl w:val="nil"/>
                  </w:tcBorders>
                  <w:noWrap w:val="0"/>
                  <w:vAlign w:val="center"/>
                </w:tcPr>
                <w:p w14:paraId="5832A3E6">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5.5</w:t>
                  </w:r>
                </w:p>
              </w:tc>
              <w:tc>
                <w:tcPr>
                  <w:tcW w:w="1953" w:type="dxa"/>
                  <w:tcBorders>
                    <w:tl2br w:val="nil"/>
                    <w:tr2bl w:val="nil"/>
                  </w:tcBorders>
                  <w:noWrap w:val="0"/>
                  <w:vAlign w:val="center"/>
                </w:tcPr>
                <w:p w14:paraId="00F4D4A2">
                  <w:pPr>
                    <w:jc w:val="center"/>
                    <w:rPr>
                      <w:rFonts w:hint="eastAsia"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p>
              </w:tc>
              <w:tc>
                <w:tcPr>
                  <w:tcW w:w="5259" w:type="dxa"/>
                  <w:tcBorders>
                    <w:tl2br w:val="nil"/>
                    <w:tr2bl w:val="nil"/>
                  </w:tcBorders>
                  <w:noWrap w:val="0"/>
                  <w:vAlign w:val="center"/>
                </w:tcPr>
                <w:p w14:paraId="45DDDDC7">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尺寸1.5m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不锈钢材质集气罩，集气效率达80%</w:t>
                  </w:r>
                </w:p>
              </w:tc>
              <w:tc>
                <w:tcPr>
                  <w:tcW w:w="773" w:type="dxa"/>
                  <w:tcBorders>
                    <w:tl2br w:val="nil"/>
                    <w:tr2bl w:val="nil"/>
                  </w:tcBorders>
                  <w:noWrap w:val="0"/>
                  <w:vAlign w:val="center"/>
                </w:tcPr>
                <w:p w14:paraId="246A1FC4">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46AF1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92" w:type="dxa"/>
                  <w:tcBorders>
                    <w:tl2br w:val="nil"/>
                    <w:tr2bl w:val="nil"/>
                  </w:tcBorders>
                  <w:noWrap w:val="0"/>
                  <w:vAlign w:val="center"/>
                </w:tcPr>
                <w:p w14:paraId="1E52DA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5.6</w:t>
                  </w:r>
                </w:p>
              </w:tc>
              <w:tc>
                <w:tcPr>
                  <w:tcW w:w="1138" w:type="pct"/>
                  <w:tcBorders>
                    <w:tl2br w:val="nil"/>
                    <w:tr2bl w:val="nil"/>
                  </w:tcBorders>
                  <w:noWrap w:val="0"/>
                  <w:vAlign w:val="center"/>
                </w:tcPr>
                <w:p w14:paraId="0CF1CEAC">
                  <w:pPr>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链式回料机</w:t>
                  </w:r>
                </w:p>
              </w:tc>
              <w:tc>
                <w:tcPr>
                  <w:tcW w:w="3065" w:type="pct"/>
                  <w:tcBorders>
                    <w:tl2br w:val="nil"/>
                    <w:tr2bl w:val="nil"/>
                  </w:tcBorders>
                  <w:noWrap w:val="0"/>
                  <w:vAlign w:val="center"/>
                </w:tcPr>
                <w:p w14:paraId="460785ED">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XM1000</w:t>
                  </w:r>
                  <w:r>
                    <w:rPr>
                      <w:rFonts w:hint="eastAsia" w:cs="Times New Roman"/>
                      <w:bCs/>
                      <w:color w:val="auto"/>
                      <w:sz w:val="21"/>
                      <w:szCs w:val="21"/>
                      <w:highlight w:val="none"/>
                      <w:lang w:val="en-US" w:eastAsia="zh-CN"/>
                    </w:rPr>
                    <w:t>；机架 100#加厚槽钢内部采用上下 4 层高强度耐磨链条，链条采用 55GMR 高猛钢材质破碎均匀，性能能更稳定。电机采用立体式装配，电机与破碎轴直连，运行稳定；上下均有接料斗和出料斗，有效防止漏</w:t>
                  </w:r>
                  <w:r>
                    <w:rPr>
                      <w:rFonts w:hint="eastAsia" w:cs="Times New Roman"/>
                      <w:bCs/>
                      <w:color w:val="auto"/>
                      <w:sz w:val="21"/>
                      <w:szCs w:val="21"/>
                      <w:highlight w:val="none"/>
                      <w:lang w:val="en-US" w:eastAsia="zh-CN"/>
                    </w:rPr>
                    <w:br w:type="textWrapping"/>
                  </w:r>
                  <w:r>
                    <w:rPr>
                      <w:rFonts w:hint="eastAsia" w:cs="Times New Roman"/>
                      <w:bCs/>
                      <w:color w:val="auto"/>
                      <w:sz w:val="21"/>
                      <w:szCs w:val="21"/>
                      <w:highlight w:val="none"/>
                      <w:lang w:val="en-US" w:eastAsia="zh-CN"/>
                    </w:rPr>
                    <w:t>料、粉尘飘扬等问题；接料装置配有输送机进行传</w:t>
                  </w:r>
                  <w:r>
                    <w:rPr>
                      <w:rFonts w:hint="eastAsia" w:cs="Times New Roman"/>
                      <w:bCs/>
                      <w:color w:val="auto"/>
                      <w:sz w:val="21"/>
                      <w:szCs w:val="21"/>
                      <w:highlight w:val="none"/>
                      <w:lang w:val="en-US" w:eastAsia="zh-CN"/>
                    </w:rPr>
                    <w:br w:type="textWrapping"/>
                  </w:r>
                  <w:r>
                    <w:rPr>
                      <w:rFonts w:hint="eastAsia" w:cs="Times New Roman"/>
                      <w:bCs/>
                      <w:color w:val="auto"/>
                      <w:sz w:val="21"/>
                      <w:szCs w:val="21"/>
                      <w:highlight w:val="none"/>
                      <w:lang w:val="en-US" w:eastAsia="zh-CN"/>
                    </w:rPr>
                    <w:t>递原料</w:t>
                  </w:r>
                </w:p>
              </w:tc>
              <w:tc>
                <w:tcPr>
                  <w:tcW w:w="450" w:type="pct"/>
                  <w:tcBorders>
                    <w:tl2br w:val="nil"/>
                    <w:tr2bl w:val="nil"/>
                  </w:tcBorders>
                  <w:noWrap w:val="0"/>
                  <w:vAlign w:val="center"/>
                </w:tcPr>
                <w:p w14:paraId="600C9AB8">
                  <w:pPr>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1台</w:t>
                  </w:r>
                </w:p>
              </w:tc>
            </w:tr>
            <w:tr w14:paraId="4662A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tcBorders>
                    <w:tl2br w:val="nil"/>
                    <w:tr2bl w:val="nil"/>
                  </w:tcBorders>
                  <w:noWrap w:val="0"/>
                  <w:vAlign w:val="center"/>
                </w:tcPr>
                <w:p w14:paraId="4117D0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5.7</w:t>
                  </w:r>
                </w:p>
              </w:tc>
              <w:tc>
                <w:tcPr>
                  <w:tcW w:w="1138" w:type="pct"/>
                  <w:tcBorders>
                    <w:tl2br w:val="nil"/>
                    <w:tr2bl w:val="nil"/>
                  </w:tcBorders>
                  <w:noWrap w:val="0"/>
                  <w:vAlign w:val="center"/>
                </w:tcPr>
                <w:p w14:paraId="317844D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皮带输送机</w:t>
                  </w:r>
                </w:p>
              </w:tc>
              <w:tc>
                <w:tcPr>
                  <w:tcW w:w="3065" w:type="pct"/>
                  <w:tcBorders>
                    <w:tl2br w:val="nil"/>
                    <w:tr2bl w:val="nil"/>
                  </w:tcBorders>
                  <w:noWrap w:val="0"/>
                  <w:vAlign w:val="center"/>
                </w:tcPr>
                <w:p w14:paraId="31C18E5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i w:val="0"/>
                      <w:color w:val="auto"/>
                      <w:kern w:val="0"/>
                      <w:sz w:val="21"/>
                      <w:szCs w:val="21"/>
                      <w:highlight w:val="none"/>
                      <w:u w:val="none"/>
                      <w:lang w:val="en-US" w:eastAsia="zh-CN" w:bidi="ar"/>
                    </w:rPr>
                    <w:t>B800</w:t>
                  </w:r>
                  <w:r>
                    <w:rPr>
                      <w:rFonts w:hint="eastAsia" w:cs="Times New Roman"/>
                      <w:b w:val="0"/>
                      <w:bCs/>
                      <w:i w:val="0"/>
                      <w:color w:val="auto"/>
                      <w:kern w:val="0"/>
                      <w:sz w:val="21"/>
                      <w:szCs w:val="21"/>
                      <w:highlight w:val="none"/>
                      <w:u w:val="none"/>
                      <w:lang w:val="en-US" w:eastAsia="zh-CN" w:bidi="ar"/>
                    </w:rPr>
                    <w:t>；</w:t>
                  </w:r>
                  <w:r>
                    <w:rPr>
                      <w:rFonts w:hint="default" w:ascii="Times New Roman" w:hAnsi="Times New Roman" w:eastAsia="宋体" w:cs="Times New Roman"/>
                      <w:bCs/>
                      <w:color w:val="auto"/>
                      <w:sz w:val="21"/>
                      <w:szCs w:val="21"/>
                      <w:highlight w:val="none"/>
                    </w:rPr>
                    <w:t>主架12#槽钢，立柱C型钢，防粘接滚筒，五芯皮带</w:t>
                  </w:r>
                </w:p>
              </w:tc>
              <w:tc>
                <w:tcPr>
                  <w:tcW w:w="450" w:type="pct"/>
                  <w:tcBorders>
                    <w:tl2br w:val="nil"/>
                    <w:tr2bl w:val="nil"/>
                  </w:tcBorders>
                  <w:noWrap w:val="0"/>
                  <w:vAlign w:val="center"/>
                </w:tcPr>
                <w:p w14:paraId="30E94BD0">
                  <w:pPr>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1台</w:t>
                  </w:r>
                </w:p>
              </w:tc>
            </w:tr>
            <w:tr w14:paraId="3FEBD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000" w:type="pct"/>
                  <w:gridSpan w:val="4"/>
                  <w:tcBorders>
                    <w:tl2br w:val="nil"/>
                    <w:tr2bl w:val="nil"/>
                  </w:tcBorders>
                  <w:noWrap w:val="0"/>
                  <w:vAlign w:val="center"/>
                </w:tcPr>
                <w:p w14:paraId="52DEEF73">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除尘除臭设备</w:t>
                  </w:r>
                </w:p>
              </w:tc>
            </w:tr>
            <w:tr w14:paraId="7083D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45" w:type="pct"/>
                  <w:tcBorders>
                    <w:tl2br w:val="nil"/>
                    <w:tr2bl w:val="nil"/>
                  </w:tcBorders>
                  <w:noWrap w:val="0"/>
                  <w:vAlign w:val="center"/>
                </w:tcPr>
                <w:p w14:paraId="3F0688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p>
              </w:tc>
              <w:tc>
                <w:tcPr>
                  <w:tcW w:w="1138" w:type="pct"/>
                  <w:tcBorders>
                    <w:tl2br w:val="nil"/>
                    <w:tr2bl w:val="nil"/>
                  </w:tcBorders>
                  <w:noWrap w:val="0"/>
                  <w:vAlign w:val="center"/>
                </w:tcPr>
                <w:p w14:paraId="4B55337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水洗塔</w:t>
                  </w:r>
                </w:p>
              </w:tc>
              <w:tc>
                <w:tcPr>
                  <w:tcW w:w="3065" w:type="pct"/>
                  <w:tcBorders>
                    <w:tl2br w:val="nil"/>
                    <w:tr2bl w:val="nil"/>
                  </w:tcBorders>
                  <w:shd w:val="clear" w:color="auto" w:fill="auto"/>
                  <w:noWrap w:val="0"/>
                  <w:vAlign w:val="center"/>
                </w:tcPr>
                <w:p w14:paraId="55BB83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水洗塔：臭气进入水洗塔后喷淋装置的水雾在空气中与臭气反应，将污染物质溶解到水中</w:t>
                  </w:r>
                  <w:r>
                    <w:rPr>
                      <w:rFonts w:hint="eastAsia" w:cs="Times New Roman"/>
                      <w:color w:val="auto"/>
                      <w:sz w:val="21"/>
                      <w:szCs w:val="21"/>
                      <w:highlight w:val="none"/>
                      <w:lang w:val="en-US" w:eastAsia="zh-CN"/>
                    </w:rPr>
                    <w:t>。</w:t>
                  </w:r>
                </w:p>
                <w:p w14:paraId="79A4CB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b w:val="0"/>
                      <w:bCs w:val="0"/>
                      <w:color w:val="auto"/>
                      <w:sz w:val="21"/>
                      <w:szCs w:val="21"/>
                      <w:highlight w:val="none"/>
                    </w:rPr>
                  </w:pPr>
                  <w:r>
                    <w:rPr>
                      <w:rStyle w:val="35"/>
                      <w:b w:val="0"/>
                      <w:bCs w:val="0"/>
                      <w:color w:val="auto"/>
                      <w:sz w:val="21"/>
                      <w:szCs w:val="21"/>
                      <w:highlight w:val="none"/>
                    </w:rPr>
                    <w:t>塔体</w:t>
                  </w:r>
                  <w:r>
                    <w:rPr>
                      <w:b w:val="0"/>
                      <w:bCs w:val="0"/>
                      <w:color w:val="auto"/>
                      <w:sz w:val="21"/>
                      <w:szCs w:val="21"/>
                      <w:highlight w:val="none"/>
                    </w:rPr>
                    <w:t>：PP / 玻璃钢 ，耐腐蚀；</w:t>
                  </w:r>
                </w:p>
                <w:p w14:paraId="1398F1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b w:val="0"/>
                      <w:bCs w:val="0"/>
                      <w:color w:val="auto"/>
                      <w:sz w:val="21"/>
                      <w:szCs w:val="21"/>
                      <w:highlight w:val="none"/>
                    </w:rPr>
                  </w:pPr>
                  <w:r>
                    <w:rPr>
                      <w:rStyle w:val="35"/>
                      <w:b w:val="0"/>
                      <w:bCs w:val="0"/>
                      <w:color w:val="auto"/>
                      <w:sz w:val="21"/>
                      <w:szCs w:val="21"/>
                      <w:highlight w:val="none"/>
                    </w:rPr>
                    <w:t>填料层</w:t>
                  </w:r>
                  <w:r>
                    <w:rPr>
                      <w:b w:val="0"/>
                      <w:bCs w:val="0"/>
                      <w:color w:val="auto"/>
                      <w:sz w:val="21"/>
                      <w:szCs w:val="21"/>
                      <w:highlight w:val="none"/>
                    </w:rPr>
                    <w:t>：增加接触面积（空心球、鲍尔环等）；</w:t>
                  </w:r>
                </w:p>
                <w:p w14:paraId="56974E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b w:val="0"/>
                      <w:bCs w:val="0"/>
                      <w:color w:val="auto"/>
                      <w:sz w:val="21"/>
                      <w:szCs w:val="21"/>
                      <w:highlight w:val="none"/>
                    </w:rPr>
                  </w:pPr>
                  <w:r>
                    <w:rPr>
                      <w:rStyle w:val="35"/>
                      <w:b w:val="0"/>
                      <w:bCs w:val="0"/>
                      <w:color w:val="auto"/>
                      <w:sz w:val="21"/>
                      <w:szCs w:val="21"/>
                      <w:highlight w:val="none"/>
                    </w:rPr>
                    <w:t>喷淋系统</w:t>
                  </w:r>
                  <w:r>
                    <w:rPr>
                      <w:b w:val="0"/>
                      <w:bCs w:val="0"/>
                      <w:color w:val="auto"/>
                      <w:sz w:val="21"/>
                      <w:szCs w:val="21"/>
                      <w:highlight w:val="none"/>
                    </w:rPr>
                    <w:t>：多层喷嘴，喷出水雾；</w:t>
                  </w:r>
                </w:p>
                <w:p w14:paraId="2B48D6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b w:val="0"/>
                      <w:bCs w:val="0"/>
                      <w:color w:val="auto"/>
                      <w:sz w:val="21"/>
                      <w:szCs w:val="21"/>
                      <w:highlight w:val="none"/>
                    </w:rPr>
                  </w:pPr>
                  <w:r>
                    <w:rPr>
                      <w:rStyle w:val="35"/>
                      <w:b w:val="0"/>
                      <w:bCs w:val="0"/>
                      <w:color w:val="auto"/>
                      <w:sz w:val="21"/>
                      <w:szCs w:val="21"/>
                      <w:highlight w:val="none"/>
                    </w:rPr>
                    <w:t>除雾层</w:t>
                  </w:r>
                  <w:r>
                    <w:rPr>
                      <w:b w:val="0"/>
                      <w:bCs w:val="0"/>
                      <w:color w:val="auto"/>
                      <w:sz w:val="21"/>
                      <w:szCs w:val="21"/>
                      <w:highlight w:val="none"/>
                    </w:rPr>
                    <w:t>：顶部，挡水雾；</w:t>
                  </w:r>
                </w:p>
                <w:p w14:paraId="79756D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Times New Roman" w:hAnsi="Times New Roman" w:eastAsia="宋体" w:cs="Times New Roman"/>
                      <w:color w:val="auto"/>
                      <w:kern w:val="2"/>
                      <w:sz w:val="21"/>
                      <w:szCs w:val="21"/>
                      <w:highlight w:val="none"/>
                      <w:lang w:val="en-US" w:eastAsia="zh-CN" w:bidi="ar-SA"/>
                    </w:rPr>
                  </w:pPr>
                  <w:r>
                    <w:rPr>
                      <w:rStyle w:val="35"/>
                      <w:b w:val="0"/>
                      <w:bCs w:val="0"/>
                      <w:color w:val="auto"/>
                      <w:sz w:val="21"/>
                      <w:szCs w:val="21"/>
                      <w:highlight w:val="none"/>
                    </w:rPr>
                    <w:t>循环水箱</w:t>
                  </w:r>
                  <w:r>
                    <w:rPr>
                      <w:rStyle w:val="35"/>
                      <w:rFonts w:hint="eastAsia"/>
                      <w:b w:val="0"/>
                      <w:bCs w:val="0"/>
                      <w:color w:val="auto"/>
                      <w:sz w:val="21"/>
                      <w:szCs w:val="21"/>
                      <w:highlight w:val="none"/>
                      <w:lang w:eastAsia="zh-CN"/>
                    </w:rPr>
                    <w:t>（</w:t>
                  </w:r>
                  <w:r>
                    <w:rPr>
                      <w:rStyle w:val="35"/>
                      <w:rFonts w:hint="eastAsia"/>
                      <w:b w:val="0"/>
                      <w:bCs w:val="0"/>
                      <w:color w:val="auto"/>
                      <w:sz w:val="21"/>
                      <w:szCs w:val="21"/>
                      <w:highlight w:val="none"/>
                      <w:lang w:val="en-US" w:eastAsia="zh-CN"/>
                    </w:rPr>
                    <w:t>玻璃钢</w:t>
                  </w:r>
                  <w:r>
                    <w:rPr>
                      <w:rStyle w:val="35"/>
                      <w:rFonts w:hint="eastAsia"/>
                      <w:b w:val="0"/>
                      <w:bCs w:val="0"/>
                      <w:color w:val="auto"/>
                      <w:sz w:val="21"/>
                      <w:szCs w:val="21"/>
                      <w:highlight w:val="none"/>
                      <w:lang w:eastAsia="zh-CN"/>
                    </w:rPr>
                    <w:t>）</w:t>
                  </w:r>
                  <w:r>
                    <w:rPr>
                      <w:rStyle w:val="35"/>
                      <w:b w:val="0"/>
                      <w:bCs w:val="0"/>
                      <w:color w:val="auto"/>
                      <w:sz w:val="21"/>
                      <w:szCs w:val="21"/>
                      <w:highlight w:val="none"/>
                    </w:rPr>
                    <w:t xml:space="preserve"> + 水泵</w:t>
                  </w:r>
                  <w:r>
                    <w:rPr>
                      <w:b w:val="0"/>
                      <w:bCs w:val="0"/>
                      <w:color w:val="auto"/>
                      <w:sz w:val="21"/>
                      <w:szCs w:val="21"/>
                      <w:highlight w:val="none"/>
                    </w:rPr>
                    <w:t>：水循环</w:t>
                  </w:r>
                </w:p>
              </w:tc>
              <w:tc>
                <w:tcPr>
                  <w:tcW w:w="450" w:type="pct"/>
                  <w:tcBorders>
                    <w:tl2br w:val="nil"/>
                    <w:tr2bl w:val="nil"/>
                  </w:tcBorders>
                  <w:noWrap w:val="0"/>
                  <w:vAlign w:val="center"/>
                </w:tcPr>
                <w:p w14:paraId="7E32812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1台</w:t>
                  </w:r>
                </w:p>
              </w:tc>
            </w:tr>
            <w:tr w14:paraId="0BF72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45" w:type="pct"/>
                  <w:tcBorders>
                    <w:tl2br w:val="nil"/>
                    <w:tr2bl w:val="nil"/>
                  </w:tcBorders>
                  <w:noWrap w:val="0"/>
                  <w:vAlign w:val="center"/>
                </w:tcPr>
                <w:p w14:paraId="7AD60C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w:t>
                  </w:r>
                </w:p>
              </w:tc>
              <w:tc>
                <w:tcPr>
                  <w:tcW w:w="1138" w:type="pct"/>
                  <w:tcBorders>
                    <w:tl2br w:val="nil"/>
                    <w:tr2bl w:val="nil"/>
                  </w:tcBorders>
                  <w:noWrap w:val="0"/>
                  <w:vAlign w:val="center"/>
                </w:tcPr>
                <w:p w14:paraId="044DF0A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二级活性炭吸附装置</w:t>
                  </w:r>
                </w:p>
              </w:tc>
              <w:tc>
                <w:tcPr>
                  <w:tcW w:w="3065" w:type="pct"/>
                  <w:tcBorders>
                    <w:tl2br w:val="nil"/>
                    <w:tr2bl w:val="nil"/>
                  </w:tcBorders>
                  <w:noWrap w:val="0"/>
                  <w:vAlign w:val="center"/>
                </w:tcPr>
                <w:p w14:paraId="25954D39">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活性炭</w:t>
                  </w:r>
                  <w:r>
                    <w:rPr>
                      <w:rFonts w:hint="default" w:ascii="Times New Roman" w:hAnsi="Times New Roman" w:eastAsia="宋体" w:cs="Times New Roman"/>
                      <w:color w:val="auto"/>
                      <w:sz w:val="21"/>
                      <w:szCs w:val="21"/>
                      <w:highlight w:val="none"/>
                      <w:lang w:val="en-US" w:eastAsia="zh-CN"/>
                    </w:rPr>
                    <w:t>包装标准：100</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100</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100mm</w:t>
                  </w:r>
                  <w:r>
                    <w:rPr>
                      <w:rFonts w:hint="eastAsia" w:cs="Times New Roman"/>
                      <w:color w:val="auto"/>
                      <w:sz w:val="21"/>
                      <w:szCs w:val="21"/>
                      <w:highlight w:val="none"/>
                      <w:lang w:val="en-US" w:eastAsia="zh-CN"/>
                    </w:rPr>
                    <w:t>；</w:t>
                  </w:r>
                </w:p>
                <w:p w14:paraId="00FB55A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材质：防水型高效蜂窝活性碳</w:t>
                  </w:r>
                </w:p>
              </w:tc>
              <w:tc>
                <w:tcPr>
                  <w:tcW w:w="450" w:type="pct"/>
                  <w:tcBorders>
                    <w:tl2br w:val="nil"/>
                    <w:tr2bl w:val="nil"/>
                  </w:tcBorders>
                  <w:noWrap w:val="0"/>
                  <w:vAlign w:val="center"/>
                </w:tcPr>
                <w:p w14:paraId="6DAB209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台</w:t>
                  </w:r>
                </w:p>
              </w:tc>
            </w:tr>
            <w:tr w14:paraId="29C487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45" w:type="pct"/>
                  <w:tcBorders>
                    <w:tl2br w:val="nil"/>
                    <w:tr2bl w:val="nil"/>
                  </w:tcBorders>
                  <w:noWrap w:val="0"/>
                  <w:vAlign w:val="center"/>
                </w:tcPr>
                <w:p w14:paraId="34CDB5D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8</w:t>
                  </w:r>
                </w:p>
              </w:tc>
              <w:tc>
                <w:tcPr>
                  <w:tcW w:w="1138" w:type="pct"/>
                  <w:tcBorders>
                    <w:tl2br w:val="nil"/>
                    <w:tr2bl w:val="nil"/>
                  </w:tcBorders>
                  <w:noWrap w:val="0"/>
                  <w:vAlign w:val="center"/>
                </w:tcPr>
                <w:p w14:paraId="2604DBD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布袋除尘器</w:t>
                  </w:r>
                </w:p>
              </w:tc>
              <w:tc>
                <w:tcPr>
                  <w:tcW w:w="3065" w:type="pct"/>
                  <w:tcBorders>
                    <w:tl2br w:val="nil"/>
                    <w:tr2bl w:val="nil"/>
                  </w:tcBorders>
                  <w:noWrap w:val="0"/>
                  <w:vAlign w:val="center"/>
                </w:tcPr>
                <w:p w14:paraId="515EA54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DF—600型，风机风量10000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lang w:val="en-US" w:eastAsia="zh-CN"/>
                    </w:rPr>
                    <w:t>/h，滤袋材质涤纶针刺毡，除尘效率98%</w:t>
                  </w:r>
                </w:p>
              </w:tc>
              <w:tc>
                <w:tcPr>
                  <w:tcW w:w="450" w:type="pct"/>
                  <w:tcBorders>
                    <w:tl2br w:val="nil"/>
                    <w:tr2bl w:val="nil"/>
                  </w:tcBorders>
                  <w:noWrap w:val="0"/>
                  <w:vAlign w:val="center"/>
                </w:tcPr>
                <w:p w14:paraId="1683FCB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1台</w:t>
                  </w:r>
                </w:p>
              </w:tc>
            </w:tr>
            <w:tr w14:paraId="3EF86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45" w:type="pct"/>
                  <w:tcBorders>
                    <w:tl2br w:val="nil"/>
                    <w:tr2bl w:val="nil"/>
                  </w:tcBorders>
                  <w:noWrap w:val="0"/>
                  <w:vAlign w:val="center"/>
                </w:tcPr>
                <w:p w14:paraId="28220EC4">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138" w:type="pct"/>
                  <w:tcBorders>
                    <w:tl2br w:val="nil"/>
                    <w:tr2bl w:val="nil"/>
                  </w:tcBorders>
                  <w:noWrap w:val="0"/>
                  <w:vAlign w:val="center"/>
                </w:tcPr>
                <w:p w14:paraId="47693DE1">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引风机</w:t>
                  </w:r>
                </w:p>
              </w:tc>
              <w:tc>
                <w:tcPr>
                  <w:tcW w:w="3065" w:type="pct"/>
                  <w:tcBorders>
                    <w:tl2br w:val="nil"/>
                    <w:tr2bl w:val="nil"/>
                  </w:tcBorders>
                  <w:noWrap w:val="0"/>
                  <w:vAlign w:val="center"/>
                </w:tcPr>
                <w:p w14:paraId="79BFA9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功率;37KW，主体材质：不锈钢</w:t>
                  </w:r>
                </w:p>
              </w:tc>
              <w:tc>
                <w:tcPr>
                  <w:tcW w:w="450" w:type="pct"/>
                  <w:tcBorders>
                    <w:tl2br w:val="nil"/>
                    <w:tr2bl w:val="nil"/>
                  </w:tcBorders>
                  <w:noWrap w:val="0"/>
                  <w:vAlign w:val="center"/>
                </w:tcPr>
                <w:p w14:paraId="45C684D0">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6台</w:t>
                  </w:r>
                </w:p>
              </w:tc>
            </w:tr>
            <w:tr w14:paraId="7985B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2" w:type="dxa"/>
                  <w:tcBorders>
                    <w:tl2br w:val="nil"/>
                    <w:tr2bl w:val="nil"/>
                  </w:tcBorders>
                  <w:noWrap w:val="0"/>
                  <w:vAlign w:val="center"/>
                </w:tcPr>
                <w:p w14:paraId="2A5E90F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10</w:t>
                  </w:r>
                </w:p>
              </w:tc>
              <w:tc>
                <w:tcPr>
                  <w:tcW w:w="1138" w:type="pct"/>
                  <w:tcBorders>
                    <w:tl2br w:val="nil"/>
                    <w:tr2bl w:val="nil"/>
                  </w:tcBorders>
                  <w:noWrap w:val="0"/>
                  <w:vAlign w:val="center"/>
                </w:tcPr>
                <w:p w14:paraId="1AC7E0A4">
                  <w:pPr>
                    <w:jc w:val="center"/>
                    <w:rPr>
                      <w:rFonts w:hint="default"/>
                      <w:color w:val="auto"/>
                      <w:highlight w:val="none"/>
                      <w:lang w:val="en-US" w:eastAsia="zh-CN"/>
                    </w:rPr>
                  </w:pPr>
                  <w:r>
                    <w:rPr>
                      <w:rFonts w:hint="eastAsia" w:cs="Times New Roman"/>
                      <w:bCs/>
                      <w:color w:val="auto"/>
                      <w:sz w:val="21"/>
                      <w:szCs w:val="21"/>
                      <w:highlight w:val="none"/>
                      <w:lang w:val="en-US" w:eastAsia="zh-CN"/>
                    </w:rPr>
                    <w:t>排气筒</w:t>
                  </w:r>
                </w:p>
              </w:tc>
              <w:tc>
                <w:tcPr>
                  <w:tcW w:w="3065" w:type="pct"/>
                  <w:tcBorders>
                    <w:tl2br w:val="nil"/>
                    <w:tr2bl w:val="nil"/>
                  </w:tcBorders>
                  <w:noWrap w:val="0"/>
                  <w:vAlign w:val="center"/>
                </w:tcPr>
                <w:p w14:paraId="2C4D18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材质：304；厚度：1mm；</w:t>
                  </w:r>
                  <w:r>
                    <w:rPr>
                      <w:rFonts w:hint="default" w:ascii="Times New Roman" w:hAnsi="Times New Roman" w:eastAsia="宋体" w:cs="Times New Roman"/>
                      <w:color w:val="auto"/>
                      <w:sz w:val="21"/>
                      <w:szCs w:val="21"/>
                      <w:highlight w:val="none"/>
                      <w:lang w:val="en-US" w:eastAsia="zh-CN"/>
                    </w:rPr>
                    <w:t>高度：15m；内径：0.5m</w:t>
                  </w:r>
                </w:p>
              </w:tc>
              <w:tc>
                <w:tcPr>
                  <w:tcW w:w="450" w:type="pct"/>
                  <w:tcBorders>
                    <w:tl2br w:val="nil"/>
                    <w:tr2bl w:val="nil"/>
                  </w:tcBorders>
                  <w:noWrap w:val="0"/>
                  <w:vAlign w:val="center"/>
                </w:tcPr>
                <w:p w14:paraId="63FD415E">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2根</w:t>
                  </w:r>
                </w:p>
              </w:tc>
            </w:tr>
            <w:tr w14:paraId="36EA5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2" w:type="dxa"/>
                  <w:tcBorders>
                    <w:tl2br w:val="nil"/>
                    <w:tr2bl w:val="nil"/>
                  </w:tcBorders>
                  <w:noWrap w:val="0"/>
                  <w:vAlign w:val="center"/>
                </w:tcPr>
                <w:p w14:paraId="5B6645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w:t>
                  </w:r>
                </w:p>
              </w:tc>
              <w:tc>
                <w:tcPr>
                  <w:tcW w:w="1138" w:type="pct"/>
                  <w:tcBorders>
                    <w:tl2br w:val="nil"/>
                    <w:tr2bl w:val="nil"/>
                  </w:tcBorders>
                  <w:noWrap w:val="0"/>
                  <w:vAlign w:val="center"/>
                </w:tcPr>
                <w:p w14:paraId="7CDA2A72">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管道、三通、堵头大小头</w:t>
                  </w:r>
                </w:p>
              </w:tc>
              <w:tc>
                <w:tcPr>
                  <w:tcW w:w="3065" w:type="pct"/>
                  <w:tcBorders>
                    <w:tl2br w:val="nil"/>
                    <w:tr2bl w:val="nil"/>
                  </w:tcBorders>
                  <w:noWrap w:val="0"/>
                  <w:vAlign w:val="center"/>
                </w:tcPr>
                <w:p w14:paraId="0C99978C">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规格： φ600mm 厚度：5mm </w:t>
                  </w:r>
                </w:p>
                <w:p w14:paraId="47D585B8">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φ400mm   厚度：4.2mm </w:t>
                  </w:r>
                </w:p>
                <w:p w14:paraId="48FC4397">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φ200mm    厚度：3.3mm </w:t>
                  </w:r>
                </w:p>
                <w:p w14:paraId="2D29C562">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材质：PP </w:t>
                  </w:r>
                </w:p>
              </w:tc>
              <w:tc>
                <w:tcPr>
                  <w:tcW w:w="450" w:type="pct"/>
                  <w:tcBorders>
                    <w:tl2br w:val="nil"/>
                    <w:tr2bl w:val="nil"/>
                  </w:tcBorders>
                  <w:noWrap w:val="0"/>
                  <w:vAlign w:val="center"/>
                </w:tcPr>
                <w:p w14:paraId="5F7B65D3">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396米×2</w:t>
                  </w:r>
                </w:p>
              </w:tc>
            </w:tr>
            <w:tr w14:paraId="10A57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2" w:type="dxa"/>
                  <w:tcBorders>
                    <w:tl2br w:val="nil"/>
                    <w:tr2bl w:val="nil"/>
                  </w:tcBorders>
                  <w:noWrap w:val="0"/>
                  <w:vAlign w:val="center"/>
                </w:tcPr>
                <w:p w14:paraId="3C144B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1138" w:type="pct"/>
                  <w:tcBorders>
                    <w:tl2br w:val="nil"/>
                    <w:tr2bl w:val="nil"/>
                  </w:tcBorders>
                  <w:noWrap w:val="0"/>
                  <w:vAlign w:val="center"/>
                </w:tcPr>
                <w:p w14:paraId="3F766D94">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监测平台</w:t>
                  </w:r>
                </w:p>
              </w:tc>
              <w:tc>
                <w:tcPr>
                  <w:tcW w:w="3065" w:type="pct"/>
                  <w:tcBorders>
                    <w:tl2br w:val="nil"/>
                    <w:tr2bl w:val="nil"/>
                  </w:tcBorders>
                  <w:noWrap w:val="0"/>
                  <w:vAlign w:val="center"/>
                </w:tcPr>
                <w:p w14:paraId="700D5412">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由角铁、槽钢等焊接而成</w:t>
                  </w:r>
                </w:p>
              </w:tc>
              <w:tc>
                <w:tcPr>
                  <w:tcW w:w="450" w:type="pct"/>
                  <w:tcBorders>
                    <w:tl2br w:val="nil"/>
                    <w:tr2bl w:val="nil"/>
                  </w:tcBorders>
                  <w:noWrap w:val="0"/>
                  <w:vAlign w:val="center"/>
                </w:tcPr>
                <w:p w14:paraId="2E9AB909">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2个</w:t>
                  </w:r>
                </w:p>
              </w:tc>
            </w:tr>
            <w:tr w14:paraId="5DC8C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000" w:type="pct"/>
                  <w:gridSpan w:val="4"/>
                  <w:tcBorders>
                    <w:tl2br w:val="nil"/>
                    <w:tr2bl w:val="nil"/>
                  </w:tcBorders>
                  <w:noWrap w:val="0"/>
                  <w:vAlign w:val="center"/>
                </w:tcPr>
                <w:p w14:paraId="5F8838E7">
                  <w:pPr>
                    <w:jc w:val="center"/>
                    <w:rPr>
                      <w:rFonts w:hint="default" w:cs="Times New Roman"/>
                      <w:bCs/>
                      <w:color w:val="auto"/>
                      <w:sz w:val="21"/>
                      <w:szCs w:val="21"/>
                      <w:highlight w:val="none"/>
                      <w:lang w:val="en-US" w:eastAsia="zh-CN"/>
                    </w:rPr>
                  </w:pPr>
                  <w:r>
                    <w:rPr>
                      <w:rFonts w:hint="eastAsia" w:cs="Times New Roman"/>
                      <w:b/>
                      <w:bCs w:val="0"/>
                      <w:color w:val="auto"/>
                      <w:sz w:val="21"/>
                      <w:szCs w:val="21"/>
                      <w:highlight w:val="none"/>
                      <w:lang w:val="en-US" w:eastAsia="zh-CN"/>
                    </w:rPr>
                    <w:t>质量检验室</w:t>
                  </w:r>
                </w:p>
              </w:tc>
            </w:tr>
            <w:tr w14:paraId="198FF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45" w:type="pct"/>
                  <w:tcBorders>
                    <w:tl2br w:val="nil"/>
                    <w:tr2bl w:val="nil"/>
                  </w:tcBorders>
                  <w:noWrap w:val="0"/>
                  <w:vAlign w:val="center"/>
                </w:tcPr>
                <w:p w14:paraId="6885E72E">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13</w:t>
                  </w:r>
                </w:p>
              </w:tc>
              <w:tc>
                <w:tcPr>
                  <w:tcW w:w="1138" w:type="pct"/>
                  <w:tcBorders>
                    <w:tl2br w:val="nil"/>
                    <w:tr2bl w:val="nil"/>
                  </w:tcBorders>
                  <w:noWrap w:val="0"/>
                  <w:vAlign w:val="center"/>
                </w:tcPr>
                <w:p w14:paraId="6D68ECA1">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101型鼓风干燥箱</w:t>
                  </w:r>
                </w:p>
              </w:tc>
              <w:tc>
                <w:tcPr>
                  <w:tcW w:w="3065" w:type="pct"/>
                  <w:tcBorders>
                    <w:tl2br w:val="nil"/>
                    <w:tr2bl w:val="nil"/>
                  </w:tcBorders>
                  <w:noWrap w:val="0"/>
                  <w:vAlign w:val="center"/>
                </w:tcPr>
                <w:p w14:paraId="7F73BABE">
                  <w:pPr>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加热功率：1至6KW，单相供电；</w:t>
                  </w:r>
                </w:p>
                <w:p w14:paraId="57FC24FC">
                  <w:pPr>
                    <w:jc w:val="center"/>
                    <w:rPr>
                      <w:rFonts w:hint="eastAsia"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温度范围：工作室温+10℃-300℃，升温时间100分钟，温度波动±1℃</w:t>
                  </w:r>
                </w:p>
              </w:tc>
              <w:tc>
                <w:tcPr>
                  <w:tcW w:w="450" w:type="pct"/>
                  <w:tcBorders>
                    <w:tl2br w:val="nil"/>
                    <w:tr2bl w:val="nil"/>
                  </w:tcBorders>
                  <w:noWrap w:val="0"/>
                  <w:vAlign w:val="center"/>
                </w:tcPr>
                <w:p w14:paraId="18D65486">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31ADD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2" w:type="dxa"/>
                  <w:tcBorders>
                    <w:tl2br w:val="nil"/>
                    <w:tr2bl w:val="nil"/>
                  </w:tcBorders>
                  <w:noWrap w:val="0"/>
                  <w:vAlign w:val="center"/>
                </w:tcPr>
                <w:p w14:paraId="504CE9E1">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w:t>
                  </w:r>
                </w:p>
              </w:tc>
              <w:tc>
                <w:tcPr>
                  <w:tcW w:w="1138" w:type="pct"/>
                  <w:tcBorders>
                    <w:tl2br w:val="nil"/>
                    <w:tr2bl w:val="nil"/>
                  </w:tcBorders>
                  <w:noWrap w:val="0"/>
                  <w:vAlign w:val="center"/>
                </w:tcPr>
                <w:p w14:paraId="170D68BD">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定氮仪</w:t>
                  </w:r>
                </w:p>
              </w:tc>
              <w:tc>
                <w:tcPr>
                  <w:tcW w:w="3065" w:type="pct"/>
                  <w:tcBorders>
                    <w:tl2br w:val="nil"/>
                    <w:tr2bl w:val="nil"/>
                  </w:tcBorders>
                  <w:noWrap w:val="0"/>
                  <w:vAlign w:val="center"/>
                </w:tcPr>
                <w:p w14:paraId="33C9F7D1">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检测范围：0.1~240mg氮</w:t>
                  </w:r>
                </w:p>
                <w:p w14:paraId="5CF39814">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重复性误差（RSD）：≤0.5%</w:t>
                  </w:r>
                </w:p>
                <w:p w14:paraId="09E9DD6F">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滴定精度：0.2μL/步，0.4μL/步，1.0μL/步三挡可选</w:t>
                  </w:r>
                </w:p>
                <w:p w14:paraId="385C29A7">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测定样品重量：固体≤5g，液体≤20mL</w:t>
                  </w:r>
                </w:p>
              </w:tc>
              <w:tc>
                <w:tcPr>
                  <w:tcW w:w="450" w:type="pct"/>
                  <w:tcBorders>
                    <w:tl2br w:val="nil"/>
                    <w:tr2bl w:val="nil"/>
                  </w:tcBorders>
                  <w:noWrap w:val="0"/>
                  <w:vAlign w:val="center"/>
                </w:tcPr>
                <w:p w14:paraId="0D0DD0BE">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5E40B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2" w:type="dxa"/>
                  <w:tcBorders>
                    <w:tl2br w:val="nil"/>
                    <w:tr2bl w:val="nil"/>
                  </w:tcBorders>
                  <w:noWrap w:val="0"/>
                  <w:vAlign w:val="center"/>
                </w:tcPr>
                <w:p w14:paraId="4D20A283">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w:t>
                  </w:r>
                </w:p>
              </w:tc>
              <w:tc>
                <w:tcPr>
                  <w:tcW w:w="1138" w:type="pct"/>
                  <w:tcBorders>
                    <w:tl2br w:val="nil"/>
                    <w:tr2bl w:val="nil"/>
                  </w:tcBorders>
                  <w:noWrap w:val="0"/>
                  <w:vAlign w:val="center"/>
                </w:tcPr>
                <w:p w14:paraId="7AF11ABB">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721可见分光光度计</w:t>
                  </w:r>
                </w:p>
              </w:tc>
              <w:tc>
                <w:tcPr>
                  <w:tcW w:w="3065" w:type="pct"/>
                  <w:tcBorders>
                    <w:tl2br w:val="nil"/>
                    <w:tr2bl w:val="nil"/>
                  </w:tcBorders>
                  <w:noWrap w:val="0"/>
                  <w:vAlign w:val="center"/>
                </w:tcPr>
                <w:p w14:paraId="02FFFB65">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波长范围：340-1000nm（可扩展至325nm）</w:t>
                  </w:r>
                </w:p>
                <w:p w14:paraId="45D68FD5">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波长重复性：1nm</w:t>
                  </w:r>
                </w:p>
                <w:p w14:paraId="4D20C0EB">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杂散光：≤0.5%T@340nm</w:t>
                  </w:r>
                </w:p>
                <w:p w14:paraId="395CC5B1">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光度显示范围：0-125.0%T，0-1999C（0-1999F）</w:t>
                  </w:r>
                </w:p>
                <w:p w14:paraId="0E4DEEC6">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光度重复性：0.5%T</w:t>
                  </w:r>
                </w:p>
              </w:tc>
              <w:tc>
                <w:tcPr>
                  <w:tcW w:w="450" w:type="pct"/>
                  <w:tcBorders>
                    <w:tl2br w:val="nil"/>
                    <w:tr2bl w:val="nil"/>
                  </w:tcBorders>
                  <w:noWrap w:val="0"/>
                  <w:vAlign w:val="center"/>
                </w:tcPr>
                <w:p w14:paraId="1A131EFD">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714AA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2" w:type="dxa"/>
                  <w:tcBorders>
                    <w:tl2br w:val="nil"/>
                    <w:tr2bl w:val="nil"/>
                  </w:tcBorders>
                  <w:noWrap w:val="0"/>
                  <w:vAlign w:val="center"/>
                </w:tcPr>
                <w:p w14:paraId="34C5B73B">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16</w:t>
                  </w:r>
                </w:p>
              </w:tc>
              <w:tc>
                <w:tcPr>
                  <w:tcW w:w="1138" w:type="pct"/>
                  <w:tcBorders>
                    <w:tl2br w:val="nil"/>
                    <w:tr2bl w:val="nil"/>
                  </w:tcBorders>
                  <w:noWrap w:val="0"/>
                  <w:vAlign w:val="center"/>
                </w:tcPr>
                <w:p w14:paraId="7B5F5970">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筛网</w:t>
                  </w:r>
                </w:p>
              </w:tc>
              <w:tc>
                <w:tcPr>
                  <w:tcW w:w="3065" w:type="pct"/>
                  <w:tcBorders>
                    <w:tl2br w:val="nil"/>
                    <w:tr2bl w:val="nil"/>
                  </w:tcBorders>
                  <w:noWrap w:val="0"/>
                  <w:vAlign w:val="center"/>
                </w:tcPr>
                <w:p w14:paraId="6B7E74FA">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450" w:type="pct"/>
                  <w:tcBorders>
                    <w:tl2br w:val="nil"/>
                    <w:tr2bl w:val="nil"/>
                  </w:tcBorders>
                  <w:noWrap w:val="0"/>
                  <w:vAlign w:val="center"/>
                </w:tcPr>
                <w:p w14:paraId="72108FE3">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6A01B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2" w:type="dxa"/>
                  <w:tcBorders>
                    <w:tl2br w:val="nil"/>
                    <w:tr2bl w:val="nil"/>
                  </w:tcBorders>
                  <w:noWrap w:val="0"/>
                  <w:vAlign w:val="center"/>
                </w:tcPr>
                <w:p w14:paraId="1A54FEF7">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17</w:t>
                  </w:r>
                </w:p>
              </w:tc>
              <w:tc>
                <w:tcPr>
                  <w:tcW w:w="1138" w:type="pct"/>
                  <w:tcBorders>
                    <w:tl2br w:val="nil"/>
                    <w:tr2bl w:val="nil"/>
                  </w:tcBorders>
                  <w:noWrap w:val="0"/>
                  <w:vAlign w:val="center"/>
                </w:tcPr>
                <w:p w14:paraId="3486FEB3">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筛分器</w:t>
                  </w:r>
                </w:p>
              </w:tc>
              <w:tc>
                <w:tcPr>
                  <w:tcW w:w="3065" w:type="pct"/>
                  <w:tcBorders>
                    <w:tl2br w:val="nil"/>
                    <w:tr2bl w:val="nil"/>
                  </w:tcBorders>
                  <w:noWrap w:val="0"/>
                  <w:vAlign w:val="center"/>
                </w:tcPr>
                <w:p w14:paraId="65962CF2">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450" w:type="pct"/>
                  <w:tcBorders>
                    <w:tl2br w:val="nil"/>
                    <w:tr2bl w:val="nil"/>
                  </w:tcBorders>
                  <w:noWrap w:val="0"/>
                  <w:vAlign w:val="center"/>
                </w:tcPr>
                <w:p w14:paraId="3D8D54FF">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2FB90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2" w:type="dxa"/>
                  <w:tcBorders>
                    <w:tl2br w:val="nil"/>
                    <w:tr2bl w:val="nil"/>
                  </w:tcBorders>
                  <w:noWrap w:val="0"/>
                  <w:vAlign w:val="center"/>
                </w:tcPr>
                <w:p w14:paraId="292D795A">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18</w:t>
                  </w:r>
                </w:p>
              </w:tc>
              <w:tc>
                <w:tcPr>
                  <w:tcW w:w="1138" w:type="pct"/>
                  <w:tcBorders>
                    <w:tl2br w:val="nil"/>
                    <w:tr2bl w:val="nil"/>
                  </w:tcBorders>
                  <w:noWrap w:val="0"/>
                  <w:vAlign w:val="center"/>
                </w:tcPr>
                <w:p w14:paraId="097A0D6B">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玻璃仪器气流烘干器</w:t>
                  </w:r>
                </w:p>
              </w:tc>
              <w:tc>
                <w:tcPr>
                  <w:tcW w:w="3065" w:type="pct"/>
                  <w:tcBorders>
                    <w:tl2br w:val="nil"/>
                    <w:tr2bl w:val="nil"/>
                  </w:tcBorders>
                  <w:noWrap w:val="0"/>
                  <w:vAlign w:val="center"/>
                </w:tcPr>
                <w:p w14:paraId="5FE3A079">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450" w:type="pct"/>
                  <w:tcBorders>
                    <w:tl2br w:val="nil"/>
                    <w:tr2bl w:val="nil"/>
                  </w:tcBorders>
                  <w:noWrap w:val="0"/>
                  <w:vAlign w:val="center"/>
                </w:tcPr>
                <w:p w14:paraId="735A1AB9">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45002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2" w:type="dxa"/>
                  <w:tcBorders>
                    <w:tl2br w:val="nil"/>
                    <w:tr2bl w:val="nil"/>
                  </w:tcBorders>
                  <w:noWrap w:val="0"/>
                  <w:vAlign w:val="center"/>
                </w:tcPr>
                <w:p w14:paraId="62023FF9">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19</w:t>
                  </w:r>
                </w:p>
              </w:tc>
              <w:tc>
                <w:tcPr>
                  <w:tcW w:w="1138" w:type="pct"/>
                  <w:tcBorders>
                    <w:tl2br w:val="nil"/>
                    <w:tr2bl w:val="nil"/>
                  </w:tcBorders>
                  <w:noWrap w:val="0"/>
                  <w:vAlign w:val="center"/>
                </w:tcPr>
                <w:p w14:paraId="33D9BC1B">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火焰光度计</w:t>
                  </w:r>
                </w:p>
              </w:tc>
              <w:tc>
                <w:tcPr>
                  <w:tcW w:w="3065" w:type="pct"/>
                  <w:tcBorders>
                    <w:tl2br w:val="nil"/>
                    <w:tr2bl w:val="nil"/>
                  </w:tcBorders>
                  <w:noWrap w:val="0"/>
                  <w:vAlign w:val="center"/>
                </w:tcPr>
                <w:p w14:paraId="2D8BA08F">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450" w:type="pct"/>
                  <w:tcBorders>
                    <w:tl2br w:val="nil"/>
                    <w:tr2bl w:val="nil"/>
                  </w:tcBorders>
                  <w:noWrap w:val="0"/>
                  <w:vAlign w:val="center"/>
                </w:tcPr>
                <w:p w14:paraId="5719C42E">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65AF1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2" w:type="dxa"/>
                  <w:tcBorders>
                    <w:tl2br w:val="nil"/>
                    <w:tr2bl w:val="nil"/>
                  </w:tcBorders>
                  <w:noWrap w:val="0"/>
                  <w:vAlign w:val="center"/>
                </w:tcPr>
                <w:p w14:paraId="5C50E30B">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c>
                <w:tcPr>
                  <w:tcW w:w="1138" w:type="pct"/>
                  <w:tcBorders>
                    <w:tl2br w:val="nil"/>
                    <w:tr2bl w:val="nil"/>
                  </w:tcBorders>
                  <w:noWrap w:val="0"/>
                  <w:vAlign w:val="center"/>
                </w:tcPr>
                <w:p w14:paraId="4572065F">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数显恒温水浴锅</w:t>
                  </w:r>
                </w:p>
              </w:tc>
              <w:tc>
                <w:tcPr>
                  <w:tcW w:w="3065" w:type="pct"/>
                  <w:tcBorders>
                    <w:tl2br w:val="nil"/>
                    <w:tr2bl w:val="nil"/>
                  </w:tcBorders>
                  <w:noWrap w:val="0"/>
                  <w:vAlign w:val="center"/>
                </w:tcPr>
                <w:p w14:paraId="7C028906">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450" w:type="pct"/>
                  <w:tcBorders>
                    <w:tl2br w:val="nil"/>
                    <w:tr2bl w:val="nil"/>
                  </w:tcBorders>
                  <w:noWrap w:val="0"/>
                  <w:vAlign w:val="center"/>
                </w:tcPr>
                <w:p w14:paraId="5D3C5F52">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561D9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2" w:type="dxa"/>
                  <w:tcBorders>
                    <w:tl2br w:val="nil"/>
                    <w:tr2bl w:val="nil"/>
                  </w:tcBorders>
                  <w:noWrap w:val="0"/>
                  <w:vAlign w:val="center"/>
                </w:tcPr>
                <w:p w14:paraId="501FCE8D">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21</w:t>
                  </w:r>
                </w:p>
              </w:tc>
              <w:tc>
                <w:tcPr>
                  <w:tcW w:w="1138" w:type="pct"/>
                  <w:tcBorders>
                    <w:tl2br w:val="nil"/>
                    <w:tr2bl w:val="nil"/>
                  </w:tcBorders>
                  <w:noWrap w:val="0"/>
                  <w:vAlign w:val="center"/>
                </w:tcPr>
                <w:p w14:paraId="54E09A8B">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消化炉</w:t>
                  </w:r>
                </w:p>
              </w:tc>
              <w:tc>
                <w:tcPr>
                  <w:tcW w:w="3065" w:type="pct"/>
                  <w:tcBorders>
                    <w:tl2br w:val="nil"/>
                    <w:tr2bl w:val="nil"/>
                  </w:tcBorders>
                  <w:noWrap w:val="0"/>
                  <w:vAlign w:val="center"/>
                </w:tcPr>
                <w:p w14:paraId="1667CACE">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450" w:type="pct"/>
                  <w:tcBorders>
                    <w:tl2br w:val="nil"/>
                    <w:tr2bl w:val="nil"/>
                  </w:tcBorders>
                  <w:noWrap w:val="0"/>
                  <w:vAlign w:val="center"/>
                </w:tcPr>
                <w:p w14:paraId="5A6E6E77">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27C3C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2" w:type="dxa"/>
                  <w:tcBorders>
                    <w:tl2br w:val="nil"/>
                    <w:tr2bl w:val="nil"/>
                  </w:tcBorders>
                  <w:noWrap w:val="0"/>
                  <w:vAlign w:val="center"/>
                </w:tcPr>
                <w:p w14:paraId="13B003A4">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22</w:t>
                  </w:r>
                </w:p>
              </w:tc>
              <w:tc>
                <w:tcPr>
                  <w:tcW w:w="1138" w:type="pct"/>
                  <w:tcBorders>
                    <w:tl2br w:val="nil"/>
                    <w:tr2bl w:val="nil"/>
                  </w:tcBorders>
                  <w:noWrap w:val="0"/>
                  <w:vAlign w:val="center"/>
                </w:tcPr>
                <w:p w14:paraId="5F61CB2D">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YP502电子天秤</w:t>
                  </w:r>
                </w:p>
              </w:tc>
              <w:tc>
                <w:tcPr>
                  <w:tcW w:w="3065" w:type="pct"/>
                  <w:tcBorders>
                    <w:tl2br w:val="nil"/>
                    <w:tr2bl w:val="nil"/>
                  </w:tcBorders>
                  <w:noWrap w:val="0"/>
                  <w:vAlign w:val="center"/>
                </w:tcPr>
                <w:p w14:paraId="6D030692">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450" w:type="pct"/>
                  <w:tcBorders>
                    <w:tl2br w:val="nil"/>
                    <w:tr2bl w:val="nil"/>
                  </w:tcBorders>
                  <w:noWrap w:val="0"/>
                  <w:vAlign w:val="center"/>
                </w:tcPr>
                <w:p w14:paraId="006266B7">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r w14:paraId="32389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2" w:type="dxa"/>
                  <w:tcBorders>
                    <w:tl2br w:val="nil"/>
                    <w:tr2bl w:val="nil"/>
                  </w:tcBorders>
                  <w:noWrap w:val="0"/>
                  <w:vAlign w:val="center"/>
                </w:tcPr>
                <w:p w14:paraId="595EE466">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23</w:t>
                  </w:r>
                </w:p>
              </w:tc>
              <w:tc>
                <w:tcPr>
                  <w:tcW w:w="1138" w:type="pct"/>
                  <w:tcBorders>
                    <w:tl2br w:val="nil"/>
                    <w:tr2bl w:val="nil"/>
                  </w:tcBorders>
                  <w:noWrap w:val="0"/>
                  <w:vAlign w:val="center"/>
                </w:tcPr>
                <w:p w14:paraId="5F196706">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F-BQ高速粉碎机</w:t>
                  </w:r>
                </w:p>
              </w:tc>
              <w:tc>
                <w:tcPr>
                  <w:tcW w:w="3065" w:type="pct"/>
                  <w:tcBorders>
                    <w:tl2br w:val="nil"/>
                    <w:tr2bl w:val="nil"/>
                  </w:tcBorders>
                  <w:noWrap w:val="0"/>
                  <w:vAlign w:val="center"/>
                </w:tcPr>
                <w:p w14:paraId="3D7E9FAB">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450" w:type="pct"/>
                  <w:tcBorders>
                    <w:tl2br w:val="nil"/>
                    <w:tr2bl w:val="nil"/>
                  </w:tcBorders>
                  <w:noWrap w:val="0"/>
                  <w:vAlign w:val="center"/>
                </w:tcPr>
                <w:p w14:paraId="627F3534">
                  <w:pPr>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1台</w:t>
                  </w:r>
                </w:p>
              </w:tc>
            </w:tr>
          </w:tbl>
          <w:p w14:paraId="4ED9A564">
            <w:pPr>
              <w:pStyle w:val="96"/>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cs="Times New Roman"/>
                <w:b/>
                <w:color w:val="auto"/>
                <w:sz w:val="24"/>
                <w:szCs w:val="24"/>
                <w:highlight w:val="none"/>
                <w:lang w:val="en-US"/>
              </w:rPr>
            </w:pPr>
            <w:r>
              <w:rPr>
                <w:rFonts w:hint="eastAsia" w:cs="Times New Roman"/>
                <w:color w:val="auto"/>
                <w:sz w:val="24"/>
                <w:szCs w:val="24"/>
                <w:highlight w:val="none"/>
                <w:lang w:val="en-US" w:eastAsia="zh-CN"/>
              </w:rPr>
              <w:t>项目二期建设的纳米膜发酵车间只进行高端有机肥的发酵</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高端有机肥</w:t>
            </w:r>
            <w:r>
              <w:rPr>
                <w:rFonts w:hint="eastAsia" w:ascii="Times New Roman" w:hAnsi="Times New Roman" w:cs="Times New Roman"/>
                <w:color w:val="auto"/>
                <w:sz w:val="24"/>
                <w:szCs w:val="24"/>
                <w:highlight w:val="none"/>
                <w:lang w:val="en-US" w:eastAsia="zh-CN"/>
              </w:rPr>
              <w:t>发酵</w:t>
            </w:r>
            <w:r>
              <w:rPr>
                <w:rFonts w:hint="default" w:ascii="Times New Roman" w:hAnsi="Times New Roman" w:cs="Times New Roman"/>
                <w:color w:val="auto"/>
                <w:sz w:val="24"/>
                <w:szCs w:val="24"/>
                <w:highlight w:val="none"/>
                <w:lang w:val="en-US" w:eastAsia="zh-CN"/>
              </w:rPr>
              <w:t>原料</w:t>
            </w:r>
            <w:r>
              <w:rPr>
                <w:rFonts w:hint="eastAsia" w:ascii="Times New Roman" w:hAnsi="Times New Roman" w:cs="Times New Roman"/>
                <w:color w:val="auto"/>
                <w:sz w:val="24"/>
                <w:szCs w:val="24"/>
                <w:highlight w:val="none"/>
                <w:lang w:val="en-US" w:eastAsia="zh-CN"/>
              </w:rPr>
              <w:t>为在生产车间破碎混合后的未经发酵的粪便+秸秆，经装载机运输至纳米膜发酵车间</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采用免翻抛的堆肥发酵方式，通过底部的曝气系统提供氧气，节省人工和耗能。除曝气设备、布料设备外不布设其他生产设备，高端有机肥发酵完成后，统一运输至生产车间内制粒、打包，二期工程设备见下表2-2-2。</w:t>
            </w:r>
          </w:p>
          <w:p w14:paraId="24E3BB53">
            <w:pPr>
              <w:pStyle w:val="96"/>
              <w:spacing w:before="120" w:beforeLines="50" w:line="240" w:lineRule="auto"/>
              <w:ind w:firstLine="0" w:firstLineChars="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表2-2</w:t>
            </w:r>
            <w:r>
              <w:rPr>
                <w:rFonts w:hint="eastAsia" w:ascii="Times New Roman" w:hAnsi="Times New Roman"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rPr>
              <w:t xml:space="preserve">   项目</w:t>
            </w:r>
            <w:r>
              <w:rPr>
                <w:rFonts w:hint="eastAsia" w:ascii="Times New Roman" w:hAnsi="Times New Roman" w:cs="Times New Roman"/>
                <w:b/>
                <w:color w:val="auto"/>
                <w:sz w:val="24"/>
                <w:szCs w:val="24"/>
                <w:highlight w:val="none"/>
                <w:lang w:val="en-US" w:eastAsia="zh-CN"/>
              </w:rPr>
              <w:t>二期工程</w:t>
            </w:r>
            <w:r>
              <w:rPr>
                <w:rFonts w:hint="default" w:ascii="Times New Roman" w:hAnsi="Times New Roman" w:cs="Times New Roman"/>
                <w:b/>
                <w:color w:val="auto"/>
                <w:sz w:val="24"/>
                <w:szCs w:val="24"/>
                <w:highlight w:val="none"/>
              </w:rPr>
              <w:t>设备一览表</w:t>
            </w:r>
          </w:p>
          <w:tbl>
            <w:tblPr>
              <w:tblStyle w:val="3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953"/>
              <w:gridCol w:w="5258"/>
              <w:gridCol w:w="773"/>
            </w:tblGrid>
            <w:tr w14:paraId="7DFDF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45" w:type="pct"/>
                  <w:tcBorders>
                    <w:tl2br w:val="nil"/>
                    <w:tr2bl w:val="nil"/>
                  </w:tcBorders>
                  <w:noWrap w:val="0"/>
                  <w:vAlign w:val="center"/>
                </w:tcPr>
                <w:p w14:paraId="4205DE69">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138" w:type="pct"/>
                  <w:tcBorders>
                    <w:tl2br w:val="nil"/>
                    <w:tr2bl w:val="nil"/>
                  </w:tcBorders>
                  <w:noWrap w:val="0"/>
                  <w:vAlign w:val="center"/>
                </w:tcPr>
                <w:p w14:paraId="5B8D9F8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设备清单</w:t>
                  </w:r>
                </w:p>
              </w:tc>
              <w:tc>
                <w:tcPr>
                  <w:tcW w:w="3065" w:type="pct"/>
                  <w:tcBorders>
                    <w:tl2br w:val="nil"/>
                    <w:tr2bl w:val="nil"/>
                  </w:tcBorders>
                  <w:noWrap w:val="0"/>
                  <w:vAlign w:val="center"/>
                </w:tcPr>
                <w:p w14:paraId="5E1D730F">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技 术 参 数</w:t>
                  </w:r>
                </w:p>
              </w:tc>
              <w:tc>
                <w:tcPr>
                  <w:tcW w:w="450" w:type="pct"/>
                  <w:tcBorders>
                    <w:tl2br w:val="nil"/>
                    <w:tr2bl w:val="nil"/>
                  </w:tcBorders>
                  <w:noWrap w:val="0"/>
                  <w:vAlign w:val="center"/>
                </w:tcPr>
                <w:p w14:paraId="105CB04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 量</w:t>
                  </w:r>
                </w:p>
              </w:tc>
            </w:tr>
            <w:tr w14:paraId="0CD0A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6345CD8F">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w:t>
                  </w:r>
                </w:p>
              </w:tc>
              <w:tc>
                <w:tcPr>
                  <w:tcW w:w="4204" w:type="pct"/>
                  <w:gridSpan w:val="2"/>
                  <w:tcBorders>
                    <w:tl2br w:val="nil"/>
                    <w:tr2bl w:val="nil"/>
                  </w:tcBorders>
                  <w:noWrap w:val="0"/>
                  <w:vAlign w:val="center"/>
                </w:tcPr>
                <w:p w14:paraId="18D67E5D">
                  <w:pPr>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曝气系统</w:t>
                  </w:r>
                </w:p>
              </w:tc>
              <w:tc>
                <w:tcPr>
                  <w:tcW w:w="450" w:type="pct"/>
                  <w:tcBorders>
                    <w:tl2br w:val="nil"/>
                    <w:tr2bl w:val="nil"/>
                  </w:tcBorders>
                  <w:noWrap w:val="0"/>
                  <w:vAlign w:val="center"/>
                </w:tcPr>
                <w:p w14:paraId="497F7116">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1套</w:t>
                  </w:r>
                </w:p>
              </w:tc>
            </w:tr>
            <w:tr w14:paraId="5C824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3E09FF1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138" w:type="pct"/>
                  <w:tcBorders>
                    <w:tl2br w:val="nil"/>
                    <w:tr2bl w:val="nil"/>
                  </w:tcBorders>
                  <w:noWrap w:val="0"/>
                  <w:vAlign w:val="center"/>
                </w:tcPr>
                <w:p w14:paraId="6C93FD67">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曝气系统风机</w:t>
                  </w:r>
                </w:p>
              </w:tc>
              <w:tc>
                <w:tcPr>
                  <w:tcW w:w="3065" w:type="pct"/>
                  <w:tcBorders>
                    <w:tl2br w:val="nil"/>
                    <w:tr2bl w:val="nil"/>
                  </w:tcBorders>
                  <w:noWrap w:val="0"/>
                  <w:vAlign w:val="center"/>
                </w:tcPr>
                <w:p w14:paraId="36DFA588">
                  <w:pPr>
                    <w:widowControl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rPr>
                    <w:t>9.5kw旋涡风机</w:t>
                  </w:r>
                </w:p>
              </w:tc>
              <w:tc>
                <w:tcPr>
                  <w:tcW w:w="450" w:type="pct"/>
                  <w:tcBorders>
                    <w:tl2br w:val="nil"/>
                    <w:tr2bl w:val="nil"/>
                  </w:tcBorders>
                  <w:noWrap w:val="0"/>
                  <w:vAlign w:val="center"/>
                </w:tcPr>
                <w:p w14:paraId="5BAB252D">
                  <w:pPr>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5</w:t>
                  </w:r>
                </w:p>
              </w:tc>
            </w:tr>
            <w:tr w14:paraId="5C056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2385D64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1138" w:type="pct"/>
                  <w:tcBorders>
                    <w:tl2br w:val="nil"/>
                    <w:tr2bl w:val="nil"/>
                  </w:tcBorders>
                  <w:noWrap w:val="0"/>
                  <w:vAlign w:val="center"/>
                </w:tcPr>
                <w:p w14:paraId="11C70471">
                  <w:pPr>
                    <w:widowControl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曝气主管道</w:t>
                  </w:r>
                </w:p>
              </w:tc>
              <w:tc>
                <w:tcPr>
                  <w:tcW w:w="3065" w:type="pct"/>
                  <w:tcBorders>
                    <w:tl2br w:val="nil"/>
                    <w:tr2bl w:val="nil"/>
                  </w:tcBorders>
                  <w:noWrap w:val="0"/>
                  <w:vAlign w:val="center"/>
                </w:tcPr>
                <w:p w14:paraId="42A42BB8">
                  <w:pPr>
                    <w:widowControl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rPr>
                    <w:t>PE材质，管径110mm</w:t>
                  </w:r>
                </w:p>
              </w:tc>
              <w:tc>
                <w:tcPr>
                  <w:tcW w:w="450" w:type="pct"/>
                  <w:tcBorders>
                    <w:tl2br w:val="nil"/>
                    <w:tr2bl w:val="nil"/>
                  </w:tcBorders>
                  <w:noWrap w:val="0"/>
                  <w:vAlign w:val="center"/>
                </w:tcPr>
                <w:p w14:paraId="4B570112">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80米</w:t>
                  </w:r>
                </w:p>
              </w:tc>
            </w:tr>
            <w:tr w14:paraId="65753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12C42C5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138" w:type="pct"/>
                  <w:tcBorders>
                    <w:tl2br w:val="nil"/>
                    <w:tr2bl w:val="nil"/>
                  </w:tcBorders>
                  <w:noWrap w:val="0"/>
                  <w:vAlign w:val="center"/>
                </w:tcPr>
                <w:p w14:paraId="138F9695">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曝气副管道</w:t>
                  </w:r>
                </w:p>
              </w:tc>
              <w:tc>
                <w:tcPr>
                  <w:tcW w:w="3065" w:type="pct"/>
                  <w:tcBorders>
                    <w:tl2br w:val="nil"/>
                    <w:tr2bl w:val="nil"/>
                  </w:tcBorders>
                  <w:noWrap w:val="0"/>
                  <w:vAlign w:val="center"/>
                </w:tcPr>
                <w:p w14:paraId="62E48555">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PE材质。管径75mm</w:t>
                  </w:r>
                </w:p>
              </w:tc>
              <w:tc>
                <w:tcPr>
                  <w:tcW w:w="450" w:type="pct"/>
                  <w:tcBorders>
                    <w:tl2br w:val="nil"/>
                    <w:tr2bl w:val="nil"/>
                  </w:tcBorders>
                  <w:noWrap w:val="0"/>
                  <w:vAlign w:val="center"/>
                </w:tcPr>
                <w:p w14:paraId="19D7FA29">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1350</w:t>
                  </w:r>
                  <w:r>
                    <w:rPr>
                      <w:rFonts w:hint="default" w:ascii="Times New Roman" w:hAnsi="Times New Roman" w:eastAsia="宋体" w:cs="Times New Roman"/>
                      <w:color w:val="auto"/>
                      <w:sz w:val="21"/>
                      <w:szCs w:val="21"/>
                      <w:highlight w:val="none"/>
                    </w:rPr>
                    <w:t>米</w:t>
                  </w:r>
                </w:p>
              </w:tc>
            </w:tr>
            <w:tr w14:paraId="3046D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2497791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138" w:type="pct"/>
                  <w:tcBorders>
                    <w:tl2br w:val="nil"/>
                    <w:tr2bl w:val="nil"/>
                  </w:tcBorders>
                  <w:noWrap w:val="0"/>
                  <w:vAlign w:val="center"/>
                </w:tcPr>
                <w:p w14:paraId="25977E03">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控制系统</w:t>
                  </w:r>
                </w:p>
              </w:tc>
              <w:tc>
                <w:tcPr>
                  <w:tcW w:w="3065" w:type="pct"/>
                  <w:tcBorders>
                    <w:tl2br w:val="nil"/>
                    <w:tr2bl w:val="nil"/>
                  </w:tcBorders>
                  <w:noWrap w:val="0"/>
                  <w:vAlign w:val="center"/>
                </w:tcPr>
                <w:p w14:paraId="39AC304A">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全自动控制，可分时分段控制供气。</w:t>
                  </w:r>
                </w:p>
              </w:tc>
              <w:tc>
                <w:tcPr>
                  <w:tcW w:w="450" w:type="pct"/>
                  <w:tcBorders>
                    <w:tl2br w:val="nil"/>
                    <w:tr2bl w:val="nil"/>
                  </w:tcBorders>
                  <w:noWrap w:val="0"/>
                  <w:vAlign w:val="center"/>
                </w:tcPr>
                <w:p w14:paraId="16E0A89F">
                  <w:pPr>
                    <w:widowControl w:val="0"/>
                    <w:jc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台</w:t>
                  </w:r>
                </w:p>
              </w:tc>
            </w:tr>
            <w:tr w14:paraId="3F40C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36CA9FE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138" w:type="pct"/>
                  <w:tcBorders>
                    <w:tl2br w:val="nil"/>
                    <w:tr2bl w:val="nil"/>
                  </w:tcBorders>
                  <w:noWrap w:val="0"/>
                  <w:vAlign w:val="center"/>
                </w:tcPr>
                <w:p w14:paraId="4F066208">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加热系统</w:t>
                  </w:r>
                </w:p>
              </w:tc>
              <w:tc>
                <w:tcPr>
                  <w:tcW w:w="3065" w:type="pct"/>
                  <w:tcBorders>
                    <w:tl2br w:val="nil"/>
                    <w:tr2bl w:val="nil"/>
                  </w:tcBorders>
                  <w:noWrap w:val="0"/>
                  <w:vAlign w:val="center"/>
                </w:tcPr>
                <w:p w14:paraId="741A5CE0">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电磁加热系统；12KW</w:t>
                  </w:r>
                </w:p>
              </w:tc>
              <w:tc>
                <w:tcPr>
                  <w:tcW w:w="450" w:type="pct"/>
                  <w:tcBorders>
                    <w:tl2br w:val="nil"/>
                    <w:tr2bl w:val="nil"/>
                  </w:tcBorders>
                  <w:noWrap w:val="0"/>
                  <w:vAlign w:val="center"/>
                </w:tcPr>
                <w:p w14:paraId="3359F824">
                  <w:pPr>
                    <w:widowControl w:val="0"/>
                    <w:jc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4</w:t>
                  </w:r>
                  <w:r>
                    <w:rPr>
                      <w:rFonts w:hint="eastAsia" w:ascii="Times New Roman" w:hAnsi="Times New Roman" w:eastAsia="宋体" w:cs="Times New Roman"/>
                      <w:color w:val="auto"/>
                      <w:sz w:val="21"/>
                      <w:szCs w:val="21"/>
                      <w:highlight w:val="none"/>
                      <w:lang w:val="en-US" w:eastAsia="zh-CN"/>
                    </w:rPr>
                    <w:t>台</w:t>
                  </w:r>
                </w:p>
              </w:tc>
            </w:tr>
            <w:tr w14:paraId="5C935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23ED8D8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1138" w:type="pct"/>
                  <w:tcBorders>
                    <w:tl2br w:val="nil"/>
                    <w:tr2bl w:val="nil"/>
                  </w:tcBorders>
                  <w:noWrap w:val="0"/>
                  <w:vAlign w:val="center"/>
                </w:tcPr>
                <w:p w14:paraId="66703958">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电线电缆</w:t>
                  </w:r>
                </w:p>
              </w:tc>
              <w:tc>
                <w:tcPr>
                  <w:tcW w:w="3065" w:type="pct"/>
                  <w:tcBorders>
                    <w:tl2br w:val="nil"/>
                    <w:tr2bl w:val="nil"/>
                  </w:tcBorders>
                  <w:noWrap w:val="0"/>
                  <w:vAlign w:val="center"/>
                </w:tcPr>
                <w:p w14:paraId="0B45C609">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安装用电线电缆，国标纯铜芯</w:t>
                  </w:r>
                </w:p>
              </w:tc>
              <w:tc>
                <w:tcPr>
                  <w:tcW w:w="450" w:type="pct"/>
                  <w:tcBorders>
                    <w:tl2br w:val="nil"/>
                    <w:tr2bl w:val="nil"/>
                  </w:tcBorders>
                  <w:noWrap w:val="0"/>
                  <w:vAlign w:val="center"/>
                </w:tcPr>
                <w:p w14:paraId="7F5629C4">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1套</w:t>
                  </w:r>
                </w:p>
              </w:tc>
            </w:tr>
            <w:tr w14:paraId="187F9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5CF920A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1138" w:type="pct"/>
                  <w:tcBorders>
                    <w:tl2br w:val="nil"/>
                    <w:tr2bl w:val="nil"/>
                  </w:tcBorders>
                  <w:noWrap w:val="0"/>
                  <w:vAlign w:val="center"/>
                </w:tcPr>
                <w:p w14:paraId="225E4D4F">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管道辅材</w:t>
                  </w:r>
                </w:p>
              </w:tc>
              <w:tc>
                <w:tcPr>
                  <w:tcW w:w="3065" w:type="pct"/>
                  <w:tcBorders>
                    <w:tl2br w:val="nil"/>
                    <w:tr2bl w:val="nil"/>
                  </w:tcBorders>
                  <w:noWrap w:val="0"/>
                  <w:vAlign w:val="center"/>
                </w:tcPr>
                <w:p w14:paraId="6A9B1376">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三通，弯管，阀门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液压油</w:t>
                  </w:r>
                  <w:r>
                    <w:rPr>
                      <w:rFonts w:hint="default" w:ascii="Times New Roman" w:hAnsi="Times New Roman" w:eastAsia="宋体" w:cs="Times New Roman"/>
                      <w:color w:val="auto"/>
                      <w:sz w:val="21"/>
                      <w:szCs w:val="21"/>
                      <w:highlight w:val="none"/>
                    </w:rPr>
                    <w:t>等</w:t>
                  </w:r>
                </w:p>
              </w:tc>
              <w:tc>
                <w:tcPr>
                  <w:tcW w:w="450" w:type="pct"/>
                  <w:tcBorders>
                    <w:tl2br w:val="nil"/>
                    <w:tr2bl w:val="nil"/>
                  </w:tcBorders>
                  <w:noWrap w:val="0"/>
                  <w:vAlign w:val="center"/>
                </w:tcPr>
                <w:p w14:paraId="3AAE9517">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1套</w:t>
                  </w:r>
                </w:p>
              </w:tc>
            </w:tr>
            <w:tr w14:paraId="217E8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19AA659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1138" w:type="pct"/>
                  <w:tcBorders>
                    <w:tl2br w:val="nil"/>
                    <w:tr2bl w:val="nil"/>
                  </w:tcBorders>
                  <w:noWrap w:val="0"/>
                  <w:vAlign w:val="center"/>
                </w:tcPr>
                <w:p w14:paraId="49CAE48D">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安装及其他</w:t>
                  </w:r>
                </w:p>
              </w:tc>
              <w:tc>
                <w:tcPr>
                  <w:tcW w:w="3065" w:type="pct"/>
                  <w:tcBorders>
                    <w:tl2br w:val="nil"/>
                    <w:tr2bl w:val="nil"/>
                  </w:tcBorders>
                  <w:noWrap w:val="0"/>
                  <w:vAlign w:val="center"/>
                </w:tcPr>
                <w:p w14:paraId="56060A80">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卡子，软连接，法兰套等。</w:t>
                  </w:r>
                </w:p>
              </w:tc>
              <w:tc>
                <w:tcPr>
                  <w:tcW w:w="450" w:type="pct"/>
                  <w:tcBorders>
                    <w:tl2br w:val="nil"/>
                    <w:tr2bl w:val="nil"/>
                  </w:tcBorders>
                  <w:noWrap w:val="0"/>
                  <w:vAlign w:val="center"/>
                </w:tcPr>
                <w:p w14:paraId="1BC83FE5">
                  <w:pPr>
                    <w:widowControl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1套</w:t>
                  </w:r>
                </w:p>
              </w:tc>
            </w:tr>
            <w:tr w14:paraId="6BB1C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46544716">
                  <w:pPr>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w:t>
                  </w:r>
                </w:p>
              </w:tc>
              <w:tc>
                <w:tcPr>
                  <w:tcW w:w="4204" w:type="pct"/>
                  <w:gridSpan w:val="2"/>
                  <w:tcBorders>
                    <w:tl2br w:val="nil"/>
                    <w:tr2bl w:val="nil"/>
                  </w:tcBorders>
                  <w:noWrap w:val="0"/>
                  <w:vAlign w:val="center"/>
                </w:tcPr>
                <w:p w14:paraId="2E767572">
                  <w:pPr>
                    <w:widowControl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自动布料机</w:t>
                  </w:r>
                </w:p>
              </w:tc>
              <w:tc>
                <w:tcPr>
                  <w:tcW w:w="450" w:type="pct"/>
                  <w:tcBorders>
                    <w:tl2br w:val="nil"/>
                    <w:tr2bl w:val="nil"/>
                  </w:tcBorders>
                  <w:noWrap w:val="0"/>
                  <w:vAlign w:val="center"/>
                </w:tcPr>
                <w:p w14:paraId="64A5FF6D">
                  <w:pPr>
                    <w:widowControl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1套</w:t>
                  </w:r>
                </w:p>
              </w:tc>
            </w:tr>
            <w:tr w14:paraId="4FFE3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6DF827C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w:t>
                  </w:r>
                </w:p>
              </w:tc>
              <w:tc>
                <w:tcPr>
                  <w:tcW w:w="1138" w:type="pct"/>
                  <w:tcBorders>
                    <w:tl2br w:val="nil"/>
                    <w:tr2bl w:val="nil"/>
                  </w:tcBorders>
                  <w:noWrap w:val="0"/>
                  <w:vAlign w:val="center"/>
                </w:tcPr>
                <w:p w14:paraId="0967D925">
                  <w:pPr>
                    <w:widowControl w:val="0"/>
                    <w:jc w:val="center"/>
                    <w:rPr>
                      <w:rFonts w:hint="default" w:ascii="Times New Roman" w:hAnsi="Times New Roman" w:eastAsia="宋体" w:cs="Times New Roman"/>
                      <w:color w:val="auto"/>
                      <w:sz w:val="21"/>
                      <w:szCs w:val="21"/>
                      <w:highlight w:val="none"/>
                    </w:rPr>
                  </w:pPr>
                  <w:r>
                    <w:rPr>
                      <w:rFonts w:hint="eastAsia"/>
                      <w:color w:val="auto"/>
                      <w:highlight w:val="none"/>
                    </w:rPr>
                    <w:t>一体式布料机</w:t>
                  </w:r>
                </w:p>
              </w:tc>
              <w:tc>
                <w:tcPr>
                  <w:tcW w:w="3065" w:type="pct"/>
                  <w:tcBorders>
                    <w:tl2br w:val="nil"/>
                    <w:tr2bl w:val="nil"/>
                  </w:tcBorders>
                  <w:noWrap w:val="0"/>
                  <w:vAlign w:val="center"/>
                </w:tcPr>
                <w:p w14:paraId="083897FC">
                  <w:pPr>
                    <w:widowControl w:val="0"/>
                    <w:jc w:val="center"/>
                    <w:rPr>
                      <w:color w:val="auto"/>
                      <w:highlight w:val="none"/>
                    </w:rPr>
                  </w:pPr>
                  <w:r>
                    <w:rPr>
                      <w:rFonts w:hint="eastAsia"/>
                      <w:color w:val="auto"/>
                      <w:highlight w:val="none"/>
                    </w:rPr>
                    <w:t>框架下梁80</w:t>
                  </w:r>
                  <w:r>
                    <w:rPr>
                      <w:rFonts w:hint="eastAsia"/>
                      <w:color w:val="auto"/>
                      <w:highlight w:val="none"/>
                      <w:lang w:eastAsia="zh-CN"/>
                    </w:rPr>
                    <w:t>×</w:t>
                  </w:r>
                  <w:r>
                    <w:rPr>
                      <w:rFonts w:hint="eastAsia"/>
                      <w:color w:val="auto"/>
                      <w:highlight w:val="none"/>
                    </w:rPr>
                    <w:t>120</w:t>
                  </w:r>
                  <w:r>
                    <w:rPr>
                      <w:rFonts w:hint="eastAsia"/>
                      <w:color w:val="auto"/>
                      <w:highlight w:val="none"/>
                      <w:lang w:eastAsia="zh-CN"/>
                    </w:rPr>
                    <w:t>×</w:t>
                  </w:r>
                  <w:r>
                    <w:rPr>
                      <w:rFonts w:hint="eastAsia"/>
                      <w:color w:val="auto"/>
                      <w:highlight w:val="none"/>
                    </w:rPr>
                    <w:t>5mm、上梁80</w:t>
                  </w:r>
                  <w:r>
                    <w:rPr>
                      <w:rFonts w:hint="eastAsia"/>
                      <w:color w:val="auto"/>
                      <w:highlight w:val="none"/>
                      <w:lang w:eastAsia="zh-CN"/>
                    </w:rPr>
                    <w:t>×</w:t>
                  </w:r>
                  <w:r>
                    <w:rPr>
                      <w:rFonts w:hint="eastAsia"/>
                      <w:color w:val="auto"/>
                      <w:highlight w:val="none"/>
                    </w:rPr>
                    <w:t>100</w:t>
                  </w:r>
                  <w:r>
                    <w:rPr>
                      <w:rFonts w:hint="eastAsia"/>
                      <w:color w:val="auto"/>
                      <w:highlight w:val="none"/>
                      <w:lang w:eastAsia="zh-CN"/>
                    </w:rPr>
                    <w:t>×</w:t>
                  </w:r>
                  <w:r>
                    <w:rPr>
                      <w:rFonts w:hint="eastAsia"/>
                      <w:color w:val="auto"/>
                      <w:highlight w:val="none"/>
                    </w:rPr>
                    <w:t>5mm、立柱80</w:t>
                  </w:r>
                  <w:r>
                    <w:rPr>
                      <w:rFonts w:hint="eastAsia"/>
                      <w:color w:val="auto"/>
                      <w:highlight w:val="none"/>
                      <w:lang w:eastAsia="zh-CN"/>
                    </w:rPr>
                    <w:t>×</w:t>
                  </w:r>
                  <w:r>
                    <w:rPr>
                      <w:rFonts w:hint="eastAsia"/>
                      <w:color w:val="auto"/>
                      <w:highlight w:val="none"/>
                    </w:rPr>
                    <w:t>80</w:t>
                  </w:r>
                  <w:r>
                    <w:rPr>
                      <w:rFonts w:hint="eastAsia"/>
                      <w:color w:val="auto"/>
                      <w:highlight w:val="none"/>
                      <w:lang w:eastAsia="zh-CN"/>
                    </w:rPr>
                    <w:t>×</w:t>
                  </w:r>
                  <w:r>
                    <w:rPr>
                      <w:rFonts w:hint="eastAsia"/>
                      <w:color w:val="auto"/>
                      <w:highlight w:val="none"/>
                    </w:rPr>
                    <w:t>5mm和80</w:t>
                  </w:r>
                  <w:r>
                    <w:rPr>
                      <w:rFonts w:hint="eastAsia"/>
                      <w:color w:val="auto"/>
                      <w:highlight w:val="none"/>
                      <w:lang w:eastAsia="zh-CN"/>
                    </w:rPr>
                    <w:t>×</w:t>
                  </w:r>
                  <w:r>
                    <w:rPr>
                      <w:rFonts w:hint="eastAsia"/>
                      <w:color w:val="auto"/>
                      <w:highlight w:val="none"/>
                    </w:rPr>
                    <w:t>40</w:t>
                  </w:r>
                  <w:r>
                    <w:rPr>
                      <w:rFonts w:hint="eastAsia"/>
                      <w:color w:val="auto"/>
                      <w:highlight w:val="none"/>
                      <w:lang w:eastAsia="zh-CN"/>
                    </w:rPr>
                    <w:t>×</w:t>
                  </w:r>
                  <w:r>
                    <w:rPr>
                      <w:rFonts w:hint="eastAsia"/>
                      <w:color w:val="auto"/>
                      <w:highlight w:val="none"/>
                    </w:rPr>
                    <w:t>5mm、斜撑80</w:t>
                  </w:r>
                  <w:r>
                    <w:rPr>
                      <w:rFonts w:hint="eastAsia"/>
                      <w:color w:val="auto"/>
                      <w:highlight w:val="none"/>
                      <w:lang w:eastAsia="zh-CN"/>
                    </w:rPr>
                    <w:t>×</w:t>
                  </w:r>
                  <w:r>
                    <w:rPr>
                      <w:rFonts w:hint="eastAsia"/>
                      <w:color w:val="auto"/>
                      <w:highlight w:val="none"/>
                    </w:rPr>
                    <w:t>80</w:t>
                  </w:r>
                  <w:r>
                    <w:rPr>
                      <w:rFonts w:hint="eastAsia"/>
                      <w:color w:val="auto"/>
                      <w:highlight w:val="none"/>
                      <w:lang w:eastAsia="zh-CN"/>
                    </w:rPr>
                    <w:t>×</w:t>
                  </w:r>
                  <w:r>
                    <w:rPr>
                      <w:rFonts w:hint="eastAsia"/>
                      <w:color w:val="auto"/>
                      <w:highlight w:val="none"/>
                    </w:rPr>
                    <w:t>5mm的方管焊接而成，</w:t>
                  </w:r>
                  <w:r>
                    <w:rPr>
                      <w:rFonts w:hint="eastAsia" w:ascii="Calibri" w:hAnsi="Calibri" w:cs="Calibri"/>
                      <w:color w:val="auto"/>
                      <w:spacing w:val="-2"/>
                      <w:highlight w:val="none"/>
                    </w:rPr>
                    <w:t>行走电机2.2KW</w:t>
                  </w:r>
                  <w:r>
                    <w:rPr>
                      <w:rFonts w:hint="eastAsia" w:ascii="Calibri" w:hAnsi="Calibri" w:cs="Calibri"/>
                      <w:color w:val="auto"/>
                      <w:spacing w:val="-2"/>
                      <w:highlight w:val="none"/>
                      <w:lang w:eastAsia="zh-CN"/>
                    </w:rPr>
                    <w:t>×</w:t>
                  </w:r>
                  <w:r>
                    <w:rPr>
                      <w:rFonts w:hint="eastAsia" w:ascii="Calibri" w:hAnsi="Calibri" w:cs="Calibri"/>
                      <w:color w:val="auto"/>
                      <w:spacing w:val="-2"/>
                      <w:highlight w:val="none"/>
                    </w:rPr>
                    <w:t>3</w:t>
                  </w:r>
                </w:p>
                <w:p w14:paraId="54623A23">
                  <w:pPr>
                    <w:widowControl w:val="0"/>
                    <w:jc w:val="center"/>
                    <w:rPr>
                      <w:rFonts w:hint="default" w:ascii="Times New Roman" w:hAnsi="Times New Roman" w:eastAsia="宋体" w:cs="Times New Roman"/>
                      <w:color w:val="auto"/>
                      <w:sz w:val="21"/>
                      <w:szCs w:val="21"/>
                      <w:highlight w:val="none"/>
                    </w:rPr>
                  </w:pPr>
                </w:p>
              </w:tc>
              <w:tc>
                <w:tcPr>
                  <w:tcW w:w="450" w:type="pct"/>
                  <w:tcBorders>
                    <w:tl2br w:val="nil"/>
                    <w:tr2bl w:val="nil"/>
                  </w:tcBorders>
                  <w:noWrap w:val="0"/>
                  <w:vAlign w:val="center"/>
                </w:tcPr>
                <w:p w14:paraId="406C27BC">
                  <w:pPr>
                    <w:widowControl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台</w:t>
                  </w:r>
                </w:p>
              </w:tc>
            </w:tr>
            <w:tr w14:paraId="7EDCE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0FD48DF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c>
                <w:tcPr>
                  <w:tcW w:w="1138" w:type="pct"/>
                  <w:tcBorders>
                    <w:tl2br w:val="nil"/>
                    <w:tr2bl w:val="nil"/>
                  </w:tcBorders>
                  <w:noWrap w:val="0"/>
                  <w:vAlign w:val="center"/>
                </w:tcPr>
                <w:p w14:paraId="6F78547B">
                  <w:pPr>
                    <w:widowControl w:val="0"/>
                    <w:jc w:val="center"/>
                    <w:rPr>
                      <w:rFonts w:hint="default" w:ascii="Times New Roman" w:hAnsi="Times New Roman" w:eastAsia="宋体" w:cs="Times New Roman"/>
                      <w:color w:val="auto"/>
                      <w:sz w:val="21"/>
                      <w:szCs w:val="21"/>
                      <w:highlight w:val="none"/>
                    </w:rPr>
                  </w:pPr>
                  <w:r>
                    <w:rPr>
                      <w:rFonts w:hint="eastAsia"/>
                      <w:color w:val="auto"/>
                      <w:highlight w:val="none"/>
                    </w:rPr>
                    <w:t>布料皮带</w:t>
                  </w:r>
                </w:p>
              </w:tc>
              <w:tc>
                <w:tcPr>
                  <w:tcW w:w="3065" w:type="pct"/>
                  <w:tcBorders>
                    <w:tl2br w:val="nil"/>
                    <w:tr2bl w:val="nil"/>
                  </w:tcBorders>
                  <w:noWrap w:val="0"/>
                  <w:vAlign w:val="center"/>
                </w:tcPr>
                <w:p w14:paraId="1E69E56E">
                  <w:pPr>
                    <w:widowControl w:val="0"/>
                    <w:jc w:val="center"/>
                    <w:rPr>
                      <w:rFonts w:hint="default" w:ascii="Times New Roman" w:hAnsi="Times New Roman" w:eastAsia="宋体" w:cs="Times New Roman"/>
                      <w:color w:val="auto"/>
                      <w:sz w:val="21"/>
                      <w:szCs w:val="21"/>
                      <w:highlight w:val="none"/>
                    </w:rPr>
                  </w:pPr>
                  <w:r>
                    <w:rPr>
                      <w:rFonts w:hint="eastAsia"/>
                      <w:color w:val="auto"/>
                      <w:highlight w:val="none"/>
                    </w:rPr>
                    <w:t>14米</w:t>
                  </w:r>
                </w:p>
              </w:tc>
              <w:tc>
                <w:tcPr>
                  <w:tcW w:w="450" w:type="pct"/>
                  <w:tcBorders>
                    <w:tl2br w:val="nil"/>
                    <w:tr2bl w:val="nil"/>
                  </w:tcBorders>
                  <w:noWrap w:val="0"/>
                  <w:vAlign w:val="center"/>
                </w:tcPr>
                <w:p w14:paraId="427E55DC">
                  <w:pPr>
                    <w:widowControl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台</w:t>
                  </w:r>
                </w:p>
              </w:tc>
            </w:tr>
            <w:tr w14:paraId="2FB47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590A643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1138" w:type="pct"/>
                  <w:tcBorders>
                    <w:tl2br w:val="nil"/>
                    <w:tr2bl w:val="nil"/>
                  </w:tcBorders>
                  <w:noWrap w:val="0"/>
                  <w:vAlign w:val="center"/>
                </w:tcPr>
                <w:p w14:paraId="105FDFB2">
                  <w:pPr>
                    <w:widowControl w:val="0"/>
                    <w:jc w:val="center"/>
                    <w:rPr>
                      <w:rFonts w:hint="default" w:ascii="Times New Roman" w:hAnsi="Times New Roman" w:eastAsia="宋体" w:cs="Times New Roman"/>
                      <w:color w:val="auto"/>
                      <w:sz w:val="21"/>
                      <w:szCs w:val="21"/>
                      <w:highlight w:val="none"/>
                    </w:rPr>
                  </w:pPr>
                  <w:r>
                    <w:rPr>
                      <w:rFonts w:hint="eastAsia"/>
                      <w:color w:val="auto"/>
                      <w:highlight w:val="none"/>
                    </w:rPr>
                    <w:t>喂料皮带</w:t>
                  </w:r>
                </w:p>
              </w:tc>
              <w:tc>
                <w:tcPr>
                  <w:tcW w:w="3065" w:type="pct"/>
                  <w:tcBorders>
                    <w:tl2br w:val="nil"/>
                    <w:tr2bl w:val="nil"/>
                  </w:tcBorders>
                  <w:noWrap w:val="0"/>
                  <w:vAlign w:val="center"/>
                </w:tcPr>
                <w:p w14:paraId="29F22E08">
                  <w:pPr>
                    <w:widowControl w:val="0"/>
                    <w:jc w:val="center"/>
                    <w:rPr>
                      <w:rFonts w:hint="default" w:ascii="Times New Roman" w:hAnsi="Times New Roman" w:eastAsia="宋体" w:cs="Times New Roman"/>
                      <w:color w:val="auto"/>
                      <w:sz w:val="21"/>
                      <w:szCs w:val="21"/>
                      <w:highlight w:val="none"/>
                    </w:rPr>
                  </w:pPr>
                  <w:r>
                    <w:rPr>
                      <w:rFonts w:hint="eastAsia"/>
                      <w:color w:val="auto"/>
                      <w:highlight w:val="none"/>
                    </w:rPr>
                    <w:t>6米</w:t>
                  </w:r>
                </w:p>
              </w:tc>
              <w:tc>
                <w:tcPr>
                  <w:tcW w:w="450" w:type="pct"/>
                  <w:tcBorders>
                    <w:tl2br w:val="nil"/>
                    <w:tr2bl w:val="nil"/>
                  </w:tcBorders>
                  <w:noWrap w:val="0"/>
                  <w:vAlign w:val="center"/>
                </w:tcPr>
                <w:p w14:paraId="37C0898D">
                  <w:pPr>
                    <w:widowControl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台</w:t>
                  </w:r>
                </w:p>
              </w:tc>
            </w:tr>
            <w:tr w14:paraId="32B2D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0CD772C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1138" w:type="pct"/>
                  <w:tcBorders>
                    <w:tl2br w:val="nil"/>
                    <w:tr2bl w:val="nil"/>
                  </w:tcBorders>
                  <w:noWrap w:val="0"/>
                  <w:vAlign w:val="center"/>
                </w:tcPr>
                <w:p w14:paraId="0FBC552A">
                  <w:pPr>
                    <w:widowControl w:val="0"/>
                    <w:jc w:val="center"/>
                    <w:rPr>
                      <w:rFonts w:hint="default" w:ascii="Times New Roman" w:hAnsi="Times New Roman" w:eastAsia="宋体" w:cs="Times New Roman"/>
                      <w:color w:val="auto"/>
                      <w:sz w:val="21"/>
                      <w:szCs w:val="21"/>
                      <w:highlight w:val="none"/>
                    </w:rPr>
                  </w:pPr>
                  <w:r>
                    <w:rPr>
                      <w:rFonts w:hint="eastAsia"/>
                      <w:color w:val="auto"/>
                      <w:highlight w:val="none"/>
                    </w:rPr>
                    <w:t>电控箱</w:t>
                  </w:r>
                </w:p>
              </w:tc>
              <w:tc>
                <w:tcPr>
                  <w:tcW w:w="3065" w:type="pct"/>
                  <w:tcBorders>
                    <w:tl2br w:val="nil"/>
                    <w:tr2bl w:val="nil"/>
                  </w:tcBorders>
                  <w:noWrap w:val="0"/>
                  <w:vAlign w:val="center"/>
                </w:tcPr>
                <w:p w14:paraId="7B0F42F8">
                  <w:pPr>
                    <w:widowControl w:val="0"/>
                    <w:jc w:val="center"/>
                    <w:rPr>
                      <w:rFonts w:hint="default" w:ascii="Times New Roman" w:hAnsi="Times New Roman" w:eastAsia="宋体" w:cs="Times New Roman"/>
                      <w:color w:val="auto"/>
                      <w:sz w:val="21"/>
                      <w:szCs w:val="21"/>
                      <w:highlight w:val="none"/>
                    </w:rPr>
                  </w:pPr>
                  <w:r>
                    <w:rPr>
                      <w:rFonts w:hint="eastAsia"/>
                      <w:color w:val="auto"/>
                      <w:highlight w:val="none"/>
                    </w:rPr>
                    <w:t>PLC自动控制，遥控操作</w:t>
                  </w:r>
                </w:p>
              </w:tc>
              <w:tc>
                <w:tcPr>
                  <w:tcW w:w="450" w:type="pct"/>
                  <w:tcBorders>
                    <w:tl2br w:val="nil"/>
                    <w:tr2bl w:val="nil"/>
                  </w:tcBorders>
                  <w:noWrap w:val="0"/>
                  <w:vAlign w:val="center"/>
                </w:tcPr>
                <w:p w14:paraId="3C2C5AAA">
                  <w:pPr>
                    <w:widowControl w:val="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1台</w:t>
                  </w:r>
                </w:p>
              </w:tc>
            </w:tr>
            <w:tr w14:paraId="6657A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53B3A7C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1138" w:type="pct"/>
                  <w:tcBorders>
                    <w:tl2br w:val="nil"/>
                    <w:tr2bl w:val="nil"/>
                  </w:tcBorders>
                  <w:noWrap w:val="0"/>
                  <w:vAlign w:val="center"/>
                </w:tcPr>
                <w:p w14:paraId="6F2AF13B">
                  <w:pPr>
                    <w:widowControl w:val="0"/>
                    <w:jc w:val="center"/>
                    <w:rPr>
                      <w:rFonts w:hint="default" w:ascii="Times New Roman" w:hAnsi="Times New Roman" w:eastAsia="宋体" w:cs="Times New Roman"/>
                      <w:color w:val="auto"/>
                      <w:sz w:val="21"/>
                      <w:szCs w:val="21"/>
                      <w:highlight w:val="none"/>
                    </w:rPr>
                  </w:pPr>
                  <w:r>
                    <w:rPr>
                      <w:rFonts w:hint="eastAsia"/>
                      <w:color w:val="auto"/>
                      <w:highlight w:val="none"/>
                    </w:rPr>
                    <w:t>电线电缆</w:t>
                  </w:r>
                </w:p>
              </w:tc>
              <w:tc>
                <w:tcPr>
                  <w:tcW w:w="3065" w:type="pct"/>
                  <w:tcBorders>
                    <w:tl2br w:val="nil"/>
                    <w:tr2bl w:val="nil"/>
                  </w:tcBorders>
                  <w:noWrap w:val="0"/>
                  <w:vAlign w:val="center"/>
                </w:tcPr>
                <w:p w14:paraId="5062B5AD">
                  <w:pPr>
                    <w:widowControl w:val="0"/>
                    <w:jc w:val="center"/>
                    <w:rPr>
                      <w:rFonts w:hint="default" w:ascii="Times New Roman" w:hAnsi="Times New Roman" w:eastAsia="宋体" w:cs="Times New Roman"/>
                      <w:color w:val="auto"/>
                      <w:sz w:val="21"/>
                      <w:szCs w:val="21"/>
                      <w:highlight w:val="none"/>
                    </w:rPr>
                  </w:pPr>
                  <w:r>
                    <w:rPr>
                      <w:rFonts w:hint="eastAsia"/>
                      <w:color w:val="auto"/>
                      <w:highlight w:val="none"/>
                    </w:rPr>
                    <w:t>柔性电缆</w:t>
                  </w:r>
                </w:p>
              </w:tc>
              <w:tc>
                <w:tcPr>
                  <w:tcW w:w="450" w:type="pct"/>
                  <w:tcBorders>
                    <w:tl2br w:val="nil"/>
                    <w:tr2bl w:val="nil"/>
                  </w:tcBorders>
                  <w:noWrap w:val="0"/>
                  <w:vAlign w:val="center"/>
                </w:tcPr>
                <w:p w14:paraId="57CA2DE6">
                  <w:pPr>
                    <w:widowControl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套</w:t>
                  </w:r>
                </w:p>
              </w:tc>
            </w:tr>
            <w:tr w14:paraId="47A7D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45" w:type="pct"/>
                  <w:tcBorders>
                    <w:tl2br w:val="nil"/>
                    <w:tr2bl w:val="nil"/>
                  </w:tcBorders>
                  <w:noWrap w:val="0"/>
                  <w:vAlign w:val="center"/>
                </w:tcPr>
                <w:p w14:paraId="5162A73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c>
                <w:tcPr>
                  <w:tcW w:w="1138" w:type="pct"/>
                  <w:tcBorders>
                    <w:tl2br w:val="nil"/>
                    <w:tr2bl w:val="nil"/>
                  </w:tcBorders>
                  <w:noWrap w:val="0"/>
                  <w:vAlign w:val="center"/>
                </w:tcPr>
                <w:p w14:paraId="13E00BD9">
                  <w:pPr>
                    <w:widowControl w:val="0"/>
                    <w:jc w:val="center"/>
                    <w:rPr>
                      <w:rFonts w:hint="default" w:ascii="Times New Roman" w:hAnsi="Times New Roman" w:eastAsia="宋体" w:cs="Times New Roman"/>
                      <w:color w:val="auto"/>
                      <w:sz w:val="21"/>
                      <w:szCs w:val="21"/>
                      <w:highlight w:val="none"/>
                    </w:rPr>
                  </w:pPr>
                  <w:r>
                    <w:rPr>
                      <w:rFonts w:hint="eastAsia"/>
                      <w:color w:val="auto"/>
                      <w:highlight w:val="none"/>
                    </w:rPr>
                    <w:t>一体式布料机</w:t>
                  </w:r>
                </w:p>
              </w:tc>
              <w:tc>
                <w:tcPr>
                  <w:tcW w:w="3065" w:type="pct"/>
                  <w:tcBorders>
                    <w:tl2br w:val="nil"/>
                    <w:tr2bl w:val="nil"/>
                  </w:tcBorders>
                  <w:noWrap w:val="0"/>
                  <w:vAlign w:val="center"/>
                </w:tcPr>
                <w:p w14:paraId="60E45B85">
                  <w:pPr>
                    <w:widowControl w:val="0"/>
                    <w:jc w:val="center"/>
                    <w:rPr>
                      <w:color w:val="auto"/>
                      <w:highlight w:val="none"/>
                    </w:rPr>
                  </w:pPr>
                  <w:r>
                    <w:rPr>
                      <w:rFonts w:hint="eastAsia"/>
                      <w:color w:val="auto"/>
                      <w:highlight w:val="none"/>
                    </w:rPr>
                    <w:t>框架下梁80</w:t>
                  </w:r>
                  <w:r>
                    <w:rPr>
                      <w:rFonts w:hint="eastAsia"/>
                      <w:color w:val="auto"/>
                      <w:highlight w:val="none"/>
                      <w:lang w:eastAsia="zh-CN"/>
                    </w:rPr>
                    <w:t>×</w:t>
                  </w:r>
                  <w:r>
                    <w:rPr>
                      <w:rFonts w:hint="eastAsia"/>
                      <w:color w:val="auto"/>
                      <w:highlight w:val="none"/>
                    </w:rPr>
                    <w:t>120</w:t>
                  </w:r>
                  <w:r>
                    <w:rPr>
                      <w:rFonts w:hint="eastAsia"/>
                      <w:color w:val="auto"/>
                      <w:highlight w:val="none"/>
                      <w:lang w:eastAsia="zh-CN"/>
                    </w:rPr>
                    <w:t>×</w:t>
                  </w:r>
                  <w:r>
                    <w:rPr>
                      <w:rFonts w:hint="eastAsia"/>
                      <w:color w:val="auto"/>
                      <w:highlight w:val="none"/>
                    </w:rPr>
                    <w:t>5mm、上梁80</w:t>
                  </w:r>
                  <w:r>
                    <w:rPr>
                      <w:rFonts w:hint="eastAsia"/>
                      <w:color w:val="auto"/>
                      <w:highlight w:val="none"/>
                      <w:lang w:eastAsia="zh-CN"/>
                    </w:rPr>
                    <w:t>×</w:t>
                  </w:r>
                  <w:r>
                    <w:rPr>
                      <w:rFonts w:hint="eastAsia"/>
                      <w:color w:val="auto"/>
                      <w:highlight w:val="none"/>
                    </w:rPr>
                    <w:t>100</w:t>
                  </w:r>
                  <w:r>
                    <w:rPr>
                      <w:rFonts w:hint="eastAsia"/>
                      <w:color w:val="auto"/>
                      <w:highlight w:val="none"/>
                      <w:lang w:eastAsia="zh-CN"/>
                    </w:rPr>
                    <w:t>×</w:t>
                  </w:r>
                  <w:r>
                    <w:rPr>
                      <w:rFonts w:hint="eastAsia"/>
                      <w:color w:val="auto"/>
                      <w:highlight w:val="none"/>
                    </w:rPr>
                    <w:t>5mm、立柱80</w:t>
                  </w:r>
                  <w:r>
                    <w:rPr>
                      <w:rFonts w:hint="eastAsia"/>
                      <w:color w:val="auto"/>
                      <w:highlight w:val="none"/>
                      <w:lang w:eastAsia="zh-CN"/>
                    </w:rPr>
                    <w:t>×</w:t>
                  </w:r>
                  <w:r>
                    <w:rPr>
                      <w:rFonts w:hint="eastAsia"/>
                      <w:color w:val="auto"/>
                      <w:highlight w:val="none"/>
                    </w:rPr>
                    <w:t>80</w:t>
                  </w:r>
                  <w:r>
                    <w:rPr>
                      <w:rFonts w:hint="eastAsia"/>
                      <w:color w:val="auto"/>
                      <w:highlight w:val="none"/>
                      <w:lang w:eastAsia="zh-CN"/>
                    </w:rPr>
                    <w:t>×</w:t>
                  </w:r>
                  <w:r>
                    <w:rPr>
                      <w:rFonts w:hint="eastAsia"/>
                      <w:color w:val="auto"/>
                      <w:highlight w:val="none"/>
                    </w:rPr>
                    <w:t>5mm和80</w:t>
                  </w:r>
                  <w:r>
                    <w:rPr>
                      <w:rFonts w:hint="eastAsia"/>
                      <w:color w:val="auto"/>
                      <w:highlight w:val="none"/>
                      <w:lang w:eastAsia="zh-CN"/>
                    </w:rPr>
                    <w:t>×</w:t>
                  </w:r>
                  <w:r>
                    <w:rPr>
                      <w:rFonts w:hint="eastAsia"/>
                      <w:color w:val="auto"/>
                      <w:highlight w:val="none"/>
                    </w:rPr>
                    <w:t>40</w:t>
                  </w:r>
                  <w:r>
                    <w:rPr>
                      <w:rFonts w:hint="eastAsia"/>
                      <w:color w:val="auto"/>
                      <w:highlight w:val="none"/>
                      <w:lang w:eastAsia="zh-CN"/>
                    </w:rPr>
                    <w:t>×</w:t>
                  </w:r>
                  <w:r>
                    <w:rPr>
                      <w:rFonts w:hint="eastAsia"/>
                      <w:color w:val="auto"/>
                      <w:highlight w:val="none"/>
                    </w:rPr>
                    <w:t>5mm、斜撑80</w:t>
                  </w:r>
                  <w:r>
                    <w:rPr>
                      <w:rFonts w:hint="eastAsia"/>
                      <w:color w:val="auto"/>
                      <w:highlight w:val="none"/>
                      <w:lang w:eastAsia="zh-CN"/>
                    </w:rPr>
                    <w:t>×</w:t>
                  </w:r>
                  <w:r>
                    <w:rPr>
                      <w:rFonts w:hint="eastAsia"/>
                      <w:color w:val="auto"/>
                      <w:highlight w:val="none"/>
                    </w:rPr>
                    <w:t>80</w:t>
                  </w:r>
                  <w:r>
                    <w:rPr>
                      <w:rFonts w:hint="eastAsia"/>
                      <w:color w:val="auto"/>
                      <w:highlight w:val="none"/>
                      <w:lang w:eastAsia="zh-CN"/>
                    </w:rPr>
                    <w:t>×</w:t>
                  </w:r>
                  <w:r>
                    <w:rPr>
                      <w:rFonts w:hint="eastAsia"/>
                      <w:color w:val="auto"/>
                      <w:highlight w:val="none"/>
                    </w:rPr>
                    <w:t>5mm的方管焊接而成，</w:t>
                  </w:r>
                  <w:r>
                    <w:rPr>
                      <w:rFonts w:hint="eastAsia" w:ascii="Calibri" w:hAnsi="Calibri" w:cs="Calibri"/>
                      <w:color w:val="auto"/>
                      <w:spacing w:val="-2"/>
                      <w:highlight w:val="none"/>
                    </w:rPr>
                    <w:t>行走电机2.2KW</w:t>
                  </w:r>
                  <w:r>
                    <w:rPr>
                      <w:rFonts w:hint="eastAsia" w:ascii="Calibri" w:hAnsi="Calibri" w:cs="Calibri"/>
                      <w:color w:val="auto"/>
                      <w:spacing w:val="-2"/>
                      <w:highlight w:val="none"/>
                      <w:lang w:eastAsia="zh-CN"/>
                    </w:rPr>
                    <w:t>×</w:t>
                  </w:r>
                  <w:r>
                    <w:rPr>
                      <w:rFonts w:hint="eastAsia" w:ascii="Calibri" w:hAnsi="Calibri" w:cs="Calibri"/>
                      <w:color w:val="auto"/>
                      <w:spacing w:val="-2"/>
                      <w:highlight w:val="none"/>
                    </w:rPr>
                    <w:t>3</w:t>
                  </w:r>
                </w:p>
                <w:p w14:paraId="42C7C5EA">
                  <w:pPr>
                    <w:widowControl w:val="0"/>
                    <w:jc w:val="center"/>
                    <w:rPr>
                      <w:rFonts w:hint="default" w:ascii="Times New Roman" w:hAnsi="Times New Roman" w:eastAsia="宋体" w:cs="Times New Roman"/>
                      <w:color w:val="auto"/>
                      <w:sz w:val="21"/>
                      <w:szCs w:val="21"/>
                      <w:highlight w:val="none"/>
                    </w:rPr>
                  </w:pPr>
                </w:p>
              </w:tc>
              <w:tc>
                <w:tcPr>
                  <w:tcW w:w="450" w:type="pct"/>
                  <w:tcBorders>
                    <w:tl2br w:val="nil"/>
                    <w:tr2bl w:val="nil"/>
                  </w:tcBorders>
                  <w:noWrap w:val="0"/>
                  <w:vAlign w:val="center"/>
                </w:tcPr>
                <w:p w14:paraId="1E15104E">
                  <w:pPr>
                    <w:widowControl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台</w:t>
                  </w:r>
                </w:p>
              </w:tc>
            </w:tr>
          </w:tbl>
          <w:p w14:paraId="0DBCF75E">
            <w:pPr>
              <w:spacing w:line="470" w:lineRule="atLeast"/>
              <w:jc w:val="left"/>
              <w:rPr>
                <w:rFonts w:hint="default" w:ascii="Times New Roman" w:hAnsi="Times New Roman" w:cs="Times New Roman"/>
                <w:b/>
                <w:bCs/>
                <w:color w:val="auto"/>
                <w:sz w:val="24"/>
                <w:szCs w:val="21"/>
                <w:highlight w:val="none"/>
              </w:rPr>
            </w:pPr>
            <w:r>
              <w:rPr>
                <w:rFonts w:hint="default" w:ascii="Times New Roman" w:hAnsi="Times New Roman" w:cs="Times New Roman"/>
                <w:b/>
                <w:bCs/>
                <w:color w:val="auto"/>
                <w:sz w:val="24"/>
                <w:szCs w:val="21"/>
                <w:highlight w:val="none"/>
              </w:rPr>
              <w:t>4、原辅材料消耗</w:t>
            </w:r>
          </w:p>
          <w:p w14:paraId="7FAE3E6D">
            <w:pPr>
              <w:spacing w:line="470" w:lineRule="atLeast"/>
              <w:ind w:firstLine="48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szCs w:val="24"/>
                <w:highlight w:val="none"/>
                <w:lang w:val="en-US" w:eastAsia="zh-CN"/>
              </w:rPr>
              <w:t>经生产建设单位提供资料本项目原料为</w:t>
            </w:r>
            <w:r>
              <w:rPr>
                <w:rFonts w:hint="eastAsia" w:eastAsia="宋体" w:cs="Times New Roman"/>
                <w:color w:val="auto"/>
                <w:sz w:val="24"/>
                <w:szCs w:val="24"/>
                <w:highlight w:val="none"/>
                <w:lang w:val="en-US" w:eastAsia="zh-CN"/>
              </w:rPr>
              <w:t>养殖粪污、农作物秸秆</w:t>
            </w:r>
            <w:r>
              <w:rPr>
                <w:rFonts w:hint="default" w:ascii="Times New Roman" w:hAnsi="Times New Roman" w:eastAsia="宋体" w:cs="Times New Roman"/>
                <w:color w:val="auto"/>
                <w:sz w:val="24"/>
                <w:szCs w:val="24"/>
                <w:highlight w:val="none"/>
                <w:lang w:val="en-US" w:eastAsia="zh-CN"/>
              </w:rPr>
              <w:t>，年用量见下表，运输采用社会车辆。项目各原辅材料及能源消耗情况如下</w:t>
            </w:r>
            <w:r>
              <w:rPr>
                <w:rFonts w:hint="default" w:ascii="Times New Roman" w:hAnsi="Times New Roman" w:eastAsia="宋体" w:cs="Times New Roman"/>
                <w:color w:val="auto"/>
                <w:sz w:val="24"/>
                <w:szCs w:val="21"/>
                <w:highlight w:val="none"/>
              </w:rPr>
              <w:t>表2-3。</w:t>
            </w:r>
          </w:p>
          <w:p w14:paraId="0D14D923">
            <w:pPr>
              <w:pStyle w:val="96"/>
              <w:spacing w:before="120" w:beforeLines="50" w:line="240" w:lineRule="auto"/>
              <w:ind w:firstLine="0" w:firstLineChars="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表2-3   原辅材料、能源消耗一览表</w:t>
            </w:r>
          </w:p>
          <w:tbl>
            <w:tblPr>
              <w:tblStyle w:val="32"/>
              <w:tblW w:w="5000" w:type="pct"/>
              <w:tblInd w:w="1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63"/>
              <w:gridCol w:w="405"/>
              <w:gridCol w:w="1320"/>
              <w:gridCol w:w="750"/>
              <w:gridCol w:w="810"/>
              <w:gridCol w:w="810"/>
              <w:gridCol w:w="810"/>
              <w:gridCol w:w="3219"/>
            </w:tblGrid>
            <w:tr w14:paraId="2EA36C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269" w:type="pct"/>
                  <w:tcBorders>
                    <w:tl2br w:val="nil"/>
                    <w:tr2bl w:val="nil"/>
                  </w:tcBorders>
                  <w:noWrap w:val="0"/>
                  <w:vAlign w:val="center"/>
                </w:tcPr>
                <w:p w14:paraId="1CF2DB59">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类别</w:t>
                  </w:r>
                </w:p>
              </w:tc>
              <w:tc>
                <w:tcPr>
                  <w:tcW w:w="235" w:type="pct"/>
                  <w:tcBorders>
                    <w:tl2br w:val="nil"/>
                    <w:tr2bl w:val="nil"/>
                  </w:tcBorders>
                  <w:noWrap w:val="0"/>
                  <w:vAlign w:val="center"/>
                </w:tcPr>
                <w:p w14:paraId="1EDB1F69">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序号</w:t>
                  </w:r>
                </w:p>
              </w:tc>
              <w:tc>
                <w:tcPr>
                  <w:tcW w:w="768" w:type="pct"/>
                  <w:tcBorders>
                    <w:tl2br w:val="nil"/>
                    <w:tr2bl w:val="nil"/>
                  </w:tcBorders>
                  <w:noWrap w:val="0"/>
                  <w:vAlign w:val="center"/>
                </w:tcPr>
                <w:p w14:paraId="009B511F">
                  <w:pPr>
                    <w:widowControl/>
                    <w:jc w:val="center"/>
                    <w:rPr>
                      <w:rFonts w:hint="default" w:ascii="Times New Roman" w:hAnsi="Times New Roman" w:cs="Times New Roman"/>
                      <w:b/>
                      <w:bCs/>
                      <w:color w:val="auto"/>
                      <w:kern w:val="0"/>
                      <w:szCs w:val="21"/>
                      <w:highlight w:val="none"/>
                    </w:rPr>
                  </w:pPr>
                  <w:r>
                    <w:rPr>
                      <w:rFonts w:hint="eastAsia" w:cs="Times New Roman"/>
                      <w:b/>
                      <w:bCs/>
                      <w:color w:val="auto"/>
                      <w:kern w:val="0"/>
                      <w:szCs w:val="21"/>
                      <w:highlight w:val="none"/>
                      <w:lang w:val="en-US" w:eastAsia="zh-CN"/>
                    </w:rPr>
                    <w:t>产品</w:t>
                  </w:r>
                  <w:r>
                    <w:rPr>
                      <w:rFonts w:hint="default" w:ascii="Times New Roman" w:hAnsi="Times New Roman" w:cs="Times New Roman"/>
                      <w:b/>
                      <w:bCs/>
                      <w:color w:val="auto"/>
                      <w:kern w:val="0"/>
                      <w:szCs w:val="21"/>
                      <w:highlight w:val="none"/>
                    </w:rPr>
                    <w:cr/>
                  </w:r>
                  <w:r>
                    <w:rPr>
                      <w:rFonts w:hint="default" w:ascii="Times New Roman" w:hAnsi="Times New Roman" w:cs="Times New Roman"/>
                      <w:b/>
                      <w:bCs/>
                      <w:color w:val="auto"/>
                      <w:kern w:val="0"/>
                      <w:szCs w:val="21"/>
                      <w:highlight w:val="none"/>
                    </w:rPr>
                    <w:t>名称</w:t>
                  </w:r>
                </w:p>
              </w:tc>
              <w:tc>
                <w:tcPr>
                  <w:tcW w:w="436" w:type="pct"/>
                  <w:tcBorders>
                    <w:tl2br w:val="nil"/>
                    <w:tr2bl w:val="nil"/>
                  </w:tcBorders>
                  <w:noWrap w:val="0"/>
                  <w:vAlign w:val="center"/>
                </w:tcPr>
                <w:p w14:paraId="4FBB2CD4">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单位</w:t>
                  </w:r>
                </w:p>
              </w:tc>
              <w:tc>
                <w:tcPr>
                  <w:tcW w:w="471" w:type="pct"/>
                  <w:tcBorders>
                    <w:tl2br w:val="nil"/>
                    <w:tr2bl w:val="nil"/>
                  </w:tcBorders>
                  <w:noWrap w:val="0"/>
                  <w:vAlign w:val="center"/>
                </w:tcPr>
                <w:p w14:paraId="6B9ABB2C">
                  <w:pPr>
                    <w:widowControl/>
                    <w:jc w:val="center"/>
                    <w:rPr>
                      <w:rFonts w:hint="default" w:ascii="Times New Roman" w:hAnsi="Times New Roman" w:cs="Times New Roman"/>
                      <w:b/>
                      <w:bCs/>
                      <w:color w:val="auto"/>
                      <w:kern w:val="0"/>
                      <w:szCs w:val="21"/>
                      <w:highlight w:val="none"/>
                    </w:rPr>
                  </w:pPr>
                  <w:r>
                    <w:rPr>
                      <w:rFonts w:hint="eastAsia" w:cs="Times New Roman"/>
                      <w:b/>
                      <w:bCs/>
                      <w:color w:val="auto"/>
                      <w:kern w:val="0"/>
                      <w:szCs w:val="21"/>
                      <w:highlight w:val="none"/>
                      <w:lang w:val="en-US" w:eastAsia="zh-CN"/>
                    </w:rPr>
                    <w:t>一期</w:t>
                  </w:r>
                  <w:r>
                    <w:rPr>
                      <w:rFonts w:hint="default" w:ascii="Times New Roman" w:hAnsi="Times New Roman" w:cs="Times New Roman"/>
                      <w:b/>
                      <w:bCs/>
                      <w:color w:val="auto"/>
                      <w:kern w:val="0"/>
                      <w:szCs w:val="21"/>
                      <w:highlight w:val="none"/>
                    </w:rPr>
                    <w:t>耗量</w:t>
                  </w:r>
                </w:p>
              </w:tc>
              <w:tc>
                <w:tcPr>
                  <w:tcW w:w="471" w:type="pct"/>
                  <w:tcBorders>
                    <w:tl2br w:val="nil"/>
                    <w:tr2bl w:val="nil"/>
                  </w:tcBorders>
                  <w:noWrap w:val="0"/>
                  <w:vAlign w:val="center"/>
                </w:tcPr>
                <w:p w14:paraId="2618926A">
                  <w:pPr>
                    <w:widowControl/>
                    <w:jc w:val="center"/>
                    <w:rPr>
                      <w:rFonts w:hint="default" w:ascii="Times New Roman" w:hAnsi="Times New Roman" w:eastAsia="宋体" w:cs="Times New Roman"/>
                      <w:b/>
                      <w:bCs/>
                      <w:color w:val="auto"/>
                      <w:kern w:val="0"/>
                      <w:szCs w:val="21"/>
                      <w:highlight w:val="none"/>
                      <w:lang w:val="en-US" w:eastAsia="zh-CN"/>
                    </w:rPr>
                  </w:pPr>
                  <w:r>
                    <w:rPr>
                      <w:rFonts w:hint="eastAsia" w:cs="Times New Roman"/>
                      <w:b/>
                      <w:bCs/>
                      <w:color w:val="auto"/>
                      <w:kern w:val="0"/>
                      <w:szCs w:val="21"/>
                      <w:highlight w:val="none"/>
                      <w:lang w:val="en-US" w:eastAsia="zh-CN"/>
                    </w:rPr>
                    <w:t>二期耗量</w:t>
                  </w:r>
                </w:p>
              </w:tc>
              <w:tc>
                <w:tcPr>
                  <w:tcW w:w="471" w:type="pct"/>
                  <w:tcBorders>
                    <w:tl2br w:val="nil"/>
                    <w:tr2bl w:val="nil"/>
                  </w:tcBorders>
                  <w:noWrap w:val="0"/>
                  <w:vAlign w:val="center"/>
                </w:tcPr>
                <w:p w14:paraId="36AEE1C9">
                  <w:pPr>
                    <w:widowControl/>
                    <w:jc w:val="center"/>
                    <w:rPr>
                      <w:rFonts w:hint="default" w:ascii="Times New Roman" w:hAnsi="Times New Roman" w:cs="Times New Roman"/>
                      <w:b/>
                      <w:bCs/>
                      <w:color w:val="auto"/>
                      <w:kern w:val="0"/>
                      <w:szCs w:val="21"/>
                      <w:highlight w:val="none"/>
                    </w:rPr>
                  </w:pPr>
                  <w:r>
                    <w:rPr>
                      <w:rFonts w:hint="eastAsia" w:cs="Times New Roman"/>
                      <w:b/>
                      <w:bCs/>
                      <w:color w:val="auto"/>
                      <w:kern w:val="0"/>
                      <w:szCs w:val="21"/>
                      <w:highlight w:val="none"/>
                      <w:lang w:val="en-US" w:eastAsia="zh-CN"/>
                    </w:rPr>
                    <w:t>总</w:t>
                  </w:r>
                  <w:r>
                    <w:rPr>
                      <w:rFonts w:hint="default" w:ascii="Times New Roman" w:hAnsi="Times New Roman" w:cs="Times New Roman"/>
                      <w:b/>
                      <w:bCs/>
                      <w:color w:val="auto"/>
                      <w:kern w:val="0"/>
                      <w:szCs w:val="21"/>
                      <w:highlight w:val="none"/>
                    </w:rPr>
                    <w:t>年耗量</w:t>
                  </w:r>
                </w:p>
              </w:tc>
              <w:tc>
                <w:tcPr>
                  <w:tcW w:w="1874" w:type="pct"/>
                  <w:tcBorders>
                    <w:tl2br w:val="nil"/>
                    <w:tr2bl w:val="nil"/>
                  </w:tcBorders>
                  <w:noWrap w:val="0"/>
                  <w:vAlign w:val="center"/>
                </w:tcPr>
                <w:p w14:paraId="109FBA50">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备注</w:t>
                  </w:r>
                </w:p>
              </w:tc>
            </w:tr>
            <w:tr w14:paraId="67DF9E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7" w:hRule="atLeast"/>
              </w:trPr>
              <w:tc>
                <w:tcPr>
                  <w:tcW w:w="269" w:type="pct"/>
                  <w:vMerge w:val="restart"/>
                  <w:tcBorders>
                    <w:tl2br w:val="nil"/>
                    <w:tr2bl w:val="nil"/>
                  </w:tcBorders>
                  <w:noWrap w:val="0"/>
                  <w:vAlign w:val="center"/>
                </w:tcPr>
                <w:p w14:paraId="17C75314">
                  <w:pPr>
                    <w:widowControl/>
                    <w:jc w:val="center"/>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主</w:t>
                  </w:r>
                  <w:r>
                    <w:rPr>
                      <w:rFonts w:hint="default" w:ascii="Times New Roman" w:hAnsi="Times New Roman" w:cs="Times New Roman"/>
                      <w:color w:val="auto"/>
                      <w:kern w:val="0"/>
                      <w:szCs w:val="21"/>
                      <w:highlight w:val="none"/>
                    </w:rPr>
                    <w:t>料</w:t>
                  </w:r>
                </w:p>
              </w:tc>
              <w:tc>
                <w:tcPr>
                  <w:tcW w:w="235" w:type="pct"/>
                  <w:tcBorders>
                    <w:tl2br w:val="nil"/>
                    <w:tr2bl w:val="nil"/>
                  </w:tcBorders>
                  <w:noWrap w:val="0"/>
                  <w:vAlign w:val="center"/>
                </w:tcPr>
                <w:p w14:paraId="4FA4A953">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768" w:type="pct"/>
                  <w:tcBorders>
                    <w:tl2br w:val="nil"/>
                    <w:tr2bl w:val="nil"/>
                  </w:tcBorders>
                  <w:noWrap w:val="0"/>
                  <w:vAlign w:val="center"/>
                </w:tcPr>
                <w:p w14:paraId="7F67A10D">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养殖粪污</w:t>
                  </w:r>
                </w:p>
                <w:p w14:paraId="61F009FE">
                  <w:pPr>
                    <w:widowControl/>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kern w:val="0"/>
                      <w:szCs w:val="21"/>
                      <w:highlight w:val="none"/>
                      <w:lang w:eastAsia="zh-CN"/>
                    </w:rPr>
                    <w:t>（</w:t>
                  </w:r>
                  <w:r>
                    <w:rPr>
                      <w:rFonts w:hint="eastAsia" w:ascii="Times New Roman" w:hAnsi="Times New Roman" w:cs="Times New Roman"/>
                      <w:color w:val="auto"/>
                      <w:kern w:val="0"/>
                      <w:szCs w:val="21"/>
                      <w:highlight w:val="none"/>
                      <w:lang w:val="en-US" w:eastAsia="zh-CN"/>
                    </w:rPr>
                    <w:t>牛粪</w:t>
                  </w:r>
                  <w:r>
                    <w:rPr>
                      <w:rFonts w:hint="eastAsia" w:ascii="Times New Roman" w:hAnsi="Times New Roman" w:cs="Times New Roman"/>
                      <w:color w:val="auto"/>
                      <w:kern w:val="0"/>
                      <w:szCs w:val="21"/>
                      <w:highlight w:val="none"/>
                      <w:lang w:eastAsia="zh-CN"/>
                    </w:rPr>
                    <w:t>）</w:t>
                  </w:r>
                </w:p>
              </w:tc>
              <w:tc>
                <w:tcPr>
                  <w:tcW w:w="436" w:type="pct"/>
                  <w:tcBorders>
                    <w:tl2br w:val="nil"/>
                    <w:tr2bl w:val="nil"/>
                  </w:tcBorders>
                  <w:noWrap w:val="0"/>
                  <w:vAlign w:val="center"/>
                </w:tcPr>
                <w:p w14:paraId="5BD1223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t/a</w:t>
                  </w:r>
                </w:p>
              </w:tc>
              <w:tc>
                <w:tcPr>
                  <w:tcW w:w="471" w:type="pct"/>
                  <w:tcBorders>
                    <w:tl2br w:val="nil"/>
                    <w:tr2bl w:val="nil"/>
                  </w:tcBorders>
                  <w:noWrap w:val="0"/>
                  <w:vAlign w:val="center"/>
                </w:tcPr>
                <w:p w14:paraId="42DF074F">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56.576万</w:t>
                  </w:r>
                </w:p>
              </w:tc>
              <w:tc>
                <w:tcPr>
                  <w:tcW w:w="471" w:type="pct"/>
                  <w:tcBorders>
                    <w:tl2br w:val="nil"/>
                    <w:tr2bl w:val="nil"/>
                  </w:tcBorders>
                  <w:noWrap w:val="0"/>
                  <w:vAlign w:val="center"/>
                </w:tcPr>
                <w:p w14:paraId="19490979">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8.424万</w:t>
                  </w:r>
                </w:p>
              </w:tc>
              <w:tc>
                <w:tcPr>
                  <w:tcW w:w="471" w:type="pct"/>
                  <w:tcBorders>
                    <w:tl2br w:val="nil"/>
                    <w:tr2bl w:val="nil"/>
                  </w:tcBorders>
                  <w:noWrap w:val="0"/>
                  <w:vAlign w:val="center"/>
                </w:tcPr>
                <w:p w14:paraId="1CF1AF35">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65万</w:t>
                  </w:r>
                </w:p>
              </w:tc>
              <w:tc>
                <w:tcPr>
                  <w:tcW w:w="1874" w:type="pct"/>
                  <w:tcBorders>
                    <w:tl2br w:val="nil"/>
                    <w:tr2bl w:val="nil"/>
                  </w:tcBorders>
                  <w:noWrap w:val="0"/>
                  <w:vAlign w:val="center"/>
                </w:tcPr>
                <w:p w14:paraId="59D67EC3">
                  <w:pPr>
                    <w:widowControl/>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周边养殖场，</w:t>
                  </w:r>
                  <w:r>
                    <w:rPr>
                      <w:rFonts w:hint="default" w:ascii="Times New Roman" w:hAnsi="Times New Roman" w:cs="Times New Roman"/>
                      <w:color w:val="auto"/>
                      <w:kern w:val="0"/>
                      <w:szCs w:val="21"/>
                      <w:highlight w:val="none"/>
                    </w:rPr>
                    <w:t>含水率</w:t>
                  </w:r>
                  <w:r>
                    <w:rPr>
                      <w:rFonts w:hint="eastAsia" w:cs="Times New Roman"/>
                      <w:color w:val="auto"/>
                      <w:kern w:val="0"/>
                      <w:szCs w:val="21"/>
                      <w:highlight w:val="none"/>
                      <w:lang w:val="en-US" w:eastAsia="zh-CN"/>
                    </w:rPr>
                    <w:t>70</w:t>
                  </w:r>
                  <w:r>
                    <w:rPr>
                      <w:rFonts w:hint="default"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散装、汽车运输至</w:t>
                  </w:r>
                  <w:r>
                    <w:rPr>
                      <w:rFonts w:hint="eastAsia" w:cs="Times New Roman"/>
                      <w:color w:val="auto"/>
                      <w:kern w:val="0"/>
                      <w:szCs w:val="21"/>
                      <w:highlight w:val="none"/>
                      <w:lang w:val="en-US" w:eastAsia="zh-CN"/>
                    </w:rPr>
                    <w:t>生产车间投入使用，</w:t>
                  </w:r>
                  <w:r>
                    <w:rPr>
                      <w:rFonts w:hint="eastAsia"/>
                      <w:color w:val="auto"/>
                      <w:highlight w:val="none"/>
                      <w:lang w:val="en-US" w:eastAsia="zh-CN"/>
                    </w:rPr>
                    <w:t>买附近牧场未发酵的牛粪作为原料</w:t>
                  </w:r>
                </w:p>
              </w:tc>
            </w:tr>
            <w:tr w14:paraId="2CE514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269" w:type="pct"/>
                  <w:vMerge w:val="continue"/>
                  <w:tcBorders>
                    <w:tl2br w:val="nil"/>
                    <w:tr2bl w:val="nil"/>
                  </w:tcBorders>
                  <w:noWrap w:val="0"/>
                  <w:vAlign w:val="center"/>
                </w:tcPr>
                <w:p w14:paraId="0FCF8DF5">
                  <w:pPr>
                    <w:widowControl/>
                    <w:jc w:val="center"/>
                    <w:rPr>
                      <w:rFonts w:hint="default" w:ascii="Times New Roman" w:hAnsi="Times New Roman" w:cs="Times New Roman"/>
                      <w:color w:val="auto"/>
                      <w:kern w:val="0"/>
                      <w:szCs w:val="21"/>
                      <w:highlight w:val="none"/>
                    </w:rPr>
                  </w:pPr>
                </w:p>
              </w:tc>
              <w:tc>
                <w:tcPr>
                  <w:tcW w:w="235" w:type="pct"/>
                  <w:tcBorders>
                    <w:tl2br w:val="nil"/>
                    <w:tr2bl w:val="nil"/>
                  </w:tcBorders>
                  <w:noWrap w:val="0"/>
                  <w:vAlign w:val="center"/>
                </w:tcPr>
                <w:p w14:paraId="4E6B8C91">
                  <w:pPr>
                    <w:widowControl/>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w:t>
                  </w:r>
                </w:p>
              </w:tc>
              <w:tc>
                <w:tcPr>
                  <w:tcW w:w="768" w:type="pct"/>
                  <w:tcBorders>
                    <w:tl2br w:val="nil"/>
                    <w:tr2bl w:val="nil"/>
                  </w:tcBorders>
                  <w:noWrap w:val="0"/>
                  <w:vAlign w:val="center"/>
                </w:tcPr>
                <w:p w14:paraId="0C590776">
                  <w:pPr>
                    <w:widowControl/>
                    <w:jc w:val="center"/>
                    <w:rPr>
                      <w:rFonts w:hint="eastAsia" w:ascii="Times New Roman" w:hAnsi="Times New Roman" w:cs="Times New Roman"/>
                      <w:color w:val="auto"/>
                      <w:kern w:val="0"/>
                      <w:szCs w:val="21"/>
                      <w:highlight w:val="none"/>
                      <w:lang w:eastAsia="zh-CN"/>
                    </w:rPr>
                  </w:pPr>
                  <w:r>
                    <w:rPr>
                      <w:rFonts w:hint="eastAsia" w:cs="Times New Roman"/>
                      <w:color w:val="auto"/>
                      <w:kern w:val="0"/>
                      <w:szCs w:val="21"/>
                      <w:highlight w:val="none"/>
                      <w:lang w:val="en-US" w:eastAsia="zh-CN"/>
                    </w:rPr>
                    <w:t>农作物秸秆</w:t>
                  </w:r>
                </w:p>
              </w:tc>
              <w:tc>
                <w:tcPr>
                  <w:tcW w:w="436" w:type="pct"/>
                  <w:tcBorders>
                    <w:tl2br w:val="nil"/>
                    <w:tr2bl w:val="nil"/>
                  </w:tcBorders>
                  <w:noWrap w:val="0"/>
                  <w:vAlign w:val="center"/>
                </w:tcPr>
                <w:p w14:paraId="44AFC3F5">
                  <w:pPr>
                    <w:widowControl/>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t/a</w:t>
                  </w:r>
                </w:p>
              </w:tc>
              <w:tc>
                <w:tcPr>
                  <w:tcW w:w="471" w:type="pct"/>
                  <w:tcBorders>
                    <w:tl2br w:val="nil"/>
                    <w:tr2bl w:val="nil"/>
                  </w:tcBorders>
                  <w:noWrap w:val="0"/>
                  <w:vAlign w:val="center"/>
                </w:tcPr>
                <w:p w14:paraId="4558DC2D">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21.724万</w:t>
                  </w:r>
                </w:p>
              </w:tc>
              <w:tc>
                <w:tcPr>
                  <w:tcW w:w="471" w:type="pct"/>
                  <w:tcBorders>
                    <w:tl2br w:val="nil"/>
                    <w:tr2bl w:val="nil"/>
                  </w:tcBorders>
                  <w:noWrap w:val="0"/>
                  <w:vAlign w:val="center"/>
                </w:tcPr>
                <w:p w14:paraId="15ACC38C">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3.276万</w:t>
                  </w:r>
                </w:p>
              </w:tc>
              <w:tc>
                <w:tcPr>
                  <w:tcW w:w="471" w:type="pct"/>
                  <w:tcBorders>
                    <w:tl2br w:val="nil"/>
                    <w:tr2bl w:val="nil"/>
                  </w:tcBorders>
                  <w:noWrap w:val="0"/>
                  <w:vAlign w:val="center"/>
                </w:tcPr>
                <w:p w14:paraId="7DB2A41A">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25万</w:t>
                  </w:r>
                </w:p>
              </w:tc>
              <w:tc>
                <w:tcPr>
                  <w:tcW w:w="1874" w:type="pct"/>
                  <w:tcBorders>
                    <w:tl2br w:val="nil"/>
                    <w:tr2bl w:val="nil"/>
                  </w:tcBorders>
                  <w:noWrap w:val="0"/>
                  <w:vAlign w:val="center"/>
                </w:tcPr>
                <w:p w14:paraId="700E8FF5">
                  <w:pPr>
                    <w:widowControl/>
                    <w:jc w:val="center"/>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周边种植区秸秆资源，含水率30%；散装、汽车运输至原材料储备库</w:t>
                  </w:r>
                </w:p>
              </w:tc>
            </w:tr>
            <w:tr w14:paraId="668C880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269" w:type="pct"/>
                  <w:vMerge w:val="restart"/>
                  <w:tcBorders>
                    <w:tl2br w:val="nil"/>
                    <w:tr2bl w:val="nil"/>
                  </w:tcBorders>
                  <w:noWrap w:val="0"/>
                  <w:vAlign w:val="center"/>
                </w:tcPr>
                <w:p w14:paraId="38719397">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辅料</w:t>
                  </w:r>
                </w:p>
              </w:tc>
              <w:tc>
                <w:tcPr>
                  <w:tcW w:w="235" w:type="pct"/>
                  <w:tcBorders>
                    <w:tl2br w:val="nil"/>
                    <w:tr2bl w:val="nil"/>
                  </w:tcBorders>
                  <w:noWrap w:val="0"/>
                  <w:vAlign w:val="center"/>
                </w:tcPr>
                <w:p w14:paraId="5F77ECFB">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w:t>
                  </w:r>
                </w:p>
              </w:tc>
              <w:tc>
                <w:tcPr>
                  <w:tcW w:w="768" w:type="pct"/>
                  <w:tcBorders>
                    <w:tl2br w:val="nil"/>
                    <w:tr2bl w:val="nil"/>
                  </w:tcBorders>
                  <w:noWrap w:val="0"/>
                  <w:vAlign w:val="center"/>
                </w:tcPr>
                <w:p w14:paraId="7DD83A7D">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腐熟菌种（1、2、3号菌）</w:t>
                  </w:r>
                </w:p>
              </w:tc>
              <w:tc>
                <w:tcPr>
                  <w:tcW w:w="436" w:type="pct"/>
                  <w:tcBorders>
                    <w:tl2br w:val="nil"/>
                    <w:tr2bl w:val="nil"/>
                  </w:tcBorders>
                  <w:noWrap w:val="0"/>
                  <w:vAlign w:val="center"/>
                </w:tcPr>
                <w:p w14:paraId="095F506B">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L/a</w:t>
                  </w:r>
                </w:p>
              </w:tc>
              <w:tc>
                <w:tcPr>
                  <w:tcW w:w="471" w:type="pct"/>
                  <w:tcBorders>
                    <w:tl2br w:val="nil"/>
                    <w:tr2bl w:val="nil"/>
                  </w:tcBorders>
                  <w:noWrap w:val="0"/>
                  <w:vAlign w:val="center"/>
                </w:tcPr>
                <w:p w14:paraId="0D35FB78">
                  <w:pPr>
                    <w:widowControl/>
                    <w:jc w:val="center"/>
                    <w:rPr>
                      <w:rFonts w:hint="default"/>
                      <w:color w:val="auto"/>
                      <w:highlight w:val="none"/>
                      <w:lang w:val="en-US" w:eastAsia="zh-CN"/>
                    </w:rPr>
                  </w:pPr>
                  <w:r>
                    <w:rPr>
                      <w:rFonts w:hint="eastAsia" w:cs="Times New Roman"/>
                      <w:color w:val="auto"/>
                      <w:kern w:val="0"/>
                      <w:szCs w:val="21"/>
                      <w:highlight w:val="none"/>
                      <w:lang w:val="en-US" w:eastAsia="zh-CN"/>
                    </w:rPr>
                    <w:t>13</w:t>
                  </w:r>
                </w:p>
              </w:tc>
              <w:tc>
                <w:tcPr>
                  <w:tcW w:w="471" w:type="pct"/>
                  <w:tcBorders>
                    <w:tl2br w:val="nil"/>
                    <w:tr2bl w:val="nil"/>
                  </w:tcBorders>
                  <w:noWrap w:val="0"/>
                  <w:vAlign w:val="center"/>
                </w:tcPr>
                <w:p w14:paraId="264E8DA9">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w:t>
                  </w:r>
                </w:p>
              </w:tc>
              <w:tc>
                <w:tcPr>
                  <w:tcW w:w="471" w:type="pct"/>
                  <w:tcBorders>
                    <w:tl2br w:val="nil"/>
                    <w:tr2bl w:val="nil"/>
                  </w:tcBorders>
                  <w:noWrap w:val="0"/>
                  <w:vAlign w:val="center"/>
                </w:tcPr>
                <w:p w14:paraId="55FBD357">
                  <w:pPr>
                    <w:widowControl/>
                    <w:jc w:val="center"/>
                    <w:rPr>
                      <w:rFonts w:hint="eastAsia"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15</w:t>
                  </w:r>
                </w:p>
              </w:tc>
              <w:tc>
                <w:tcPr>
                  <w:tcW w:w="1874" w:type="pct"/>
                  <w:vMerge w:val="restart"/>
                  <w:tcBorders>
                    <w:tl2br w:val="nil"/>
                    <w:tr2bl w:val="nil"/>
                  </w:tcBorders>
                  <w:noWrap w:val="0"/>
                  <w:vAlign w:val="center"/>
                </w:tcPr>
                <w:p w14:paraId="36C4C17D">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袋装液体，外购暂存至原材料储备库，使用时利用水洗塔排水进行稀释</w:t>
                  </w:r>
                </w:p>
              </w:tc>
            </w:tr>
            <w:tr w14:paraId="44337C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77" w:hRule="atLeast"/>
              </w:trPr>
              <w:tc>
                <w:tcPr>
                  <w:tcW w:w="269" w:type="pct"/>
                  <w:vMerge w:val="continue"/>
                  <w:tcBorders>
                    <w:tl2br w:val="nil"/>
                    <w:tr2bl w:val="nil"/>
                  </w:tcBorders>
                  <w:noWrap w:val="0"/>
                  <w:vAlign w:val="center"/>
                </w:tcPr>
                <w:p w14:paraId="679E0FE5">
                  <w:pPr>
                    <w:widowControl/>
                    <w:rPr>
                      <w:rFonts w:hint="default" w:ascii="Times New Roman" w:hAnsi="Times New Roman" w:cs="Times New Roman"/>
                      <w:color w:val="auto"/>
                      <w:kern w:val="0"/>
                      <w:szCs w:val="21"/>
                      <w:highlight w:val="none"/>
                    </w:rPr>
                  </w:pPr>
                </w:p>
              </w:tc>
              <w:tc>
                <w:tcPr>
                  <w:tcW w:w="235" w:type="pct"/>
                  <w:tcBorders>
                    <w:tl2br w:val="nil"/>
                    <w:tr2bl w:val="nil"/>
                  </w:tcBorders>
                  <w:noWrap w:val="0"/>
                  <w:vAlign w:val="center"/>
                </w:tcPr>
                <w:p w14:paraId="4307AD39">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w:t>
                  </w:r>
                </w:p>
              </w:tc>
              <w:tc>
                <w:tcPr>
                  <w:tcW w:w="768" w:type="pct"/>
                  <w:tcBorders>
                    <w:tl2br w:val="nil"/>
                    <w:tr2bl w:val="nil"/>
                  </w:tcBorders>
                  <w:noWrap w:val="0"/>
                  <w:vAlign w:val="center"/>
                </w:tcPr>
                <w:p w14:paraId="2163120D">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功能菌</w:t>
                  </w:r>
                </w:p>
                <w:p w14:paraId="5130D872">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（用于高端有机肥）</w:t>
                  </w:r>
                </w:p>
              </w:tc>
              <w:tc>
                <w:tcPr>
                  <w:tcW w:w="436" w:type="pct"/>
                  <w:tcBorders>
                    <w:tl2br w:val="nil"/>
                    <w:tr2bl w:val="nil"/>
                  </w:tcBorders>
                  <w:noWrap w:val="0"/>
                  <w:vAlign w:val="center"/>
                </w:tcPr>
                <w:p w14:paraId="2B67AA70">
                  <w:pPr>
                    <w:widowControl/>
                    <w:jc w:val="center"/>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L/a</w:t>
                  </w:r>
                </w:p>
              </w:tc>
              <w:tc>
                <w:tcPr>
                  <w:tcW w:w="471" w:type="pct"/>
                  <w:tcBorders>
                    <w:tl2br w:val="nil"/>
                    <w:tr2bl w:val="nil"/>
                  </w:tcBorders>
                  <w:noWrap w:val="0"/>
                  <w:vAlign w:val="center"/>
                </w:tcPr>
                <w:p w14:paraId="0275A6A1">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w:t>
                  </w:r>
                </w:p>
              </w:tc>
              <w:tc>
                <w:tcPr>
                  <w:tcW w:w="471" w:type="pct"/>
                  <w:tcBorders>
                    <w:tl2br w:val="nil"/>
                    <w:tr2bl w:val="nil"/>
                  </w:tcBorders>
                  <w:noWrap w:val="0"/>
                  <w:vAlign w:val="center"/>
                </w:tcPr>
                <w:p w14:paraId="698A49DB">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w:t>
                  </w:r>
                </w:p>
              </w:tc>
              <w:tc>
                <w:tcPr>
                  <w:tcW w:w="471" w:type="pct"/>
                  <w:tcBorders>
                    <w:tl2br w:val="nil"/>
                    <w:tr2bl w:val="nil"/>
                  </w:tcBorders>
                  <w:noWrap w:val="0"/>
                  <w:vAlign w:val="center"/>
                </w:tcPr>
                <w:p w14:paraId="066539E7">
                  <w:pPr>
                    <w:widowControl/>
                    <w:jc w:val="center"/>
                    <w:rPr>
                      <w:rFonts w:hint="eastAsia"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w:t>
                  </w:r>
                </w:p>
              </w:tc>
              <w:tc>
                <w:tcPr>
                  <w:tcW w:w="1874" w:type="pct"/>
                  <w:vMerge w:val="continue"/>
                  <w:tcBorders>
                    <w:tl2br w:val="nil"/>
                    <w:tr2bl w:val="nil"/>
                  </w:tcBorders>
                  <w:noWrap w:val="0"/>
                  <w:vAlign w:val="center"/>
                </w:tcPr>
                <w:p w14:paraId="650F0660">
                  <w:pPr>
                    <w:widowControl/>
                    <w:jc w:val="center"/>
                    <w:rPr>
                      <w:rFonts w:hint="default" w:ascii="Times New Roman" w:hAnsi="Times New Roman" w:cs="Times New Roman"/>
                      <w:color w:val="auto"/>
                      <w:kern w:val="0"/>
                      <w:szCs w:val="21"/>
                      <w:highlight w:val="none"/>
                    </w:rPr>
                  </w:pPr>
                </w:p>
              </w:tc>
            </w:tr>
            <w:tr w14:paraId="585EBA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269" w:type="pct"/>
                  <w:vMerge w:val="continue"/>
                  <w:tcBorders>
                    <w:tl2br w:val="nil"/>
                    <w:tr2bl w:val="nil"/>
                  </w:tcBorders>
                  <w:noWrap w:val="0"/>
                  <w:vAlign w:val="center"/>
                </w:tcPr>
                <w:p w14:paraId="5FBE2FBE">
                  <w:pPr>
                    <w:widowControl/>
                    <w:rPr>
                      <w:rFonts w:hint="default" w:ascii="Times New Roman" w:hAnsi="Times New Roman" w:cs="Times New Roman"/>
                      <w:color w:val="auto"/>
                      <w:kern w:val="0"/>
                      <w:szCs w:val="21"/>
                      <w:highlight w:val="none"/>
                    </w:rPr>
                  </w:pPr>
                </w:p>
              </w:tc>
              <w:tc>
                <w:tcPr>
                  <w:tcW w:w="235" w:type="pct"/>
                  <w:tcBorders>
                    <w:tl2br w:val="nil"/>
                    <w:tr2bl w:val="nil"/>
                  </w:tcBorders>
                  <w:noWrap w:val="0"/>
                  <w:vAlign w:val="center"/>
                </w:tcPr>
                <w:p w14:paraId="746E782F">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5</w:t>
                  </w:r>
                </w:p>
              </w:tc>
              <w:tc>
                <w:tcPr>
                  <w:tcW w:w="768" w:type="pct"/>
                  <w:tcBorders>
                    <w:tl2br w:val="nil"/>
                    <w:tr2bl w:val="nil"/>
                  </w:tcBorders>
                  <w:noWrap w:val="0"/>
                  <w:vAlign w:val="center"/>
                </w:tcPr>
                <w:p w14:paraId="3E76DC7F">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40kg蛇皮袋</w:t>
                  </w:r>
                </w:p>
              </w:tc>
              <w:tc>
                <w:tcPr>
                  <w:tcW w:w="436" w:type="pct"/>
                  <w:tcBorders>
                    <w:tl2br w:val="nil"/>
                    <w:tr2bl w:val="nil"/>
                  </w:tcBorders>
                  <w:noWrap w:val="0"/>
                  <w:vAlign w:val="center"/>
                </w:tcPr>
                <w:p w14:paraId="62693736">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条</w:t>
                  </w:r>
                </w:p>
              </w:tc>
              <w:tc>
                <w:tcPr>
                  <w:tcW w:w="471" w:type="pct"/>
                  <w:tcBorders>
                    <w:tl2br w:val="nil"/>
                    <w:tr2bl w:val="nil"/>
                  </w:tcBorders>
                  <w:noWrap w:val="0"/>
                  <w:vAlign w:val="center"/>
                </w:tcPr>
                <w:p w14:paraId="547C3C90">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695万</w:t>
                  </w:r>
                </w:p>
              </w:tc>
              <w:tc>
                <w:tcPr>
                  <w:tcW w:w="471" w:type="pct"/>
                  <w:tcBorders>
                    <w:tl2br w:val="nil"/>
                    <w:tr2bl w:val="nil"/>
                  </w:tcBorders>
                  <w:noWrap w:val="0"/>
                  <w:vAlign w:val="center"/>
                </w:tcPr>
                <w:p w14:paraId="6727DC33">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65万</w:t>
                  </w:r>
                </w:p>
              </w:tc>
              <w:tc>
                <w:tcPr>
                  <w:tcW w:w="471" w:type="pct"/>
                  <w:tcBorders>
                    <w:tl2br w:val="nil"/>
                    <w:tr2bl w:val="nil"/>
                  </w:tcBorders>
                  <w:noWrap w:val="0"/>
                  <w:vAlign w:val="center"/>
                </w:tcPr>
                <w:p w14:paraId="29DB0B7A">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760万</w:t>
                  </w:r>
                </w:p>
              </w:tc>
              <w:tc>
                <w:tcPr>
                  <w:tcW w:w="1874" w:type="pct"/>
                  <w:tcBorders>
                    <w:tl2br w:val="nil"/>
                    <w:tr2bl w:val="nil"/>
                  </w:tcBorders>
                  <w:noWrap w:val="0"/>
                  <w:vAlign w:val="center"/>
                </w:tcPr>
                <w:p w14:paraId="4CB682BE">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外购，暂存至生产车间成品包装区</w:t>
                  </w:r>
                </w:p>
              </w:tc>
            </w:tr>
            <w:tr w14:paraId="3DBB64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269" w:type="pct"/>
                  <w:vMerge w:val="continue"/>
                  <w:tcBorders>
                    <w:tl2br w:val="nil"/>
                    <w:tr2bl w:val="nil"/>
                  </w:tcBorders>
                  <w:noWrap w:val="0"/>
                  <w:vAlign w:val="center"/>
                </w:tcPr>
                <w:p w14:paraId="0AD863FC">
                  <w:pPr>
                    <w:widowControl/>
                    <w:rPr>
                      <w:rFonts w:hint="default" w:ascii="Times New Roman" w:hAnsi="Times New Roman" w:cs="Times New Roman"/>
                      <w:color w:val="auto"/>
                      <w:kern w:val="0"/>
                      <w:szCs w:val="21"/>
                      <w:highlight w:val="none"/>
                    </w:rPr>
                  </w:pPr>
                </w:p>
              </w:tc>
              <w:tc>
                <w:tcPr>
                  <w:tcW w:w="235" w:type="pct"/>
                  <w:tcBorders>
                    <w:tl2br w:val="nil"/>
                    <w:tr2bl w:val="nil"/>
                  </w:tcBorders>
                  <w:noWrap w:val="0"/>
                  <w:vAlign w:val="center"/>
                </w:tcPr>
                <w:p w14:paraId="5256B29C">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6</w:t>
                  </w:r>
                </w:p>
              </w:tc>
              <w:tc>
                <w:tcPr>
                  <w:tcW w:w="768" w:type="pct"/>
                  <w:tcBorders>
                    <w:tl2br w:val="nil"/>
                    <w:tr2bl w:val="nil"/>
                  </w:tcBorders>
                  <w:noWrap w:val="0"/>
                  <w:vAlign w:val="center"/>
                </w:tcPr>
                <w:p w14:paraId="58CCEF53">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生物除臭剂</w:t>
                  </w:r>
                </w:p>
              </w:tc>
              <w:tc>
                <w:tcPr>
                  <w:tcW w:w="436" w:type="pct"/>
                  <w:tcBorders>
                    <w:tl2br w:val="nil"/>
                    <w:tr2bl w:val="nil"/>
                  </w:tcBorders>
                  <w:noWrap w:val="0"/>
                  <w:vAlign w:val="center"/>
                </w:tcPr>
                <w:p w14:paraId="53A97084">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kg/a</w:t>
                  </w:r>
                </w:p>
              </w:tc>
              <w:tc>
                <w:tcPr>
                  <w:tcW w:w="471" w:type="pct"/>
                  <w:tcBorders>
                    <w:tl2br w:val="nil"/>
                    <w:tr2bl w:val="nil"/>
                  </w:tcBorders>
                  <w:noWrap w:val="0"/>
                  <w:vAlign w:val="center"/>
                </w:tcPr>
                <w:p w14:paraId="205D938A">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25</w:t>
                  </w:r>
                </w:p>
              </w:tc>
              <w:tc>
                <w:tcPr>
                  <w:tcW w:w="471" w:type="pct"/>
                  <w:tcBorders>
                    <w:tl2br w:val="nil"/>
                    <w:tr2bl w:val="nil"/>
                  </w:tcBorders>
                  <w:noWrap w:val="0"/>
                  <w:vAlign w:val="center"/>
                </w:tcPr>
                <w:p w14:paraId="7B249B48">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25</w:t>
                  </w:r>
                </w:p>
              </w:tc>
              <w:tc>
                <w:tcPr>
                  <w:tcW w:w="471" w:type="pct"/>
                  <w:tcBorders>
                    <w:tl2br w:val="nil"/>
                    <w:tr2bl w:val="nil"/>
                  </w:tcBorders>
                  <w:noWrap w:val="0"/>
                  <w:vAlign w:val="center"/>
                </w:tcPr>
                <w:p w14:paraId="319CD1C4">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50</w:t>
                  </w:r>
                </w:p>
              </w:tc>
              <w:tc>
                <w:tcPr>
                  <w:tcW w:w="1874" w:type="pct"/>
                  <w:tcBorders>
                    <w:tl2br w:val="nil"/>
                    <w:tr2bl w:val="nil"/>
                  </w:tcBorders>
                  <w:noWrap w:val="0"/>
                  <w:vAlign w:val="center"/>
                </w:tcPr>
                <w:p w14:paraId="20312E23">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桶装液体，外购暂存至原材料储备库</w:t>
                  </w:r>
                </w:p>
              </w:tc>
            </w:tr>
            <w:tr w14:paraId="3FE1EA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269" w:type="pct"/>
                  <w:vMerge w:val="restart"/>
                  <w:tcBorders>
                    <w:tl2br w:val="nil"/>
                    <w:tr2bl w:val="nil"/>
                  </w:tcBorders>
                  <w:noWrap w:val="0"/>
                  <w:vAlign w:val="center"/>
                </w:tcPr>
                <w:p w14:paraId="1EFF5028">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能源</w:t>
                  </w:r>
                </w:p>
              </w:tc>
              <w:tc>
                <w:tcPr>
                  <w:tcW w:w="235" w:type="pct"/>
                  <w:tcBorders>
                    <w:tl2br w:val="nil"/>
                    <w:tr2bl w:val="nil"/>
                  </w:tcBorders>
                  <w:noWrap w:val="0"/>
                  <w:vAlign w:val="center"/>
                </w:tcPr>
                <w:p w14:paraId="51E444CB">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7</w:t>
                  </w:r>
                </w:p>
              </w:tc>
              <w:tc>
                <w:tcPr>
                  <w:tcW w:w="768" w:type="pct"/>
                  <w:tcBorders>
                    <w:tl2br w:val="nil"/>
                    <w:tr2bl w:val="nil"/>
                  </w:tcBorders>
                  <w:noWrap w:val="0"/>
                  <w:vAlign w:val="center"/>
                </w:tcPr>
                <w:p w14:paraId="49A130E9">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水</w:t>
                  </w:r>
                </w:p>
              </w:tc>
              <w:tc>
                <w:tcPr>
                  <w:tcW w:w="436" w:type="pct"/>
                  <w:tcBorders>
                    <w:tl2br w:val="nil"/>
                    <w:tr2bl w:val="nil"/>
                  </w:tcBorders>
                  <w:noWrap w:val="0"/>
                  <w:vAlign w:val="center"/>
                </w:tcPr>
                <w:p w14:paraId="1E71EA65">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t/a</w:t>
                  </w:r>
                </w:p>
              </w:tc>
              <w:tc>
                <w:tcPr>
                  <w:tcW w:w="471" w:type="pct"/>
                  <w:tcBorders>
                    <w:tl2br w:val="nil"/>
                    <w:tr2bl w:val="nil"/>
                  </w:tcBorders>
                  <w:noWrap w:val="0"/>
                  <w:vAlign w:val="center"/>
                </w:tcPr>
                <w:p w14:paraId="691436D5">
                  <w:pPr>
                    <w:widowControl/>
                    <w:jc w:val="center"/>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471" w:type="pct"/>
                  <w:tcBorders>
                    <w:tl2br w:val="nil"/>
                    <w:tr2bl w:val="nil"/>
                  </w:tcBorders>
                  <w:noWrap w:val="0"/>
                  <w:vAlign w:val="center"/>
                </w:tcPr>
                <w:p w14:paraId="4BB20F3D">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471" w:type="pct"/>
                  <w:tcBorders>
                    <w:tl2br w:val="nil"/>
                    <w:tr2bl w:val="nil"/>
                  </w:tcBorders>
                  <w:noWrap w:val="0"/>
                  <w:vAlign w:val="center"/>
                </w:tcPr>
                <w:p w14:paraId="1A5D5B13">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362</w:t>
                  </w:r>
                </w:p>
              </w:tc>
              <w:tc>
                <w:tcPr>
                  <w:tcW w:w="1874" w:type="pct"/>
                  <w:tcBorders>
                    <w:tl2br w:val="nil"/>
                    <w:tr2bl w:val="nil"/>
                  </w:tcBorders>
                  <w:noWrap w:val="0"/>
                  <w:vAlign w:val="center"/>
                </w:tcPr>
                <w:p w14:paraId="762AF9AB">
                  <w:pPr>
                    <w:widowControl/>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水洗塔换水来源于外购</w:t>
                  </w:r>
                  <w:r>
                    <w:rPr>
                      <w:rFonts w:hint="eastAsia" w:cs="Times New Roman"/>
                      <w:color w:val="auto"/>
                      <w:sz w:val="21"/>
                      <w:szCs w:val="21"/>
                      <w:highlight w:val="none"/>
                      <w:lang w:val="en-US" w:eastAsia="zh-CN"/>
                    </w:rPr>
                    <w:t>磴口县饮斯源纯净水有限公司</w:t>
                  </w:r>
                  <w:r>
                    <w:rPr>
                      <w:rFonts w:hint="eastAsia" w:ascii="Times New Roman" w:hAnsi="Times New Roman" w:cs="Times New Roman"/>
                      <w:color w:val="auto"/>
                      <w:sz w:val="21"/>
                      <w:szCs w:val="21"/>
                      <w:highlight w:val="none"/>
                      <w:lang w:val="en-US" w:eastAsia="zh-CN"/>
                    </w:rPr>
                    <w:t>罐装水、生活</w:t>
                  </w:r>
                  <w:r>
                    <w:rPr>
                      <w:rFonts w:hint="default" w:ascii="Times New Roman" w:hAnsi="Times New Roman" w:cs="Times New Roman"/>
                      <w:color w:val="auto"/>
                      <w:sz w:val="21"/>
                      <w:szCs w:val="21"/>
                      <w:highlight w:val="none"/>
                    </w:rPr>
                    <w:t>用水</w:t>
                  </w:r>
                  <w:r>
                    <w:rPr>
                      <w:rFonts w:hint="default" w:ascii="Times New Roman" w:hAnsi="Times New Roman" w:cs="Times New Roman"/>
                      <w:color w:val="auto"/>
                      <w:sz w:val="21"/>
                      <w:szCs w:val="21"/>
                      <w:highlight w:val="none"/>
                      <w:lang w:val="en-US" w:eastAsia="zh-CN"/>
                    </w:rPr>
                    <w:t>来源于外购的桶装水</w:t>
                  </w:r>
                </w:p>
              </w:tc>
            </w:tr>
            <w:tr w14:paraId="3EB512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269" w:type="pct"/>
                  <w:vMerge w:val="continue"/>
                  <w:tcBorders>
                    <w:tl2br w:val="nil"/>
                    <w:tr2bl w:val="nil"/>
                  </w:tcBorders>
                  <w:noWrap w:val="0"/>
                  <w:vAlign w:val="center"/>
                </w:tcPr>
                <w:p w14:paraId="5ECD79C3">
                  <w:pPr>
                    <w:widowControl/>
                    <w:rPr>
                      <w:rFonts w:hint="default" w:ascii="Times New Roman" w:hAnsi="Times New Roman" w:cs="Times New Roman"/>
                      <w:color w:val="auto"/>
                      <w:kern w:val="0"/>
                      <w:szCs w:val="21"/>
                      <w:highlight w:val="none"/>
                    </w:rPr>
                  </w:pPr>
                </w:p>
              </w:tc>
              <w:tc>
                <w:tcPr>
                  <w:tcW w:w="235" w:type="pct"/>
                  <w:tcBorders>
                    <w:tl2br w:val="nil"/>
                    <w:tr2bl w:val="nil"/>
                  </w:tcBorders>
                  <w:noWrap w:val="0"/>
                  <w:vAlign w:val="center"/>
                </w:tcPr>
                <w:p w14:paraId="248B489A">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8</w:t>
                  </w:r>
                </w:p>
              </w:tc>
              <w:tc>
                <w:tcPr>
                  <w:tcW w:w="768" w:type="pct"/>
                  <w:tcBorders>
                    <w:tl2br w:val="nil"/>
                    <w:tr2bl w:val="nil"/>
                  </w:tcBorders>
                  <w:noWrap w:val="0"/>
                  <w:vAlign w:val="center"/>
                </w:tcPr>
                <w:p w14:paraId="37B1EEA4">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电</w:t>
                  </w:r>
                </w:p>
              </w:tc>
              <w:tc>
                <w:tcPr>
                  <w:tcW w:w="436" w:type="pct"/>
                  <w:tcBorders>
                    <w:tl2br w:val="nil"/>
                    <w:tr2bl w:val="nil"/>
                  </w:tcBorders>
                  <w:noWrap w:val="0"/>
                  <w:vAlign w:val="center"/>
                </w:tcPr>
                <w:p w14:paraId="1A6BA111">
                  <w:pPr>
                    <w:widowControl/>
                    <w:jc w:val="center"/>
                    <w:rPr>
                      <w:rFonts w:hint="eastAsia" w:cs="Times New Roman"/>
                      <w:color w:val="auto"/>
                      <w:kern w:val="0"/>
                      <w:szCs w:val="21"/>
                      <w:highlight w:val="none"/>
                      <w:lang w:val="en-US" w:eastAsia="zh-CN"/>
                    </w:rPr>
                  </w:pPr>
                  <w:r>
                    <w:rPr>
                      <w:rFonts w:hint="default" w:ascii="Times New Roman" w:hAnsi="Times New Roman" w:cs="Times New Roman"/>
                      <w:color w:val="auto"/>
                      <w:sz w:val="24"/>
                      <w:highlight w:val="none"/>
                    </w:rPr>
                    <w:t>kW·h/a</w:t>
                  </w:r>
                </w:p>
              </w:tc>
              <w:tc>
                <w:tcPr>
                  <w:tcW w:w="471" w:type="pct"/>
                  <w:tcBorders>
                    <w:tl2br w:val="nil"/>
                    <w:tr2bl w:val="nil"/>
                  </w:tcBorders>
                  <w:noWrap w:val="0"/>
                  <w:vAlign w:val="center"/>
                </w:tcPr>
                <w:p w14:paraId="49DED418">
                  <w:pPr>
                    <w:widowControl/>
                    <w:jc w:val="center"/>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471" w:type="pct"/>
                  <w:tcBorders>
                    <w:tl2br w:val="nil"/>
                    <w:tr2bl w:val="nil"/>
                  </w:tcBorders>
                  <w:noWrap w:val="0"/>
                  <w:vAlign w:val="center"/>
                </w:tcPr>
                <w:p w14:paraId="0F4E1661">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471" w:type="pct"/>
                  <w:tcBorders>
                    <w:tl2br w:val="nil"/>
                    <w:tr2bl w:val="nil"/>
                  </w:tcBorders>
                  <w:noWrap w:val="0"/>
                  <w:vAlign w:val="center"/>
                </w:tcPr>
                <w:p w14:paraId="03310294">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39万</w:t>
                  </w:r>
                </w:p>
              </w:tc>
              <w:tc>
                <w:tcPr>
                  <w:tcW w:w="1874" w:type="pct"/>
                  <w:tcBorders>
                    <w:tl2br w:val="nil"/>
                    <w:tr2bl w:val="nil"/>
                  </w:tcBorders>
                  <w:noWrap w:val="0"/>
                  <w:vAlign w:val="center"/>
                </w:tcPr>
                <w:p w14:paraId="13EFEA16">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 w:val="21"/>
                      <w:szCs w:val="21"/>
                      <w:highlight w:val="none"/>
                    </w:rPr>
                    <w:t>配套建设供配电室1座，电源由供电高压线路接引</w:t>
                  </w:r>
                </w:p>
              </w:tc>
            </w:tr>
          </w:tbl>
          <w:p w14:paraId="61AE7F90">
            <w:pPr>
              <w:spacing w:line="470" w:lineRule="atLeast"/>
              <w:jc w:val="left"/>
              <w:rPr>
                <w:rFonts w:hint="default" w:ascii="Times New Roman" w:hAnsi="Times New Roman" w:cs="Times New Roman"/>
                <w:b/>
                <w:bCs/>
                <w:color w:val="auto"/>
                <w:sz w:val="24"/>
                <w:szCs w:val="21"/>
                <w:highlight w:val="none"/>
              </w:rPr>
            </w:pPr>
            <w:r>
              <w:rPr>
                <w:rFonts w:hint="default" w:ascii="Times New Roman" w:hAnsi="Times New Roman" w:cs="Times New Roman"/>
                <w:b/>
                <w:bCs/>
                <w:color w:val="auto"/>
                <w:sz w:val="24"/>
                <w:szCs w:val="21"/>
                <w:highlight w:val="none"/>
              </w:rPr>
              <w:t>5、产品方案</w:t>
            </w:r>
          </w:p>
          <w:p w14:paraId="50BD5DC0">
            <w:pPr>
              <w:pStyle w:val="96"/>
              <w:keepNext w:val="0"/>
              <w:keepLines w:val="0"/>
              <w:pageBreakBefore w:val="0"/>
              <w:widowControl w:val="0"/>
              <w:kinsoku/>
              <w:wordWrap/>
              <w:overflowPunct/>
              <w:topLinePunct w:val="0"/>
              <w:autoSpaceDE/>
              <w:autoSpaceDN/>
              <w:bidi w:val="0"/>
              <w:adjustRightInd w:val="0"/>
              <w:snapToGrid w:val="0"/>
              <w:spacing w:line="440" w:lineRule="exact"/>
              <w:ind w:firstLine="480"/>
              <w:textAlignment w:val="auto"/>
              <w:rPr>
                <w:rFonts w:hint="eastAsia" w:ascii="Times New Roman" w:hAnsi="Times New Roman" w:cs="Times New Roman"/>
                <w:color w:val="auto"/>
                <w:sz w:val="24"/>
                <w:szCs w:val="21"/>
                <w:highlight w:val="none"/>
                <w:lang w:val="en-US" w:eastAsia="zh-CN"/>
              </w:rPr>
            </w:pPr>
            <w:r>
              <w:rPr>
                <w:rFonts w:hint="eastAsia" w:ascii="Times New Roman" w:hAnsi="Times New Roman" w:cs="Times New Roman"/>
                <w:color w:val="auto"/>
                <w:sz w:val="24"/>
                <w:szCs w:val="21"/>
                <w:highlight w:val="none"/>
                <w:lang w:val="en-US" w:eastAsia="zh-CN"/>
              </w:rPr>
              <w:t>本项目年产有机肥共30万吨，其中一期产品基础有机肥年产26万（颗粒状14万吨/年，粉末状12万吨/年）；二期产品高端有机肥年产4万吨（颗粒状2万吨/年，粉末状2万吨/年），项目一期工程建成后可实现</w:t>
            </w:r>
            <w:r>
              <w:rPr>
                <w:rFonts w:hint="eastAsia" w:cs="Times New Roman"/>
                <w:color w:val="auto"/>
                <w:sz w:val="24"/>
                <w:szCs w:val="21"/>
                <w:highlight w:val="none"/>
                <w:lang w:val="en-US" w:eastAsia="zh-CN"/>
              </w:rPr>
              <w:t>年生产30万吨有机肥的产能</w:t>
            </w:r>
            <w:r>
              <w:rPr>
                <w:rFonts w:hint="eastAsia" w:ascii="Times New Roman" w:hAnsi="Times New Roman" w:cs="Times New Roman"/>
                <w:color w:val="auto"/>
                <w:sz w:val="24"/>
                <w:szCs w:val="21"/>
                <w:highlight w:val="none"/>
                <w:lang w:val="en-US" w:eastAsia="zh-CN"/>
              </w:rPr>
              <w:t>。</w:t>
            </w:r>
          </w:p>
          <w:p w14:paraId="6BDD5D60">
            <w:pPr>
              <w:pStyle w:val="96"/>
              <w:keepNext w:val="0"/>
              <w:keepLines w:val="0"/>
              <w:pageBreakBefore w:val="0"/>
              <w:widowControl w:val="0"/>
              <w:kinsoku/>
              <w:wordWrap/>
              <w:overflowPunct/>
              <w:topLinePunct w:val="0"/>
              <w:autoSpaceDE/>
              <w:autoSpaceDN/>
              <w:bidi w:val="0"/>
              <w:adjustRightInd w:val="0"/>
              <w:snapToGrid w:val="0"/>
              <w:spacing w:line="440" w:lineRule="exact"/>
              <w:ind w:firstLine="48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4"/>
                <w:szCs w:val="21"/>
                <w:highlight w:val="none"/>
                <w:lang w:val="en-US" w:eastAsia="zh-CN"/>
              </w:rPr>
              <w:t>根据建设单位提供资料，</w:t>
            </w:r>
            <w:r>
              <w:rPr>
                <w:rFonts w:hint="eastAsia" w:ascii="Times New Roman" w:hAnsi="Times New Roman" w:cs="Times New Roman"/>
                <w:color w:val="auto"/>
                <w:sz w:val="24"/>
                <w:szCs w:val="21"/>
                <w:highlight w:val="none"/>
                <w:lang w:val="en-US" w:eastAsia="zh-CN"/>
              </w:rPr>
              <w:t>项目有机肥原料配比为动物粪便：农作物秸秆=72%：28%；菌种与产品添加比例为每2t有机肥产品添加1L菌种（2L菌种加入100倍水稀释），</w:t>
            </w:r>
            <w:r>
              <w:rPr>
                <w:rFonts w:hint="default" w:ascii="Times New Roman" w:hAnsi="Times New Roman" w:cs="Times New Roman"/>
                <w:color w:val="auto"/>
                <w:sz w:val="24"/>
                <w:szCs w:val="21"/>
                <w:highlight w:val="none"/>
              </w:rPr>
              <w:t>本项目</w:t>
            </w:r>
            <w:r>
              <w:rPr>
                <w:rFonts w:hint="eastAsia" w:ascii="Times New Roman" w:hAnsi="Times New Roman" w:cs="Times New Roman"/>
                <w:color w:val="auto"/>
                <w:sz w:val="24"/>
                <w:szCs w:val="21"/>
                <w:highlight w:val="none"/>
                <w:lang w:val="en-US" w:eastAsia="zh-CN"/>
              </w:rPr>
              <w:t>物料平衡</w:t>
            </w:r>
            <w:r>
              <w:rPr>
                <w:rFonts w:hint="default" w:ascii="Times New Roman" w:hAnsi="Times New Roman" w:cs="Times New Roman"/>
                <w:color w:val="auto"/>
                <w:sz w:val="24"/>
                <w:szCs w:val="21"/>
                <w:highlight w:val="none"/>
              </w:rPr>
              <w:t>见表2-</w:t>
            </w:r>
            <w:r>
              <w:rPr>
                <w:rFonts w:hint="eastAsia" w:ascii="Times New Roman" w:hAnsi="Times New Roman" w:cs="Times New Roman"/>
                <w:color w:val="auto"/>
                <w:sz w:val="24"/>
                <w:szCs w:val="21"/>
                <w:highlight w:val="none"/>
                <w:lang w:val="en-US" w:eastAsia="zh-CN"/>
              </w:rPr>
              <w:t>4</w:t>
            </w:r>
            <w:r>
              <w:rPr>
                <w:rFonts w:hint="default" w:ascii="Times New Roman" w:hAnsi="Times New Roman" w:cs="Times New Roman"/>
                <w:color w:val="auto"/>
                <w:sz w:val="24"/>
                <w:szCs w:val="21"/>
                <w:highlight w:val="none"/>
              </w:rPr>
              <w:t>。</w:t>
            </w:r>
          </w:p>
          <w:p w14:paraId="2C026F30">
            <w:pPr>
              <w:pStyle w:val="96"/>
              <w:spacing w:before="120" w:beforeLines="50" w:line="240" w:lineRule="auto"/>
              <w:ind w:firstLine="0" w:firstLineChars="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表2-</w:t>
            </w:r>
            <w:r>
              <w:rPr>
                <w:rFonts w:hint="eastAsia" w:ascii="Times New Roman" w:hAnsi="Times New Roman" w:cs="Times New Roman"/>
                <w:b/>
                <w:color w:val="auto"/>
                <w:sz w:val="24"/>
                <w:szCs w:val="24"/>
                <w:highlight w:val="none"/>
                <w:lang w:val="en-US" w:eastAsia="zh-CN"/>
              </w:rPr>
              <w:t>4-1</w:t>
            </w:r>
            <w:r>
              <w:rPr>
                <w:rFonts w:hint="default" w:ascii="Times New Roman" w:hAnsi="Times New Roman" w:cs="Times New Roman"/>
                <w:b/>
                <w:color w:val="auto"/>
                <w:sz w:val="24"/>
                <w:szCs w:val="24"/>
                <w:highlight w:val="none"/>
              </w:rPr>
              <w:t xml:space="preserve">  </w:t>
            </w:r>
            <w:r>
              <w:rPr>
                <w:rFonts w:hint="eastAsia" w:ascii="Times New Roman" w:hAnsi="Times New Roman" w:cs="Times New Roman"/>
                <w:b/>
                <w:color w:val="auto"/>
                <w:sz w:val="24"/>
                <w:szCs w:val="24"/>
                <w:highlight w:val="none"/>
                <w:lang w:val="en-US" w:eastAsia="zh-CN"/>
              </w:rPr>
              <w:t>项目一期产品物料平衡</w:t>
            </w:r>
            <w:r>
              <w:rPr>
                <w:rFonts w:hint="default" w:ascii="Times New Roman" w:hAnsi="Times New Roman" w:cs="Times New Roman"/>
                <w:b/>
                <w:color w:val="auto"/>
                <w:sz w:val="24"/>
                <w:szCs w:val="24"/>
                <w:highlight w:val="none"/>
              </w:rPr>
              <w:t>表</w:t>
            </w:r>
          </w:p>
          <w:tbl>
            <w:tblPr>
              <w:tblStyle w:val="33"/>
              <w:tblW w:w="853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776"/>
              <w:gridCol w:w="2298"/>
              <w:gridCol w:w="1493"/>
              <w:gridCol w:w="2357"/>
              <w:gridCol w:w="1615"/>
            </w:tblGrid>
            <w:tr w14:paraId="086138B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08" w:hRule="atLeast"/>
                <w:jc w:val="center"/>
              </w:trPr>
              <w:tc>
                <w:tcPr>
                  <w:tcW w:w="4567" w:type="dxa"/>
                  <w:gridSpan w:val="3"/>
                  <w:tcBorders>
                    <w:tl2br w:val="nil"/>
                    <w:tr2bl w:val="nil"/>
                  </w:tcBorders>
                  <w:vAlign w:val="center"/>
                </w:tcPr>
                <w:p w14:paraId="074F315B">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投入</w:t>
                  </w:r>
                </w:p>
              </w:tc>
              <w:tc>
                <w:tcPr>
                  <w:tcW w:w="3972" w:type="dxa"/>
                  <w:gridSpan w:val="2"/>
                  <w:tcBorders>
                    <w:tl2br w:val="nil"/>
                    <w:tr2bl w:val="nil"/>
                  </w:tcBorders>
                  <w:vAlign w:val="center"/>
                </w:tcPr>
                <w:p w14:paraId="2089C307">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产出</w:t>
                  </w:r>
                </w:p>
              </w:tc>
            </w:tr>
            <w:tr w14:paraId="2537549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487" w:hRule="atLeast"/>
                <w:jc w:val="center"/>
              </w:trPr>
              <w:tc>
                <w:tcPr>
                  <w:tcW w:w="776" w:type="dxa"/>
                  <w:tcBorders>
                    <w:tl2br w:val="nil"/>
                    <w:tr2bl w:val="nil"/>
                  </w:tcBorders>
                  <w:vAlign w:val="center"/>
                </w:tcPr>
                <w:p w14:paraId="07C5D871">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2298" w:type="dxa"/>
                  <w:tcBorders>
                    <w:tl2br w:val="nil"/>
                    <w:tr2bl w:val="nil"/>
                  </w:tcBorders>
                  <w:vAlign w:val="center"/>
                </w:tcPr>
                <w:p w14:paraId="57A2AE53">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物料名称</w:t>
                  </w:r>
                </w:p>
              </w:tc>
              <w:tc>
                <w:tcPr>
                  <w:tcW w:w="1493" w:type="dxa"/>
                  <w:tcBorders>
                    <w:tl2br w:val="nil"/>
                    <w:tr2bl w:val="nil"/>
                  </w:tcBorders>
                  <w:vAlign w:val="center"/>
                </w:tcPr>
                <w:p w14:paraId="462B28EF">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用量</w:t>
                  </w:r>
                </w:p>
              </w:tc>
              <w:tc>
                <w:tcPr>
                  <w:tcW w:w="2357" w:type="dxa"/>
                  <w:tcBorders>
                    <w:tl2br w:val="nil"/>
                    <w:tr2bl w:val="nil"/>
                  </w:tcBorders>
                  <w:vAlign w:val="center"/>
                </w:tcPr>
                <w:p w14:paraId="1687A3A2">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物料名称</w:t>
                  </w:r>
                </w:p>
              </w:tc>
              <w:tc>
                <w:tcPr>
                  <w:tcW w:w="1615" w:type="dxa"/>
                  <w:tcBorders>
                    <w:tl2br w:val="nil"/>
                    <w:tr2bl w:val="nil"/>
                  </w:tcBorders>
                  <w:vAlign w:val="center"/>
                </w:tcPr>
                <w:p w14:paraId="3C669AE0">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产量</w:t>
                  </w:r>
                </w:p>
              </w:tc>
            </w:tr>
            <w:tr w14:paraId="79FD46B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152" w:hRule="atLeast"/>
                <w:jc w:val="center"/>
              </w:trPr>
              <w:tc>
                <w:tcPr>
                  <w:tcW w:w="8539" w:type="dxa"/>
                  <w:gridSpan w:val="5"/>
                  <w:tcBorders>
                    <w:tl2br w:val="nil"/>
                    <w:tr2bl w:val="nil"/>
                  </w:tcBorders>
                  <w:vAlign w:val="center"/>
                </w:tcPr>
                <w:p w14:paraId="04176495">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基础有机肥（一期产品）</w:t>
                  </w:r>
                </w:p>
              </w:tc>
            </w:tr>
            <w:tr w14:paraId="7B9C20E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553" w:hRule="atLeast"/>
                <w:jc w:val="center"/>
              </w:trPr>
              <w:tc>
                <w:tcPr>
                  <w:tcW w:w="776" w:type="dxa"/>
                  <w:tcBorders>
                    <w:tl2br w:val="nil"/>
                    <w:tr2bl w:val="nil"/>
                  </w:tcBorders>
                  <w:vAlign w:val="center"/>
                </w:tcPr>
                <w:p w14:paraId="1E031A71">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c>
                <w:tcPr>
                  <w:tcW w:w="2298" w:type="dxa"/>
                  <w:tcBorders>
                    <w:tl2br w:val="nil"/>
                    <w:tr2bl w:val="nil"/>
                  </w:tcBorders>
                  <w:vAlign w:val="center"/>
                </w:tcPr>
                <w:p w14:paraId="2BF0148A">
                  <w:pPr>
                    <w:widowControl/>
                    <w:jc w:val="center"/>
                    <w:rPr>
                      <w:rFonts w:hint="eastAsia"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养殖</w:t>
                  </w:r>
                  <w:r>
                    <w:rPr>
                      <w:rFonts w:hint="eastAsia" w:cs="Times New Roman"/>
                      <w:color w:val="auto"/>
                      <w:kern w:val="0"/>
                      <w:szCs w:val="21"/>
                      <w:highlight w:val="none"/>
                      <w:lang w:val="en-US" w:eastAsia="zh-CN"/>
                    </w:rPr>
                    <w:t>粪污</w:t>
                  </w:r>
                </w:p>
                <w:p w14:paraId="57269BAB">
                  <w:pPr>
                    <w:widowControl/>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含水率70%的</w:t>
                  </w:r>
                  <w:r>
                    <w:rPr>
                      <w:rFonts w:hint="eastAsia" w:ascii="Times New Roman" w:hAnsi="Times New Roman" w:cs="Times New Roman"/>
                      <w:color w:val="auto"/>
                      <w:kern w:val="0"/>
                      <w:szCs w:val="21"/>
                      <w:highlight w:val="none"/>
                      <w:lang w:val="en-US" w:eastAsia="zh-CN"/>
                    </w:rPr>
                    <w:t>牛粪</w:t>
                  </w:r>
                  <w:r>
                    <w:rPr>
                      <w:rFonts w:hint="eastAsia" w:ascii="Times New Roman" w:hAnsi="Times New Roman" w:cs="Times New Roman"/>
                      <w:color w:val="auto"/>
                      <w:kern w:val="0"/>
                      <w:szCs w:val="21"/>
                      <w:highlight w:val="none"/>
                      <w:lang w:eastAsia="zh-CN"/>
                    </w:rPr>
                    <w:t>）</w:t>
                  </w:r>
                </w:p>
              </w:tc>
              <w:tc>
                <w:tcPr>
                  <w:tcW w:w="1493" w:type="dxa"/>
                  <w:tcBorders>
                    <w:tl2br w:val="nil"/>
                    <w:tr2bl w:val="nil"/>
                  </w:tcBorders>
                  <w:vAlign w:val="center"/>
                </w:tcPr>
                <w:p w14:paraId="3CA740F3">
                  <w:pPr>
                    <w:widowControl/>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56.576万t/a</w:t>
                  </w:r>
                </w:p>
              </w:tc>
              <w:tc>
                <w:tcPr>
                  <w:tcW w:w="2357" w:type="dxa"/>
                  <w:tcBorders>
                    <w:tl2br w:val="nil"/>
                    <w:tr2bl w:val="nil"/>
                  </w:tcBorders>
                  <w:vAlign w:val="center"/>
                </w:tcPr>
                <w:p w14:paraId="3185E5AB">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颗粒有机肥</w:t>
                  </w:r>
                </w:p>
                <w:p w14:paraId="398E456C">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（含水率30%）</w:t>
                  </w:r>
                </w:p>
              </w:tc>
              <w:tc>
                <w:tcPr>
                  <w:tcW w:w="1615" w:type="dxa"/>
                  <w:tcBorders>
                    <w:tl2br w:val="nil"/>
                    <w:tr2bl w:val="nil"/>
                  </w:tcBorders>
                  <w:vAlign w:val="center"/>
                </w:tcPr>
                <w:p w14:paraId="648B8999">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14万t/a</w:t>
                  </w:r>
                </w:p>
              </w:tc>
            </w:tr>
            <w:tr w14:paraId="31A4197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03" w:hRule="atLeast"/>
                <w:jc w:val="center"/>
              </w:trPr>
              <w:tc>
                <w:tcPr>
                  <w:tcW w:w="776" w:type="dxa"/>
                  <w:tcBorders>
                    <w:tl2br w:val="nil"/>
                    <w:tr2bl w:val="nil"/>
                  </w:tcBorders>
                  <w:vAlign w:val="center"/>
                </w:tcPr>
                <w:p w14:paraId="63CB9392">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2298" w:type="dxa"/>
                  <w:tcBorders>
                    <w:tl2br w:val="nil"/>
                    <w:tr2bl w:val="nil"/>
                  </w:tcBorders>
                  <w:vAlign w:val="center"/>
                </w:tcPr>
                <w:p w14:paraId="435E7B91">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农作物秸秆</w:t>
                  </w:r>
                </w:p>
                <w:p w14:paraId="7A07E0F1">
                  <w:pPr>
                    <w:widowControl/>
                    <w:jc w:val="center"/>
                    <w:rPr>
                      <w:rFonts w:hint="default" w:cs="Times New Roman"/>
                      <w:b w:val="0"/>
                      <w:bCs w:val="0"/>
                      <w:color w:val="auto"/>
                      <w:sz w:val="21"/>
                      <w:szCs w:val="21"/>
                      <w:highlight w:val="none"/>
                      <w:vertAlign w:val="baseline"/>
                      <w:lang w:val="en-US" w:eastAsia="zh-CN"/>
                    </w:rPr>
                  </w:pPr>
                  <w:r>
                    <w:rPr>
                      <w:rFonts w:hint="eastAsia" w:cs="Times New Roman"/>
                      <w:color w:val="auto"/>
                      <w:kern w:val="0"/>
                      <w:szCs w:val="21"/>
                      <w:highlight w:val="none"/>
                      <w:lang w:val="en-US" w:eastAsia="zh-CN"/>
                    </w:rPr>
                    <w:t>（含水率30%）</w:t>
                  </w:r>
                </w:p>
              </w:tc>
              <w:tc>
                <w:tcPr>
                  <w:tcW w:w="1493" w:type="dxa"/>
                  <w:tcBorders>
                    <w:tl2br w:val="nil"/>
                    <w:tr2bl w:val="nil"/>
                  </w:tcBorders>
                  <w:vAlign w:val="center"/>
                </w:tcPr>
                <w:p w14:paraId="45C27071">
                  <w:pPr>
                    <w:widowControl/>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21.724万t/a</w:t>
                  </w:r>
                </w:p>
              </w:tc>
              <w:tc>
                <w:tcPr>
                  <w:tcW w:w="2357" w:type="dxa"/>
                  <w:tcBorders>
                    <w:tl2br w:val="nil"/>
                    <w:tr2bl w:val="nil"/>
                  </w:tcBorders>
                  <w:vAlign w:val="center"/>
                </w:tcPr>
                <w:p w14:paraId="7F2EF70A">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粉末有机肥</w:t>
                  </w:r>
                </w:p>
                <w:p w14:paraId="50817EF1">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（含水率30%）</w:t>
                  </w:r>
                </w:p>
              </w:tc>
              <w:tc>
                <w:tcPr>
                  <w:tcW w:w="1615" w:type="dxa"/>
                  <w:tcBorders>
                    <w:tl2br w:val="nil"/>
                    <w:tr2bl w:val="nil"/>
                  </w:tcBorders>
                  <w:vAlign w:val="center"/>
                </w:tcPr>
                <w:p w14:paraId="5A18D35A">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12万t/a</w:t>
                  </w:r>
                </w:p>
              </w:tc>
            </w:tr>
            <w:tr w14:paraId="02D872B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03" w:hRule="atLeast"/>
                <w:jc w:val="center"/>
              </w:trPr>
              <w:tc>
                <w:tcPr>
                  <w:tcW w:w="776" w:type="dxa"/>
                  <w:tcBorders>
                    <w:tl2br w:val="nil"/>
                    <w:tr2bl w:val="nil"/>
                  </w:tcBorders>
                  <w:vAlign w:val="center"/>
                </w:tcPr>
                <w:p w14:paraId="48FCED0C">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w:t>
                  </w:r>
                </w:p>
              </w:tc>
              <w:tc>
                <w:tcPr>
                  <w:tcW w:w="2298" w:type="dxa"/>
                  <w:tcBorders>
                    <w:tl2br w:val="nil"/>
                    <w:tr2bl w:val="nil"/>
                  </w:tcBorders>
                  <w:vAlign w:val="center"/>
                </w:tcPr>
                <w:p w14:paraId="3BF0F03F">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腐熟菌种（1、2、3号菌）</w:t>
                  </w:r>
                </w:p>
              </w:tc>
              <w:tc>
                <w:tcPr>
                  <w:tcW w:w="1493" w:type="dxa"/>
                  <w:tcBorders>
                    <w:tl2br w:val="nil"/>
                    <w:tr2bl w:val="nil"/>
                  </w:tcBorders>
                  <w:vAlign w:val="center"/>
                </w:tcPr>
                <w:p w14:paraId="48FC01E1">
                  <w:pPr>
                    <w:pStyle w:val="10"/>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13L</w:t>
                  </w:r>
                </w:p>
              </w:tc>
              <w:tc>
                <w:tcPr>
                  <w:tcW w:w="2357" w:type="dxa"/>
                  <w:tcBorders>
                    <w:tl2br w:val="nil"/>
                    <w:tr2bl w:val="nil"/>
                  </w:tcBorders>
                  <w:vAlign w:val="center"/>
                </w:tcPr>
                <w:p w14:paraId="63A780C5">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挥发水分</w:t>
                  </w:r>
                </w:p>
              </w:tc>
              <w:tc>
                <w:tcPr>
                  <w:tcW w:w="1615" w:type="dxa"/>
                  <w:tcBorders>
                    <w:tl2br w:val="nil"/>
                    <w:tr2bl w:val="nil"/>
                  </w:tcBorders>
                  <w:vAlign w:val="center"/>
                </w:tcPr>
                <w:p w14:paraId="0C79CA9B">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53.590万t/a</w:t>
                  </w:r>
                </w:p>
              </w:tc>
            </w:tr>
            <w:tr w14:paraId="5DE1C6C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03" w:hRule="atLeast"/>
                <w:jc w:val="center"/>
              </w:trPr>
              <w:tc>
                <w:tcPr>
                  <w:tcW w:w="776" w:type="dxa"/>
                  <w:tcBorders>
                    <w:tl2br w:val="nil"/>
                    <w:tr2bl w:val="nil"/>
                  </w:tcBorders>
                  <w:vAlign w:val="center"/>
                </w:tcPr>
                <w:p w14:paraId="7F2B76F0">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2298" w:type="dxa"/>
                  <w:tcBorders>
                    <w:tl2br w:val="nil"/>
                    <w:tr2bl w:val="nil"/>
                  </w:tcBorders>
                  <w:vAlign w:val="center"/>
                </w:tcPr>
                <w:p w14:paraId="1D0D5AB6">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菌种稀释用水</w:t>
                  </w:r>
                </w:p>
              </w:tc>
              <w:tc>
                <w:tcPr>
                  <w:tcW w:w="1493" w:type="dxa"/>
                  <w:tcBorders>
                    <w:tl2br w:val="nil"/>
                    <w:tr2bl w:val="nil"/>
                  </w:tcBorders>
                  <w:vAlign w:val="center"/>
                </w:tcPr>
                <w:p w14:paraId="1728316E">
                  <w:pPr>
                    <w:pStyle w:val="10"/>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1300L</w:t>
                  </w:r>
                </w:p>
              </w:tc>
              <w:tc>
                <w:tcPr>
                  <w:tcW w:w="2357" w:type="dxa"/>
                  <w:tcBorders>
                    <w:tl2br w:val="nil"/>
                    <w:tr2bl w:val="nil"/>
                  </w:tcBorders>
                  <w:vAlign w:val="center"/>
                </w:tcPr>
                <w:p w14:paraId="6FEBA600">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排放的废气</w:t>
                  </w:r>
                </w:p>
              </w:tc>
              <w:tc>
                <w:tcPr>
                  <w:tcW w:w="1615" w:type="dxa"/>
                  <w:tcBorders>
                    <w:tl2br w:val="nil"/>
                    <w:tr2bl w:val="nil"/>
                  </w:tcBorders>
                  <w:vAlign w:val="center"/>
                </w:tcPr>
                <w:p w14:paraId="702CFD02">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0.769t/a</w:t>
                  </w:r>
                </w:p>
              </w:tc>
            </w:tr>
            <w:tr w14:paraId="55451C4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90" w:hRule="atLeast"/>
                <w:jc w:val="center"/>
              </w:trPr>
              <w:tc>
                <w:tcPr>
                  <w:tcW w:w="776" w:type="dxa"/>
                  <w:tcBorders>
                    <w:tl2br w:val="nil"/>
                    <w:tr2bl w:val="nil"/>
                  </w:tcBorders>
                  <w:vAlign w:val="center"/>
                </w:tcPr>
                <w:p w14:paraId="106B23A1">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2298" w:type="dxa"/>
                  <w:tcBorders>
                    <w:tl2br w:val="nil"/>
                    <w:tr2bl w:val="nil"/>
                  </w:tcBorders>
                  <w:vAlign w:val="center"/>
                </w:tcPr>
                <w:p w14:paraId="0D63FD79">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1493" w:type="dxa"/>
                  <w:tcBorders>
                    <w:tl2br w:val="nil"/>
                    <w:tr2bl w:val="nil"/>
                  </w:tcBorders>
                  <w:vAlign w:val="center"/>
                </w:tcPr>
                <w:p w14:paraId="6938E4D5">
                  <w:pPr>
                    <w:pStyle w:val="10"/>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2357" w:type="dxa"/>
                  <w:tcBorders>
                    <w:tl2br w:val="nil"/>
                    <w:tr2bl w:val="nil"/>
                  </w:tcBorders>
                  <w:vAlign w:val="center"/>
                </w:tcPr>
                <w:p w14:paraId="5DAD805F">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活性炭吸附臭气</w:t>
                  </w:r>
                </w:p>
              </w:tc>
              <w:tc>
                <w:tcPr>
                  <w:tcW w:w="1615" w:type="dxa"/>
                  <w:tcBorders>
                    <w:tl2br w:val="nil"/>
                    <w:tr2bl w:val="nil"/>
                  </w:tcBorders>
                  <w:vAlign w:val="center"/>
                </w:tcPr>
                <w:p w14:paraId="45ABFF6A">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13.96t/a</w:t>
                  </w:r>
                </w:p>
              </w:tc>
            </w:tr>
            <w:tr w14:paraId="603F271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03" w:hRule="atLeast"/>
                <w:jc w:val="center"/>
              </w:trPr>
              <w:tc>
                <w:tcPr>
                  <w:tcW w:w="776" w:type="dxa"/>
                  <w:tcBorders>
                    <w:tl2br w:val="nil"/>
                    <w:tr2bl w:val="nil"/>
                  </w:tcBorders>
                  <w:vAlign w:val="center"/>
                </w:tcPr>
                <w:p w14:paraId="798C4359">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2298" w:type="dxa"/>
                  <w:tcBorders>
                    <w:tl2br w:val="nil"/>
                    <w:tr2bl w:val="nil"/>
                  </w:tcBorders>
                  <w:vAlign w:val="center"/>
                </w:tcPr>
                <w:p w14:paraId="23566F9B">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1493" w:type="dxa"/>
                  <w:tcBorders>
                    <w:tl2br w:val="nil"/>
                    <w:tr2bl w:val="nil"/>
                  </w:tcBorders>
                  <w:vAlign w:val="center"/>
                </w:tcPr>
                <w:p w14:paraId="2A13716F">
                  <w:pPr>
                    <w:pStyle w:val="10"/>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2357" w:type="dxa"/>
                  <w:tcBorders>
                    <w:tl2br w:val="nil"/>
                    <w:tr2bl w:val="nil"/>
                  </w:tcBorders>
                  <w:vAlign w:val="center"/>
                </w:tcPr>
                <w:p w14:paraId="41A62163">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除尘灰</w:t>
                  </w:r>
                </w:p>
              </w:tc>
              <w:tc>
                <w:tcPr>
                  <w:tcW w:w="1615" w:type="dxa"/>
                  <w:tcBorders>
                    <w:tl2br w:val="nil"/>
                    <w:tr2bl w:val="nil"/>
                  </w:tcBorders>
                  <w:vAlign w:val="center"/>
                </w:tcPr>
                <w:p w14:paraId="62C7D833">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76.98t/a</w:t>
                  </w:r>
                </w:p>
              </w:tc>
            </w:tr>
            <w:tr w14:paraId="5012EFB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03" w:hRule="atLeast"/>
                <w:jc w:val="center"/>
              </w:trPr>
              <w:tc>
                <w:tcPr>
                  <w:tcW w:w="3074" w:type="dxa"/>
                  <w:gridSpan w:val="2"/>
                  <w:tcBorders>
                    <w:tl2br w:val="nil"/>
                    <w:tr2bl w:val="nil"/>
                  </w:tcBorders>
                  <w:vAlign w:val="center"/>
                </w:tcPr>
                <w:p w14:paraId="73DE0AF0">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合计</w:t>
                  </w:r>
                </w:p>
              </w:tc>
              <w:tc>
                <w:tcPr>
                  <w:tcW w:w="1493" w:type="dxa"/>
                  <w:tcBorders>
                    <w:tl2br w:val="nil"/>
                    <w:tr2bl w:val="nil"/>
                  </w:tcBorders>
                  <w:vAlign w:val="center"/>
                </w:tcPr>
                <w:p w14:paraId="54AAD6BD">
                  <w:pPr>
                    <w:pStyle w:val="10"/>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79.6万t/a</w:t>
                  </w:r>
                </w:p>
              </w:tc>
              <w:tc>
                <w:tcPr>
                  <w:tcW w:w="2357" w:type="dxa"/>
                  <w:tcBorders>
                    <w:tl2br w:val="nil"/>
                    <w:tr2bl w:val="nil"/>
                  </w:tcBorders>
                  <w:vAlign w:val="center"/>
                </w:tcPr>
                <w:p w14:paraId="79855A92">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合计</w:t>
                  </w:r>
                </w:p>
              </w:tc>
              <w:tc>
                <w:tcPr>
                  <w:tcW w:w="1615" w:type="dxa"/>
                  <w:tcBorders>
                    <w:tl2br w:val="nil"/>
                    <w:tr2bl w:val="nil"/>
                  </w:tcBorders>
                  <w:vAlign w:val="center"/>
                </w:tcPr>
                <w:p w14:paraId="788F30ED">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79.6万t/a</w:t>
                  </w:r>
                </w:p>
              </w:tc>
            </w:tr>
          </w:tbl>
          <w:p w14:paraId="6EF5B7B2">
            <w:pPr>
              <w:pStyle w:val="96"/>
              <w:spacing w:before="120" w:beforeLines="50" w:line="240" w:lineRule="auto"/>
              <w:ind w:firstLine="0" w:firstLineChars="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表2-</w:t>
            </w:r>
            <w:r>
              <w:rPr>
                <w:rFonts w:hint="eastAsia" w:ascii="Times New Roman" w:hAnsi="Times New Roman" w:cs="Times New Roman"/>
                <w:b/>
                <w:color w:val="auto"/>
                <w:sz w:val="24"/>
                <w:szCs w:val="24"/>
                <w:highlight w:val="none"/>
                <w:lang w:val="en-US" w:eastAsia="zh-CN"/>
              </w:rPr>
              <w:t>4-2</w:t>
            </w:r>
            <w:r>
              <w:rPr>
                <w:rFonts w:hint="default" w:ascii="Times New Roman" w:hAnsi="Times New Roman" w:cs="Times New Roman"/>
                <w:b/>
                <w:color w:val="auto"/>
                <w:sz w:val="24"/>
                <w:szCs w:val="24"/>
                <w:highlight w:val="none"/>
              </w:rPr>
              <w:t xml:space="preserve">  </w:t>
            </w:r>
            <w:r>
              <w:rPr>
                <w:rFonts w:hint="eastAsia" w:ascii="Times New Roman" w:hAnsi="Times New Roman" w:cs="Times New Roman"/>
                <w:b/>
                <w:color w:val="auto"/>
                <w:sz w:val="24"/>
                <w:szCs w:val="24"/>
                <w:highlight w:val="none"/>
                <w:lang w:val="en-US" w:eastAsia="zh-CN"/>
              </w:rPr>
              <w:t>项目二期产品物料平衡</w:t>
            </w:r>
            <w:r>
              <w:rPr>
                <w:rFonts w:hint="default" w:ascii="Times New Roman" w:hAnsi="Times New Roman" w:cs="Times New Roman"/>
                <w:b/>
                <w:color w:val="auto"/>
                <w:sz w:val="24"/>
                <w:szCs w:val="24"/>
                <w:highlight w:val="none"/>
              </w:rPr>
              <w:t>表</w:t>
            </w:r>
          </w:p>
          <w:tbl>
            <w:tblPr>
              <w:tblStyle w:val="33"/>
              <w:tblW w:w="853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776"/>
              <w:gridCol w:w="2298"/>
              <w:gridCol w:w="1493"/>
              <w:gridCol w:w="2357"/>
              <w:gridCol w:w="1615"/>
            </w:tblGrid>
            <w:tr w14:paraId="5EA2DEC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08" w:hRule="atLeast"/>
                <w:jc w:val="center"/>
              </w:trPr>
              <w:tc>
                <w:tcPr>
                  <w:tcW w:w="4567" w:type="dxa"/>
                  <w:gridSpan w:val="3"/>
                  <w:tcBorders>
                    <w:tl2br w:val="nil"/>
                    <w:tr2bl w:val="nil"/>
                  </w:tcBorders>
                  <w:vAlign w:val="center"/>
                </w:tcPr>
                <w:p w14:paraId="4E998DB3">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投入</w:t>
                  </w:r>
                </w:p>
              </w:tc>
              <w:tc>
                <w:tcPr>
                  <w:tcW w:w="3972" w:type="dxa"/>
                  <w:gridSpan w:val="2"/>
                  <w:tcBorders>
                    <w:tl2br w:val="nil"/>
                    <w:tr2bl w:val="nil"/>
                  </w:tcBorders>
                  <w:vAlign w:val="center"/>
                </w:tcPr>
                <w:p w14:paraId="7E13F3CB">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产出</w:t>
                  </w:r>
                </w:p>
              </w:tc>
            </w:tr>
            <w:tr w14:paraId="798F657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487" w:hRule="atLeast"/>
                <w:jc w:val="center"/>
              </w:trPr>
              <w:tc>
                <w:tcPr>
                  <w:tcW w:w="776" w:type="dxa"/>
                  <w:tcBorders>
                    <w:tl2br w:val="nil"/>
                    <w:tr2bl w:val="nil"/>
                  </w:tcBorders>
                  <w:vAlign w:val="center"/>
                </w:tcPr>
                <w:p w14:paraId="25F799DF">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2298" w:type="dxa"/>
                  <w:tcBorders>
                    <w:tl2br w:val="nil"/>
                    <w:tr2bl w:val="nil"/>
                  </w:tcBorders>
                  <w:vAlign w:val="center"/>
                </w:tcPr>
                <w:p w14:paraId="6F16C33F">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物料名称</w:t>
                  </w:r>
                </w:p>
              </w:tc>
              <w:tc>
                <w:tcPr>
                  <w:tcW w:w="1493" w:type="dxa"/>
                  <w:tcBorders>
                    <w:tl2br w:val="nil"/>
                    <w:tr2bl w:val="nil"/>
                  </w:tcBorders>
                  <w:vAlign w:val="center"/>
                </w:tcPr>
                <w:p w14:paraId="5B2F7A83">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用量</w:t>
                  </w:r>
                </w:p>
              </w:tc>
              <w:tc>
                <w:tcPr>
                  <w:tcW w:w="2357" w:type="dxa"/>
                  <w:tcBorders>
                    <w:tl2br w:val="nil"/>
                    <w:tr2bl w:val="nil"/>
                  </w:tcBorders>
                  <w:vAlign w:val="center"/>
                </w:tcPr>
                <w:p w14:paraId="586F19C3">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物料名称</w:t>
                  </w:r>
                </w:p>
              </w:tc>
              <w:tc>
                <w:tcPr>
                  <w:tcW w:w="1615" w:type="dxa"/>
                  <w:tcBorders>
                    <w:tl2br w:val="nil"/>
                    <w:tr2bl w:val="nil"/>
                  </w:tcBorders>
                  <w:vAlign w:val="center"/>
                </w:tcPr>
                <w:p w14:paraId="320FE61A">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产量</w:t>
                  </w:r>
                </w:p>
              </w:tc>
            </w:tr>
            <w:tr w14:paraId="29D7D8B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03" w:hRule="atLeast"/>
                <w:jc w:val="center"/>
              </w:trPr>
              <w:tc>
                <w:tcPr>
                  <w:tcW w:w="8539" w:type="dxa"/>
                  <w:gridSpan w:val="5"/>
                  <w:tcBorders>
                    <w:tl2br w:val="nil"/>
                    <w:tr2bl w:val="nil"/>
                  </w:tcBorders>
                  <w:vAlign w:val="center"/>
                </w:tcPr>
                <w:p w14:paraId="4FB20E75">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高端有机肥（二期产品）</w:t>
                  </w:r>
                </w:p>
              </w:tc>
            </w:tr>
            <w:tr w14:paraId="12AD394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03" w:hRule="atLeast"/>
                <w:jc w:val="center"/>
              </w:trPr>
              <w:tc>
                <w:tcPr>
                  <w:tcW w:w="776" w:type="dxa"/>
                  <w:tcBorders>
                    <w:tl2br w:val="nil"/>
                    <w:tr2bl w:val="nil"/>
                  </w:tcBorders>
                  <w:vAlign w:val="center"/>
                </w:tcPr>
                <w:p w14:paraId="07F40E66">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2298" w:type="dxa"/>
                  <w:tcBorders>
                    <w:tl2br w:val="nil"/>
                    <w:tr2bl w:val="nil"/>
                  </w:tcBorders>
                  <w:vAlign w:val="center"/>
                </w:tcPr>
                <w:p w14:paraId="2912818B">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养殖粪污</w:t>
                  </w:r>
                </w:p>
                <w:p w14:paraId="65051605">
                  <w:pPr>
                    <w:widowControl/>
                    <w:jc w:val="center"/>
                    <w:rPr>
                      <w:rFonts w:hint="eastAsia" w:cs="Times New Roman"/>
                      <w:b w:val="0"/>
                      <w:bCs w:val="0"/>
                      <w:color w:val="auto"/>
                      <w:sz w:val="21"/>
                      <w:szCs w:val="21"/>
                      <w:highlight w:val="none"/>
                      <w:vertAlign w:val="baseline"/>
                      <w:lang w:val="en-US" w:eastAsia="zh-CN"/>
                    </w:rPr>
                  </w:pP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含水率70%的</w:t>
                  </w:r>
                  <w:r>
                    <w:rPr>
                      <w:rFonts w:hint="eastAsia" w:ascii="Times New Roman" w:hAnsi="Times New Roman" w:cs="Times New Roman"/>
                      <w:color w:val="auto"/>
                      <w:kern w:val="0"/>
                      <w:szCs w:val="21"/>
                      <w:highlight w:val="none"/>
                      <w:lang w:val="en-US" w:eastAsia="zh-CN"/>
                    </w:rPr>
                    <w:t>牛粪</w:t>
                  </w:r>
                  <w:r>
                    <w:rPr>
                      <w:rFonts w:hint="eastAsia" w:ascii="Times New Roman" w:hAnsi="Times New Roman" w:cs="Times New Roman"/>
                      <w:color w:val="auto"/>
                      <w:kern w:val="0"/>
                      <w:szCs w:val="21"/>
                      <w:highlight w:val="none"/>
                      <w:lang w:eastAsia="zh-CN"/>
                    </w:rPr>
                    <w:t>）</w:t>
                  </w:r>
                </w:p>
              </w:tc>
              <w:tc>
                <w:tcPr>
                  <w:tcW w:w="1493" w:type="dxa"/>
                  <w:tcBorders>
                    <w:tl2br w:val="nil"/>
                    <w:tr2bl w:val="nil"/>
                  </w:tcBorders>
                  <w:vAlign w:val="center"/>
                </w:tcPr>
                <w:p w14:paraId="7A2EB262">
                  <w:pPr>
                    <w:pStyle w:val="10"/>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8.424万t/a</w:t>
                  </w:r>
                </w:p>
              </w:tc>
              <w:tc>
                <w:tcPr>
                  <w:tcW w:w="2357" w:type="dxa"/>
                  <w:tcBorders>
                    <w:tl2br w:val="nil"/>
                    <w:tr2bl w:val="nil"/>
                  </w:tcBorders>
                  <w:vAlign w:val="center"/>
                </w:tcPr>
                <w:p w14:paraId="22015356">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颗粒有机肥</w:t>
                  </w:r>
                </w:p>
                <w:p w14:paraId="6B237373">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（含水率30%）</w:t>
                  </w:r>
                </w:p>
              </w:tc>
              <w:tc>
                <w:tcPr>
                  <w:tcW w:w="1615" w:type="dxa"/>
                  <w:tcBorders>
                    <w:tl2br w:val="nil"/>
                    <w:tr2bl w:val="nil"/>
                  </w:tcBorders>
                  <w:vAlign w:val="center"/>
                </w:tcPr>
                <w:p w14:paraId="0EB90DC1">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2万t/a</w:t>
                  </w:r>
                </w:p>
              </w:tc>
            </w:tr>
            <w:tr w14:paraId="2E824AA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03" w:hRule="atLeast"/>
                <w:jc w:val="center"/>
              </w:trPr>
              <w:tc>
                <w:tcPr>
                  <w:tcW w:w="776" w:type="dxa"/>
                  <w:tcBorders>
                    <w:tl2br w:val="nil"/>
                    <w:tr2bl w:val="nil"/>
                  </w:tcBorders>
                  <w:vAlign w:val="center"/>
                </w:tcPr>
                <w:p w14:paraId="786E319D">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w:t>
                  </w:r>
                </w:p>
              </w:tc>
              <w:tc>
                <w:tcPr>
                  <w:tcW w:w="2298" w:type="dxa"/>
                  <w:tcBorders>
                    <w:tl2br w:val="nil"/>
                    <w:tr2bl w:val="nil"/>
                  </w:tcBorders>
                  <w:vAlign w:val="center"/>
                </w:tcPr>
                <w:p w14:paraId="7B714A53">
                  <w:pPr>
                    <w:widowControl/>
                    <w:jc w:val="center"/>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农作物秸秆</w:t>
                  </w:r>
                </w:p>
                <w:p w14:paraId="00F67FDC">
                  <w:pPr>
                    <w:widowControl/>
                    <w:jc w:val="center"/>
                    <w:rPr>
                      <w:rFonts w:hint="eastAsia" w:cs="Times New Roman"/>
                      <w:b w:val="0"/>
                      <w:bCs w:val="0"/>
                      <w:color w:val="auto"/>
                      <w:sz w:val="21"/>
                      <w:szCs w:val="21"/>
                      <w:highlight w:val="none"/>
                      <w:vertAlign w:val="baseline"/>
                      <w:lang w:val="en-US" w:eastAsia="zh-CN"/>
                    </w:rPr>
                  </w:pPr>
                  <w:r>
                    <w:rPr>
                      <w:rFonts w:hint="eastAsia" w:cs="Times New Roman"/>
                      <w:color w:val="auto"/>
                      <w:kern w:val="0"/>
                      <w:szCs w:val="21"/>
                      <w:highlight w:val="none"/>
                      <w:lang w:val="en-US" w:eastAsia="zh-CN"/>
                    </w:rPr>
                    <w:t>（含水率30%）</w:t>
                  </w:r>
                </w:p>
              </w:tc>
              <w:tc>
                <w:tcPr>
                  <w:tcW w:w="1493" w:type="dxa"/>
                  <w:tcBorders>
                    <w:tl2br w:val="nil"/>
                    <w:tr2bl w:val="nil"/>
                  </w:tcBorders>
                  <w:vAlign w:val="center"/>
                </w:tcPr>
                <w:p w14:paraId="175D9A19">
                  <w:pPr>
                    <w:pStyle w:val="10"/>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3.276万t/a</w:t>
                  </w:r>
                </w:p>
              </w:tc>
              <w:tc>
                <w:tcPr>
                  <w:tcW w:w="2357" w:type="dxa"/>
                  <w:tcBorders>
                    <w:tl2br w:val="nil"/>
                    <w:tr2bl w:val="nil"/>
                  </w:tcBorders>
                  <w:vAlign w:val="center"/>
                </w:tcPr>
                <w:p w14:paraId="627B3D93">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粉末有机肥</w:t>
                  </w:r>
                </w:p>
                <w:p w14:paraId="29A6B9E3">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（含水率30%）</w:t>
                  </w:r>
                </w:p>
              </w:tc>
              <w:tc>
                <w:tcPr>
                  <w:tcW w:w="1615" w:type="dxa"/>
                  <w:tcBorders>
                    <w:tl2br w:val="nil"/>
                    <w:tr2bl w:val="nil"/>
                  </w:tcBorders>
                  <w:vAlign w:val="center"/>
                </w:tcPr>
                <w:p w14:paraId="4EBC9899">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2万t/a</w:t>
                  </w:r>
                </w:p>
              </w:tc>
            </w:tr>
            <w:tr w14:paraId="6F4142C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298" w:hRule="atLeast"/>
                <w:jc w:val="center"/>
              </w:trPr>
              <w:tc>
                <w:tcPr>
                  <w:tcW w:w="776" w:type="dxa"/>
                  <w:tcBorders>
                    <w:tl2br w:val="nil"/>
                    <w:tr2bl w:val="nil"/>
                  </w:tcBorders>
                  <w:vAlign w:val="center"/>
                </w:tcPr>
                <w:p w14:paraId="7261D282">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w:t>
                  </w:r>
                </w:p>
              </w:tc>
              <w:tc>
                <w:tcPr>
                  <w:tcW w:w="2298" w:type="dxa"/>
                  <w:tcBorders>
                    <w:tl2br w:val="nil"/>
                    <w:tr2bl w:val="nil"/>
                  </w:tcBorders>
                  <w:vAlign w:val="center"/>
                </w:tcPr>
                <w:p w14:paraId="2B2DA8B9">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腐熟菌种（1、2、3、号菌）</w:t>
                  </w:r>
                </w:p>
              </w:tc>
              <w:tc>
                <w:tcPr>
                  <w:tcW w:w="1493" w:type="dxa"/>
                  <w:tcBorders>
                    <w:tl2br w:val="nil"/>
                    <w:tr2bl w:val="nil"/>
                  </w:tcBorders>
                  <w:vAlign w:val="center"/>
                </w:tcPr>
                <w:p w14:paraId="2AD98FDD">
                  <w:pPr>
                    <w:pStyle w:val="10"/>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2L</w:t>
                  </w:r>
                </w:p>
              </w:tc>
              <w:tc>
                <w:tcPr>
                  <w:tcW w:w="2357" w:type="dxa"/>
                  <w:tcBorders>
                    <w:tl2br w:val="nil"/>
                    <w:tr2bl w:val="nil"/>
                  </w:tcBorders>
                  <w:vAlign w:val="center"/>
                </w:tcPr>
                <w:p w14:paraId="27739AEC">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挥发水分</w:t>
                  </w:r>
                </w:p>
              </w:tc>
              <w:tc>
                <w:tcPr>
                  <w:tcW w:w="1615" w:type="dxa"/>
                  <w:tcBorders>
                    <w:tl2br w:val="nil"/>
                    <w:tr2bl w:val="nil"/>
                  </w:tcBorders>
                  <w:vAlign w:val="center"/>
                </w:tcPr>
                <w:p w14:paraId="534223D5">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8.09万t/a</w:t>
                  </w:r>
                </w:p>
              </w:tc>
            </w:tr>
            <w:tr w14:paraId="1DBBC8E6">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03" w:hRule="atLeast"/>
                <w:jc w:val="center"/>
              </w:trPr>
              <w:tc>
                <w:tcPr>
                  <w:tcW w:w="776" w:type="dxa"/>
                  <w:tcBorders>
                    <w:tl2br w:val="nil"/>
                    <w:tr2bl w:val="nil"/>
                  </w:tcBorders>
                  <w:vAlign w:val="center"/>
                </w:tcPr>
                <w:p w14:paraId="6F932D02">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w:t>
                  </w:r>
                </w:p>
              </w:tc>
              <w:tc>
                <w:tcPr>
                  <w:tcW w:w="2298" w:type="dxa"/>
                  <w:tcBorders>
                    <w:tl2br w:val="nil"/>
                    <w:tr2bl w:val="nil"/>
                  </w:tcBorders>
                  <w:vAlign w:val="center"/>
                </w:tcPr>
                <w:p w14:paraId="434667ED">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功能菌种</w:t>
                  </w:r>
                </w:p>
              </w:tc>
              <w:tc>
                <w:tcPr>
                  <w:tcW w:w="1493" w:type="dxa"/>
                  <w:tcBorders>
                    <w:tl2br w:val="nil"/>
                    <w:tr2bl w:val="nil"/>
                  </w:tcBorders>
                  <w:vAlign w:val="center"/>
                </w:tcPr>
                <w:p w14:paraId="125A2C00">
                  <w:pPr>
                    <w:pStyle w:val="10"/>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2L</w:t>
                  </w:r>
                </w:p>
              </w:tc>
              <w:tc>
                <w:tcPr>
                  <w:tcW w:w="2357" w:type="dxa"/>
                  <w:tcBorders>
                    <w:tl2br w:val="nil"/>
                    <w:tr2bl w:val="nil"/>
                  </w:tcBorders>
                  <w:vAlign w:val="center"/>
                </w:tcPr>
                <w:p w14:paraId="1C301BEC">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排放的废气</w:t>
                  </w:r>
                </w:p>
              </w:tc>
              <w:tc>
                <w:tcPr>
                  <w:tcW w:w="1615" w:type="dxa"/>
                  <w:tcBorders>
                    <w:tl2br w:val="nil"/>
                    <w:tr2bl w:val="nil"/>
                  </w:tcBorders>
                  <w:vAlign w:val="center"/>
                </w:tcPr>
                <w:p w14:paraId="5CB374D2">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0.118t/a</w:t>
                  </w:r>
                </w:p>
              </w:tc>
            </w:tr>
            <w:tr w14:paraId="604D6F7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03" w:hRule="atLeast"/>
                <w:jc w:val="center"/>
              </w:trPr>
              <w:tc>
                <w:tcPr>
                  <w:tcW w:w="776" w:type="dxa"/>
                  <w:tcBorders>
                    <w:tl2br w:val="nil"/>
                    <w:tr2bl w:val="nil"/>
                  </w:tcBorders>
                  <w:vAlign w:val="center"/>
                </w:tcPr>
                <w:p w14:paraId="60644D9E">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9</w:t>
                  </w:r>
                </w:p>
              </w:tc>
              <w:tc>
                <w:tcPr>
                  <w:tcW w:w="2298" w:type="dxa"/>
                  <w:tcBorders>
                    <w:tl2br w:val="nil"/>
                    <w:tr2bl w:val="nil"/>
                  </w:tcBorders>
                  <w:vAlign w:val="center"/>
                </w:tcPr>
                <w:p w14:paraId="6568BDD5">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菌种稀释用水</w:t>
                  </w:r>
                </w:p>
              </w:tc>
              <w:tc>
                <w:tcPr>
                  <w:tcW w:w="1493" w:type="dxa"/>
                  <w:tcBorders>
                    <w:tl2br w:val="nil"/>
                    <w:tr2bl w:val="nil"/>
                  </w:tcBorders>
                  <w:vAlign w:val="center"/>
                </w:tcPr>
                <w:p w14:paraId="2C0F7F96">
                  <w:pPr>
                    <w:pStyle w:val="10"/>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400L</w:t>
                  </w:r>
                </w:p>
              </w:tc>
              <w:tc>
                <w:tcPr>
                  <w:tcW w:w="2357" w:type="dxa"/>
                  <w:tcBorders>
                    <w:tl2br w:val="nil"/>
                    <w:tr2bl w:val="nil"/>
                  </w:tcBorders>
                  <w:vAlign w:val="center"/>
                </w:tcPr>
                <w:p w14:paraId="17FC6160">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除尘灰</w:t>
                  </w:r>
                </w:p>
              </w:tc>
              <w:tc>
                <w:tcPr>
                  <w:tcW w:w="1615" w:type="dxa"/>
                  <w:tcBorders>
                    <w:tl2br w:val="nil"/>
                    <w:tr2bl w:val="nil"/>
                  </w:tcBorders>
                  <w:vAlign w:val="center"/>
                </w:tcPr>
                <w:p w14:paraId="5FCD608D">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11.82t/a</w:t>
                  </w:r>
                </w:p>
              </w:tc>
            </w:tr>
            <w:tr w14:paraId="049B8A63">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84" w:hRule="atLeast"/>
                <w:jc w:val="center"/>
              </w:trPr>
              <w:tc>
                <w:tcPr>
                  <w:tcW w:w="3074" w:type="dxa"/>
                  <w:gridSpan w:val="2"/>
                  <w:tcBorders>
                    <w:tl2br w:val="nil"/>
                    <w:tr2bl w:val="nil"/>
                  </w:tcBorders>
                  <w:vAlign w:val="center"/>
                </w:tcPr>
                <w:p w14:paraId="3401D649">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合计</w:t>
                  </w:r>
                </w:p>
              </w:tc>
              <w:tc>
                <w:tcPr>
                  <w:tcW w:w="1493" w:type="dxa"/>
                  <w:tcBorders>
                    <w:tl2br w:val="nil"/>
                    <w:tr2bl w:val="nil"/>
                  </w:tcBorders>
                  <w:vAlign w:val="center"/>
                </w:tcPr>
                <w:p w14:paraId="29BABE7A">
                  <w:pPr>
                    <w:pStyle w:val="10"/>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12.1万t/a</w:t>
                  </w:r>
                </w:p>
              </w:tc>
              <w:tc>
                <w:tcPr>
                  <w:tcW w:w="2357" w:type="dxa"/>
                  <w:tcBorders>
                    <w:tl2br w:val="nil"/>
                    <w:tr2bl w:val="nil"/>
                  </w:tcBorders>
                  <w:vAlign w:val="center"/>
                </w:tcPr>
                <w:p w14:paraId="719AABCE">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合计</w:t>
                  </w:r>
                </w:p>
              </w:tc>
              <w:tc>
                <w:tcPr>
                  <w:tcW w:w="1615" w:type="dxa"/>
                  <w:tcBorders>
                    <w:tl2br w:val="nil"/>
                    <w:tr2bl w:val="nil"/>
                  </w:tcBorders>
                  <w:vAlign w:val="center"/>
                </w:tcPr>
                <w:p w14:paraId="6C4B4D57">
                  <w:pPr>
                    <w:pStyle w:val="1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12.1万t/a</w:t>
                  </w:r>
                </w:p>
              </w:tc>
            </w:tr>
          </w:tbl>
          <w:p w14:paraId="4EED4DB7">
            <w:pPr>
              <w:pStyle w:val="96"/>
              <w:keepNext w:val="0"/>
              <w:keepLines w:val="0"/>
              <w:pageBreakBefore w:val="0"/>
              <w:widowControl w:val="0"/>
              <w:kinsoku/>
              <w:wordWrap/>
              <w:overflowPunct/>
              <w:topLinePunct w:val="0"/>
              <w:autoSpaceDE/>
              <w:autoSpaceDN/>
              <w:bidi w:val="0"/>
              <w:spacing w:line="440" w:lineRule="exact"/>
              <w:ind w:firstLine="48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color w:val="auto"/>
                <w:sz w:val="24"/>
                <w:szCs w:val="24"/>
                <w:highlight w:val="none"/>
              </w:rPr>
              <w:t>产品质量需满足</w:t>
            </w:r>
            <w:r>
              <w:rPr>
                <w:rFonts w:hint="default" w:ascii="Times New Roman" w:hAnsi="Times New Roman" w:cs="Times New Roman"/>
                <w:color w:val="auto"/>
                <w:sz w:val="24"/>
                <w:szCs w:val="24"/>
                <w:highlight w:val="none"/>
                <w:lang w:val="en-US" w:eastAsia="zh-CN"/>
              </w:rPr>
              <w:t>《中华人民共和国农业行业标准（NY/T525-2021）——有机肥料》</w:t>
            </w:r>
            <w:r>
              <w:rPr>
                <w:rFonts w:hint="default" w:ascii="Times New Roman" w:hAnsi="Times New Roman" w:cs="Times New Roman"/>
                <w:color w:val="auto"/>
                <w:sz w:val="24"/>
                <w:szCs w:val="24"/>
                <w:highlight w:val="none"/>
              </w:rPr>
              <w:t>的标准限值要求。具体标准值见下表。</w:t>
            </w:r>
          </w:p>
          <w:p w14:paraId="5C3E824B">
            <w:pPr>
              <w:keepNext w:val="0"/>
              <w:keepLines w:val="0"/>
              <w:pageBreakBefore w:val="0"/>
              <w:widowControl w:val="0"/>
              <w:kinsoku/>
              <w:wordWrap/>
              <w:overflowPunct/>
              <w:topLinePunct w:val="0"/>
              <w:autoSpaceDE/>
              <w:autoSpaceDN/>
              <w:bidi w:val="0"/>
              <w:spacing w:line="440" w:lineRule="exact"/>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表2-</w:t>
            </w:r>
            <w:r>
              <w:rPr>
                <w:rFonts w:hint="eastAsia" w:cs="Times New Roman"/>
                <w:b/>
                <w:color w:val="auto"/>
                <w:sz w:val="24"/>
                <w:szCs w:val="24"/>
                <w:highlight w:val="none"/>
                <w:lang w:val="en-US" w:eastAsia="zh-CN"/>
              </w:rPr>
              <w:t>5</w:t>
            </w:r>
            <w:r>
              <w:rPr>
                <w:rFonts w:hint="default" w:ascii="Times New Roman" w:hAnsi="Times New Roman" w:cs="Times New Roman"/>
                <w:b/>
                <w:color w:val="auto"/>
                <w:sz w:val="24"/>
                <w:szCs w:val="24"/>
                <w:highlight w:val="none"/>
              </w:rPr>
              <w:t xml:space="preserve"> </w:t>
            </w:r>
            <w:r>
              <w:rPr>
                <w:rFonts w:hint="eastAsia" w:cs="Times New Roman"/>
                <w:b/>
                <w:color w:val="auto"/>
                <w:sz w:val="24"/>
                <w:szCs w:val="24"/>
                <w:highlight w:val="none"/>
                <w:lang w:val="en-US" w:eastAsia="zh-CN"/>
              </w:rPr>
              <w:t>摘录</w:t>
            </w:r>
            <w:r>
              <w:rPr>
                <w:rFonts w:hint="default" w:ascii="Times New Roman" w:hAnsi="Times New Roman" w:cs="Times New Roman"/>
                <w:b/>
                <w:color w:val="auto"/>
                <w:sz w:val="24"/>
                <w:szCs w:val="24"/>
                <w:highlight w:val="none"/>
                <w:lang w:val="en-US" w:eastAsia="zh-CN"/>
              </w:rPr>
              <w:t>《中华人民共和国农业行业标准（NY/T525-2021）</w:t>
            </w:r>
            <w:r>
              <w:rPr>
                <w:rFonts w:hint="eastAsia" w:cs="Times New Roman"/>
                <w:b/>
                <w:color w:val="auto"/>
                <w:sz w:val="24"/>
                <w:szCs w:val="24"/>
                <w:highlight w:val="none"/>
                <w:lang w:val="en-US" w:eastAsia="zh-CN"/>
              </w:rPr>
              <w:t>—</w:t>
            </w:r>
            <w:r>
              <w:rPr>
                <w:rFonts w:hint="default" w:ascii="Times New Roman" w:hAnsi="Times New Roman" w:cs="Times New Roman"/>
                <w:b/>
                <w:color w:val="auto"/>
                <w:sz w:val="24"/>
                <w:szCs w:val="24"/>
                <w:highlight w:val="none"/>
                <w:lang w:val="en-US" w:eastAsia="zh-CN"/>
              </w:rPr>
              <w:t>有机肥料》</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72"/>
              <w:gridCol w:w="3214"/>
            </w:tblGrid>
            <w:tr w14:paraId="48EC5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8" w:type="pct"/>
                  <w:tcBorders>
                    <w:tl2br w:val="nil"/>
                    <w:tr2bl w:val="nil"/>
                  </w:tcBorders>
                  <w:noWrap w:val="0"/>
                  <w:vAlign w:val="center"/>
                </w:tcPr>
                <w:p w14:paraId="54A727D7">
                  <w:pPr>
                    <w:pStyle w:val="9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项目</w:t>
                  </w:r>
                </w:p>
              </w:tc>
              <w:tc>
                <w:tcPr>
                  <w:tcW w:w="1871" w:type="pct"/>
                  <w:tcBorders>
                    <w:tl2br w:val="nil"/>
                    <w:tr2bl w:val="nil"/>
                  </w:tcBorders>
                  <w:noWrap w:val="0"/>
                  <w:vAlign w:val="center"/>
                </w:tcPr>
                <w:p w14:paraId="679F4E9D">
                  <w:pPr>
                    <w:pStyle w:val="9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kern w:val="0"/>
                      <w:szCs w:val="21"/>
                      <w:highlight w:val="none"/>
                    </w:rPr>
                  </w:pPr>
                  <w:r>
                    <w:rPr>
                      <w:rFonts w:hint="eastAsia" w:cs="Times New Roman"/>
                      <w:b/>
                      <w:bCs/>
                      <w:color w:val="auto"/>
                      <w:kern w:val="0"/>
                      <w:szCs w:val="21"/>
                      <w:highlight w:val="none"/>
                      <w:lang w:val="en-US" w:eastAsia="zh-CN"/>
                    </w:rPr>
                    <w:t>技术指标</w:t>
                  </w:r>
                  <w:r>
                    <w:rPr>
                      <w:rFonts w:hint="default" w:ascii="Times New Roman" w:hAnsi="Times New Roman" w:cs="Times New Roman"/>
                      <w:b/>
                      <w:bCs/>
                      <w:color w:val="auto"/>
                      <w:kern w:val="0"/>
                      <w:szCs w:val="21"/>
                      <w:highlight w:val="none"/>
                    </w:rPr>
                    <w:cr/>
                  </w:r>
                </w:p>
              </w:tc>
            </w:tr>
            <w:tr w14:paraId="67A0A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8" w:type="pct"/>
                  <w:tcBorders>
                    <w:tl2br w:val="nil"/>
                    <w:tr2bl w:val="nil"/>
                  </w:tcBorders>
                  <w:noWrap w:val="0"/>
                  <w:vAlign w:val="center"/>
                </w:tcPr>
                <w:p w14:paraId="35999A1A">
                  <w:pPr>
                    <w:pStyle w:val="9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有机质</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以干基计</w:t>
                  </w:r>
                  <w:r>
                    <w:rPr>
                      <w:rFonts w:hint="eastAsia" w:cs="Times New Roman"/>
                      <w:color w:val="auto"/>
                      <w:kern w:val="0"/>
                      <w:szCs w:val="21"/>
                      <w:highlight w:val="none"/>
                      <w:lang w:eastAsia="zh-CN"/>
                    </w:rPr>
                    <w:t xml:space="preserve">）， </w:t>
                  </w:r>
                  <w:r>
                    <w:rPr>
                      <w:rFonts w:hint="default" w:ascii="Times New Roman" w:hAnsi="Times New Roman" w:cs="Times New Roman"/>
                      <w:color w:val="auto"/>
                      <w:kern w:val="0"/>
                      <w:szCs w:val="21"/>
                      <w:highlight w:val="none"/>
                    </w:rPr>
                    <w:t>%</w:t>
                  </w:r>
                </w:p>
              </w:tc>
              <w:tc>
                <w:tcPr>
                  <w:tcW w:w="1871" w:type="pct"/>
                  <w:tcBorders>
                    <w:tl2br w:val="nil"/>
                    <w:tr2bl w:val="nil"/>
                  </w:tcBorders>
                  <w:noWrap w:val="0"/>
                  <w:vAlign w:val="center"/>
                </w:tcPr>
                <w:p w14:paraId="2BBC52BD">
                  <w:pPr>
                    <w:pStyle w:val="9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w:t>
                  </w:r>
                </w:p>
              </w:tc>
            </w:tr>
            <w:tr w14:paraId="57DC3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8" w:type="pct"/>
                  <w:tcBorders>
                    <w:tl2br w:val="nil"/>
                    <w:tr2bl w:val="nil"/>
                  </w:tcBorders>
                  <w:noWrap w:val="0"/>
                  <w:vAlign w:val="center"/>
                </w:tcPr>
                <w:p w14:paraId="60081887">
                  <w:pPr>
                    <w:pStyle w:val="9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总养分（N+PO+KO）的质量分数（以烘干基计），%</w:t>
                  </w:r>
                </w:p>
              </w:tc>
              <w:tc>
                <w:tcPr>
                  <w:tcW w:w="1871" w:type="pct"/>
                  <w:tcBorders>
                    <w:tl2br w:val="nil"/>
                    <w:tr2bl w:val="nil"/>
                  </w:tcBorders>
                  <w:noWrap w:val="0"/>
                  <w:vAlign w:val="center"/>
                </w:tcPr>
                <w:p w14:paraId="6E7E860C">
                  <w:pPr>
                    <w:pStyle w:val="9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p>
              </w:tc>
            </w:tr>
            <w:tr w14:paraId="43C14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8" w:type="pct"/>
                  <w:tcBorders>
                    <w:tl2br w:val="nil"/>
                    <w:tr2bl w:val="nil"/>
                  </w:tcBorders>
                  <w:noWrap w:val="0"/>
                  <w:vAlign w:val="center"/>
                </w:tcPr>
                <w:p w14:paraId="4EE38AB4">
                  <w:pPr>
                    <w:pStyle w:val="9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水分</w:t>
                  </w: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鲜样</w:t>
                  </w:r>
                  <w:r>
                    <w:rPr>
                      <w:rFonts w:hint="eastAsia" w:cs="Times New Roman"/>
                      <w:color w:val="auto"/>
                      <w:kern w:val="0"/>
                      <w:szCs w:val="21"/>
                      <w:highlight w:val="none"/>
                      <w:lang w:eastAsia="zh-CN"/>
                    </w:rPr>
                    <w:t>）的</w:t>
                  </w:r>
                  <w:r>
                    <w:rPr>
                      <w:rFonts w:hint="eastAsia" w:cs="Times New Roman"/>
                      <w:color w:val="auto"/>
                      <w:kern w:val="0"/>
                      <w:szCs w:val="21"/>
                      <w:highlight w:val="none"/>
                      <w:lang w:val="en-US" w:eastAsia="zh-CN"/>
                    </w:rPr>
                    <w:t>质量分数</w:t>
                  </w:r>
                  <w:r>
                    <w:rPr>
                      <w:rFonts w:hint="default" w:ascii="Times New Roman" w:hAnsi="Times New Roman" w:cs="Times New Roman"/>
                      <w:color w:val="auto"/>
                      <w:kern w:val="0"/>
                      <w:szCs w:val="21"/>
                      <w:highlight w:val="none"/>
                    </w:rPr>
                    <w:t>，%</w:t>
                  </w:r>
                </w:p>
              </w:tc>
              <w:tc>
                <w:tcPr>
                  <w:tcW w:w="1871" w:type="pct"/>
                  <w:tcBorders>
                    <w:tl2br w:val="nil"/>
                    <w:tr2bl w:val="nil"/>
                  </w:tcBorders>
                  <w:noWrap w:val="0"/>
                  <w:vAlign w:val="center"/>
                </w:tcPr>
                <w:p w14:paraId="35A7DB09">
                  <w:pPr>
                    <w:pStyle w:val="9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w:t>
                  </w:r>
                </w:p>
              </w:tc>
            </w:tr>
            <w:tr w14:paraId="65481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8" w:type="pct"/>
                  <w:tcBorders>
                    <w:tl2br w:val="nil"/>
                    <w:tr2bl w:val="nil"/>
                  </w:tcBorders>
                  <w:noWrap w:val="0"/>
                  <w:vAlign w:val="center"/>
                </w:tcPr>
                <w:p w14:paraId="30C8AB21">
                  <w:pPr>
                    <w:pStyle w:val="9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酸碱度（pH）</w:t>
                  </w:r>
                </w:p>
              </w:tc>
              <w:tc>
                <w:tcPr>
                  <w:tcW w:w="1871" w:type="pct"/>
                  <w:tcBorders>
                    <w:tl2br w:val="nil"/>
                    <w:tr2bl w:val="nil"/>
                  </w:tcBorders>
                  <w:noWrap w:val="0"/>
                  <w:vAlign w:val="center"/>
                </w:tcPr>
                <w:p w14:paraId="51C009C0">
                  <w:pPr>
                    <w:pStyle w:val="9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5.5~8.5</w:t>
                  </w:r>
                </w:p>
              </w:tc>
            </w:tr>
            <w:tr w14:paraId="3453B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8" w:type="pct"/>
                  <w:tcBorders>
                    <w:tl2br w:val="nil"/>
                    <w:tr2bl w:val="nil"/>
                  </w:tcBorders>
                  <w:noWrap w:val="0"/>
                  <w:vAlign w:val="center"/>
                </w:tcPr>
                <w:p w14:paraId="5CE63A55">
                  <w:pPr>
                    <w:pStyle w:val="9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种子发芽指数（GI），%</w:t>
                  </w:r>
                </w:p>
              </w:tc>
              <w:tc>
                <w:tcPr>
                  <w:tcW w:w="1871" w:type="pct"/>
                  <w:tcBorders>
                    <w:tl2br w:val="nil"/>
                    <w:tr2bl w:val="nil"/>
                  </w:tcBorders>
                  <w:noWrap w:val="0"/>
                  <w:vAlign w:val="center"/>
                </w:tcPr>
                <w:p w14:paraId="183AABBC">
                  <w:pPr>
                    <w:pStyle w:val="9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≥70</w:t>
                  </w:r>
                </w:p>
              </w:tc>
            </w:tr>
            <w:tr w14:paraId="15306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28" w:type="pct"/>
                  <w:tcBorders>
                    <w:tl2br w:val="nil"/>
                    <w:tr2bl w:val="nil"/>
                  </w:tcBorders>
                  <w:noWrap w:val="0"/>
                  <w:vAlign w:val="center"/>
                </w:tcPr>
                <w:p w14:paraId="1FA36318">
                  <w:pPr>
                    <w:pStyle w:val="9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szCs w:val="21"/>
                      <w:highlight w:val="none"/>
                      <w:lang w:val="en-US" w:eastAsia="zh-CN"/>
                    </w:rPr>
                    <w:t>机械杂质的质量分数，%</w:t>
                  </w:r>
                </w:p>
              </w:tc>
              <w:tc>
                <w:tcPr>
                  <w:tcW w:w="1871" w:type="pct"/>
                  <w:tcBorders>
                    <w:tl2br w:val="nil"/>
                    <w:tr2bl w:val="nil"/>
                  </w:tcBorders>
                  <w:noWrap w:val="0"/>
                  <w:vAlign w:val="center"/>
                </w:tcPr>
                <w:p w14:paraId="4D239C41">
                  <w:pPr>
                    <w:pStyle w:val="9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≤0.5</w:t>
                  </w:r>
                </w:p>
              </w:tc>
            </w:tr>
            <w:tr w14:paraId="21210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28" w:type="pct"/>
                  <w:tcBorders>
                    <w:tl2br w:val="nil"/>
                    <w:tr2bl w:val="nil"/>
                  </w:tcBorders>
                  <w:noWrap w:val="0"/>
                  <w:vAlign w:val="center"/>
                </w:tcPr>
                <w:p w14:paraId="19D4A0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总砷（As）（</w:t>
                  </w:r>
                  <w:r>
                    <w:rPr>
                      <w:rFonts w:hint="default" w:ascii="Times New Roman" w:hAnsi="Times New Roman" w:cs="Times New Roman"/>
                      <w:color w:val="auto"/>
                      <w:highlight w:val="none"/>
                    </w:rPr>
                    <w:cr/>
                  </w:r>
                  <w:r>
                    <w:rPr>
                      <w:rFonts w:hint="default" w:ascii="Times New Roman" w:hAnsi="Times New Roman" w:cs="Times New Roman"/>
                      <w:color w:val="auto"/>
                      <w:highlight w:val="none"/>
                    </w:rPr>
                    <w:t>烘干基计）</w:t>
                  </w:r>
                </w:p>
              </w:tc>
              <w:tc>
                <w:tcPr>
                  <w:tcW w:w="1871" w:type="pct"/>
                  <w:tcBorders>
                    <w:tl2br w:val="nil"/>
                    <w:tr2bl w:val="nil"/>
                  </w:tcBorders>
                  <w:noWrap w:val="0"/>
                  <w:vAlign w:val="center"/>
                </w:tcPr>
                <w:p w14:paraId="42E751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r w14:paraId="00C27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28" w:type="pct"/>
                  <w:tcBorders>
                    <w:tl2br w:val="nil"/>
                    <w:tr2bl w:val="nil"/>
                  </w:tcBorders>
                  <w:noWrap w:val="0"/>
                  <w:vAlign w:val="center"/>
                </w:tcPr>
                <w:p w14:paraId="62D1F1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总汞（Hg）（</w:t>
                  </w:r>
                  <w:r>
                    <w:rPr>
                      <w:rFonts w:hint="default" w:ascii="Times New Roman" w:hAnsi="Times New Roman" w:cs="Times New Roman"/>
                      <w:color w:val="auto"/>
                      <w:highlight w:val="none"/>
                    </w:rPr>
                    <w:cr/>
                  </w:r>
                  <w:r>
                    <w:rPr>
                      <w:rFonts w:hint="default" w:ascii="Times New Roman" w:hAnsi="Times New Roman" w:cs="Times New Roman"/>
                      <w:color w:val="auto"/>
                      <w:highlight w:val="none"/>
                    </w:rPr>
                    <w:t>烘干基计）</w:t>
                  </w:r>
                </w:p>
              </w:tc>
              <w:tc>
                <w:tcPr>
                  <w:tcW w:w="1871" w:type="pct"/>
                  <w:tcBorders>
                    <w:tl2br w:val="nil"/>
                    <w:tr2bl w:val="nil"/>
                  </w:tcBorders>
                  <w:noWrap w:val="0"/>
                  <w:vAlign w:val="center"/>
                </w:tcPr>
                <w:p w14:paraId="1DFBED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r>
            <w:tr w14:paraId="57853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28" w:type="pct"/>
                  <w:tcBorders>
                    <w:tl2br w:val="nil"/>
                    <w:tr2bl w:val="nil"/>
                  </w:tcBorders>
                  <w:noWrap w:val="0"/>
                  <w:vAlign w:val="center"/>
                </w:tcPr>
                <w:p w14:paraId="5B4DE7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总铅（Pb）（以烘干基计）</w:t>
                  </w:r>
                </w:p>
              </w:tc>
              <w:tc>
                <w:tcPr>
                  <w:tcW w:w="1871" w:type="pct"/>
                  <w:tcBorders>
                    <w:tl2br w:val="nil"/>
                    <w:tr2bl w:val="nil"/>
                  </w:tcBorders>
                  <w:noWrap w:val="0"/>
                  <w:vAlign w:val="center"/>
                </w:tcPr>
                <w:p w14:paraId="44521D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r>
            <w:tr w14:paraId="2777E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28" w:type="pct"/>
                  <w:tcBorders>
                    <w:tl2br w:val="nil"/>
                    <w:tr2bl w:val="nil"/>
                  </w:tcBorders>
                  <w:noWrap w:val="0"/>
                  <w:vAlign w:val="center"/>
                </w:tcPr>
                <w:p w14:paraId="4ABEB5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总镉（Cd）（以烘干基计）</w:t>
                  </w:r>
                </w:p>
              </w:tc>
              <w:tc>
                <w:tcPr>
                  <w:tcW w:w="1871" w:type="pct"/>
                  <w:tcBorders>
                    <w:tl2br w:val="nil"/>
                    <w:tr2bl w:val="nil"/>
                  </w:tcBorders>
                  <w:noWrap w:val="0"/>
                  <w:vAlign w:val="center"/>
                </w:tcPr>
                <w:p w14:paraId="3C51CA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r>
            <w:tr w14:paraId="2009F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28" w:type="pct"/>
                  <w:tcBorders>
                    <w:tl2br w:val="nil"/>
                    <w:tr2bl w:val="nil"/>
                  </w:tcBorders>
                  <w:noWrap w:val="0"/>
                  <w:vAlign w:val="center"/>
                </w:tcPr>
                <w:p w14:paraId="5AAC41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总铬（Cr）（以烘干基计）</w:t>
                  </w:r>
                </w:p>
              </w:tc>
              <w:tc>
                <w:tcPr>
                  <w:tcW w:w="1871" w:type="pct"/>
                  <w:tcBorders>
                    <w:tl2br w:val="nil"/>
                    <w:tr2bl w:val="nil"/>
                  </w:tcBorders>
                  <w:noWrap w:val="0"/>
                  <w:vAlign w:val="center"/>
                </w:tcPr>
                <w:p w14:paraId="2C368DC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r>
            <w:tr w14:paraId="2A92C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28" w:type="pct"/>
                  <w:tcBorders>
                    <w:tl2br w:val="nil"/>
                    <w:tr2bl w:val="nil"/>
                  </w:tcBorders>
                  <w:noWrap w:val="0"/>
                  <w:vAlign w:val="center"/>
                </w:tcPr>
                <w:p w14:paraId="1489DE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粪大肠杆菌群数，个/g</w:t>
                  </w:r>
                </w:p>
              </w:tc>
              <w:tc>
                <w:tcPr>
                  <w:tcW w:w="1871" w:type="pct"/>
                  <w:tcBorders>
                    <w:tl2br w:val="nil"/>
                    <w:tr2bl w:val="nil"/>
                  </w:tcBorders>
                  <w:noWrap w:val="0"/>
                  <w:vAlign w:val="center"/>
                </w:tcPr>
                <w:p w14:paraId="51D603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r>
            <w:tr w14:paraId="4D237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28" w:type="pct"/>
                  <w:tcBorders>
                    <w:tl2br w:val="nil"/>
                    <w:tr2bl w:val="nil"/>
                  </w:tcBorders>
                  <w:noWrap w:val="0"/>
                  <w:vAlign w:val="center"/>
                </w:tcPr>
                <w:p w14:paraId="1E35BC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蛔虫卵死亡率，%</w:t>
                  </w:r>
                </w:p>
              </w:tc>
              <w:tc>
                <w:tcPr>
                  <w:tcW w:w="1871" w:type="pct"/>
                  <w:tcBorders>
                    <w:tl2br w:val="nil"/>
                    <w:tr2bl w:val="nil"/>
                  </w:tcBorders>
                  <w:noWrap w:val="0"/>
                  <w:vAlign w:val="center"/>
                </w:tcPr>
                <w:p w14:paraId="545FE3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≥95</w:t>
                  </w:r>
                </w:p>
              </w:tc>
            </w:tr>
            <w:tr w14:paraId="351AF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28" w:type="pct"/>
                  <w:tcBorders>
                    <w:tl2br w:val="nil"/>
                    <w:tr2bl w:val="nil"/>
                  </w:tcBorders>
                  <w:noWrap w:val="0"/>
                  <w:vAlign w:val="center"/>
                </w:tcPr>
                <w:p w14:paraId="7F0E34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氯离子的质量分数，%</w:t>
                  </w:r>
                </w:p>
              </w:tc>
              <w:tc>
                <w:tcPr>
                  <w:tcW w:w="1871" w:type="pct"/>
                  <w:tcBorders>
                    <w:tl2br w:val="nil"/>
                    <w:tr2bl w:val="nil"/>
                  </w:tcBorders>
                  <w:noWrap w:val="0"/>
                  <w:vAlign w:val="center"/>
                </w:tcPr>
                <w:p w14:paraId="3535065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w:t>
                  </w:r>
                </w:p>
              </w:tc>
            </w:tr>
            <w:tr w14:paraId="1A6DC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28" w:type="pct"/>
                  <w:tcBorders>
                    <w:tl2br w:val="nil"/>
                    <w:tr2bl w:val="nil"/>
                  </w:tcBorders>
                  <w:noWrap w:val="0"/>
                  <w:vAlign w:val="center"/>
                </w:tcPr>
                <w:p w14:paraId="0A49F1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杂草种子活性，株/kg</w:t>
                  </w:r>
                </w:p>
              </w:tc>
              <w:tc>
                <w:tcPr>
                  <w:tcW w:w="1871" w:type="pct"/>
                  <w:tcBorders>
                    <w:tl2br w:val="nil"/>
                    <w:tr2bl w:val="nil"/>
                  </w:tcBorders>
                  <w:noWrap w:val="0"/>
                  <w:vAlign w:val="center"/>
                </w:tcPr>
                <w:p w14:paraId="0AF95C1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w:t>
                  </w:r>
                </w:p>
              </w:tc>
            </w:tr>
          </w:tbl>
          <w:p w14:paraId="075FB9DE">
            <w:pPr>
              <w:spacing w:line="360" w:lineRule="auto"/>
              <w:jc w:val="left"/>
              <w:rPr>
                <w:rFonts w:hint="default" w:ascii="Times New Roman" w:hAnsi="Times New Roman" w:cs="Times New Roman"/>
                <w:b/>
                <w:bCs/>
                <w:color w:val="auto"/>
                <w:sz w:val="24"/>
                <w:szCs w:val="21"/>
                <w:highlight w:val="none"/>
              </w:rPr>
            </w:pPr>
            <w:r>
              <w:rPr>
                <w:rFonts w:hint="default" w:ascii="Times New Roman" w:hAnsi="Times New Roman" w:cs="Times New Roman"/>
                <w:b/>
                <w:bCs/>
                <w:color w:val="auto"/>
                <w:sz w:val="24"/>
                <w:szCs w:val="21"/>
                <w:highlight w:val="none"/>
              </w:rPr>
              <w:t>6、公用工程</w:t>
            </w:r>
          </w:p>
          <w:p w14:paraId="290D3D5C">
            <w:pPr>
              <w:spacing w:line="360" w:lineRule="auto"/>
              <w:ind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6.1给水系统</w:t>
            </w:r>
          </w:p>
          <w:p w14:paraId="77F05E1A">
            <w:pPr>
              <w:pStyle w:val="10"/>
              <w:spacing w:after="0" w:line="360" w:lineRule="auto"/>
              <w:ind w:firstLine="480" w:firstLineChars="200"/>
              <w:rPr>
                <w:rFonts w:hint="default" w:ascii="Times New Roman" w:hAnsi="Times New Roman" w:cs="Times New Roman"/>
                <w:color w:val="auto"/>
                <w:kern w:val="2"/>
                <w:sz w:val="24"/>
                <w:szCs w:val="21"/>
                <w:highlight w:val="none"/>
              </w:rPr>
            </w:pPr>
            <w:r>
              <w:rPr>
                <w:rFonts w:hint="default" w:ascii="Times New Roman" w:hAnsi="Times New Roman" w:cs="Times New Roman"/>
                <w:color w:val="auto"/>
                <w:kern w:val="2"/>
                <w:sz w:val="24"/>
                <w:szCs w:val="21"/>
                <w:highlight w:val="none"/>
              </w:rPr>
              <w:t>（1）生活用水</w:t>
            </w:r>
          </w:p>
          <w:p w14:paraId="684318F8">
            <w:pPr>
              <w:spacing w:line="360" w:lineRule="auto"/>
              <w:ind w:firstLine="48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本项目劳动定员</w:t>
            </w:r>
            <w:r>
              <w:rPr>
                <w:rFonts w:hint="eastAsia" w:cs="Times New Roman"/>
                <w:color w:val="auto"/>
                <w:sz w:val="24"/>
                <w:szCs w:val="21"/>
                <w:highlight w:val="none"/>
                <w:lang w:val="en-US" w:eastAsia="zh-CN"/>
              </w:rPr>
              <w:t>20</w:t>
            </w:r>
            <w:r>
              <w:rPr>
                <w:rFonts w:hint="default" w:ascii="Times New Roman" w:hAnsi="Times New Roman" w:cs="Times New Roman"/>
                <w:color w:val="auto"/>
                <w:sz w:val="24"/>
                <w:szCs w:val="21"/>
                <w:highlight w:val="none"/>
              </w:rPr>
              <w:t>人，根据《内蒙古自治区地方标准行业用水定额》（DB15/T 385-2020），生活用水量按60L/人·d，则职工生活用水量为</w:t>
            </w:r>
            <w:r>
              <w:rPr>
                <w:rFonts w:hint="eastAsia" w:cs="Times New Roman"/>
                <w:color w:val="auto"/>
                <w:sz w:val="24"/>
                <w:szCs w:val="21"/>
                <w:highlight w:val="none"/>
                <w:lang w:val="en-US" w:eastAsia="zh-CN"/>
              </w:rPr>
              <w:t>1.2</w:t>
            </w:r>
            <w:r>
              <w:rPr>
                <w:rFonts w:hint="default" w:ascii="Times New Roman" w:hAnsi="Times New Roman" w:cs="Times New Roman"/>
                <w:color w:val="auto"/>
                <w:sz w:val="24"/>
                <w:szCs w:val="21"/>
                <w:highlight w:val="none"/>
              </w:rPr>
              <w:t>m</w:t>
            </w:r>
            <w:r>
              <w:rPr>
                <w:rFonts w:hint="default" w:ascii="Times New Roman" w:hAnsi="Times New Roman" w:cs="Times New Roman"/>
                <w:color w:val="auto"/>
                <w:sz w:val="24"/>
                <w:szCs w:val="21"/>
                <w:highlight w:val="none"/>
                <w:vertAlign w:val="superscript"/>
              </w:rPr>
              <w:t>3</w:t>
            </w:r>
            <w:r>
              <w:rPr>
                <w:rFonts w:hint="default" w:ascii="Times New Roman" w:hAnsi="Times New Roman" w:cs="Times New Roman"/>
                <w:color w:val="auto"/>
                <w:sz w:val="24"/>
                <w:szCs w:val="21"/>
                <w:highlight w:val="none"/>
              </w:rPr>
              <w:t>/d（</w:t>
            </w:r>
            <w:r>
              <w:rPr>
                <w:rFonts w:hint="eastAsia" w:cs="Times New Roman"/>
                <w:color w:val="auto"/>
                <w:sz w:val="24"/>
                <w:szCs w:val="21"/>
                <w:highlight w:val="none"/>
                <w:lang w:val="en-US" w:eastAsia="zh-CN"/>
              </w:rPr>
              <w:t>360</w:t>
            </w:r>
            <w:r>
              <w:rPr>
                <w:rFonts w:hint="default" w:ascii="Times New Roman" w:hAnsi="Times New Roman" w:cs="Times New Roman"/>
                <w:color w:val="auto"/>
                <w:sz w:val="24"/>
                <w:szCs w:val="21"/>
                <w:highlight w:val="none"/>
              </w:rPr>
              <w:t>m</w:t>
            </w:r>
            <w:r>
              <w:rPr>
                <w:rFonts w:hint="default" w:ascii="Times New Roman" w:hAnsi="Times New Roman" w:cs="Times New Roman"/>
                <w:color w:val="auto"/>
                <w:sz w:val="24"/>
                <w:szCs w:val="21"/>
                <w:highlight w:val="none"/>
                <w:vertAlign w:val="superscript"/>
              </w:rPr>
              <w:t>3</w:t>
            </w:r>
            <w:r>
              <w:rPr>
                <w:rFonts w:hint="default" w:ascii="Times New Roman" w:hAnsi="Times New Roman" w:cs="Times New Roman"/>
                <w:color w:val="auto"/>
                <w:sz w:val="24"/>
                <w:szCs w:val="21"/>
                <w:highlight w:val="none"/>
              </w:rPr>
              <w:t>/a）。</w:t>
            </w:r>
          </w:p>
          <w:p w14:paraId="3322C76B">
            <w:pPr>
              <w:spacing w:line="360" w:lineRule="auto"/>
              <w:ind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（2）生产用水</w:t>
            </w:r>
          </w:p>
          <w:p w14:paraId="200A8402">
            <w:pPr>
              <w:pStyle w:val="29"/>
              <w:spacing w:before="0" w:beforeAutospacing="0" w:after="0" w:afterAutospacing="0" w:line="360" w:lineRule="auto"/>
              <w:ind w:firstLine="480" w:firstLineChars="200"/>
              <w:jc w:val="both"/>
              <w:rPr>
                <w:rFonts w:hint="default" w:ascii="Times New Roman" w:hAnsi="Times New Roman" w:cs="Times New Roman"/>
                <w:color w:val="auto"/>
                <w:sz w:val="24"/>
                <w:szCs w:val="21"/>
                <w:highlight w:val="none"/>
              </w:rPr>
            </w:pPr>
            <w:r>
              <w:rPr>
                <w:rFonts w:hint="eastAsia" w:ascii="Times New Roman" w:hAnsi="Times New Roman" w:cs="Times New Roman"/>
                <w:color w:val="auto"/>
                <w:sz w:val="24"/>
                <w:szCs w:val="21"/>
                <w:highlight w:val="none"/>
                <w:lang w:val="en-US" w:eastAsia="zh-CN"/>
              </w:rPr>
              <w:t>水洗塔用水：根据建设单位提供资料，水洗塔除臭设备加水量为2t，补水量为0.2t/月，水洗塔喷淋用水循环使用，定期排水至塑料吨桶内暂存于生产车间，发酵稀释菌种时使用（本项目有机肥发酵周期为20~30天，因此菌种稀释用水可与水洗塔排水衔接）。</w:t>
            </w:r>
          </w:p>
          <w:p w14:paraId="21977D34">
            <w:pPr>
              <w:spacing w:line="360" w:lineRule="auto"/>
              <w:ind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6.2排水系统</w:t>
            </w:r>
          </w:p>
          <w:p w14:paraId="5F65D6B8">
            <w:pPr>
              <w:pStyle w:val="10"/>
              <w:spacing w:after="0" w:line="360" w:lineRule="auto"/>
              <w:ind w:firstLine="480" w:firstLineChars="200"/>
              <w:rPr>
                <w:rFonts w:hint="eastAsia" w:eastAsia="宋体"/>
                <w:color w:val="auto"/>
                <w:highlight w:val="none"/>
                <w:lang w:eastAsia="zh-CN"/>
              </w:rPr>
            </w:pPr>
            <w:r>
              <w:rPr>
                <w:rFonts w:hint="eastAsia" w:cs="Times New Roman"/>
                <w:color w:val="auto"/>
                <w:kern w:val="2"/>
                <w:sz w:val="24"/>
                <w:szCs w:val="21"/>
                <w:highlight w:val="none"/>
                <w:lang w:val="en-US" w:eastAsia="zh-CN"/>
              </w:rPr>
              <w:t xml:space="preserve">本项目生产用水主要用于水洗塔除臭设备，此过程喷淋用水循环使用。因此，本项目的排水为生活污水排放、水洗塔换水。 </w:t>
            </w:r>
          </w:p>
          <w:p w14:paraId="4F1397EC">
            <w:pPr>
              <w:pStyle w:val="10"/>
              <w:spacing w:after="0" w:line="360" w:lineRule="auto"/>
              <w:ind w:firstLine="480" w:firstLineChars="200"/>
              <w:rPr>
                <w:rFonts w:hint="default" w:ascii="Times New Roman" w:hAnsi="Times New Roman" w:cs="Times New Roman"/>
                <w:color w:val="auto"/>
                <w:kern w:val="2"/>
                <w:sz w:val="24"/>
                <w:szCs w:val="21"/>
                <w:highlight w:val="none"/>
              </w:rPr>
            </w:pPr>
            <w:r>
              <w:rPr>
                <w:rFonts w:hint="default" w:ascii="Times New Roman" w:hAnsi="Times New Roman" w:cs="Times New Roman"/>
                <w:color w:val="auto"/>
                <w:kern w:val="2"/>
                <w:sz w:val="24"/>
                <w:szCs w:val="21"/>
                <w:highlight w:val="none"/>
              </w:rPr>
              <w:t>（1）生活污水</w:t>
            </w:r>
          </w:p>
          <w:p w14:paraId="3593D5CE">
            <w:pPr>
              <w:adjustRightInd w:val="0"/>
              <w:snapToGrid w:val="0"/>
              <w:spacing w:line="360" w:lineRule="auto"/>
              <w:ind w:firstLine="480" w:firstLineChars="200"/>
              <w:jc w:val="left"/>
              <w:rPr>
                <w:rFonts w:hint="default" w:ascii="Times New Roman" w:hAnsi="Times New Roman" w:cs="Times New Roman"/>
                <w:color w:val="auto"/>
                <w:kern w:val="0"/>
                <w:sz w:val="24"/>
                <w:szCs w:val="21"/>
                <w:highlight w:val="none"/>
              </w:rPr>
            </w:pPr>
            <w:r>
              <w:rPr>
                <w:rFonts w:hint="default" w:ascii="Times New Roman" w:hAnsi="Times New Roman" w:cs="Times New Roman"/>
                <w:color w:val="auto"/>
                <w:sz w:val="24"/>
                <w:szCs w:val="21"/>
                <w:highlight w:val="none"/>
              </w:rPr>
              <w:t>生活污水产生系数以0.8计，则生活污水量为0</w:t>
            </w:r>
            <w:r>
              <w:rPr>
                <w:rFonts w:hint="eastAsia" w:cs="Times New Roman"/>
                <w:color w:val="auto"/>
                <w:sz w:val="24"/>
                <w:szCs w:val="21"/>
                <w:highlight w:val="none"/>
                <w:lang w:val="en-US" w:eastAsia="zh-CN"/>
              </w:rPr>
              <w:t>.96</w:t>
            </w:r>
            <w:r>
              <w:rPr>
                <w:rFonts w:hint="default" w:ascii="Times New Roman" w:hAnsi="Times New Roman" w:cs="Times New Roman"/>
                <w:color w:val="auto"/>
                <w:sz w:val="24"/>
                <w:szCs w:val="21"/>
                <w:highlight w:val="none"/>
              </w:rPr>
              <w:t>m</w:t>
            </w:r>
            <w:r>
              <w:rPr>
                <w:rFonts w:hint="default" w:ascii="Times New Roman" w:hAnsi="Times New Roman" w:cs="Times New Roman"/>
                <w:color w:val="auto"/>
                <w:sz w:val="24"/>
                <w:szCs w:val="21"/>
                <w:highlight w:val="none"/>
                <w:vertAlign w:val="superscript"/>
              </w:rPr>
              <w:t>3</w:t>
            </w:r>
            <w:r>
              <w:rPr>
                <w:rFonts w:hint="default" w:ascii="Times New Roman" w:hAnsi="Times New Roman" w:cs="Times New Roman"/>
                <w:b/>
                <w:color w:val="auto"/>
                <w:sz w:val="24"/>
                <w:szCs w:val="21"/>
                <w:highlight w:val="none"/>
              </w:rPr>
              <w:t>/</w:t>
            </w:r>
            <w:r>
              <w:rPr>
                <w:rFonts w:hint="default" w:ascii="Times New Roman" w:hAnsi="Times New Roman" w:cs="Times New Roman"/>
                <w:color w:val="auto"/>
                <w:sz w:val="24"/>
                <w:szCs w:val="21"/>
                <w:highlight w:val="none"/>
              </w:rPr>
              <w:t>d（</w:t>
            </w:r>
            <w:r>
              <w:rPr>
                <w:rFonts w:hint="eastAsia" w:cs="Times New Roman"/>
                <w:color w:val="auto"/>
                <w:sz w:val="24"/>
                <w:szCs w:val="21"/>
                <w:highlight w:val="none"/>
                <w:lang w:val="en-US" w:eastAsia="zh-CN"/>
              </w:rPr>
              <w:t>288</w:t>
            </w:r>
            <w:r>
              <w:rPr>
                <w:rFonts w:hint="default" w:ascii="Times New Roman" w:hAnsi="Times New Roman" w:cs="Times New Roman"/>
                <w:color w:val="auto"/>
                <w:sz w:val="24"/>
                <w:szCs w:val="21"/>
                <w:highlight w:val="none"/>
              </w:rPr>
              <w:t>m</w:t>
            </w:r>
            <w:r>
              <w:rPr>
                <w:rFonts w:hint="default" w:ascii="Times New Roman" w:hAnsi="Times New Roman" w:cs="Times New Roman"/>
                <w:color w:val="auto"/>
                <w:sz w:val="24"/>
                <w:szCs w:val="21"/>
                <w:highlight w:val="none"/>
                <w:vertAlign w:val="superscript"/>
              </w:rPr>
              <w:t>3</w:t>
            </w:r>
            <w:r>
              <w:rPr>
                <w:rFonts w:hint="default" w:ascii="Times New Roman" w:hAnsi="Times New Roman" w:cs="Times New Roman"/>
                <w:color w:val="auto"/>
                <w:sz w:val="24"/>
                <w:szCs w:val="21"/>
                <w:highlight w:val="none"/>
              </w:rPr>
              <w:t>/a），</w:t>
            </w:r>
            <w:r>
              <w:rPr>
                <w:rFonts w:hint="default" w:ascii="Times New Roman" w:hAnsi="Times New Roman" w:cs="Times New Roman"/>
                <w:color w:val="auto"/>
                <w:kern w:val="0"/>
                <w:sz w:val="24"/>
                <w:szCs w:val="21"/>
                <w:highlight w:val="none"/>
              </w:rPr>
              <w:t>生活污水经管道收集排至厂区</w:t>
            </w:r>
            <w:r>
              <w:rPr>
                <w:rFonts w:hint="eastAsia" w:cs="Times New Roman"/>
                <w:color w:val="auto"/>
                <w:kern w:val="0"/>
                <w:sz w:val="24"/>
                <w:szCs w:val="21"/>
                <w:highlight w:val="none"/>
                <w:lang w:val="en-US" w:eastAsia="zh-CN"/>
              </w:rPr>
              <w:t>玻璃钢</w:t>
            </w:r>
            <w:r>
              <w:rPr>
                <w:rFonts w:hint="default" w:ascii="Times New Roman" w:hAnsi="Times New Roman" w:cs="Times New Roman"/>
                <w:color w:val="auto"/>
                <w:kern w:val="0"/>
                <w:sz w:val="24"/>
                <w:szCs w:val="21"/>
                <w:highlight w:val="none"/>
              </w:rPr>
              <w:t>化粪池，</w:t>
            </w:r>
            <w:r>
              <w:rPr>
                <w:rFonts w:hint="eastAsia" w:cs="Times New Roman"/>
                <w:color w:val="auto"/>
                <w:kern w:val="0"/>
                <w:sz w:val="24"/>
                <w:szCs w:val="21"/>
                <w:highlight w:val="none"/>
                <w:lang w:val="en-US" w:eastAsia="zh-CN"/>
              </w:rPr>
              <w:t>玻璃钢</w:t>
            </w:r>
            <w:r>
              <w:rPr>
                <w:rFonts w:hint="eastAsia" w:ascii="Times New Roman" w:hAnsi="Times New Roman" w:cs="Times New Roman"/>
                <w:color w:val="auto"/>
                <w:sz w:val="24"/>
                <w:szCs w:val="21"/>
                <w:highlight w:val="none"/>
                <w:lang w:val="en-US" w:eastAsia="zh-CN"/>
              </w:rPr>
              <w:t>化粪池</w:t>
            </w:r>
            <w:r>
              <w:rPr>
                <w:rFonts w:hint="eastAsia" w:cs="Times New Roman"/>
                <w:color w:val="auto"/>
                <w:sz w:val="24"/>
                <w:szCs w:val="21"/>
                <w:highlight w:val="none"/>
                <w:lang w:val="en-US" w:eastAsia="zh-CN"/>
              </w:rPr>
              <w:t>内</w:t>
            </w:r>
            <w:r>
              <w:rPr>
                <w:rFonts w:hint="eastAsia" w:ascii="Times New Roman" w:hAnsi="Times New Roman" w:cs="Times New Roman"/>
                <w:color w:val="auto"/>
                <w:sz w:val="24"/>
                <w:szCs w:val="21"/>
                <w:highlight w:val="none"/>
                <w:lang w:val="en-US" w:eastAsia="zh-CN"/>
              </w:rPr>
              <w:t>生活污水委托环卫部门定期清运处理</w:t>
            </w:r>
            <w:r>
              <w:rPr>
                <w:rFonts w:hint="default" w:ascii="Times New Roman" w:hAnsi="Times New Roman" w:cs="Times New Roman"/>
                <w:color w:val="auto"/>
                <w:kern w:val="0"/>
                <w:sz w:val="24"/>
                <w:szCs w:val="21"/>
                <w:highlight w:val="none"/>
              </w:rPr>
              <w:t>。</w:t>
            </w:r>
          </w:p>
          <w:p w14:paraId="38BE0128">
            <w:pPr>
              <w:pStyle w:val="29"/>
              <w:spacing w:before="0" w:beforeAutospacing="0" w:after="0" w:afterAutospacing="0" w:line="360" w:lineRule="auto"/>
              <w:ind w:firstLine="480" w:firstLineChars="200"/>
              <w:jc w:val="both"/>
              <w:rPr>
                <w:rFonts w:hint="default" w:ascii="Times New Roman" w:hAnsi="Times New Roman" w:cs="Times New Roman"/>
                <w:color w:val="auto"/>
                <w:sz w:val="24"/>
                <w:szCs w:val="21"/>
                <w:highlight w:val="none"/>
                <w:lang w:val="en-US" w:eastAsia="zh-CN"/>
              </w:rPr>
            </w:pPr>
            <w:r>
              <w:rPr>
                <w:rFonts w:hint="eastAsia" w:ascii="Times New Roman" w:hAnsi="Times New Roman" w:cs="Times New Roman"/>
                <w:color w:val="auto"/>
                <w:sz w:val="24"/>
                <w:szCs w:val="21"/>
                <w:highlight w:val="none"/>
                <w:lang w:val="en-US" w:eastAsia="zh-CN"/>
              </w:rPr>
              <w:t>（2）生产废水</w:t>
            </w:r>
          </w:p>
          <w:p w14:paraId="76861383">
            <w:pPr>
              <w:pStyle w:val="29"/>
              <w:spacing w:before="0" w:beforeAutospacing="0" w:after="0" w:afterAutospacing="0" w:line="360" w:lineRule="auto"/>
              <w:ind w:firstLine="480" w:firstLineChars="200"/>
              <w:jc w:val="both"/>
              <w:rPr>
                <w:rFonts w:hint="eastAsia" w:eastAsia="宋体"/>
                <w:color w:val="auto"/>
                <w:highlight w:val="none"/>
                <w:lang w:eastAsia="zh-CN"/>
              </w:rPr>
            </w:pPr>
            <w:r>
              <w:rPr>
                <w:rFonts w:hint="eastAsia" w:ascii="Times New Roman" w:hAnsi="Times New Roman" w:cs="Times New Roman"/>
                <w:color w:val="auto"/>
                <w:sz w:val="24"/>
                <w:szCs w:val="21"/>
                <w:highlight w:val="none"/>
                <w:lang w:val="en-US" w:eastAsia="zh-CN"/>
              </w:rPr>
              <w:t>根据建设单位提供的资料，水洗塔除臭设备加水量为2t，补水量为0.2t/月，喷淋用水在水洗塔内循环使用，每月排水0.2t；水洗塔内水质主要含COD、SS、BOD</w:t>
            </w:r>
            <w:r>
              <w:rPr>
                <w:rFonts w:hint="eastAsia" w:ascii="Times New Roman" w:hAnsi="Times New Roman" w:cs="Times New Roman"/>
                <w:color w:val="auto"/>
                <w:sz w:val="24"/>
                <w:szCs w:val="21"/>
                <w:highlight w:val="none"/>
                <w:vertAlign w:val="subscript"/>
                <w:lang w:val="en-US" w:eastAsia="zh-CN"/>
              </w:rPr>
              <w:t>5</w:t>
            </w:r>
            <w:r>
              <w:rPr>
                <w:rFonts w:hint="eastAsia" w:ascii="Times New Roman" w:hAnsi="Times New Roman" w:cs="Times New Roman"/>
                <w:color w:val="auto"/>
                <w:sz w:val="24"/>
                <w:szCs w:val="21"/>
                <w:highlight w:val="none"/>
                <w:vertAlign w:val="baseline"/>
                <w:lang w:val="en-US" w:eastAsia="zh-CN"/>
              </w:rPr>
              <w:t>、</w:t>
            </w:r>
            <w:r>
              <w:rPr>
                <w:rFonts w:hint="eastAsia" w:ascii="Times New Roman" w:hAnsi="Times New Roman" w:cs="Times New Roman"/>
                <w:color w:val="auto"/>
                <w:sz w:val="24"/>
                <w:szCs w:val="21"/>
                <w:highlight w:val="none"/>
                <w:lang w:val="en-US" w:eastAsia="zh-CN"/>
              </w:rPr>
              <w:t>氨氮等，可用于稀释菌种，无法</w:t>
            </w:r>
            <w:r>
              <w:rPr>
                <w:rFonts w:hint="eastAsia"/>
                <w:color w:val="auto"/>
                <w:highlight w:val="none"/>
                <w:lang w:val="en-US" w:eastAsia="zh-CN"/>
              </w:rPr>
              <w:t>消纳的部分排入化粪池，由环卫部门定期清运处理；</w:t>
            </w:r>
            <w:r>
              <w:rPr>
                <w:rFonts w:hint="eastAsia" w:ascii="Times New Roman" w:hAnsi="Times New Roman" w:cs="Times New Roman"/>
                <w:color w:val="auto"/>
                <w:sz w:val="24"/>
                <w:szCs w:val="21"/>
                <w:highlight w:val="none"/>
                <w:lang w:val="en-US" w:eastAsia="zh-CN"/>
              </w:rPr>
              <w:t>排水定期暂存于生产车间内的塑料吨桶中，供发酵稀释菌种时使用（本项目有机肥发酵周期为20~30天，因此菌种稀释用水可与水洗塔排水衔接）。</w:t>
            </w:r>
          </w:p>
          <w:p w14:paraId="49088631">
            <w:pPr>
              <w:spacing w:line="360" w:lineRule="auto"/>
              <w:rPr>
                <w:rFonts w:hint="default" w:ascii="Times New Roman" w:hAnsi="Times New Roman" w:cs="Times New Roman"/>
                <w:b/>
                <w:bCs/>
                <w:color w:val="auto"/>
                <w:sz w:val="24"/>
                <w:szCs w:val="21"/>
                <w:highlight w:val="none"/>
              </w:rPr>
            </w:pPr>
            <w:r>
              <w:rPr>
                <w:rFonts w:hint="default" w:ascii="Times New Roman" w:hAnsi="Times New Roman" w:cs="Times New Roman"/>
                <w:b/>
                <w:bCs/>
                <w:color w:val="auto"/>
                <w:sz w:val="24"/>
                <w:szCs w:val="21"/>
                <w:highlight w:val="none"/>
              </w:rPr>
              <w:t>7、供电</w:t>
            </w:r>
          </w:p>
          <w:p w14:paraId="77AD0945">
            <w:pPr>
              <w:spacing w:line="360" w:lineRule="auto"/>
              <w:ind w:firstLine="480" w:firstLineChars="200"/>
              <w:rPr>
                <w:rFonts w:hint="default" w:ascii="Times New Roman" w:hAnsi="Times New Roman" w:cs="Times New Roman"/>
                <w:color w:val="auto"/>
                <w:sz w:val="24"/>
                <w:szCs w:val="21"/>
                <w:highlight w:val="none"/>
              </w:rPr>
            </w:pPr>
            <w:r>
              <w:rPr>
                <w:rFonts w:hint="eastAsia" w:cs="Times New Roman"/>
                <w:color w:val="auto"/>
                <w:sz w:val="24"/>
                <w:highlight w:val="none"/>
                <w:lang w:val="en-US" w:eastAsia="zh-CN"/>
              </w:rPr>
              <w:t>本项目</w:t>
            </w:r>
            <w:r>
              <w:rPr>
                <w:rFonts w:hint="default" w:ascii="Times New Roman" w:hAnsi="Times New Roman" w:cs="Times New Roman"/>
                <w:color w:val="auto"/>
                <w:sz w:val="24"/>
                <w:highlight w:val="none"/>
              </w:rPr>
              <w:t>配套建设供配电室1座，电源由供电高压线路接引，本项目建成后预计用电量为</w:t>
            </w:r>
            <w:r>
              <w:rPr>
                <w:rFonts w:hint="eastAsia" w:cs="Times New Roman"/>
                <w:color w:val="auto"/>
                <w:sz w:val="24"/>
                <w:highlight w:val="none"/>
                <w:lang w:val="en-US" w:eastAsia="zh-CN"/>
              </w:rPr>
              <w:t>39</w:t>
            </w:r>
            <w:r>
              <w:rPr>
                <w:rFonts w:hint="default" w:ascii="Times New Roman" w:hAnsi="Times New Roman" w:cs="Times New Roman"/>
                <w:color w:val="auto"/>
                <w:sz w:val="24"/>
                <w:highlight w:val="none"/>
              </w:rPr>
              <w:t>万kW·h/a。</w:t>
            </w:r>
          </w:p>
          <w:p w14:paraId="6557F12A">
            <w:pPr>
              <w:spacing w:line="360" w:lineRule="auto"/>
              <w:rPr>
                <w:rFonts w:hint="default" w:ascii="Times New Roman" w:hAnsi="Times New Roman" w:cs="Times New Roman"/>
                <w:b/>
                <w:bCs/>
                <w:color w:val="auto"/>
                <w:sz w:val="24"/>
                <w:szCs w:val="21"/>
                <w:highlight w:val="none"/>
              </w:rPr>
            </w:pPr>
            <w:r>
              <w:rPr>
                <w:rFonts w:hint="default" w:ascii="Times New Roman" w:hAnsi="Times New Roman" w:cs="Times New Roman"/>
                <w:b/>
                <w:bCs/>
                <w:color w:val="auto"/>
                <w:sz w:val="24"/>
                <w:szCs w:val="21"/>
                <w:highlight w:val="none"/>
              </w:rPr>
              <w:t>8、供暖</w:t>
            </w:r>
          </w:p>
          <w:p w14:paraId="21C03B91">
            <w:pPr>
              <w:adjustRightInd w:val="0"/>
              <w:snapToGrid w:val="0"/>
              <w:spacing w:line="360" w:lineRule="auto"/>
              <w:ind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highlight w:val="none"/>
              </w:rPr>
              <w:t>本项目冬季采用电采暖</w:t>
            </w:r>
            <w:r>
              <w:rPr>
                <w:rFonts w:hint="eastAsia" w:cs="Times New Roman"/>
                <w:color w:val="auto"/>
                <w:sz w:val="24"/>
                <w:highlight w:val="none"/>
                <w:lang w:eastAsia="zh-CN"/>
              </w:rPr>
              <w:t>，</w:t>
            </w:r>
            <w:r>
              <w:rPr>
                <w:rFonts w:hint="eastAsia" w:cs="Times New Roman"/>
                <w:color w:val="auto"/>
                <w:sz w:val="24"/>
                <w:highlight w:val="none"/>
                <w:lang w:val="en-US" w:eastAsia="zh-CN"/>
              </w:rPr>
              <w:t>项目无烘干工序，不建设相应的烘干设备</w:t>
            </w:r>
            <w:r>
              <w:rPr>
                <w:rFonts w:hint="default" w:ascii="Times New Roman" w:hAnsi="Times New Roman" w:cs="Times New Roman"/>
                <w:color w:val="auto"/>
                <w:sz w:val="24"/>
                <w:highlight w:val="none"/>
              </w:rPr>
              <w:t>。</w:t>
            </w:r>
          </w:p>
          <w:p w14:paraId="33AA97A4">
            <w:pPr>
              <w:adjustRightInd w:val="0"/>
              <w:snapToGrid w:val="0"/>
              <w:spacing w:line="360" w:lineRule="auto"/>
              <w:rPr>
                <w:rFonts w:hint="default" w:ascii="Times New Roman" w:hAnsi="Times New Roman" w:cs="Times New Roman"/>
                <w:b/>
                <w:bCs/>
                <w:color w:val="auto"/>
                <w:sz w:val="24"/>
                <w:szCs w:val="21"/>
                <w:highlight w:val="none"/>
              </w:rPr>
            </w:pPr>
            <w:r>
              <w:rPr>
                <w:rFonts w:hint="default" w:ascii="Times New Roman" w:hAnsi="Times New Roman" w:cs="Times New Roman"/>
                <w:b/>
                <w:bCs/>
                <w:color w:val="auto"/>
                <w:sz w:val="24"/>
                <w:szCs w:val="21"/>
                <w:highlight w:val="none"/>
              </w:rPr>
              <w:t>9、厂区平面布置</w:t>
            </w:r>
          </w:p>
          <w:p w14:paraId="24EE5271">
            <w:pPr>
              <w:adjustRightInd w:val="0"/>
              <w:snapToGrid w:val="0"/>
              <w:spacing w:line="360" w:lineRule="auto"/>
              <w:ind w:firstLine="480"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4"/>
                <w:szCs w:val="21"/>
                <w:highlight w:val="none"/>
              </w:rPr>
              <w:t>本项目</w:t>
            </w:r>
            <w:r>
              <w:rPr>
                <w:rFonts w:hint="eastAsia" w:cs="Times New Roman"/>
                <w:color w:val="auto"/>
                <w:sz w:val="24"/>
                <w:szCs w:val="21"/>
                <w:highlight w:val="none"/>
                <w:lang w:val="en-US" w:eastAsia="zh-CN"/>
              </w:rPr>
              <w:t>生产车间</w:t>
            </w:r>
            <w:r>
              <w:rPr>
                <w:rFonts w:hint="default" w:ascii="Times New Roman" w:hAnsi="Times New Roman" w:cs="Times New Roman"/>
                <w:color w:val="auto"/>
                <w:sz w:val="24"/>
                <w:szCs w:val="21"/>
                <w:highlight w:val="none"/>
                <w:lang w:val="en-US" w:eastAsia="zh-CN"/>
              </w:rPr>
              <w:t>、纳米膜发酵车间居中布置，设备沿工艺流程线性排布</w:t>
            </w:r>
            <w:r>
              <w:rPr>
                <w:rFonts w:hint="eastAsia" w:cs="Times New Roman"/>
                <w:color w:val="auto"/>
                <w:sz w:val="24"/>
                <w:szCs w:val="21"/>
                <w:highlight w:val="none"/>
                <w:lang w:val="en-US" w:eastAsia="zh-CN"/>
              </w:rPr>
              <w:t>；原料库位于生产区北侧，成品库紧邻生产区南侧，原料进厂→生产→成品出厂流线无交叉；办公管理区位于厂区主入口东侧，独立成区，与生产区设10m绿化隔离带</w:t>
            </w:r>
            <w:r>
              <w:rPr>
                <w:rFonts w:hint="default" w:ascii="Times New Roman" w:hAnsi="Times New Roman" w:cs="Times New Roman"/>
                <w:color w:val="auto"/>
                <w:sz w:val="24"/>
                <w:szCs w:val="21"/>
                <w:highlight w:val="none"/>
              </w:rPr>
              <w:t>。整体布局紧凑，便于生产。</w:t>
            </w:r>
            <w:r>
              <w:rPr>
                <w:rFonts w:hint="eastAsia" w:cs="Times New Roman"/>
                <w:color w:val="auto"/>
                <w:sz w:val="24"/>
                <w:szCs w:val="21"/>
                <w:highlight w:val="none"/>
                <w:lang w:val="en-US" w:eastAsia="zh-CN"/>
              </w:rPr>
              <w:t>厂区平面布置图见附图4。</w:t>
            </w:r>
          </w:p>
        </w:tc>
      </w:tr>
      <w:tr w14:paraId="2ED5B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noWrap w:val="0"/>
            <w:vAlign w:val="center"/>
          </w:tcPr>
          <w:p w14:paraId="084BBCCA">
            <w:pPr>
              <w:pStyle w:val="29"/>
              <w:adjustRightInd w:val="0"/>
              <w:snapToGrid w:val="0"/>
              <w:spacing w:before="0" w:beforeAutospacing="0" w:after="0" w:afterAutospacing="0" w:line="360" w:lineRule="auto"/>
              <w:jc w:val="center"/>
              <w:rPr>
                <w:rFonts w:hint="default" w:ascii="Times New Roman" w:hAnsi="Times New Roman" w:cs="Times New Roman"/>
                <w:b/>
                <w:bCs/>
                <w:color w:val="auto"/>
                <w:kern w:val="2"/>
                <w:szCs w:val="24"/>
                <w:highlight w:val="none"/>
              </w:rPr>
            </w:pPr>
          </w:p>
          <w:p w14:paraId="52877187">
            <w:pPr>
              <w:pStyle w:val="29"/>
              <w:adjustRightInd w:val="0"/>
              <w:snapToGrid w:val="0"/>
              <w:spacing w:before="0" w:beforeAutospacing="0" w:after="0" w:afterAutospacing="0" w:line="360" w:lineRule="auto"/>
              <w:jc w:val="center"/>
              <w:rPr>
                <w:rFonts w:hint="default" w:ascii="Times New Roman" w:hAnsi="Times New Roman" w:cs="Times New Roman"/>
                <w:b/>
                <w:bCs/>
                <w:color w:val="auto"/>
                <w:kern w:val="2"/>
                <w:szCs w:val="24"/>
                <w:highlight w:val="none"/>
              </w:rPr>
            </w:pPr>
          </w:p>
          <w:p w14:paraId="195D09A0">
            <w:pPr>
              <w:pStyle w:val="29"/>
              <w:adjustRightInd w:val="0"/>
              <w:snapToGrid w:val="0"/>
              <w:spacing w:before="0" w:beforeAutospacing="0" w:after="0" w:afterAutospacing="0" w:line="360" w:lineRule="auto"/>
              <w:jc w:val="center"/>
              <w:rPr>
                <w:rFonts w:hint="default" w:ascii="Times New Roman" w:hAnsi="Times New Roman" w:cs="Times New Roman"/>
                <w:b/>
                <w:bCs/>
                <w:color w:val="auto"/>
                <w:kern w:val="2"/>
                <w:szCs w:val="24"/>
                <w:highlight w:val="none"/>
              </w:rPr>
            </w:pPr>
          </w:p>
          <w:p w14:paraId="47026424">
            <w:pPr>
              <w:pStyle w:val="29"/>
              <w:adjustRightInd w:val="0"/>
              <w:snapToGrid w:val="0"/>
              <w:spacing w:before="0" w:beforeAutospacing="0" w:after="0" w:afterAutospacing="0" w:line="360" w:lineRule="auto"/>
              <w:jc w:val="center"/>
              <w:rPr>
                <w:rFonts w:hint="default" w:ascii="Times New Roman" w:hAnsi="Times New Roman" w:cs="Times New Roman"/>
                <w:b/>
                <w:bCs/>
                <w:color w:val="auto"/>
                <w:kern w:val="2"/>
                <w:szCs w:val="24"/>
                <w:highlight w:val="none"/>
              </w:rPr>
            </w:pPr>
          </w:p>
          <w:p w14:paraId="42248F6A">
            <w:pPr>
              <w:rPr>
                <w:rFonts w:hint="default" w:ascii="Times New Roman" w:hAnsi="Times New Roman" w:cs="Times New Roman"/>
                <w:b/>
                <w:bCs/>
                <w:color w:val="auto"/>
                <w:highlight w:val="none"/>
              </w:rPr>
            </w:pPr>
          </w:p>
          <w:p w14:paraId="11EC93E5">
            <w:pPr>
              <w:pStyle w:val="31"/>
              <w:ind w:firstLine="480"/>
              <w:rPr>
                <w:rFonts w:hint="default" w:ascii="Times New Roman" w:hAnsi="Times New Roman" w:cs="Times New Roman"/>
                <w:b/>
                <w:bCs/>
                <w:color w:val="auto"/>
                <w:highlight w:val="none"/>
              </w:rPr>
            </w:pPr>
          </w:p>
          <w:p w14:paraId="019D657A">
            <w:pPr>
              <w:pStyle w:val="9"/>
              <w:ind w:firstLine="240"/>
              <w:rPr>
                <w:rFonts w:hint="default" w:ascii="Times New Roman" w:hAnsi="Times New Roman" w:cs="Times New Roman"/>
                <w:b/>
                <w:bCs/>
                <w:color w:val="auto"/>
                <w:highlight w:val="none"/>
              </w:rPr>
            </w:pPr>
          </w:p>
          <w:p w14:paraId="08F54956">
            <w:pPr>
              <w:rPr>
                <w:rFonts w:hint="default" w:ascii="Times New Roman" w:hAnsi="Times New Roman" w:cs="Times New Roman"/>
                <w:b/>
                <w:bCs/>
                <w:color w:val="auto"/>
                <w:highlight w:val="none"/>
              </w:rPr>
            </w:pPr>
          </w:p>
          <w:p w14:paraId="4E5FE016">
            <w:pPr>
              <w:pStyle w:val="31"/>
              <w:ind w:firstLine="480"/>
              <w:rPr>
                <w:rFonts w:hint="default" w:ascii="Times New Roman" w:hAnsi="Times New Roman" w:cs="Times New Roman"/>
                <w:b/>
                <w:bCs/>
                <w:color w:val="auto"/>
                <w:highlight w:val="none"/>
              </w:rPr>
            </w:pPr>
          </w:p>
          <w:p w14:paraId="72111397">
            <w:pPr>
              <w:pStyle w:val="9"/>
              <w:ind w:firstLine="240"/>
              <w:rPr>
                <w:rFonts w:hint="default" w:ascii="Times New Roman" w:hAnsi="Times New Roman" w:cs="Times New Roman"/>
                <w:b/>
                <w:bCs/>
                <w:color w:val="auto"/>
                <w:highlight w:val="none"/>
              </w:rPr>
            </w:pPr>
          </w:p>
          <w:p w14:paraId="587164D2">
            <w:pPr>
              <w:rPr>
                <w:rFonts w:hint="default" w:ascii="Times New Roman" w:hAnsi="Times New Roman" w:cs="Times New Roman"/>
                <w:b/>
                <w:bCs/>
                <w:color w:val="auto"/>
                <w:highlight w:val="none"/>
              </w:rPr>
            </w:pPr>
          </w:p>
          <w:p w14:paraId="03726B70">
            <w:pPr>
              <w:pStyle w:val="31"/>
              <w:ind w:firstLine="480"/>
              <w:rPr>
                <w:rFonts w:hint="default" w:ascii="Times New Roman" w:hAnsi="Times New Roman" w:cs="Times New Roman"/>
                <w:b/>
                <w:bCs/>
                <w:color w:val="auto"/>
                <w:highlight w:val="none"/>
              </w:rPr>
            </w:pPr>
          </w:p>
          <w:p w14:paraId="4551C917">
            <w:pPr>
              <w:pStyle w:val="29"/>
              <w:adjustRightInd w:val="0"/>
              <w:snapToGrid w:val="0"/>
              <w:spacing w:before="0" w:beforeAutospacing="0" w:after="0" w:afterAutospacing="0"/>
              <w:ind w:left="-105" w:leftChars="-50" w:right="-105" w:rightChars="-50"/>
              <w:jc w:val="center"/>
              <w:rPr>
                <w:rFonts w:hint="default" w:ascii="Times New Roman" w:hAnsi="Times New Roman" w:cs="Times New Roman"/>
                <w:b/>
                <w:bCs/>
                <w:color w:val="auto"/>
                <w:kern w:val="2"/>
                <w:szCs w:val="24"/>
                <w:highlight w:val="none"/>
              </w:rPr>
            </w:pPr>
            <w:r>
              <w:rPr>
                <w:rFonts w:hint="default" w:ascii="Times New Roman" w:hAnsi="Times New Roman" w:cs="Times New Roman"/>
                <w:b/>
                <w:bCs/>
                <w:color w:val="auto"/>
                <w:kern w:val="2"/>
                <w:szCs w:val="24"/>
                <w:highlight w:val="none"/>
              </w:rPr>
              <w:t>工艺流程和产排污环节</w:t>
            </w:r>
          </w:p>
          <w:p w14:paraId="41D3E555">
            <w:pPr>
              <w:pStyle w:val="29"/>
              <w:adjustRightInd w:val="0"/>
              <w:snapToGrid w:val="0"/>
              <w:spacing w:before="0" w:beforeAutospacing="0" w:after="0" w:afterAutospacing="0"/>
              <w:rPr>
                <w:rFonts w:hint="default" w:ascii="Times New Roman" w:hAnsi="Times New Roman" w:cs="Times New Roman"/>
                <w:b/>
                <w:bCs/>
                <w:color w:val="auto"/>
                <w:kern w:val="2"/>
                <w:szCs w:val="24"/>
                <w:highlight w:val="none"/>
              </w:rPr>
            </w:pPr>
          </w:p>
        </w:tc>
        <w:tc>
          <w:tcPr>
            <w:tcW w:w="4763" w:type="pct"/>
            <w:noWrap w:val="0"/>
            <w:vAlign w:val="top"/>
          </w:tcPr>
          <w:p w14:paraId="56D5BAFF">
            <w:pPr>
              <w:spacing w:line="408"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工艺流程简述</w:t>
            </w:r>
          </w:p>
          <w:p w14:paraId="30C2B8FE">
            <w:pPr>
              <w:spacing w:line="408" w:lineRule="auto"/>
              <w:ind w:firstLine="482" w:firstLineChars="200"/>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rPr>
              <w:t>施工期</w:t>
            </w:r>
          </w:p>
          <w:p w14:paraId="64B4BA68">
            <w:pPr>
              <w:spacing w:line="408"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施工期流程及各施工阶段主要污染物产生量见图2-3。</w:t>
            </w:r>
          </w:p>
          <w:p w14:paraId="1923C52A">
            <w:pPr>
              <w:spacing w:line="408"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mc:AlternateContent>
                <mc:Choice Requires="wpc">
                  <w:drawing>
                    <wp:inline distT="0" distB="0" distL="114300" distR="114300">
                      <wp:extent cx="4162425" cy="2471420"/>
                      <wp:effectExtent l="0" t="0" r="7620" b="5080"/>
                      <wp:docPr id="18"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矩形 6"/>
                              <wps:cNvSpPr/>
                              <wps:spPr>
                                <a:xfrm>
                                  <a:off x="914540" y="161290"/>
                                  <a:ext cx="798317"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AAE712">
                                    <w:pPr>
                                      <w:jc w:val="center"/>
                                      <w:rPr>
                                        <w:rFonts w:hint="eastAsia"/>
                                        <w:szCs w:val="21"/>
                                      </w:rPr>
                                    </w:pPr>
                                    <w:r>
                                      <w:rPr>
                                        <w:rFonts w:hint="eastAsia"/>
                                        <w:szCs w:val="21"/>
                                      </w:rPr>
                                      <w:t>基础工程</w:t>
                                    </w:r>
                                  </w:p>
                                </w:txbxContent>
                              </wps:txbx>
                              <wps:bodyPr upright="1"/>
                            </wps:wsp>
                            <wps:wsp>
                              <wps:cNvPr id="4" name="矩形 7"/>
                              <wps:cNvSpPr/>
                              <wps:spPr>
                                <a:xfrm>
                                  <a:off x="914540" y="656590"/>
                                  <a:ext cx="797047"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E0DF15">
                                    <w:pPr>
                                      <w:jc w:val="center"/>
                                      <w:rPr>
                                        <w:rFonts w:hint="eastAsia"/>
                                        <w:szCs w:val="21"/>
                                      </w:rPr>
                                    </w:pPr>
                                    <w:r>
                                      <w:rPr>
                                        <w:rFonts w:hint="eastAsia"/>
                                        <w:szCs w:val="21"/>
                                      </w:rPr>
                                      <w:t>主体工程</w:t>
                                    </w:r>
                                  </w:p>
                                </w:txbxContent>
                              </wps:txbx>
                              <wps:bodyPr upright="1"/>
                            </wps:wsp>
                            <wps:wsp>
                              <wps:cNvPr id="5" name="矩形 9"/>
                              <wps:cNvSpPr/>
                              <wps:spPr>
                                <a:xfrm>
                                  <a:off x="917080" y="1151890"/>
                                  <a:ext cx="795776"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EDCFE2">
                                    <w:pPr>
                                      <w:jc w:val="center"/>
                                      <w:rPr>
                                        <w:rFonts w:hint="eastAsia"/>
                                        <w:szCs w:val="21"/>
                                      </w:rPr>
                                    </w:pPr>
                                    <w:r>
                                      <w:rPr>
                                        <w:rFonts w:hint="eastAsia"/>
                                        <w:szCs w:val="21"/>
                                      </w:rPr>
                                      <w:t>安装工程</w:t>
                                    </w:r>
                                  </w:p>
                                </w:txbxContent>
                              </wps:txbx>
                              <wps:bodyPr upright="1"/>
                            </wps:wsp>
                            <wps:wsp>
                              <wps:cNvPr id="6" name="矩形 10"/>
                              <wps:cNvSpPr/>
                              <wps:spPr>
                                <a:xfrm>
                                  <a:off x="917715" y="1651000"/>
                                  <a:ext cx="795141"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44E557">
                                    <w:pPr>
                                      <w:jc w:val="center"/>
                                      <w:rPr>
                                        <w:rFonts w:hint="eastAsia"/>
                                        <w:szCs w:val="21"/>
                                      </w:rPr>
                                    </w:pPr>
                                    <w:r>
                                      <w:rPr>
                                        <w:rFonts w:hint="eastAsia"/>
                                        <w:szCs w:val="21"/>
                                      </w:rPr>
                                      <w:t>工程验收</w:t>
                                    </w:r>
                                  </w:p>
                                </w:txbxContent>
                              </wps:txbx>
                              <wps:bodyPr upright="1"/>
                            </wps:wsp>
                            <wps:wsp>
                              <wps:cNvPr id="7" name="矩形 11"/>
                              <wps:cNvSpPr/>
                              <wps:spPr>
                                <a:xfrm>
                                  <a:off x="917715" y="2142490"/>
                                  <a:ext cx="795141"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B4AD3B">
                                    <w:pPr>
                                      <w:jc w:val="center"/>
                                      <w:rPr>
                                        <w:rFonts w:hint="eastAsia"/>
                                        <w:szCs w:val="21"/>
                                      </w:rPr>
                                    </w:pPr>
                                    <w:r>
                                      <w:rPr>
                                        <w:rFonts w:hint="eastAsia"/>
                                        <w:szCs w:val="21"/>
                                      </w:rPr>
                                      <w:t>工程运营</w:t>
                                    </w:r>
                                  </w:p>
                                </w:txbxContent>
                              </wps:txbx>
                              <wps:bodyPr upright="1"/>
                            </wps:wsp>
                            <wps:wsp>
                              <wps:cNvPr id="8" name="矩形 14"/>
                              <wps:cNvSpPr/>
                              <wps:spPr>
                                <a:xfrm>
                                  <a:off x="2172031" y="161290"/>
                                  <a:ext cx="1943396" cy="296545"/>
                                </a:xfrm>
                                <a:prstGeom prst="rect">
                                  <a:avLst/>
                                </a:prstGeom>
                                <a:solidFill>
                                  <a:srgbClr val="FFFFFF"/>
                                </a:solidFill>
                                <a:ln>
                                  <a:noFill/>
                                </a:ln>
                              </wps:spPr>
                              <wps:txbx>
                                <w:txbxContent>
                                  <w:p w14:paraId="687BB776">
                                    <w:pPr>
                                      <w:rPr>
                                        <w:rFonts w:hint="eastAsia"/>
                                        <w:szCs w:val="21"/>
                                      </w:rPr>
                                    </w:pPr>
                                    <w:r>
                                      <w:rPr>
                                        <w:rFonts w:hint="eastAsia"/>
                                        <w:szCs w:val="21"/>
                                      </w:rPr>
                                      <w:t>噪声、扬尘、弃土</w:t>
                                    </w:r>
                                  </w:p>
                                </w:txbxContent>
                              </wps:txbx>
                              <wps:bodyPr upright="1"/>
                            </wps:wsp>
                            <wps:wsp>
                              <wps:cNvPr id="9" name="自选图形 15"/>
                              <wps:cNvCnPr/>
                              <wps:spPr>
                                <a:xfrm>
                                  <a:off x="1712856" y="309880"/>
                                  <a:ext cx="459175" cy="635"/>
                                </a:xfrm>
                                <a:prstGeom prst="straightConnector1">
                                  <a:avLst/>
                                </a:prstGeom>
                                <a:ln w="9525" cap="flat" cmpd="sng">
                                  <a:solidFill>
                                    <a:srgbClr val="000000"/>
                                  </a:solidFill>
                                  <a:prstDash val="dash"/>
                                  <a:headEnd type="none" w="med" len="med"/>
                                  <a:tailEnd type="triangle" w="med" len="med"/>
                                </a:ln>
                              </wps:spPr>
                              <wps:bodyPr/>
                            </wps:wsp>
                            <wps:wsp>
                              <wps:cNvPr id="10" name="矩形 16"/>
                              <wps:cNvSpPr/>
                              <wps:spPr>
                                <a:xfrm>
                                  <a:off x="2172031" y="656590"/>
                                  <a:ext cx="1943396" cy="296545"/>
                                </a:xfrm>
                                <a:prstGeom prst="rect">
                                  <a:avLst/>
                                </a:prstGeom>
                                <a:solidFill>
                                  <a:srgbClr val="FFFFFF"/>
                                </a:solidFill>
                                <a:ln>
                                  <a:noFill/>
                                </a:ln>
                              </wps:spPr>
                              <wps:txbx>
                                <w:txbxContent>
                                  <w:p w14:paraId="2E42504B">
                                    <w:pPr>
                                      <w:rPr>
                                        <w:rFonts w:hint="eastAsia"/>
                                        <w:szCs w:val="21"/>
                                      </w:rPr>
                                    </w:pPr>
                                    <w:r>
                                      <w:rPr>
                                        <w:rFonts w:hint="eastAsia"/>
                                        <w:szCs w:val="21"/>
                                      </w:rPr>
                                      <w:t>噪声、扬尘、建筑弃渣</w:t>
                                    </w:r>
                                  </w:p>
                                </w:txbxContent>
                              </wps:txbx>
                              <wps:bodyPr upright="1"/>
                            </wps:wsp>
                            <wps:wsp>
                              <wps:cNvPr id="11" name="自选图形 17"/>
                              <wps:cNvCnPr/>
                              <wps:spPr>
                                <a:xfrm>
                                  <a:off x="1711586" y="805180"/>
                                  <a:ext cx="460445" cy="635"/>
                                </a:xfrm>
                                <a:prstGeom prst="straightConnector1">
                                  <a:avLst/>
                                </a:prstGeom>
                                <a:ln w="9525" cap="flat" cmpd="sng">
                                  <a:solidFill>
                                    <a:srgbClr val="000000"/>
                                  </a:solidFill>
                                  <a:prstDash val="dash"/>
                                  <a:headEnd type="none" w="med" len="med"/>
                                  <a:tailEnd type="triangle" w="med" len="med"/>
                                </a:ln>
                              </wps:spPr>
                              <wps:bodyPr/>
                            </wps:wsp>
                            <wps:wsp>
                              <wps:cNvPr id="12" name="自选图形 19"/>
                              <wps:cNvCnPr/>
                              <wps:spPr>
                                <a:xfrm flipH="1">
                                  <a:off x="1313380" y="457835"/>
                                  <a:ext cx="635" cy="198755"/>
                                </a:xfrm>
                                <a:prstGeom prst="straightConnector1">
                                  <a:avLst/>
                                </a:prstGeom>
                                <a:ln w="9525" cap="flat" cmpd="sng">
                                  <a:solidFill>
                                    <a:srgbClr val="000000"/>
                                  </a:solidFill>
                                  <a:prstDash val="solid"/>
                                  <a:headEnd type="none" w="med" len="med"/>
                                  <a:tailEnd type="triangle" w="med" len="med"/>
                                </a:ln>
                              </wps:spPr>
                              <wps:bodyPr/>
                            </wps:wsp>
                            <wps:wsp>
                              <wps:cNvPr id="13" name="自选图形 20"/>
                              <wps:cNvCnPr/>
                              <wps:spPr>
                                <a:xfrm flipH="1">
                                  <a:off x="1312745" y="953135"/>
                                  <a:ext cx="635" cy="198755"/>
                                </a:xfrm>
                                <a:prstGeom prst="straightConnector1">
                                  <a:avLst/>
                                </a:prstGeom>
                                <a:ln w="9525" cap="flat" cmpd="sng">
                                  <a:solidFill>
                                    <a:srgbClr val="000000"/>
                                  </a:solidFill>
                                  <a:prstDash val="solid"/>
                                  <a:headEnd type="none" w="med" len="med"/>
                                  <a:tailEnd type="triangle" w="med" len="med"/>
                                </a:ln>
                              </wps:spPr>
                              <wps:bodyPr/>
                            </wps:wsp>
                            <wps:wsp>
                              <wps:cNvPr id="14" name="自选图形 24"/>
                              <wps:cNvCnPr/>
                              <wps:spPr>
                                <a:xfrm flipH="1">
                                  <a:off x="1314015" y="1449070"/>
                                  <a:ext cx="635" cy="201930"/>
                                </a:xfrm>
                                <a:prstGeom prst="straightConnector1">
                                  <a:avLst/>
                                </a:prstGeom>
                                <a:ln w="9525" cap="flat" cmpd="sng">
                                  <a:solidFill>
                                    <a:srgbClr val="000000"/>
                                  </a:solidFill>
                                  <a:prstDash val="solid"/>
                                  <a:headEnd type="none" w="med" len="med"/>
                                  <a:tailEnd type="triangle" w="med" len="med"/>
                                </a:ln>
                              </wps:spPr>
                              <wps:bodyPr/>
                            </wps:wsp>
                            <wps:wsp>
                              <wps:cNvPr id="15" name="矩形 25"/>
                              <wps:cNvSpPr/>
                              <wps:spPr>
                                <a:xfrm>
                                  <a:off x="2172031" y="1152525"/>
                                  <a:ext cx="1943396" cy="296545"/>
                                </a:xfrm>
                                <a:prstGeom prst="rect">
                                  <a:avLst/>
                                </a:prstGeom>
                                <a:solidFill>
                                  <a:srgbClr val="FFFFFF"/>
                                </a:solidFill>
                                <a:ln>
                                  <a:noFill/>
                                </a:ln>
                              </wps:spPr>
                              <wps:txbx>
                                <w:txbxContent>
                                  <w:p w14:paraId="0EE521C2">
                                    <w:pPr>
                                      <w:rPr>
                                        <w:rFonts w:hint="eastAsia"/>
                                        <w:szCs w:val="21"/>
                                      </w:rPr>
                                    </w:pPr>
                                    <w:r>
                                      <w:rPr>
                                        <w:rFonts w:hint="eastAsia"/>
                                        <w:szCs w:val="21"/>
                                      </w:rPr>
                                      <w:t>噪声、废弃物</w:t>
                                    </w:r>
                                  </w:p>
                                </w:txbxContent>
                              </wps:txbx>
                              <wps:bodyPr upright="1"/>
                            </wps:wsp>
                            <wps:wsp>
                              <wps:cNvPr id="16" name="自选图形 26"/>
                              <wps:cNvCnPr/>
                              <wps:spPr>
                                <a:xfrm>
                                  <a:off x="1712856" y="1292860"/>
                                  <a:ext cx="461715" cy="635"/>
                                </a:xfrm>
                                <a:prstGeom prst="straightConnector1">
                                  <a:avLst/>
                                </a:prstGeom>
                                <a:ln w="9525" cap="flat" cmpd="sng">
                                  <a:solidFill>
                                    <a:srgbClr val="000000"/>
                                  </a:solidFill>
                                  <a:prstDash val="dash"/>
                                  <a:headEnd type="none" w="med" len="med"/>
                                  <a:tailEnd type="triangle" w="med" len="med"/>
                                </a:ln>
                              </wps:spPr>
                              <wps:bodyPr/>
                            </wps:wsp>
                            <wps:wsp>
                              <wps:cNvPr id="17" name="自选图形 27"/>
                              <wps:cNvCnPr/>
                              <wps:spPr>
                                <a:xfrm flipH="1">
                                  <a:off x="1314651" y="1948180"/>
                                  <a:ext cx="635" cy="194310"/>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3" o:spid="_x0000_s1026" o:spt="203" style="height:194.6pt;width:327.75pt;" coordsize="4162425,2471420" editas="canvas" o:gfxdata="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">
                      <o:lock v:ext="edit" aspectratio="f"/>
                      <v:shape id="画布 3" o:spid="_x0000_s1026" style="position:absolute;left:0;top:0;height:2471420;width:4162425;" filled="f" stroked="f" coordsize="21600,21600" o:gfxdata="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">
                        <v:fill on="f" focussize="0,0"/>
                        <v:stroke on="f"/>
                        <v:imagedata o:title=""/>
                        <o:lock v:ext="edit" aspectratio="t"/>
                      </v:shape>
                      <v:rect id="矩形 6" o:spid="_x0000_s1026" o:spt="1" style="position:absolute;left:914540;top:161290;height:296545;width:798317;" fillcolor="#FFFFFF" filled="t" stroked="t" coordsize="21600,21600" o:gfxdata="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la84TVAAAABQEAAA8AAAAAAAAAAQAgAAAAIgAA&#10;AGRycy9kb3ducmV2LnhtbFBLAQIUABQAAAAIAIdO4kDdFcDoCwIAADIEAAAOAAAAAAAAAAEAIAAA&#10;ACQBAABkcnMvZTJvRG9jLnhtbFBLBQYAAAAABgAGAFkBAAChBQAAAAA=&#10;">
                        <v:fill on="t" focussize="0,0"/>
                        <v:stroke color="#000000" joinstyle="miter"/>
                        <v:imagedata o:title=""/>
                        <o:lock v:ext="edit" aspectratio="f"/>
                        <v:textbox>
                          <w:txbxContent>
                            <w:p w14:paraId="48AAE712">
                              <w:pPr>
                                <w:jc w:val="center"/>
                                <w:rPr>
                                  <w:rFonts w:hint="eastAsia"/>
                                  <w:szCs w:val="21"/>
                                </w:rPr>
                              </w:pPr>
                              <w:r>
                                <w:rPr>
                                  <w:rFonts w:hint="eastAsia"/>
                                  <w:szCs w:val="21"/>
                                </w:rPr>
                                <w:t>基础工程</w:t>
                              </w:r>
                            </w:p>
                          </w:txbxContent>
                        </v:textbox>
                      </v:rect>
                      <v:rect id="矩形 7" o:spid="_x0000_s1026" o:spt="1" style="position:absolute;left:914540;top:656590;height:296545;width:797047;" fillcolor="#FFFFFF" filled="t" stroked="t" coordsize="21600,21600" o:gfxdata="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VrzhNUAAAAFAQAADwAAAAAAAAABACAAAAAiAAAA&#10;ZHJzL2Rvd25yZXYueG1sUEsBAhQAFAAAAAgAh07iQM1HE+sKAgAAMgQAAA4AAAAAAAAAAQAgAAAA&#10;JAEAAGRycy9lMm9Eb2MueG1sUEsFBgAAAAAGAAYAWQEAAKAFAAAAAA==&#10;">
                        <v:fill on="t" focussize="0,0"/>
                        <v:stroke color="#000000" joinstyle="miter"/>
                        <v:imagedata o:title=""/>
                        <o:lock v:ext="edit" aspectratio="f"/>
                        <v:textbox>
                          <w:txbxContent>
                            <w:p w14:paraId="76E0DF15">
                              <w:pPr>
                                <w:jc w:val="center"/>
                                <w:rPr>
                                  <w:rFonts w:hint="eastAsia"/>
                                  <w:szCs w:val="21"/>
                                </w:rPr>
                              </w:pPr>
                              <w:r>
                                <w:rPr>
                                  <w:rFonts w:hint="eastAsia"/>
                                  <w:szCs w:val="21"/>
                                </w:rPr>
                                <w:t>主体工程</w:t>
                              </w:r>
                            </w:p>
                          </w:txbxContent>
                        </v:textbox>
                      </v:rect>
                      <v:rect id="矩形 9" o:spid="_x0000_s1026" o:spt="1" style="position:absolute;left:917080;top:1151890;height:297180;width:795776;" fillcolor="#FFFFFF" filled="t" stroked="t" coordsize="21600,21600" o:gfxdata="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5WvOE1QAAAAUBAAAPAAAAAAAAAAEAIAAAACIAAABk&#10;cnMvZG93bnJldi54bWxQSwECFAAUAAAACACHTuJAwg3wwQkCAAAzBAAADgAAAAAAAAABACAAAAAk&#10;AQAAZHJzL2Uyb0RvYy54bWxQSwUGAAAAAAYABgBZAQAAnwUAAAAA&#10;">
                        <v:fill on="t" focussize="0,0"/>
                        <v:stroke color="#000000" joinstyle="miter"/>
                        <v:imagedata o:title=""/>
                        <o:lock v:ext="edit" aspectratio="f"/>
                        <v:textbox>
                          <w:txbxContent>
                            <w:p w14:paraId="17EDCFE2">
                              <w:pPr>
                                <w:jc w:val="center"/>
                                <w:rPr>
                                  <w:rFonts w:hint="eastAsia"/>
                                  <w:szCs w:val="21"/>
                                </w:rPr>
                              </w:pPr>
                              <w:r>
                                <w:rPr>
                                  <w:rFonts w:hint="eastAsia"/>
                                  <w:szCs w:val="21"/>
                                </w:rPr>
                                <w:t>安装工程</w:t>
                              </w:r>
                            </w:p>
                          </w:txbxContent>
                        </v:textbox>
                      </v:rect>
                      <v:rect id="矩形 10" o:spid="_x0000_s1026" o:spt="1" style="position:absolute;left:917715;top:1651000;height:297180;width:795141;" fillcolor="#FFFFFF" filled="t" stroked="t" coordsize="21600,21600" o:gfxdata="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la84TVAAAABQEAAA8AAAAAAAAAAQAgAAAA&#10;IgAAAGRycy9kb3ducmV2LnhtbFBLAQIUABQAAAAIAIdO4kCRmLgSDgIAADQEAAAOAAAAAAAAAAEA&#10;IAAAACQBAABkcnMvZTJvRG9jLnhtbFBLBQYAAAAABgAGAFkBAACkBQAAAAA=&#10;">
                        <v:fill on="t" focussize="0,0"/>
                        <v:stroke color="#000000" joinstyle="miter"/>
                        <v:imagedata o:title=""/>
                        <o:lock v:ext="edit" aspectratio="f"/>
                        <v:textbox>
                          <w:txbxContent>
                            <w:p w14:paraId="0C44E557">
                              <w:pPr>
                                <w:jc w:val="center"/>
                                <w:rPr>
                                  <w:rFonts w:hint="eastAsia"/>
                                  <w:szCs w:val="21"/>
                                </w:rPr>
                              </w:pPr>
                              <w:r>
                                <w:rPr>
                                  <w:rFonts w:hint="eastAsia"/>
                                  <w:szCs w:val="21"/>
                                </w:rPr>
                                <w:t>工程验收</w:t>
                              </w:r>
                            </w:p>
                          </w:txbxContent>
                        </v:textbox>
                      </v:rect>
                      <v:rect id="矩形 11" o:spid="_x0000_s1026" o:spt="1" style="position:absolute;left:917715;top:2142490;height:297180;width:795141;" fillcolor="#FFFFFF" filled="t" stroked="t" coordsize="21600,21600" o:gfxdata="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la84TVAAAABQEAAA8AAAAAAAAAAQAgAAAA&#10;IgAAAGRycy9kb3ducmV2LnhtbFBLAQIUABQAAAAIAIdO4kC1mj9kDgIAADQEAAAOAAAAAAAAAAEA&#10;IAAAACQBAABkcnMvZTJvRG9jLnhtbFBLBQYAAAAABgAGAFkBAACkBQAAAAA=&#10;">
                        <v:fill on="t" focussize="0,0"/>
                        <v:stroke color="#000000" joinstyle="miter"/>
                        <v:imagedata o:title=""/>
                        <o:lock v:ext="edit" aspectratio="f"/>
                        <v:textbox>
                          <w:txbxContent>
                            <w:p w14:paraId="15B4AD3B">
                              <w:pPr>
                                <w:jc w:val="center"/>
                                <w:rPr>
                                  <w:rFonts w:hint="eastAsia"/>
                                  <w:szCs w:val="21"/>
                                </w:rPr>
                              </w:pPr>
                              <w:r>
                                <w:rPr>
                                  <w:rFonts w:hint="eastAsia"/>
                                  <w:szCs w:val="21"/>
                                </w:rPr>
                                <w:t>工程运营</w:t>
                              </w:r>
                            </w:p>
                          </w:txbxContent>
                        </v:textbox>
                      </v:rect>
                      <v:rect id="矩形 14" o:spid="_x0000_s1026" o:spt="1" style="position:absolute;left:2172031;top:161290;height:296545;width:1943396;" fillcolor="#FFFFFF" filled="t" stroked="f" coordsize="21600,21600" o:gfxdata="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OjPNrVAAAABQEAAA8AAAAAAAAAAQAgAAAAIgAAAGRycy9kb3ducmV2Lnht&#10;bFBLAQIUABQAAAAIAIdO4kBHMcVzwwEAAHYDAAAOAAAAAAAAAAEAIAAAACQBAABkcnMvZTJvRG9j&#10;LnhtbFBLBQYAAAAABgAGAFkBAABZBQAAAAA=&#10;">
                        <v:fill on="t" focussize="0,0"/>
                        <v:stroke on="f"/>
                        <v:imagedata o:title=""/>
                        <o:lock v:ext="edit" aspectratio="f"/>
                        <v:textbox>
                          <w:txbxContent>
                            <w:p w14:paraId="687BB776">
                              <w:pPr>
                                <w:rPr>
                                  <w:rFonts w:hint="eastAsia"/>
                                  <w:szCs w:val="21"/>
                                </w:rPr>
                              </w:pPr>
                              <w:r>
                                <w:rPr>
                                  <w:rFonts w:hint="eastAsia"/>
                                  <w:szCs w:val="21"/>
                                </w:rPr>
                                <w:t>噪声、扬尘、弃土</w:t>
                              </w:r>
                            </w:p>
                          </w:txbxContent>
                        </v:textbox>
                      </v:rect>
                      <v:shape id="自选图形 15" o:spid="_x0000_s1026" o:spt="32" type="#_x0000_t32" style="position:absolute;left:1712856;top:309880;height:635;width:459175;" filled="f" stroked="t" coordsize="21600,21600" o:gfxdata="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&#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Pk9z9MAAAAFAQAADwAAAAAAAAABACAAAAAiAAAA&#10;ZHJzL2Rvd25yZXYueG1sUEsBAhQAFAAAAAgAh07iQLfRpSIMAgAA8wMAAA4AAAAAAAAAAQAgAAAA&#10;IgEAAGRycy9lMm9Eb2MueG1sUEsFBgAAAAAGAAYAWQEAAKAFAAAAAA==&#10;">
                        <v:fill on="f" focussize="0,0"/>
                        <v:stroke color="#000000" joinstyle="round" dashstyle="dash" endarrow="block"/>
                        <v:imagedata o:title=""/>
                        <o:lock v:ext="edit" aspectratio="f"/>
                      </v:shape>
                      <v:rect id="矩形 16" o:spid="_x0000_s1026" o:spt="1" style="position:absolute;left:2172031;top:656590;height:296545;width:1943396;" fillcolor="#FFFFFF" filled="t" stroked="f" coordsize="21600,21600" o:gfxdata="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zozza1QAAAAUBAAAPAAAAAAAAAAEAIAAAACIAAABkcnMvZG93bnJldi54&#10;bWxQSwECFAAUAAAACACHTuJAjmMwScQBAAB3AwAADgAAAAAAAAABACAAAAAkAQAAZHJzL2Uyb0Rv&#10;Yy54bWxQSwUGAAAAAAYABgBZAQAAWgUAAAAA&#10;">
                        <v:fill on="t" focussize="0,0"/>
                        <v:stroke on="f"/>
                        <v:imagedata o:title=""/>
                        <o:lock v:ext="edit" aspectratio="f"/>
                        <v:textbox>
                          <w:txbxContent>
                            <w:p w14:paraId="2E42504B">
                              <w:pPr>
                                <w:rPr>
                                  <w:rFonts w:hint="eastAsia"/>
                                  <w:szCs w:val="21"/>
                                </w:rPr>
                              </w:pPr>
                              <w:r>
                                <w:rPr>
                                  <w:rFonts w:hint="eastAsia"/>
                                  <w:szCs w:val="21"/>
                                </w:rPr>
                                <w:t>噪声、扬尘、建筑弃渣</w:t>
                              </w:r>
                            </w:p>
                          </w:txbxContent>
                        </v:textbox>
                      </v:rect>
                      <v:shape id="自选图形 17" o:spid="_x0000_s1026" o:spt="32" type="#_x0000_t32" style="position:absolute;left:1711586;top:805180;height:635;width:460445;" filled="f" stroked="t" coordsize="21600,21600" o:gfxdata="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z5Pc/TAAAABQEAAA8AAAAAAAAAAQAgAAAAIgAAAGRy&#10;cy9kb3ducmV2LnhtbFBLAQIUABQAAAAIAIdO4kAeQJsUCgIAAPQDAAAOAAAAAAAAAAEAIAAAACIB&#10;AABkcnMvZTJvRG9jLnhtbFBLBQYAAAAABgAGAFkBAACeBQAAAAA=&#10;">
                        <v:fill on="f" focussize="0,0"/>
                        <v:stroke color="#000000" joinstyle="round" dashstyle="dash" endarrow="block"/>
                        <v:imagedata o:title=""/>
                        <o:lock v:ext="edit" aspectratio="f"/>
                      </v:shape>
                      <v:shape id="自选图形 19" o:spid="_x0000_s1026" o:spt="32" type="#_x0000_t32" style="position:absolute;left:1313380;top:457835;flip:x;height:198755;width:635;" filled="f" stroked="t" coordsize="21600,21600" o:gfxdata="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u6JkrWAAAABQEAAA8AAAAAAAAA&#10;AQAgAAAAIgAAAGRycy9kb3ducmV2LnhtbFBLAQIUABQAAAAIAIdO4kD+jp/UEwIAAP8DAAAOAAAA&#10;AAAAAAEAIAAAACUBAABkcnMvZTJvRG9jLnhtbFBLBQYAAAAABgAGAFkBAACqBQAAAAA=&#10;">
                        <v:fill on="f" focussize="0,0"/>
                        <v:stroke color="#000000" joinstyle="round" endarrow="block"/>
                        <v:imagedata o:title=""/>
                        <o:lock v:ext="edit" aspectratio="f"/>
                      </v:shape>
                      <v:shape id="自选图形 20" o:spid="_x0000_s1026" o:spt="32" type="#_x0000_t32" style="position:absolute;left:1312745;top:953135;flip:x;height:198755;width:635;" filled="f" stroked="t" coordsize="21600,21600" o:gfxdata="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uiZK1gAAAAUBAAAPAAAAAAAAAAEAIAAA&#10;ACIAAABkcnMvZG93bnJldi54bWxQSwECFAAUAAAACACHTuJAV0C0Tg4CAAD/AwAADgAAAAAAAAAB&#10;ACAAAAAlAQAAZHJzL2Uyb0RvYy54bWxQSwUGAAAAAAYABgBZAQAApQUAAAAA&#10;">
                        <v:fill on="f" focussize="0,0"/>
                        <v:stroke color="#000000" joinstyle="round" endarrow="block"/>
                        <v:imagedata o:title=""/>
                        <o:lock v:ext="edit" aspectratio="f"/>
                      </v:shape>
                      <v:shape id="自选图形 24" o:spid="_x0000_s1026" o:spt="32" type="#_x0000_t32" style="position:absolute;left:1314015;top:1449070;flip:x;height:201930;width:635;" filled="f" stroked="t" coordsize="21600,21600" o:gfxdata="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6JkrWAAAABQEAAA8AAAAAAAAAAQAg&#10;AAAAIgAAAGRycy9kb3ducmV2LnhtbFBLAQIUABQAAAAIAIdO4kBRFvcDEAIAAAAEAAAOAAAAAAAA&#10;AAEAIAAAACUBAABkcnMvZTJvRG9jLnhtbFBLBQYAAAAABgAGAFkBAACnBQAAAAA=&#10;">
                        <v:fill on="f" focussize="0,0"/>
                        <v:stroke color="#000000" joinstyle="round" endarrow="block"/>
                        <v:imagedata o:title=""/>
                        <o:lock v:ext="edit" aspectratio="f"/>
                      </v:shape>
                      <v:rect id="矩形 25" o:spid="_x0000_s1026" o:spt="1" style="position:absolute;left:2172031;top:1152525;height:296545;width:1943396;" fillcolor="#FFFFFF" filled="t" stroked="f" coordsize="21600,21600" o:gfxdata="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OjPNrVAAAABQEAAA8AAAAAAAAAAQAgAAAAIgAAAGRycy9kb3ducmV2&#10;LnhtbFBLAQIUABQAAAAIAIdO4kBytP1qxgEAAHgDAAAOAAAAAAAAAAEAIAAAACQBAABkcnMvZTJv&#10;RG9jLnhtbFBLBQYAAAAABgAGAFkBAABcBQAAAAA=&#10;">
                        <v:fill on="t" focussize="0,0"/>
                        <v:stroke on="f"/>
                        <v:imagedata o:title=""/>
                        <o:lock v:ext="edit" aspectratio="f"/>
                        <v:textbox>
                          <w:txbxContent>
                            <w:p w14:paraId="0EE521C2">
                              <w:pPr>
                                <w:rPr>
                                  <w:rFonts w:hint="eastAsia"/>
                                  <w:szCs w:val="21"/>
                                </w:rPr>
                              </w:pPr>
                              <w:r>
                                <w:rPr>
                                  <w:rFonts w:hint="eastAsia"/>
                                  <w:szCs w:val="21"/>
                                </w:rPr>
                                <w:t>噪声、废弃物</w:t>
                              </w:r>
                            </w:p>
                          </w:txbxContent>
                        </v:textbox>
                      </v:rect>
                      <v:shape id="自选图形 26" o:spid="_x0000_s1026" o:spt="32" type="#_x0000_t32" style="position:absolute;left:1712856;top:1292860;height:635;width:461715;" filled="f" stroked="t" coordsize="21600,21600" o:gfxdata="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z5Pc/TAAAABQEAAA8AAAAAAAAAAQAgAAAAIgAAAGRycy9k&#10;b3ducmV2LnhtbFBLAQIUABQAAAAIAIdO4kCEnKuEBwIAAPUDAAAOAAAAAAAAAAEAIAAAACIBAABk&#10;cnMvZTJvRG9jLnhtbFBLBQYAAAAABgAGAFkBAACbBQAAAAA=&#10;">
                        <v:fill on="f" focussize="0,0"/>
                        <v:stroke color="#000000" joinstyle="round" dashstyle="dash" endarrow="block"/>
                        <v:imagedata o:title=""/>
                        <o:lock v:ext="edit" aspectratio="f"/>
                      </v:shape>
                      <v:shape id="自选图形 27" o:spid="_x0000_s1026" o:spt="32" type="#_x0000_t32" style="position:absolute;left:1314651;top:1948180;flip:x;height:194310;width:635;" filled="f" stroked="t" coordsize="21600,21600" o:gfxdata="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uiZK1gAAAAUBAAAPAAAAAAAAAAEA&#10;IAAAACIAAABkcnMvZG93bnJldi54bWxQSwECFAAUAAAACACHTuJAXA2JTBECAAAABAAADgAAAAAA&#10;AAABACAAAAAlAQAAZHJzL2Uyb0RvYy54bWxQSwUGAAAAAAYABgBZAQAAqAUAAAAA&#10;">
                        <v:fill on="f" focussize="0,0"/>
                        <v:stroke color="#000000" joinstyle="round" endarrow="block"/>
                        <v:imagedata o:title=""/>
                        <o:lock v:ext="edit" aspectratio="f"/>
                      </v:shape>
                      <w10:wrap type="none"/>
                      <w10:anchorlock/>
                    </v:group>
                  </w:pict>
                </mc:Fallback>
              </mc:AlternateContent>
            </w:r>
          </w:p>
          <w:p w14:paraId="4AF36B7C">
            <w:pPr>
              <w:spacing w:line="408" w:lineRule="auto"/>
              <w:ind w:firstLine="482" w:firstLineChars="20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图2-3   施工期工艺流程及产排污节点</w:t>
            </w:r>
          </w:p>
          <w:p w14:paraId="621C48C3">
            <w:pPr>
              <w:spacing w:line="408"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施工期主要包括：场地平整、土方开挖等基础工程，主体工程（道路建筑、房屋建设），设备安装等步骤。</w:t>
            </w:r>
          </w:p>
          <w:p w14:paraId="19B08E8B">
            <w:pPr>
              <w:spacing w:line="408"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（1）场地平整：利用施工机械将建设场地进行填、挖整平，为后续厂房及办公室建设提供平整的场地。</w:t>
            </w:r>
          </w:p>
          <w:p w14:paraId="7406C96D">
            <w:pPr>
              <w:spacing w:line="408"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（2）土方开挖：按照施工画线的位置，对建构筑物的基础进行挖方、开槽，并预埋相关管道。</w:t>
            </w:r>
          </w:p>
          <w:p w14:paraId="4E9B4C0B">
            <w:pPr>
              <w:spacing w:line="408"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（3）道路修筑：对进出场地的道路进行平整，可临时用</w:t>
            </w:r>
            <w:r>
              <w:rPr>
                <w:rFonts w:hint="eastAsia" w:cs="Times New Roman"/>
                <w:color w:val="auto"/>
                <w:sz w:val="24"/>
                <w:highlight w:val="none"/>
                <w:lang w:val="en-US" w:eastAsia="zh-CN"/>
              </w:rPr>
              <w:t>碎石子</w:t>
            </w:r>
            <w:r>
              <w:rPr>
                <w:rFonts w:hint="default" w:ascii="Times New Roman" w:hAnsi="Times New Roman" w:cs="Times New Roman"/>
                <w:color w:val="auto"/>
                <w:sz w:val="24"/>
                <w:highlight w:val="none"/>
              </w:rPr>
              <w:t>进行简易的硬化，为建筑材料大量入场提供运输保障，待建构筑物建设完成后，可采用水泥对进出场道路进行修筑和硬化。</w:t>
            </w:r>
          </w:p>
          <w:p w14:paraId="79499C39">
            <w:pPr>
              <w:spacing w:line="408"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（4）房屋建筑：建筑材料入场按要求分区堆放，并采取相应的苫盖措施，按照设计图纸进行施工，严格按照设计要求对相关区域采取防渗措施。</w:t>
            </w:r>
          </w:p>
          <w:p w14:paraId="7C7B8D01">
            <w:pPr>
              <w:spacing w:line="408"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（5）设备安装：按照生产要求安装设备，以满足后续生产生活需求。</w:t>
            </w:r>
          </w:p>
          <w:p w14:paraId="6A99FED3">
            <w:pPr>
              <w:spacing w:line="408"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项目施工期约为</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个月，施工期间施工人数平均每天约为20人，本项目工人均为附近居民，不需设置施工营地，施工人员不在本项目区食宿。</w:t>
            </w:r>
          </w:p>
          <w:p w14:paraId="42F47C58">
            <w:pPr>
              <w:spacing w:line="408"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2、运营期工艺流程</w:t>
            </w:r>
          </w:p>
          <w:p w14:paraId="77E64C42">
            <w:pPr>
              <w:spacing w:line="408" w:lineRule="auto"/>
              <w:ind w:firstLine="482" w:firstLineChars="200"/>
              <w:rPr>
                <w:rFonts w:hint="default" w:ascii="Times New Roman" w:hAnsi="Times New Roman" w:cs="Times New Roman"/>
                <w:b/>
                <w:bCs/>
                <w:color w:val="auto"/>
                <w:sz w:val="24"/>
                <w:highlight w:val="none"/>
              </w:rPr>
            </w:pPr>
            <w:r>
              <w:rPr>
                <w:rFonts w:hint="eastAsia" w:cs="Times New Roman"/>
                <w:b/>
                <w:bCs/>
                <w:color w:val="auto"/>
                <w:sz w:val="24"/>
                <w:szCs w:val="24"/>
                <w:highlight w:val="none"/>
                <w:lang w:val="en-US" w:eastAsia="zh-CN"/>
              </w:rPr>
              <w:t>基础有机肥（一期工程）生产工艺流程：</w:t>
            </w:r>
          </w:p>
          <w:p w14:paraId="0B620274">
            <w:pPr>
              <w:spacing w:line="408" w:lineRule="auto"/>
              <w:jc w:val="center"/>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drawing>
                <wp:inline distT="0" distB="0" distL="114300" distR="114300">
                  <wp:extent cx="5491480" cy="6095365"/>
                  <wp:effectExtent l="0" t="0" r="13970" b="635"/>
                  <wp:docPr id="50" name="ECB019B1-382A-4266-B25C-5B523AA43C14-1" descr="C:/Users/Administrator/AppData/Local/Temp/wps.IhNBp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CB019B1-382A-4266-B25C-5B523AA43C14-1" descr="C:/Users/Administrator/AppData/Local/Temp/wps.IhNBpOwps"/>
                          <pic:cNvPicPr>
                            <a:picLocks noChangeAspect="1"/>
                          </pic:cNvPicPr>
                        </pic:nvPicPr>
                        <pic:blipFill>
                          <a:blip r:embed="rId11"/>
                          <a:stretch>
                            <a:fillRect/>
                          </a:stretch>
                        </pic:blipFill>
                        <pic:spPr>
                          <a:xfrm>
                            <a:off x="0" y="0"/>
                            <a:ext cx="5491480" cy="6095365"/>
                          </a:xfrm>
                          <a:prstGeom prst="rect">
                            <a:avLst/>
                          </a:prstGeom>
                          <a:noFill/>
                          <a:ln>
                            <a:noFill/>
                          </a:ln>
                        </pic:spPr>
                      </pic:pic>
                    </a:graphicData>
                  </a:graphic>
                </wp:inline>
              </w:drawing>
            </w:r>
          </w:p>
          <w:p w14:paraId="624C3DA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highlight w:val="none"/>
              </w:rPr>
              <w:t>图2-4</w:t>
            </w:r>
            <w:r>
              <w:rPr>
                <w:rFonts w:hint="eastAsia" w:cs="Times New Roman"/>
                <w:b/>
                <w:bCs/>
                <w:color w:val="auto"/>
                <w:sz w:val="24"/>
                <w:highlight w:val="none"/>
                <w:lang w:val="en-US" w:eastAsia="zh-CN"/>
              </w:rPr>
              <w:t>-1</w:t>
            </w:r>
            <w:r>
              <w:rPr>
                <w:rFonts w:hint="default" w:ascii="Times New Roman" w:hAnsi="Times New Roman" w:cs="Times New Roman"/>
                <w:b/>
                <w:bCs/>
                <w:color w:val="auto"/>
                <w:sz w:val="24"/>
                <w:highlight w:val="none"/>
              </w:rPr>
              <w:t xml:space="preserve">  </w:t>
            </w:r>
            <w:r>
              <w:rPr>
                <w:rFonts w:hint="eastAsia" w:cs="Times New Roman"/>
                <w:b/>
                <w:bCs/>
                <w:color w:val="auto"/>
                <w:sz w:val="24"/>
                <w:highlight w:val="none"/>
                <w:lang w:val="en-US" w:eastAsia="zh-CN"/>
              </w:rPr>
              <w:t>基础</w:t>
            </w:r>
            <w:r>
              <w:rPr>
                <w:rFonts w:hint="default" w:ascii="Times New Roman" w:hAnsi="Times New Roman" w:cs="Times New Roman"/>
                <w:b/>
                <w:bCs/>
                <w:color w:val="auto"/>
                <w:sz w:val="24"/>
                <w:highlight w:val="none"/>
              </w:rPr>
              <w:t>有机肥工艺流程及产污节点图</w:t>
            </w:r>
          </w:p>
          <w:p w14:paraId="2BF9CDFB">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生产工艺主要包括</w:t>
            </w:r>
            <w:r>
              <w:rPr>
                <w:rFonts w:hint="eastAsia" w:cs="Times New Roman"/>
                <w:color w:val="auto"/>
                <w:sz w:val="24"/>
                <w:szCs w:val="24"/>
                <w:highlight w:val="none"/>
                <w:lang w:val="en-US" w:eastAsia="zh-CN"/>
              </w:rPr>
              <w:t>原料储存</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粉碎</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搅拌</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发酵</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熟化、陈化、制粒</w:t>
            </w:r>
            <w:r>
              <w:rPr>
                <w:rFonts w:hint="default" w:ascii="Times New Roman" w:hAnsi="Times New Roman" w:eastAsia="宋体" w:cs="Times New Roman"/>
                <w:color w:val="auto"/>
                <w:sz w:val="24"/>
                <w:szCs w:val="24"/>
                <w:highlight w:val="none"/>
              </w:rPr>
              <w:t>等工序，最后将生产出来的产品进行包装后即为成品。简述如下：</w:t>
            </w:r>
          </w:p>
          <w:p w14:paraId="3FE70468">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（1）原料贮存</w:t>
            </w:r>
          </w:p>
          <w:p w14:paraId="013DF724">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该项目所使用的主要原料为</w:t>
            </w:r>
            <w:r>
              <w:rPr>
                <w:rFonts w:hint="eastAsia" w:cs="Times New Roman"/>
                <w:color w:val="auto"/>
                <w:sz w:val="24"/>
                <w:szCs w:val="24"/>
                <w:highlight w:val="none"/>
                <w:lang w:val="en-US" w:eastAsia="zh-CN"/>
              </w:rPr>
              <w:t>农作物秸秆</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秸秆</w:t>
            </w:r>
            <w:r>
              <w:rPr>
                <w:rFonts w:hint="default" w:ascii="Times New Roman" w:hAnsi="Times New Roman" w:eastAsia="宋体" w:cs="Times New Roman"/>
                <w:color w:val="auto"/>
                <w:sz w:val="24"/>
                <w:szCs w:val="24"/>
                <w:highlight w:val="none"/>
                <w:lang w:eastAsia="zh-CN"/>
              </w:rPr>
              <w:t>原料</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未发酵的牛粪原料</w:t>
            </w:r>
            <w:r>
              <w:rPr>
                <w:rFonts w:hint="default" w:ascii="Times New Roman" w:hAnsi="Times New Roman" w:eastAsia="宋体" w:cs="Times New Roman"/>
                <w:color w:val="auto"/>
                <w:sz w:val="24"/>
                <w:szCs w:val="24"/>
                <w:highlight w:val="none"/>
                <w:lang w:eastAsia="zh-CN"/>
              </w:rPr>
              <w:t>均通过汽车运输至工厂，</w:t>
            </w:r>
            <w:r>
              <w:rPr>
                <w:rFonts w:hint="default" w:ascii="Times New Roman" w:hAnsi="Times New Roman" w:eastAsia="宋体" w:cs="Times New Roman"/>
                <w:color w:val="auto"/>
                <w:sz w:val="24"/>
                <w:szCs w:val="24"/>
                <w:highlight w:val="none"/>
                <w:lang w:val="en-US" w:eastAsia="zh-CN"/>
              </w:rPr>
              <w:t>且在运输过程中需确保全程处于密闭状态</w:t>
            </w:r>
            <w:r>
              <w:rPr>
                <w:rFonts w:hint="eastAsia" w:cs="Times New Roman"/>
                <w:color w:val="auto"/>
                <w:sz w:val="24"/>
                <w:szCs w:val="24"/>
                <w:highlight w:val="none"/>
                <w:lang w:val="en-US" w:eastAsia="zh-CN"/>
              </w:rPr>
              <w:t>。牛粪原料即时按需购买厂界东内蒙古嘉之源牧业有限公司、厂界北现代牧业金沙牧场未发酵的牛粪，不在厂内储存，由汽车运输至生产车间投入使用；秸秆</w:t>
            </w:r>
            <w:r>
              <w:rPr>
                <w:rFonts w:hint="default" w:ascii="Times New Roman" w:hAnsi="Times New Roman" w:eastAsia="宋体" w:cs="Times New Roman"/>
                <w:color w:val="auto"/>
                <w:sz w:val="24"/>
                <w:szCs w:val="24"/>
                <w:highlight w:val="none"/>
                <w:lang w:val="en-US" w:eastAsia="zh-CN"/>
              </w:rPr>
              <w:t>原料无需晾晒，可直接运送至</w:t>
            </w:r>
            <w:r>
              <w:rPr>
                <w:rFonts w:hint="eastAsia" w:cs="Times New Roman"/>
                <w:color w:val="auto"/>
                <w:sz w:val="24"/>
                <w:szCs w:val="24"/>
                <w:highlight w:val="none"/>
                <w:lang w:val="en-US" w:eastAsia="zh-CN"/>
              </w:rPr>
              <w:t>原材料储存</w:t>
            </w:r>
            <w:r>
              <w:rPr>
                <w:rFonts w:hint="default" w:ascii="Times New Roman" w:hAnsi="Times New Roman" w:eastAsia="宋体" w:cs="Times New Roman"/>
                <w:color w:val="auto"/>
                <w:sz w:val="24"/>
                <w:szCs w:val="24"/>
                <w:highlight w:val="none"/>
                <w:lang w:val="en-US" w:eastAsia="zh-CN"/>
              </w:rPr>
              <w:t>库进行储存，以备后续使用。原料库采用全封闭结构设计。</w:t>
            </w:r>
            <w:r>
              <w:rPr>
                <w:rFonts w:hint="eastAsia" w:cs="Times New Roman"/>
                <w:color w:val="auto"/>
                <w:sz w:val="24"/>
                <w:szCs w:val="24"/>
                <w:highlight w:val="none"/>
                <w:lang w:val="en-US" w:eastAsia="zh-CN"/>
              </w:rPr>
              <w:t>（此过程中产生的扬尘，由于厂房封闭且产生量较少）；</w:t>
            </w:r>
            <w:r>
              <w:rPr>
                <w:rFonts w:hint="default" w:ascii="Times New Roman" w:hAnsi="Times New Roman" w:eastAsia="宋体" w:cs="Times New Roman"/>
                <w:color w:val="auto"/>
                <w:sz w:val="24"/>
                <w:szCs w:val="24"/>
                <w:highlight w:val="none"/>
                <w:lang w:val="en-US" w:eastAsia="zh-CN"/>
              </w:rPr>
              <w:t xml:space="preserve"> </w:t>
            </w:r>
          </w:p>
          <w:p w14:paraId="04F68A15">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w:t>
            </w:r>
            <w:r>
              <w:rPr>
                <w:rFonts w:hint="eastAsia" w:cs="Times New Roman"/>
                <w:color w:val="auto"/>
                <w:sz w:val="24"/>
                <w:szCs w:val="24"/>
                <w:highlight w:val="none"/>
                <w:lang w:val="en-US" w:eastAsia="zh-CN"/>
              </w:rPr>
              <w:t>一次破碎</w:t>
            </w:r>
          </w:p>
          <w:p w14:paraId="5587360B">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农作物秸秆</w:t>
            </w:r>
            <w:r>
              <w:rPr>
                <w:rFonts w:hint="default" w:ascii="Times New Roman" w:hAnsi="Times New Roman" w:eastAsia="宋体" w:cs="Times New Roman"/>
                <w:color w:val="auto"/>
                <w:sz w:val="24"/>
                <w:szCs w:val="24"/>
                <w:highlight w:val="none"/>
                <w:lang w:val="en-US" w:eastAsia="zh-CN"/>
              </w:rPr>
              <w:t>自</w:t>
            </w:r>
            <w:r>
              <w:rPr>
                <w:rFonts w:hint="eastAsia" w:cs="Times New Roman"/>
                <w:color w:val="auto"/>
                <w:sz w:val="24"/>
                <w:szCs w:val="24"/>
                <w:highlight w:val="none"/>
                <w:lang w:val="en-US" w:eastAsia="zh-CN"/>
              </w:rPr>
              <w:t>原材料储存</w:t>
            </w:r>
            <w:r>
              <w:rPr>
                <w:rFonts w:hint="default" w:ascii="Times New Roman" w:hAnsi="Times New Roman" w:eastAsia="宋体" w:cs="Times New Roman"/>
                <w:color w:val="auto"/>
                <w:sz w:val="24"/>
                <w:szCs w:val="24"/>
                <w:highlight w:val="none"/>
                <w:lang w:val="en-US" w:eastAsia="zh-CN"/>
              </w:rPr>
              <w:t>库经由装载机输送至</w:t>
            </w:r>
            <w:r>
              <w:rPr>
                <w:rFonts w:hint="eastAsia" w:cs="Times New Roman"/>
                <w:color w:val="auto"/>
                <w:sz w:val="24"/>
                <w:szCs w:val="24"/>
                <w:highlight w:val="none"/>
                <w:lang w:val="en-US" w:eastAsia="zh-CN"/>
              </w:rPr>
              <w:t>车间内</w:t>
            </w:r>
            <w:r>
              <w:rPr>
                <w:rFonts w:hint="default" w:ascii="Times New Roman" w:hAnsi="Times New Roman" w:eastAsia="宋体" w:cs="Times New Roman"/>
                <w:color w:val="auto"/>
                <w:sz w:val="24"/>
                <w:szCs w:val="24"/>
                <w:highlight w:val="none"/>
                <w:lang w:val="en-US" w:eastAsia="zh-CN"/>
              </w:rPr>
              <w:t>进料口</w:t>
            </w:r>
            <w:r>
              <w:rPr>
                <w:rFonts w:hint="eastAsia" w:cs="Times New Roman"/>
                <w:color w:val="auto"/>
                <w:sz w:val="24"/>
                <w:szCs w:val="24"/>
                <w:highlight w:val="none"/>
                <w:lang w:val="en-US" w:eastAsia="zh-CN"/>
              </w:rPr>
              <w:t>，牛粪直接由外运车辆运输至生产车间由装载机输送至车间内进料口</w:t>
            </w:r>
            <w:r>
              <w:rPr>
                <w:rFonts w:hint="default" w:ascii="Times New Roman" w:hAnsi="Times New Roman" w:eastAsia="宋体" w:cs="Times New Roman"/>
                <w:color w:val="auto"/>
                <w:sz w:val="24"/>
                <w:szCs w:val="24"/>
                <w:highlight w:val="none"/>
                <w:lang w:val="en-US" w:eastAsia="zh-CN"/>
              </w:rPr>
              <w:t>后，</w:t>
            </w:r>
            <w:r>
              <w:rPr>
                <w:rFonts w:hint="eastAsia" w:cs="Times New Roman"/>
                <w:color w:val="auto"/>
                <w:sz w:val="24"/>
                <w:szCs w:val="24"/>
                <w:highlight w:val="none"/>
                <w:lang w:val="en-US" w:eastAsia="zh-CN"/>
              </w:rPr>
              <w:t>牛粪、秸秆按比例一同加入1号</w:t>
            </w:r>
            <w:r>
              <w:rPr>
                <w:rFonts w:hint="default" w:ascii="Times New Roman" w:hAnsi="Times New Roman" w:eastAsia="宋体" w:cs="Times New Roman"/>
                <w:color w:val="auto"/>
                <w:sz w:val="24"/>
                <w:szCs w:val="24"/>
                <w:highlight w:val="none"/>
                <w:lang w:val="en-US" w:eastAsia="zh-CN"/>
              </w:rPr>
              <w:t>粉碎机予以粉碎，待粉碎成小颗粒后，直接通过皮带传送至</w:t>
            </w:r>
            <w:r>
              <w:rPr>
                <w:rFonts w:hint="eastAsia" w:cs="Times New Roman"/>
                <w:color w:val="auto"/>
                <w:sz w:val="24"/>
                <w:szCs w:val="24"/>
                <w:highlight w:val="none"/>
                <w:lang w:val="en-US" w:eastAsia="zh-CN"/>
              </w:rPr>
              <w:t>1号搅拌机预混（项目生产线粉碎机封闭设置，一次粉碎过程中产生的氨、硫化氢厂房封闭，定期喷洒生物除臭剂，无组织排放；</w:t>
            </w:r>
            <w:r>
              <w:rPr>
                <w:rFonts w:hint="eastAsia" w:ascii="Times New Roman" w:eastAsia="宋体" w:cs="Times New Roman"/>
                <w:color w:val="auto"/>
                <w:sz w:val="24"/>
                <w:szCs w:val="24"/>
                <w:highlight w:val="none"/>
                <w:lang w:val="en-US" w:eastAsia="zh-CN"/>
              </w:rPr>
              <w:t>一次</w:t>
            </w:r>
            <w:r>
              <w:rPr>
                <w:rFonts w:hint="eastAsia" w:cs="Times New Roman"/>
                <w:color w:val="auto"/>
                <w:sz w:val="24"/>
                <w:szCs w:val="24"/>
                <w:highlight w:val="none"/>
                <w:lang w:val="en-US" w:eastAsia="zh-CN"/>
              </w:rPr>
              <w:t>粉碎</w:t>
            </w:r>
            <w:r>
              <w:rPr>
                <w:rFonts w:hint="eastAsia" w:ascii="Times New Roman" w:eastAsia="宋体" w:cs="Times New Roman"/>
                <w:color w:val="auto"/>
                <w:sz w:val="24"/>
                <w:szCs w:val="24"/>
                <w:highlight w:val="none"/>
                <w:lang w:val="en-US" w:eastAsia="zh-CN"/>
              </w:rPr>
              <w:t>过程中</w:t>
            </w:r>
            <w:r>
              <w:rPr>
                <w:rFonts w:hint="eastAsia" w:cs="Times New Roman"/>
                <w:color w:val="auto"/>
                <w:sz w:val="24"/>
                <w:szCs w:val="24"/>
                <w:highlight w:val="none"/>
                <w:lang w:val="en-US" w:eastAsia="zh-CN"/>
              </w:rPr>
              <w:t>无烘干设施不改变原料含水率，</w:t>
            </w:r>
            <w:r>
              <w:rPr>
                <w:rFonts w:hint="eastAsia" w:ascii="Times New Roman" w:eastAsia="宋体" w:cs="Times New Roman"/>
                <w:color w:val="auto"/>
                <w:sz w:val="24"/>
                <w:szCs w:val="24"/>
                <w:highlight w:val="none"/>
                <w:lang w:val="en-US" w:eastAsia="zh-CN"/>
              </w:rPr>
              <w:t>牛粪原料含水率70%、秸秆原料含水率30%，</w:t>
            </w:r>
            <w:r>
              <w:rPr>
                <w:rFonts w:hint="eastAsia" w:cs="Times New Roman"/>
                <w:color w:val="auto"/>
                <w:sz w:val="24"/>
                <w:szCs w:val="24"/>
                <w:highlight w:val="none"/>
                <w:lang w:val="en-US" w:eastAsia="zh-CN"/>
              </w:rPr>
              <w:t>产尘量较少 颗粒物无组织排放）；</w:t>
            </w:r>
          </w:p>
          <w:p w14:paraId="00BD36C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（3）</w:t>
            </w:r>
            <w:r>
              <w:rPr>
                <w:rFonts w:hint="eastAsia" w:cs="Times New Roman"/>
                <w:color w:val="auto"/>
                <w:sz w:val="24"/>
                <w:szCs w:val="24"/>
                <w:highlight w:val="none"/>
                <w:lang w:val="en-US" w:eastAsia="zh-CN"/>
              </w:rPr>
              <w:t>一次搅拌</w:t>
            </w:r>
          </w:p>
          <w:p w14:paraId="452F6C8F">
            <w:pPr>
              <w:pStyle w:val="18"/>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eastAsia="宋体" w:cs="Times New Roman"/>
                <w:color w:val="auto"/>
                <w:sz w:val="24"/>
                <w:szCs w:val="24"/>
                <w:highlight w:val="none"/>
                <w:lang w:val="en-US" w:eastAsia="zh-CN"/>
              </w:rPr>
              <w:t>粉碎</w:t>
            </w:r>
            <w:r>
              <w:rPr>
                <w:rFonts w:hint="default" w:ascii="Times New Roman" w:hAnsi="Times New Roman" w:eastAsia="宋体" w:cs="Times New Roman"/>
                <w:color w:val="auto"/>
                <w:sz w:val="24"/>
                <w:szCs w:val="24"/>
                <w:highlight w:val="none"/>
                <w:lang w:val="en-US" w:eastAsia="zh-CN"/>
              </w:rPr>
              <w:t>后的物料通过密闭皮带输送至</w:t>
            </w:r>
            <w:r>
              <w:rPr>
                <w:rFonts w:hint="eastAsia" w:ascii="Times New Roman" w:eastAsia="宋体" w:cs="Times New Roman"/>
                <w:color w:val="auto"/>
                <w:sz w:val="24"/>
                <w:szCs w:val="24"/>
                <w:highlight w:val="none"/>
                <w:lang w:val="en-US" w:eastAsia="zh-CN"/>
              </w:rPr>
              <w:t>1号搅拌机</w:t>
            </w:r>
            <w:r>
              <w:rPr>
                <w:rFonts w:hint="default" w:ascii="Times New Roman" w:hAnsi="Times New Roman" w:eastAsia="宋体" w:cs="Times New Roman"/>
                <w:color w:val="auto"/>
                <w:sz w:val="24"/>
                <w:szCs w:val="24"/>
                <w:highlight w:val="none"/>
                <w:lang w:val="en-US" w:eastAsia="zh-CN"/>
              </w:rPr>
              <w:t>实施</w:t>
            </w:r>
            <w:r>
              <w:rPr>
                <w:rFonts w:hint="eastAsia" w:ascii="Times New Roman" w:eastAsia="宋体" w:cs="Times New Roman"/>
                <w:color w:val="auto"/>
                <w:sz w:val="24"/>
                <w:szCs w:val="24"/>
                <w:highlight w:val="none"/>
                <w:lang w:val="en-US" w:eastAsia="zh-CN"/>
              </w:rPr>
              <w:t>搅拌预混</w:t>
            </w:r>
            <w:r>
              <w:rPr>
                <w:rFonts w:hint="default" w:ascii="Times New Roman" w:hAnsi="Times New Roman" w:eastAsia="宋体" w:cs="Times New Roman"/>
                <w:color w:val="auto"/>
                <w:sz w:val="24"/>
                <w:szCs w:val="24"/>
                <w:highlight w:val="none"/>
                <w:lang w:val="en-US" w:eastAsia="zh-CN"/>
              </w:rPr>
              <w:t>作业。</w:t>
            </w:r>
            <w:r>
              <w:rPr>
                <w:rFonts w:hint="eastAsia" w:ascii="Times New Roman" w:eastAsia="宋体" w:cs="Times New Roman"/>
                <w:color w:val="auto"/>
                <w:sz w:val="24"/>
                <w:szCs w:val="24"/>
                <w:highlight w:val="none"/>
                <w:lang w:val="en-US" w:eastAsia="zh-CN"/>
              </w:rPr>
              <w:t>搅拌</w:t>
            </w:r>
            <w:r>
              <w:rPr>
                <w:rFonts w:hint="default" w:ascii="Times New Roman" w:hAnsi="Times New Roman" w:eastAsia="宋体" w:cs="Times New Roman"/>
                <w:color w:val="auto"/>
                <w:sz w:val="24"/>
                <w:szCs w:val="24"/>
                <w:highlight w:val="none"/>
                <w:lang w:val="en-US" w:eastAsia="zh-CN"/>
              </w:rPr>
              <w:t>过程中，向物料</w:t>
            </w:r>
            <w:r>
              <w:rPr>
                <w:rFonts w:hint="eastAsia" w:ascii="Times New Roman" w:eastAsia="宋体" w:cs="Times New Roman"/>
                <w:color w:val="auto"/>
                <w:sz w:val="24"/>
                <w:szCs w:val="24"/>
                <w:highlight w:val="none"/>
                <w:lang w:val="en-US" w:eastAsia="zh-CN"/>
              </w:rPr>
              <w:t>中加入稀释过后的1号菌以便后续充分发酵</w:t>
            </w:r>
            <w:r>
              <w:rPr>
                <w:rFonts w:hint="default" w:ascii="Times New Roman" w:hAnsi="Times New Roman" w:eastAsia="宋体" w:cs="Times New Roman"/>
                <w:color w:val="auto"/>
                <w:sz w:val="24"/>
                <w:szCs w:val="24"/>
                <w:highlight w:val="none"/>
                <w:lang w:val="en-US" w:eastAsia="zh-CN"/>
              </w:rPr>
              <w:t>，</w:t>
            </w:r>
            <w:r>
              <w:rPr>
                <w:rFonts w:hint="eastAsia" w:ascii="Times New Roman" w:eastAsia="宋体" w:cs="Times New Roman"/>
                <w:color w:val="auto"/>
                <w:sz w:val="24"/>
                <w:szCs w:val="24"/>
                <w:highlight w:val="none"/>
                <w:lang w:val="en-US" w:eastAsia="zh-CN"/>
              </w:rPr>
              <w:t>原辅料</w:t>
            </w:r>
            <w:r>
              <w:rPr>
                <w:rFonts w:hint="default" w:ascii="Times New Roman" w:hAnsi="Times New Roman" w:eastAsia="宋体" w:cs="Times New Roman"/>
                <w:color w:val="auto"/>
                <w:sz w:val="24"/>
                <w:szCs w:val="24"/>
                <w:highlight w:val="none"/>
                <w:lang w:val="en-US" w:eastAsia="zh-CN"/>
              </w:rPr>
              <w:t>凭借</w:t>
            </w:r>
            <w:r>
              <w:rPr>
                <w:rFonts w:hint="eastAsia" w:ascii="Times New Roman" w:eastAsia="宋体" w:cs="Times New Roman"/>
                <w:color w:val="auto"/>
                <w:sz w:val="24"/>
                <w:szCs w:val="24"/>
                <w:highlight w:val="none"/>
                <w:lang w:val="en-US" w:eastAsia="zh-CN"/>
              </w:rPr>
              <w:t>搅拌</w:t>
            </w:r>
            <w:r>
              <w:rPr>
                <w:rFonts w:hint="default" w:ascii="Times New Roman" w:hAnsi="Times New Roman" w:eastAsia="宋体" w:cs="Times New Roman"/>
                <w:color w:val="auto"/>
                <w:sz w:val="24"/>
                <w:szCs w:val="24"/>
                <w:highlight w:val="none"/>
                <w:lang w:val="en-US" w:eastAsia="zh-CN"/>
              </w:rPr>
              <w:t>机筒体的旋转运动从而完成</w:t>
            </w:r>
            <w:r>
              <w:rPr>
                <w:rFonts w:hint="eastAsia" w:ascii="Times New Roman" w:eastAsia="宋体" w:cs="Times New Roman"/>
                <w:color w:val="auto"/>
                <w:sz w:val="24"/>
                <w:szCs w:val="24"/>
                <w:highlight w:val="none"/>
                <w:lang w:val="en-US" w:eastAsia="zh-CN"/>
              </w:rPr>
              <w:t>充分搅拌预混（项目生产线搅拌机封闭设置，一次搅拌过程中产生的氨、硫化氢厂房封闭，定期喷洒生物除臭剂，无组织排放；一次搅拌过程中无烘干设施不改变原料含水率，牛粪原料含水率70%、秸秆原料含水率30%，产尘量较少 颗粒物无组织排放）；</w:t>
            </w:r>
            <w:r>
              <w:rPr>
                <w:rFonts w:hint="default" w:ascii="Times New Roman" w:hAnsi="Times New Roman" w:eastAsia="宋体" w:cs="Times New Roman"/>
                <w:color w:val="auto"/>
                <w:sz w:val="24"/>
                <w:szCs w:val="24"/>
                <w:highlight w:val="none"/>
                <w:lang w:val="en-US" w:eastAsia="zh-CN"/>
              </w:rPr>
              <w:t xml:space="preserve"> </w:t>
            </w:r>
          </w:p>
          <w:p w14:paraId="25F96FC7">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（4）</w:t>
            </w:r>
            <w:r>
              <w:rPr>
                <w:rFonts w:hint="eastAsia" w:cs="Times New Roman"/>
                <w:color w:val="auto"/>
                <w:sz w:val="24"/>
                <w:szCs w:val="24"/>
                <w:highlight w:val="none"/>
                <w:lang w:val="en-US" w:eastAsia="zh-CN"/>
              </w:rPr>
              <w:t>发酵</w:t>
            </w:r>
          </w:p>
          <w:p w14:paraId="37B0F967">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搅拌</w:t>
            </w:r>
            <w:r>
              <w:rPr>
                <w:rFonts w:hint="default" w:ascii="Times New Roman" w:hAnsi="Times New Roman" w:eastAsia="宋体" w:cs="Times New Roman"/>
                <w:color w:val="auto"/>
                <w:sz w:val="24"/>
                <w:szCs w:val="24"/>
                <w:highlight w:val="none"/>
                <w:lang w:eastAsia="zh-CN"/>
              </w:rPr>
              <w:t>完成后</w:t>
            </w:r>
            <w:r>
              <w:rPr>
                <w:rFonts w:hint="eastAsia" w:cs="Times New Roman"/>
                <w:color w:val="auto"/>
                <w:sz w:val="24"/>
                <w:szCs w:val="24"/>
                <w:highlight w:val="none"/>
                <w:lang w:val="en-US" w:eastAsia="zh-CN"/>
              </w:rPr>
              <w:t>通过自动布料系统将搅拌机中的物料输送至单独分隔的封闭发酵间并以垛状堆置利用有机肥发酵设备从而发酵原料</w:t>
            </w:r>
            <w:r>
              <w:rPr>
                <w:rFonts w:hint="default" w:ascii="Times New Roman" w:hAnsi="Times New Roman" w:eastAsia="宋体" w:cs="Times New Roman"/>
                <w:color w:val="auto"/>
                <w:sz w:val="24"/>
                <w:szCs w:val="24"/>
                <w:highlight w:val="none"/>
                <w:lang w:val="en-US" w:eastAsia="zh-CN"/>
              </w:rPr>
              <w:t>，堆高宽各1.5－2m，长</w:t>
            </w:r>
            <w:r>
              <w:rPr>
                <w:rFonts w:hint="eastAsia" w:cs="Times New Roman"/>
                <w:color w:val="auto"/>
                <w:sz w:val="24"/>
                <w:szCs w:val="24"/>
                <w:highlight w:val="none"/>
                <w:lang w:val="en-US" w:eastAsia="zh-CN"/>
              </w:rPr>
              <w:t>2—2.5m，使物料利用1号菌促进对粪便的好氧发酵，且要疏松通气，在堆中设置多个通气孔，堆腐一定时间后进行第一次翻堆，利用翻抛机将外层翻倒至内层，内层翻倒至外层。再继续堆覆，进行第二次翻堆；发酵过程中将分解粪便中的有机质，将大分子化解为可直接吸收利用的小分子，且产生足够温度杀死牛粪中可能携带的病菌和寄生虫卵（基础有机肥发酵利用腐熟菌种与原料中的有机物堆肥自发热以保证发酵温度，且发酵过程中的持续高温会使原料中的水分大量挥发，保证产品含水率合格。本项目未发酵的的牛粪为黏稠糊状是堆肥发酵的初始原料状态，不需晾晒直接与秸秆成比例进入预处理可减少生产加水用量，且与秸秆混合后可做到搅拌成团、落地即散、不易渗水）；</w:t>
            </w:r>
          </w:p>
          <w:p w14:paraId="6EC59CFD">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熟化</w:t>
            </w:r>
          </w:p>
          <w:p w14:paraId="6B697936">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当堆肥</w:t>
            </w:r>
            <w:r>
              <w:rPr>
                <w:rFonts w:hint="eastAsia" w:cs="Times New Roman"/>
                <w:color w:val="auto"/>
                <w:sz w:val="24"/>
                <w:szCs w:val="24"/>
                <w:highlight w:val="none"/>
                <w:lang w:val="en-US" w:eastAsia="zh-CN"/>
              </w:rPr>
              <w:t>发酵</w:t>
            </w:r>
            <w:r>
              <w:rPr>
                <w:rFonts w:hint="default" w:ascii="Times New Roman" w:hAnsi="Times New Roman" w:eastAsia="宋体" w:cs="Times New Roman"/>
                <w:color w:val="auto"/>
                <w:sz w:val="24"/>
                <w:szCs w:val="24"/>
                <w:highlight w:val="none"/>
                <w:lang w:val="en-US" w:eastAsia="zh-CN"/>
              </w:rPr>
              <w:t>表层形成以真菌菌丝为主的白毛时，</w:t>
            </w:r>
            <w:r>
              <w:rPr>
                <w:rFonts w:hint="eastAsia" w:cs="Times New Roman"/>
                <w:color w:val="auto"/>
                <w:sz w:val="24"/>
                <w:szCs w:val="24"/>
                <w:highlight w:val="none"/>
                <w:lang w:val="en-US" w:eastAsia="zh-CN"/>
              </w:rPr>
              <w:t>标志</w:t>
            </w:r>
            <w:r>
              <w:rPr>
                <w:rFonts w:hint="default" w:ascii="Times New Roman" w:hAnsi="Times New Roman" w:eastAsia="宋体" w:cs="Times New Roman"/>
                <w:color w:val="auto"/>
                <w:sz w:val="24"/>
                <w:szCs w:val="24"/>
                <w:highlight w:val="none"/>
                <w:lang w:val="en-US" w:eastAsia="zh-CN"/>
              </w:rPr>
              <w:t>堆肥进入嫌气发酵阶段，此时</w:t>
            </w:r>
            <w:r>
              <w:rPr>
                <w:rFonts w:hint="eastAsia" w:cs="Times New Roman"/>
                <w:color w:val="auto"/>
                <w:sz w:val="24"/>
                <w:szCs w:val="24"/>
                <w:highlight w:val="none"/>
                <w:lang w:val="en-US" w:eastAsia="zh-CN"/>
              </w:rPr>
              <w:t>在加入稀释过后的2号菌后</w:t>
            </w:r>
            <w:r>
              <w:rPr>
                <w:rFonts w:hint="default" w:ascii="Times New Roman" w:hAnsi="Times New Roman" w:eastAsia="宋体" w:cs="Times New Roman"/>
                <w:color w:val="auto"/>
                <w:sz w:val="24"/>
                <w:szCs w:val="24"/>
                <w:highlight w:val="none"/>
                <w:lang w:val="en-US" w:eastAsia="zh-CN"/>
              </w:rPr>
              <w:t>将肥堆压实，防止氮肥的损失，使其缓慢地进行后期的腐熟</w:t>
            </w:r>
            <w:r>
              <w:rPr>
                <w:rFonts w:hint="eastAsia" w:cs="Times New Roman"/>
                <w:color w:val="auto"/>
                <w:sz w:val="24"/>
                <w:szCs w:val="24"/>
                <w:highlight w:val="none"/>
                <w:lang w:val="en-US" w:eastAsia="zh-CN"/>
              </w:rPr>
              <w:t>。当堆体温度与环境温度一致或稍高于环境温度，气味消失，颜色呈黑褐和黑色时熟化工序完成。熟化过程中的持续高温会使原料中的水分大量挥发，保证产品含水率合格（发酵、腐熟均在封闭的发酵间完成，过程中产生的氨、硫化氢、臭气通过发酵区设置负压收集后通过管道进入二级活性炭吸附装置+水洗塔组合除臭装置处理后经高15m，内径0.5m的排气筒（#2）排放）；</w:t>
            </w:r>
          </w:p>
          <w:p w14:paraId="0349D6D1">
            <w:pPr>
              <w:pStyle w:val="18"/>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二次</w:t>
            </w:r>
            <w:r>
              <w:rPr>
                <w:rFonts w:hint="eastAsia" w:ascii="Times New Roman" w:eastAsia="宋体" w:cs="Times New Roman"/>
                <w:color w:val="auto"/>
                <w:sz w:val="24"/>
                <w:szCs w:val="24"/>
                <w:highlight w:val="none"/>
                <w:lang w:val="en-US" w:eastAsia="zh-CN"/>
              </w:rPr>
              <w:t>粉碎</w:t>
            </w:r>
          </w:p>
          <w:p w14:paraId="325ADEA3">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发酵熟化完成后的肥料利用装载机</w:t>
            </w:r>
            <w:r>
              <w:rPr>
                <w:rFonts w:hint="default" w:ascii="Times New Roman" w:hAnsi="Times New Roman" w:eastAsia="宋体" w:cs="Times New Roman"/>
                <w:color w:val="auto"/>
                <w:sz w:val="24"/>
                <w:szCs w:val="24"/>
                <w:highlight w:val="none"/>
                <w:lang w:val="en-US" w:eastAsia="zh-CN"/>
              </w:rPr>
              <w:t>输送至</w:t>
            </w:r>
            <w:r>
              <w:rPr>
                <w:rFonts w:hint="eastAsia" w:cs="Times New Roman"/>
                <w:color w:val="auto"/>
                <w:sz w:val="24"/>
                <w:szCs w:val="24"/>
                <w:highlight w:val="none"/>
                <w:lang w:val="en-US" w:eastAsia="zh-CN"/>
              </w:rPr>
              <w:t>粉碎机</w:t>
            </w:r>
            <w:r>
              <w:rPr>
                <w:rFonts w:hint="default" w:ascii="Times New Roman" w:hAnsi="Times New Roman" w:eastAsia="宋体" w:cs="Times New Roman"/>
                <w:color w:val="auto"/>
                <w:sz w:val="24"/>
                <w:szCs w:val="24"/>
                <w:highlight w:val="none"/>
                <w:lang w:val="en-US" w:eastAsia="zh-CN"/>
              </w:rPr>
              <w:t>进料口后，借助</w:t>
            </w:r>
            <w:r>
              <w:rPr>
                <w:rFonts w:hint="eastAsia" w:cs="Times New Roman"/>
                <w:color w:val="auto"/>
                <w:sz w:val="24"/>
                <w:szCs w:val="24"/>
                <w:highlight w:val="none"/>
                <w:lang w:val="en-US" w:eastAsia="zh-CN"/>
              </w:rPr>
              <w:t>2号</w:t>
            </w:r>
            <w:r>
              <w:rPr>
                <w:rFonts w:hint="default" w:ascii="Times New Roman" w:hAnsi="Times New Roman" w:eastAsia="宋体" w:cs="Times New Roman"/>
                <w:color w:val="auto"/>
                <w:sz w:val="24"/>
                <w:szCs w:val="24"/>
                <w:highlight w:val="none"/>
                <w:lang w:val="en-US" w:eastAsia="zh-CN"/>
              </w:rPr>
              <w:t>粉碎机予以粉碎，待粉碎成小颗粒后，直接通过皮带传送至</w:t>
            </w:r>
            <w:r>
              <w:rPr>
                <w:rFonts w:hint="eastAsia" w:cs="Times New Roman"/>
                <w:color w:val="auto"/>
                <w:sz w:val="24"/>
                <w:szCs w:val="24"/>
                <w:highlight w:val="none"/>
                <w:lang w:val="en-US" w:eastAsia="zh-CN"/>
              </w:rPr>
              <w:t>2号搅拌机进行</w:t>
            </w:r>
            <w:r>
              <w:rPr>
                <w:rFonts w:hint="eastAsia"/>
                <w:color w:val="auto"/>
                <w:sz w:val="24"/>
                <w:szCs w:val="24"/>
                <w:highlight w:val="none"/>
                <w:lang w:val="en-US" w:eastAsia="zh-CN"/>
              </w:rPr>
              <w:t>二次搅拌</w:t>
            </w:r>
            <w:r>
              <w:rPr>
                <w:rFonts w:hint="eastAsia" w:cs="Times New Roman"/>
                <w:color w:val="auto"/>
                <w:sz w:val="24"/>
                <w:szCs w:val="24"/>
                <w:highlight w:val="none"/>
                <w:lang w:val="en-US" w:eastAsia="zh-CN"/>
              </w:rPr>
              <w:t>（项目生产线粉碎机封闭设置，2号粉碎机产生的扬尘经集气罩收集后通过管道将收集的粉尘输送至布袋除尘器处理后经1根高15m，内径0.5m的排气筒（#1）排放）；</w:t>
            </w:r>
            <w:r>
              <w:rPr>
                <w:rFonts w:hint="default" w:ascii="Times New Roman" w:hAnsi="Times New Roman" w:eastAsia="宋体" w:cs="Times New Roman"/>
                <w:color w:val="auto"/>
                <w:sz w:val="24"/>
                <w:szCs w:val="24"/>
                <w:highlight w:val="none"/>
                <w:lang w:val="en-US" w:eastAsia="zh-CN"/>
              </w:rPr>
              <w:t xml:space="preserve"> </w:t>
            </w:r>
          </w:p>
          <w:p w14:paraId="1F1D1D4B">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二次</w:t>
            </w:r>
            <w:r>
              <w:rPr>
                <w:rFonts w:hint="default" w:ascii="Times New Roman" w:hAnsi="Times New Roman" w:eastAsia="宋体" w:cs="Times New Roman"/>
                <w:color w:val="auto"/>
                <w:sz w:val="24"/>
                <w:szCs w:val="24"/>
                <w:highlight w:val="none"/>
                <w:lang w:val="en-US" w:eastAsia="zh-CN"/>
              </w:rPr>
              <w:t>搅拌</w:t>
            </w:r>
          </w:p>
          <w:p w14:paraId="431A83F1">
            <w:pPr>
              <w:pStyle w:val="18"/>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eastAsia="宋体" w:cs="Times New Roman"/>
                <w:color w:val="auto"/>
                <w:sz w:val="24"/>
                <w:szCs w:val="24"/>
                <w:highlight w:val="none"/>
                <w:lang w:val="en-US" w:eastAsia="zh-CN"/>
              </w:rPr>
              <w:t>粉碎</w:t>
            </w:r>
            <w:r>
              <w:rPr>
                <w:rFonts w:hint="default" w:ascii="Times New Roman" w:hAnsi="Times New Roman" w:eastAsia="宋体" w:cs="Times New Roman"/>
                <w:color w:val="auto"/>
                <w:sz w:val="24"/>
                <w:szCs w:val="24"/>
                <w:highlight w:val="none"/>
                <w:lang w:val="en-US" w:eastAsia="zh-CN"/>
              </w:rPr>
              <w:t>后的物料通过皮带输送系统平稳地运送至</w:t>
            </w:r>
            <w:r>
              <w:rPr>
                <w:rFonts w:hint="eastAsia" w:ascii="Times New Roman" w:eastAsia="宋体" w:cs="Times New Roman"/>
                <w:color w:val="auto"/>
                <w:sz w:val="24"/>
                <w:szCs w:val="24"/>
                <w:highlight w:val="none"/>
                <w:lang w:val="en-US" w:eastAsia="zh-CN"/>
              </w:rPr>
              <w:t>2号搅拌机</w:t>
            </w:r>
            <w:r>
              <w:rPr>
                <w:rFonts w:hint="default" w:ascii="Times New Roman" w:hAnsi="Times New Roman" w:eastAsia="宋体" w:cs="Times New Roman"/>
                <w:color w:val="auto"/>
                <w:sz w:val="24"/>
                <w:szCs w:val="24"/>
                <w:highlight w:val="none"/>
                <w:lang w:val="en-US" w:eastAsia="zh-CN"/>
              </w:rPr>
              <w:t>内，在此过程中，按照预先设定的比例加入适量的</w:t>
            </w:r>
            <w:r>
              <w:rPr>
                <w:rFonts w:hint="eastAsia" w:ascii="Times New Roman" w:eastAsia="宋体" w:cs="Times New Roman"/>
                <w:color w:val="auto"/>
                <w:sz w:val="24"/>
                <w:szCs w:val="24"/>
                <w:highlight w:val="none"/>
                <w:lang w:val="en-US" w:eastAsia="zh-CN"/>
              </w:rPr>
              <w:t>稀释后的3号</w:t>
            </w:r>
            <w:r>
              <w:rPr>
                <w:rFonts w:hint="default" w:ascii="Times New Roman" w:hAnsi="Times New Roman" w:eastAsia="宋体" w:cs="Times New Roman"/>
                <w:color w:val="auto"/>
                <w:sz w:val="24"/>
                <w:szCs w:val="24"/>
                <w:highlight w:val="none"/>
                <w:lang w:val="en-US" w:eastAsia="zh-CN"/>
              </w:rPr>
              <w:t>菌，进行充分的混合处理，以确保物料与</w:t>
            </w:r>
            <w:r>
              <w:rPr>
                <w:rFonts w:hint="eastAsia" w:ascii="Times New Roman" w:eastAsia="宋体" w:cs="Times New Roman"/>
                <w:color w:val="auto"/>
                <w:sz w:val="24"/>
                <w:szCs w:val="24"/>
                <w:highlight w:val="none"/>
                <w:lang w:val="en-US" w:eastAsia="zh-CN"/>
              </w:rPr>
              <w:t>3号</w:t>
            </w:r>
            <w:r>
              <w:rPr>
                <w:rFonts w:hint="default" w:ascii="Times New Roman" w:hAnsi="Times New Roman" w:eastAsia="宋体" w:cs="Times New Roman"/>
                <w:color w:val="auto"/>
                <w:sz w:val="24"/>
                <w:szCs w:val="24"/>
                <w:highlight w:val="none"/>
                <w:lang w:val="en-US" w:eastAsia="zh-CN"/>
              </w:rPr>
              <w:t>菌均匀融合，达到预期的处理效果</w:t>
            </w:r>
            <w:r>
              <w:rPr>
                <w:rFonts w:hint="eastAsia" w:ascii="Times New Roman" w:eastAsia="宋体" w:cs="Times New Roman"/>
                <w:color w:val="auto"/>
                <w:sz w:val="24"/>
                <w:szCs w:val="24"/>
                <w:highlight w:val="none"/>
                <w:lang w:val="en-US" w:eastAsia="zh-CN"/>
              </w:rPr>
              <w:t>（搅拌机产生的扬尘经集气罩收集后通过管道将收集的粉尘输送至布袋除尘器处理后经1根高15m，内径0.5m的排气筒（#1）排放）；</w:t>
            </w:r>
            <w:r>
              <w:rPr>
                <w:rFonts w:hint="default" w:ascii="Times New Roman" w:hAnsi="Times New Roman" w:eastAsia="宋体" w:cs="Times New Roman"/>
                <w:color w:val="auto"/>
                <w:sz w:val="24"/>
                <w:szCs w:val="24"/>
                <w:highlight w:val="none"/>
                <w:lang w:val="en-US" w:eastAsia="zh-CN"/>
              </w:rPr>
              <w:t xml:space="preserve"> </w:t>
            </w:r>
          </w:p>
          <w:p w14:paraId="5A867114">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（8）质量检验</w:t>
            </w:r>
          </w:p>
          <w:p w14:paraId="2922B71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搅拌完成的粉状肥料抽样送至办公管理区的研发质检室检验，检验合格的肥料即为粉状基础有机肥产品，检验不合格的肥料利用装载机返回发酵间重新发酵生产；（检验室在有机肥样品破碎、研磨、筛分过程会产生少量粉尘颗粒物，经室内通风排风无组织排放）</w:t>
            </w:r>
          </w:p>
          <w:p w14:paraId="371FBE3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包装粉状基础有机肥产品</w:t>
            </w:r>
          </w:p>
          <w:p w14:paraId="22DD142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检验合格的部分粉末状肥料通过1号包装机将粉状基础有机肥、</w:t>
            </w:r>
            <w:r>
              <w:rPr>
                <w:rFonts w:hint="default" w:ascii="Times New Roman" w:hAnsi="Times New Roman" w:eastAsia="宋体" w:cs="Times New Roman"/>
                <w:color w:val="auto"/>
                <w:sz w:val="24"/>
                <w:szCs w:val="24"/>
                <w:highlight w:val="none"/>
              </w:rPr>
              <w:t>自动码垛机打包成40kg/袋，入库待售</w:t>
            </w:r>
            <w:r>
              <w:rPr>
                <w:rFonts w:hint="eastAsia" w:cs="Times New Roman"/>
                <w:color w:val="auto"/>
                <w:sz w:val="24"/>
                <w:szCs w:val="24"/>
                <w:highlight w:val="none"/>
                <w:lang w:val="en-US" w:eastAsia="zh-CN"/>
              </w:rPr>
              <w:t>（</w:t>
            </w:r>
            <w:r>
              <w:rPr>
                <w:rFonts w:hint="eastAsia" w:ascii="Times New Roman" w:eastAsia="宋体" w:cs="Times New Roman"/>
                <w:color w:val="auto"/>
                <w:sz w:val="24"/>
                <w:szCs w:val="24"/>
                <w:highlight w:val="none"/>
                <w:lang w:val="en-US" w:eastAsia="zh-CN"/>
              </w:rPr>
              <w:t>1号包装机产生的扬尘经集气罩③收集后通过管道将收集的粉尘输送至布袋除尘器处理后经1根高15m，内径0.5m的排气筒（#1）排放</w:t>
            </w:r>
            <w:r>
              <w:rPr>
                <w:rFonts w:hint="eastAsia" w:cs="Times New Roman"/>
                <w:color w:val="auto"/>
                <w:sz w:val="24"/>
                <w:szCs w:val="24"/>
                <w:highlight w:val="none"/>
                <w:lang w:val="en-US" w:eastAsia="zh-CN"/>
              </w:rPr>
              <w:t>）</w:t>
            </w:r>
          </w:p>
          <w:p w14:paraId="33F407D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（10）造粒</w:t>
            </w:r>
          </w:p>
          <w:p w14:paraId="2B25229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检验合格的未打包的粉末状基础肥料按依靠挤压造粒机的挤压力、旋转离心力和摩擦力将湿润的物料</w:t>
            </w:r>
            <w:r>
              <w:rPr>
                <w:rFonts w:hint="eastAsia"/>
                <w:color w:val="auto"/>
                <w:sz w:val="24"/>
                <w:szCs w:val="24"/>
                <w:highlight w:val="none"/>
                <w:lang w:eastAsia="zh-CN"/>
              </w:rPr>
              <w:t>（</w:t>
            </w:r>
            <w:r>
              <w:rPr>
                <w:rFonts w:hint="eastAsia"/>
                <w:color w:val="auto"/>
                <w:sz w:val="24"/>
                <w:szCs w:val="24"/>
                <w:highlight w:val="none"/>
                <w:lang w:val="en-US" w:eastAsia="zh-CN"/>
              </w:rPr>
              <w:t>二次搅拌时加入稀释后的3号菌液体使物料保持湿润</w:t>
            </w:r>
            <w:r>
              <w:rPr>
                <w:rFonts w:hint="eastAsia"/>
                <w:color w:val="auto"/>
                <w:sz w:val="24"/>
                <w:szCs w:val="24"/>
                <w:highlight w:val="none"/>
                <w:lang w:eastAsia="zh-CN"/>
              </w:rPr>
              <w:t>）</w:t>
            </w:r>
            <w:r>
              <w:rPr>
                <w:rFonts w:hint="eastAsia" w:cs="Times New Roman"/>
                <w:color w:val="auto"/>
                <w:sz w:val="24"/>
                <w:szCs w:val="24"/>
                <w:highlight w:val="none"/>
                <w:lang w:val="en-US" w:eastAsia="zh-CN"/>
              </w:rPr>
              <w:t>小颗粒在盘内不断滚动、碰撞、挤压，逐步吸附周围的细料，颗粒体积持续增大，从而形成圆球状颗粒基础有机肥产品（此工段无需进行烘干，发酵过程中的持续高温会使原料中的水分大量挥发）。制粒过程会产生噪声、颗粒物</w:t>
            </w:r>
            <w:r>
              <w:rPr>
                <w:rFonts w:hint="eastAsia" w:ascii="Times New Roman" w:eastAsia="宋体" w:cs="Times New Roman"/>
                <w:color w:val="auto"/>
                <w:sz w:val="24"/>
                <w:szCs w:val="24"/>
                <w:highlight w:val="none"/>
                <w:lang w:val="en-US" w:eastAsia="zh-CN"/>
              </w:rPr>
              <w:t>（项目生产线挤压造粒机封闭设置，产生的扬尘经集气罩收集后通过管道将收集的粉尘输送至布袋除尘器处理后经1根高15m，内径0.5m的排气筒（#1）排放）</w:t>
            </w:r>
            <w:r>
              <w:rPr>
                <w:rFonts w:hint="eastAsia" w:cs="Times New Roman"/>
                <w:color w:val="auto"/>
                <w:sz w:val="24"/>
                <w:szCs w:val="24"/>
                <w:highlight w:val="none"/>
                <w:lang w:val="en-US" w:eastAsia="zh-CN"/>
              </w:rPr>
              <w:t>；</w:t>
            </w:r>
          </w:p>
          <w:p w14:paraId="4D4BBE6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（11）筛分</w:t>
            </w:r>
          </w:p>
          <w:p w14:paraId="50360342">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制粒后的肥料经过筛分机筛分，将未成颗粒的肥料通过链式回料机、输送带返回2号粉碎机进行粉碎（（项目生产线筛分机、链式回料机封闭设置，筛分机产生的扬尘经集气罩收集后通过管道将收集的粉尘输送至布袋除尘器处理后经1根高15m，内径0.5m的排气筒（#1）排放）</w:t>
            </w:r>
          </w:p>
          <w:p w14:paraId="75CD776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（12）包装颗粒基础有机肥产品</w:t>
            </w:r>
          </w:p>
          <w:p w14:paraId="6A0411B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造粒完成的粉末状肥料经输送机输送至2号包装机将颗粒基础有机肥、</w:t>
            </w:r>
            <w:r>
              <w:rPr>
                <w:rFonts w:hint="default" w:ascii="Times New Roman" w:hAnsi="Times New Roman" w:eastAsia="宋体" w:cs="Times New Roman"/>
                <w:color w:val="auto"/>
                <w:sz w:val="24"/>
                <w:szCs w:val="24"/>
                <w:highlight w:val="none"/>
              </w:rPr>
              <w:t>自动码垛机打包成40kg/袋，入库待售</w:t>
            </w:r>
            <w:r>
              <w:rPr>
                <w:rFonts w:hint="eastAsia" w:cs="Times New Roman"/>
                <w:color w:val="auto"/>
                <w:sz w:val="24"/>
                <w:szCs w:val="24"/>
                <w:highlight w:val="none"/>
                <w:lang w:val="en-US" w:eastAsia="zh-CN"/>
              </w:rPr>
              <w:t>（</w:t>
            </w:r>
            <w:r>
              <w:rPr>
                <w:rFonts w:hint="eastAsia" w:ascii="Times New Roman" w:eastAsia="宋体" w:cs="Times New Roman"/>
                <w:color w:val="auto"/>
                <w:sz w:val="24"/>
                <w:szCs w:val="24"/>
                <w:highlight w:val="none"/>
                <w:lang w:val="en-US" w:eastAsia="zh-CN"/>
              </w:rPr>
              <w:t>2号包装机产生的扬尘经集气罩收集后通过管道将收集的粉尘输送至布袋除尘器处理后经1根高15m，内径0.5m的排气筒（#1）排放</w:t>
            </w:r>
            <w:r>
              <w:rPr>
                <w:rFonts w:hint="eastAsia" w:cs="Times New Roman"/>
                <w:color w:val="auto"/>
                <w:sz w:val="24"/>
                <w:szCs w:val="24"/>
                <w:highlight w:val="none"/>
                <w:lang w:val="en-US" w:eastAsia="zh-CN"/>
              </w:rPr>
              <w:t>）</w:t>
            </w:r>
          </w:p>
          <w:p w14:paraId="5D440162">
            <w:pPr>
              <w:keepNext w:val="0"/>
              <w:keepLines w:val="0"/>
              <w:pageBreakBefore w:val="0"/>
              <w:widowControl w:val="0"/>
              <w:kinsoku/>
              <w:wordWrap/>
              <w:overflowPunct/>
              <w:topLinePunct w:val="0"/>
              <w:autoSpaceDE/>
              <w:autoSpaceDN/>
              <w:bidi w:val="0"/>
              <w:adjustRightInd/>
              <w:snapToGrid/>
              <w:spacing w:line="440" w:lineRule="exact"/>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高端有机肥（二期工程）生产工艺流程：</w:t>
            </w:r>
          </w:p>
          <w:p w14:paraId="534D55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s="Times New Roman"/>
                <w:color w:val="auto"/>
                <w:sz w:val="24"/>
                <w:szCs w:val="24"/>
                <w:highlight w:val="none"/>
                <w:lang w:val="en-US" w:eastAsia="zh-CN"/>
              </w:rPr>
            </w:pPr>
            <w:r>
              <w:rPr>
                <w:rFonts w:hint="default"/>
                <w:color w:val="auto"/>
                <w:highlight w:val="none"/>
                <w:lang w:val="en-US" w:eastAsia="zh-CN"/>
              </w:rPr>
              <w:drawing>
                <wp:inline distT="0" distB="0" distL="114300" distR="114300">
                  <wp:extent cx="5224780" cy="5116195"/>
                  <wp:effectExtent l="0" t="0" r="13970" b="8255"/>
                  <wp:docPr id="51" name="E657119C-6982-421D-8BA7-E74DEB70A7D9-2" descr="C:/Users/Administrator/AppData/Local/Temp/wps.pGttT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657119C-6982-421D-8BA7-E74DEB70A7D9-2" descr="C:/Users/Administrator/AppData/Local/Temp/wps.pGttTKwps"/>
                          <pic:cNvPicPr>
                            <a:picLocks noChangeAspect="1"/>
                          </pic:cNvPicPr>
                        </pic:nvPicPr>
                        <pic:blipFill>
                          <a:blip r:embed="rId12"/>
                          <a:stretch>
                            <a:fillRect/>
                          </a:stretch>
                        </pic:blipFill>
                        <pic:spPr>
                          <a:xfrm>
                            <a:off x="0" y="0"/>
                            <a:ext cx="5224780" cy="5116195"/>
                          </a:xfrm>
                          <a:prstGeom prst="rect">
                            <a:avLst/>
                          </a:prstGeom>
                        </pic:spPr>
                      </pic:pic>
                    </a:graphicData>
                  </a:graphic>
                </wp:inline>
              </w:drawing>
            </w:r>
          </w:p>
          <w:p w14:paraId="2DFEC99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图2-4</w:t>
            </w:r>
            <w:r>
              <w:rPr>
                <w:rFonts w:hint="eastAsia" w:cs="Times New Roman"/>
                <w:b/>
                <w:bCs/>
                <w:color w:val="auto"/>
                <w:sz w:val="24"/>
                <w:highlight w:val="none"/>
                <w:lang w:val="en-US" w:eastAsia="zh-CN"/>
              </w:rPr>
              <w:t>-2</w:t>
            </w:r>
            <w:r>
              <w:rPr>
                <w:rFonts w:hint="default" w:ascii="Times New Roman" w:hAnsi="Times New Roman" w:cs="Times New Roman"/>
                <w:b/>
                <w:bCs/>
                <w:color w:val="auto"/>
                <w:sz w:val="24"/>
                <w:highlight w:val="none"/>
              </w:rPr>
              <w:t xml:space="preserve">  </w:t>
            </w:r>
            <w:r>
              <w:rPr>
                <w:rFonts w:hint="eastAsia" w:cs="Times New Roman"/>
                <w:b/>
                <w:bCs/>
                <w:color w:val="auto"/>
                <w:sz w:val="24"/>
                <w:highlight w:val="none"/>
                <w:lang w:val="en-US" w:eastAsia="zh-CN"/>
              </w:rPr>
              <w:t>高端</w:t>
            </w:r>
            <w:r>
              <w:rPr>
                <w:rFonts w:hint="default" w:ascii="Times New Roman" w:hAnsi="Times New Roman" w:cs="Times New Roman"/>
                <w:b/>
                <w:bCs/>
                <w:color w:val="auto"/>
                <w:sz w:val="24"/>
                <w:highlight w:val="none"/>
              </w:rPr>
              <w:t>有机肥工艺流程及产污节点图</w:t>
            </w:r>
          </w:p>
          <w:p w14:paraId="05EB9577">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项目二期建设的纳米膜发酵车间只进行高端有机肥的发酵</w:t>
            </w:r>
            <w:r>
              <w:rPr>
                <w:rFonts w:hint="eastAsia"/>
                <w:color w:val="auto"/>
                <w:highlight w:val="none"/>
                <w:lang w:eastAsia="zh-CN"/>
              </w:rPr>
              <w:t>，</w:t>
            </w:r>
            <w:r>
              <w:rPr>
                <w:rFonts w:hint="default" w:ascii="Times New Roman" w:hAnsi="Times New Roman" w:cs="Times New Roman"/>
                <w:color w:val="auto"/>
                <w:sz w:val="24"/>
                <w:szCs w:val="24"/>
                <w:highlight w:val="none"/>
                <w:lang w:val="en-US" w:eastAsia="zh-CN"/>
              </w:rPr>
              <w:t>高端有机肥</w:t>
            </w:r>
            <w:r>
              <w:rPr>
                <w:rFonts w:hint="eastAsia" w:ascii="Times New Roman" w:hAnsi="Times New Roman" w:cs="Times New Roman"/>
                <w:color w:val="auto"/>
                <w:sz w:val="24"/>
                <w:szCs w:val="24"/>
                <w:highlight w:val="none"/>
                <w:lang w:val="en-US" w:eastAsia="zh-CN"/>
              </w:rPr>
              <w:t>发酵</w:t>
            </w:r>
            <w:r>
              <w:rPr>
                <w:rFonts w:hint="default" w:ascii="Times New Roman" w:hAnsi="Times New Roman" w:cs="Times New Roman"/>
                <w:color w:val="auto"/>
                <w:sz w:val="24"/>
                <w:szCs w:val="24"/>
                <w:highlight w:val="none"/>
                <w:lang w:val="en-US" w:eastAsia="zh-CN"/>
              </w:rPr>
              <w:t>原料</w:t>
            </w:r>
            <w:r>
              <w:rPr>
                <w:rFonts w:hint="eastAsia" w:ascii="Times New Roman" w:hAnsi="Times New Roman" w:cs="Times New Roman"/>
                <w:color w:val="auto"/>
                <w:sz w:val="24"/>
                <w:szCs w:val="24"/>
                <w:highlight w:val="none"/>
                <w:lang w:val="en-US" w:eastAsia="zh-CN"/>
              </w:rPr>
              <w:t>为在生产车间</w:t>
            </w:r>
            <w:r>
              <w:rPr>
                <w:rFonts w:hint="eastAsia"/>
                <w:color w:val="auto"/>
                <w:sz w:val="24"/>
                <w:szCs w:val="24"/>
                <w:highlight w:val="none"/>
                <w:lang w:val="en-US" w:eastAsia="zh-CN"/>
              </w:rPr>
              <w:t>粉碎</w:t>
            </w:r>
            <w:r>
              <w:rPr>
                <w:rFonts w:hint="eastAsia" w:cs="Times New Roman"/>
                <w:color w:val="auto"/>
                <w:sz w:val="24"/>
                <w:szCs w:val="24"/>
                <w:highlight w:val="none"/>
                <w:lang w:val="en-US" w:eastAsia="zh-CN"/>
              </w:rPr>
              <w:t>搅拌</w:t>
            </w:r>
            <w:r>
              <w:rPr>
                <w:rFonts w:hint="eastAsia" w:ascii="Times New Roman" w:hAnsi="Times New Roman" w:cs="Times New Roman"/>
                <w:color w:val="auto"/>
                <w:sz w:val="24"/>
                <w:szCs w:val="24"/>
                <w:highlight w:val="none"/>
                <w:lang w:val="en-US" w:eastAsia="zh-CN"/>
              </w:rPr>
              <w:t>后的未发酵的粪便+秸秆，经装载机运输至纳米膜发酵车间</w:t>
            </w:r>
            <w:r>
              <w:rPr>
                <w:rFonts w:hint="eastAsia" w:cs="Times New Roman"/>
                <w:color w:val="auto"/>
                <w:sz w:val="24"/>
                <w:szCs w:val="24"/>
                <w:highlight w:val="none"/>
                <w:lang w:val="en-US" w:eastAsia="zh-CN"/>
              </w:rPr>
              <w:t>，采用免翻抛的堆肥发酵方式，通过底部的曝气系统提供氧气，节省人工和耗能。纳米膜发酵车间除曝气、布料设备外不布设其他生产设备，高端有机肥发酵完成后，由装载机统一运输至生产车间内制粒、打包。</w:t>
            </w:r>
          </w:p>
          <w:p w14:paraId="248B68D6">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高端有机肥生产流程与基础有机肥一致、设备与基础有机肥共用，除发酵场地、发酵工艺不同外其他均一致</w:t>
            </w:r>
            <w:r>
              <w:rPr>
                <w:rFonts w:hint="eastAsia" w:cs="Times New Roman"/>
                <w:color w:val="auto"/>
                <w:sz w:val="24"/>
                <w:szCs w:val="24"/>
                <w:highlight w:val="none"/>
                <w:lang w:val="en-US" w:eastAsia="zh-CN"/>
              </w:rPr>
              <w:t>（</w:t>
            </w:r>
            <w:r>
              <w:rPr>
                <w:rFonts w:hint="eastAsia" w:cs="Times New Roman"/>
                <w:color w:val="auto"/>
                <w:sz w:val="24"/>
                <w:szCs w:val="21"/>
                <w:highlight w:val="none"/>
                <w:lang w:val="en-US" w:eastAsia="zh-CN"/>
              </w:rPr>
              <w:t>一期基础有机肥发酵时，发酵场地设在生产车间内的发酵间。二期高端有机肥发酵时，发酵场地则位于专门的纳米膜发酵车间。由于纳米膜发酵车间采用的纳米膜堆肥发酵技术需用到曝气设备与特制功能膜，一期工程发酵间的配置不符合高端有机肥发酵技术的要求，所以发酵场地有所区别</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w:t>
            </w:r>
          </w:p>
          <w:p w14:paraId="7518342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cs="Times New Roman"/>
                <w:color w:val="auto"/>
                <w:sz w:val="24"/>
                <w:szCs w:val="24"/>
                <w:highlight w:val="none"/>
                <w:lang w:val="en-US" w:eastAsia="zh-CN"/>
              </w:rPr>
            </w:pPr>
            <w:r>
              <w:rPr>
                <w:rFonts w:hint="eastAsia" w:cs="Times New Roman"/>
                <w:b/>
                <w:bCs/>
                <w:color w:val="auto"/>
                <w:sz w:val="24"/>
                <w:szCs w:val="24"/>
                <w:highlight w:val="none"/>
                <w:lang w:val="en-US" w:eastAsia="zh-CN"/>
              </w:rPr>
              <w:t>高端有机肥纳米膜发酵车间技术原理：</w:t>
            </w:r>
            <w:r>
              <w:rPr>
                <w:rFonts w:hint="eastAsia" w:cs="Times New Roman"/>
                <w:color w:val="auto"/>
                <w:sz w:val="24"/>
                <w:szCs w:val="24"/>
                <w:highlight w:val="none"/>
                <w:lang w:val="en-US" w:eastAsia="zh-CN"/>
              </w:rPr>
              <w:t>纳米膜堆肥发酵技术（NCS智能分子膜好氧堆肥技术）是一种将特制功能膜作为有机废弃物好氧发酵处理覆盖物的工艺技术。</w:t>
            </w:r>
          </w:p>
          <w:p w14:paraId="77C9047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纳米膜车间全封闭设置，覆盖功能膜的选择透过性功能可以为好氧发酵微生物营造良好的生存环境，膜内水蒸气和二氧化碳等小分子气体可以透过排放，臭气等大分子气体被阻隔在内，减少臭气的排放和氨的流失保证肥效，故纳米膜车间产生的气体无组织排放，定期在车间内、膜外喷洒生物除臭剂；</w:t>
            </w:r>
          </w:p>
          <w:p w14:paraId="3DEF429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2、通过微压送，保证发酵堆体内部供氧均匀充分，为好氧发酵构建一个适宜的环境。发酵体内形成一个微正压内腔，确保氧渗透到每个角落，减少厌氧区，提高肥效；</w:t>
            </w:r>
          </w:p>
          <w:p w14:paraId="2C1E56C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3、NCS智能分子膜内形成的高温环境使得致病性微生物得到有效杀灭，从而确保了发酵物的无害化水平。</w:t>
            </w:r>
          </w:p>
          <w:p w14:paraId="4A6EE32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color w:val="auto"/>
                <w:sz w:val="24"/>
                <w:szCs w:val="21"/>
                <w:highlight w:val="none"/>
                <w:lang w:eastAsia="zh-CN"/>
              </w:rPr>
            </w:pPr>
            <w:r>
              <w:rPr>
                <w:rFonts w:hint="default" w:ascii="Times New Roman" w:hAnsi="Times New Roman" w:eastAsia="宋体" w:cs="Times New Roman"/>
                <w:b/>
                <w:color w:val="auto"/>
                <w:sz w:val="24"/>
                <w:szCs w:val="21"/>
                <w:highlight w:val="none"/>
                <w:lang w:val="en-US" w:eastAsia="zh-CN"/>
              </w:rPr>
              <w:t>项目运营期</w:t>
            </w:r>
            <w:r>
              <w:rPr>
                <w:rFonts w:hint="default" w:ascii="Times New Roman" w:hAnsi="Times New Roman" w:eastAsia="宋体" w:cs="Times New Roman"/>
                <w:b/>
                <w:color w:val="auto"/>
                <w:sz w:val="24"/>
                <w:szCs w:val="21"/>
                <w:highlight w:val="none"/>
              </w:rPr>
              <w:t>产污环节</w:t>
            </w:r>
            <w:r>
              <w:rPr>
                <w:rFonts w:hint="default" w:ascii="Times New Roman" w:hAnsi="Times New Roman" w:eastAsia="宋体" w:cs="Times New Roman"/>
                <w:b/>
                <w:color w:val="auto"/>
                <w:sz w:val="24"/>
                <w:szCs w:val="21"/>
                <w:highlight w:val="none"/>
                <w:lang w:eastAsia="zh-CN"/>
              </w:rPr>
              <w:t>：</w:t>
            </w:r>
          </w:p>
          <w:p w14:paraId="5AB7BB4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根据运营期工艺流程可知，主要产污环节为来源于噪声，</w:t>
            </w:r>
            <w:r>
              <w:rPr>
                <w:rFonts w:hint="eastAsia" w:ascii="Times New Roman" w:hAnsi="Times New Roman" w:eastAsia="宋体" w:cs="Times New Roman"/>
                <w:b w:val="0"/>
                <w:bCs/>
                <w:color w:val="auto"/>
                <w:sz w:val="24"/>
                <w:szCs w:val="24"/>
                <w:highlight w:val="none"/>
                <w:lang w:val="en-US" w:eastAsia="zh-CN"/>
              </w:rPr>
              <w:t>粉碎、搅拌产生</w:t>
            </w:r>
            <w:r>
              <w:rPr>
                <w:rFonts w:hint="default" w:ascii="Times New Roman" w:hAnsi="Times New Roman" w:eastAsia="宋体" w:cs="Times New Roman"/>
                <w:b w:val="0"/>
                <w:bCs/>
                <w:color w:val="auto"/>
                <w:sz w:val="24"/>
                <w:szCs w:val="24"/>
                <w:highlight w:val="none"/>
                <w:lang w:val="en-US" w:eastAsia="zh-CN"/>
              </w:rPr>
              <w:t>的</w:t>
            </w:r>
            <w:r>
              <w:rPr>
                <w:rFonts w:hint="eastAsia" w:ascii="Times New Roman" w:hAnsi="Times New Roman" w:eastAsia="宋体" w:cs="Times New Roman"/>
                <w:b w:val="0"/>
                <w:bCs/>
                <w:color w:val="auto"/>
                <w:sz w:val="24"/>
                <w:szCs w:val="24"/>
                <w:highlight w:val="none"/>
                <w:lang w:val="en-US" w:eastAsia="zh-CN"/>
              </w:rPr>
              <w:t>颗粒物，发酵、腐熟产生的氨、硫化氢、臭气浓度等</w:t>
            </w:r>
            <w:r>
              <w:rPr>
                <w:rFonts w:hint="default"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加菌工中产生的菌种废包装袋</w:t>
            </w:r>
            <w:r>
              <w:rPr>
                <w:rFonts w:hint="eastAsia" w:cs="Times New Roman"/>
                <w:b w:val="0"/>
                <w:bCs/>
                <w:color w:val="auto"/>
                <w:sz w:val="24"/>
                <w:szCs w:val="24"/>
                <w:highlight w:val="none"/>
                <w:lang w:val="en-US" w:eastAsia="zh-CN"/>
              </w:rPr>
              <w:t>等，</w:t>
            </w:r>
            <w:r>
              <w:rPr>
                <w:rFonts w:hint="default" w:ascii="Times New Roman" w:hAnsi="Times New Roman" w:eastAsia="宋体" w:cs="Times New Roman"/>
                <w:b w:val="0"/>
                <w:bCs/>
                <w:color w:val="auto"/>
                <w:sz w:val="24"/>
                <w:szCs w:val="24"/>
                <w:highlight w:val="none"/>
                <w:lang w:val="en-US" w:eastAsia="zh-CN"/>
              </w:rPr>
              <w:t>项目主要污染物见表2-</w:t>
            </w:r>
            <w:r>
              <w:rPr>
                <w:rFonts w:hint="eastAsia" w:cs="Times New Roman"/>
                <w:b w:val="0"/>
                <w:bCs/>
                <w:color w:val="auto"/>
                <w:sz w:val="24"/>
                <w:szCs w:val="24"/>
                <w:highlight w:val="none"/>
                <w:lang w:val="en-US" w:eastAsia="zh-CN"/>
              </w:rPr>
              <w:t>6；</w:t>
            </w:r>
            <w:r>
              <w:rPr>
                <w:rFonts w:hint="eastAsia" w:cs="Times New Roman"/>
                <w:color w:val="auto"/>
                <w:sz w:val="24"/>
                <w:szCs w:val="24"/>
                <w:highlight w:val="none"/>
                <w:lang w:val="en-US" w:eastAsia="zh-CN"/>
              </w:rPr>
              <w:t>本项目二期</w:t>
            </w:r>
            <w:r>
              <w:rPr>
                <w:rFonts w:hint="eastAsia" w:ascii="Times New Roman" w:hAnsi="Times New Roman" w:eastAsia="宋体" w:cs="Times New Roman"/>
                <w:color w:val="auto"/>
                <w:sz w:val="24"/>
                <w:szCs w:val="24"/>
                <w:highlight w:val="none"/>
                <w:lang w:val="en-US" w:eastAsia="zh-CN"/>
              </w:rPr>
              <w:t>高端有机肥的生产流程与</w:t>
            </w:r>
            <w:r>
              <w:rPr>
                <w:rFonts w:hint="eastAsia" w:cs="Times New Roman"/>
                <w:color w:val="auto"/>
                <w:sz w:val="24"/>
                <w:szCs w:val="24"/>
                <w:highlight w:val="none"/>
                <w:lang w:val="en-US" w:eastAsia="zh-CN"/>
              </w:rPr>
              <w:t>一期</w:t>
            </w:r>
            <w:r>
              <w:rPr>
                <w:rFonts w:hint="eastAsia" w:ascii="Times New Roman" w:hAnsi="Times New Roman" w:eastAsia="宋体" w:cs="Times New Roman"/>
                <w:color w:val="auto"/>
                <w:sz w:val="24"/>
                <w:szCs w:val="24"/>
                <w:highlight w:val="none"/>
                <w:lang w:val="en-US" w:eastAsia="zh-CN"/>
              </w:rPr>
              <w:t>基础有机肥相同，设备与基础有机肥共用，除发酵场地</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发酵工艺</w:t>
            </w:r>
            <w:r>
              <w:rPr>
                <w:rFonts w:hint="eastAsia" w:cs="Times New Roman"/>
                <w:color w:val="auto"/>
                <w:sz w:val="24"/>
                <w:szCs w:val="24"/>
                <w:highlight w:val="none"/>
                <w:lang w:val="en-US" w:eastAsia="zh-CN"/>
              </w:rPr>
              <w:t>，发酵环保设施</w:t>
            </w:r>
            <w:r>
              <w:rPr>
                <w:rFonts w:hint="eastAsia" w:ascii="Times New Roman" w:hAnsi="Times New Roman" w:eastAsia="宋体" w:cs="Times New Roman"/>
                <w:color w:val="auto"/>
                <w:sz w:val="24"/>
                <w:szCs w:val="24"/>
                <w:highlight w:val="none"/>
                <w:lang w:val="en-US" w:eastAsia="zh-CN"/>
              </w:rPr>
              <w:t>不同外，其余均一致</w:t>
            </w:r>
            <w:r>
              <w:rPr>
                <w:rFonts w:hint="eastAsia" w:cs="Times New Roman"/>
                <w:color w:val="auto"/>
                <w:sz w:val="24"/>
                <w:szCs w:val="24"/>
                <w:highlight w:val="none"/>
                <w:lang w:val="en-US" w:eastAsia="zh-CN"/>
              </w:rPr>
              <w:t>，因此运营期产污环节除发酵场地有差异外，其他无区别</w:t>
            </w:r>
            <w:r>
              <w:rPr>
                <w:rFonts w:hint="default" w:ascii="Times New Roman" w:hAnsi="Times New Roman" w:eastAsia="宋体" w:cs="Times New Roman"/>
                <w:b w:val="0"/>
                <w:bCs/>
                <w:color w:val="auto"/>
                <w:sz w:val="24"/>
                <w:szCs w:val="24"/>
                <w:highlight w:val="none"/>
                <w:lang w:val="en-US" w:eastAsia="zh-CN"/>
              </w:rPr>
              <w:t>：</w:t>
            </w:r>
          </w:p>
          <w:p w14:paraId="2B0CE542">
            <w:pPr>
              <w:keepNext w:val="0"/>
              <w:keepLines w:val="0"/>
              <w:pageBreakBefore w:val="0"/>
              <w:widowControl w:val="0"/>
              <w:tabs>
                <w:tab w:val="left" w:pos="0"/>
              </w:tabs>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2-</w:t>
            </w:r>
            <w:r>
              <w:rPr>
                <w:rFonts w:hint="eastAsia"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项目</w:t>
            </w:r>
            <w:r>
              <w:rPr>
                <w:rFonts w:hint="eastAsia" w:cs="Times New Roman"/>
                <w:b/>
                <w:bCs/>
                <w:color w:val="auto"/>
                <w:sz w:val="24"/>
                <w:highlight w:val="none"/>
                <w:lang w:val="en-US" w:eastAsia="zh-CN"/>
              </w:rPr>
              <w:t>工程</w:t>
            </w:r>
            <w:r>
              <w:rPr>
                <w:rFonts w:hint="default" w:ascii="Times New Roman" w:hAnsi="Times New Roman" w:eastAsia="宋体" w:cs="Times New Roman"/>
                <w:b/>
                <w:bCs/>
                <w:color w:val="auto"/>
                <w:sz w:val="24"/>
                <w:highlight w:val="none"/>
                <w:lang w:val="en-US" w:eastAsia="zh-CN"/>
              </w:rPr>
              <w:t>运营期产污环节</w:t>
            </w:r>
            <w:r>
              <w:rPr>
                <w:rFonts w:hint="default" w:ascii="Times New Roman" w:hAnsi="Times New Roman" w:eastAsia="宋体" w:cs="Times New Roman"/>
                <w:b/>
                <w:bCs/>
                <w:color w:val="auto"/>
                <w:sz w:val="24"/>
                <w:highlight w:val="none"/>
              </w:rPr>
              <w:t>一览表</w:t>
            </w:r>
          </w:p>
          <w:tbl>
            <w:tblPr>
              <w:tblStyle w:val="33"/>
              <w:tblW w:w="86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3"/>
              <w:gridCol w:w="570"/>
              <w:gridCol w:w="546"/>
              <w:gridCol w:w="1051"/>
              <w:gridCol w:w="1785"/>
              <w:gridCol w:w="4052"/>
              <w:gridCol w:w="104"/>
            </w:tblGrid>
            <w:tr w14:paraId="054C9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90" w:hRule="atLeast"/>
                <w:jc w:val="center"/>
              </w:trPr>
              <w:tc>
                <w:tcPr>
                  <w:tcW w:w="533" w:type="dxa"/>
                  <w:tcBorders>
                    <w:tl2br w:val="nil"/>
                    <w:tr2bl w:val="nil"/>
                  </w:tcBorders>
                  <w:vAlign w:val="center"/>
                </w:tcPr>
                <w:p w14:paraId="545881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工程内容</w:t>
                  </w:r>
                </w:p>
              </w:tc>
              <w:tc>
                <w:tcPr>
                  <w:tcW w:w="570" w:type="dxa"/>
                  <w:tcBorders>
                    <w:tl2br w:val="nil"/>
                    <w:tr2bl w:val="nil"/>
                  </w:tcBorders>
                  <w:vAlign w:val="center"/>
                </w:tcPr>
                <w:p w14:paraId="0620BA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类别</w:t>
                  </w:r>
                </w:p>
              </w:tc>
              <w:tc>
                <w:tcPr>
                  <w:tcW w:w="1597" w:type="dxa"/>
                  <w:gridSpan w:val="2"/>
                  <w:tcBorders>
                    <w:tl2br w:val="nil"/>
                    <w:tr2bl w:val="nil"/>
                  </w:tcBorders>
                  <w:vAlign w:val="center"/>
                </w:tcPr>
                <w:p w14:paraId="77E948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污染物类型</w:t>
                  </w:r>
                </w:p>
              </w:tc>
              <w:tc>
                <w:tcPr>
                  <w:tcW w:w="1785" w:type="dxa"/>
                  <w:tcBorders>
                    <w:tl2br w:val="nil"/>
                    <w:tr2bl w:val="nil"/>
                  </w:tcBorders>
                  <w:vAlign w:val="center"/>
                </w:tcPr>
                <w:p w14:paraId="3DAEA0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产污环节</w:t>
                  </w:r>
                </w:p>
              </w:tc>
              <w:tc>
                <w:tcPr>
                  <w:tcW w:w="4052" w:type="dxa"/>
                  <w:tcBorders>
                    <w:tl2br w:val="nil"/>
                    <w:tr2bl w:val="nil"/>
                  </w:tcBorders>
                  <w:vAlign w:val="center"/>
                </w:tcPr>
                <w:p w14:paraId="1C1637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治理措施</w:t>
                  </w:r>
                </w:p>
              </w:tc>
            </w:tr>
            <w:tr w14:paraId="2CC7C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491" w:hRule="atLeast"/>
                <w:jc w:val="center"/>
              </w:trPr>
              <w:tc>
                <w:tcPr>
                  <w:tcW w:w="533" w:type="dxa"/>
                  <w:vMerge w:val="restart"/>
                  <w:tcBorders>
                    <w:tl2br w:val="nil"/>
                    <w:tr2bl w:val="nil"/>
                  </w:tcBorders>
                  <w:vAlign w:val="center"/>
                </w:tcPr>
                <w:p w14:paraId="7F5A93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两期相同</w:t>
                  </w:r>
                </w:p>
              </w:tc>
              <w:tc>
                <w:tcPr>
                  <w:tcW w:w="570" w:type="dxa"/>
                  <w:tcBorders>
                    <w:tl2br w:val="nil"/>
                    <w:tr2bl w:val="nil"/>
                  </w:tcBorders>
                  <w:vAlign w:val="center"/>
                </w:tcPr>
                <w:p w14:paraId="7EFB9A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噪声</w:t>
                  </w:r>
                </w:p>
              </w:tc>
              <w:tc>
                <w:tcPr>
                  <w:tcW w:w="1597" w:type="dxa"/>
                  <w:gridSpan w:val="2"/>
                  <w:tcBorders>
                    <w:tl2br w:val="nil"/>
                    <w:tr2bl w:val="nil"/>
                  </w:tcBorders>
                  <w:vAlign w:val="center"/>
                </w:tcPr>
                <w:p w14:paraId="62CB21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等效连续A声级</w:t>
                  </w:r>
                </w:p>
              </w:tc>
              <w:tc>
                <w:tcPr>
                  <w:tcW w:w="1785" w:type="dxa"/>
                  <w:tcBorders>
                    <w:tl2br w:val="nil"/>
                    <w:tr2bl w:val="nil"/>
                  </w:tcBorders>
                  <w:vAlign w:val="center"/>
                </w:tcPr>
                <w:p w14:paraId="17DADA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生产设备运行</w:t>
                  </w:r>
                </w:p>
              </w:tc>
              <w:tc>
                <w:tcPr>
                  <w:tcW w:w="4052" w:type="dxa"/>
                  <w:tcBorders>
                    <w:tl2br w:val="nil"/>
                    <w:tr2bl w:val="nil"/>
                  </w:tcBorders>
                  <w:vAlign w:val="center"/>
                </w:tcPr>
                <w:p w14:paraId="19A555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color w:val="auto"/>
                      <w:kern w:val="0"/>
                      <w:sz w:val="21"/>
                      <w:szCs w:val="21"/>
                      <w:highlight w:val="none"/>
                      <w:lang w:val="en-US" w:eastAsia="zh-CN" w:bidi="ar"/>
                    </w:rPr>
                    <w:t>选择低噪声设备、车间封闭隔声处理</w:t>
                  </w:r>
                </w:p>
              </w:tc>
            </w:tr>
            <w:tr w14:paraId="1DB05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491" w:hRule="atLeast"/>
                <w:jc w:val="center"/>
              </w:trPr>
              <w:tc>
                <w:tcPr>
                  <w:tcW w:w="533" w:type="dxa"/>
                  <w:vMerge w:val="continue"/>
                  <w:tcBorders>
                    <w:tl2br w:val="nil"/>
                    <w:tr2bl w:val="nil"/>
                  </w:tcBorders>
                  <w:vAlign w:val="center"/>
                </w:tcPr>
                <w:p w14:paraId="3F698C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p>
              </w:tc>
              <w:tc>
                <w:tcPr>
                  <w:tcW w:w="570" w:type="dxa"/>
                  <w:vMerge w:val="restart"/>
                  <w:tcBorders>
                    <w:tl2br w:val="nil"/>
                    <w:tr2bl w:val="nil"/>
                  </w:tcBorders>
                  <w:vAlign w:val="center"/>
                </w:tcPr>
                <w:p w14:paraId="06E631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废水</w:t>
                  </w:r>
                </w:p>
              </w:tc>
              <w:tc>
                <w:tcPr>
                  <w:tcW w:w="1597" w:type="dxa"/>
                  <w:gridSpan w:val="2"/>
                  <w:vMerge w:val="restart"/>
                  <w:tcBorders>
                    <w:tl2br w:val="nil"/>
                    <w:tr2bl w:val="nil"/>
                  </w:tcBorders>
                  <w:vAlign w:val="center"/>
                </w:tcPr>
                <w:p w14:paraId="3303DE02">
                  <w:pPr>
                    <w:adjustRightInd w:val="0"/>
                    <w:snapToGrid w:val="0"/>
                    <w:jc w:val="center"/>
                    <w:rPr>
                      <w:rFonts w:hint="eastAsia"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COD</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eastAsia"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rPr>
                    <w:t>SS</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氨氮</w:t>
                  </w:r>
                </w:p>
              </w:tc>
              <w:tc>
                <w:tcPr>
                  <w:tcW w:w="1785" w:type="dxa"/>
                  <w:tcBorders>
                    <w:tl2br w:val="nil"/>
                    <w:tr2bl w:val="nil"/>
                  </w:tcBorders>
                  <w:vAlign w:val="center"/>
                </w:tcPr>
                <w:p w14:paraId="2F5AC3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水洗塔运行</w:t>
                  </w:r>
                </w:p>
              </w:tc>
              <w:tc>
                <w:tcPr>
                  <w:tcW w:w="4052" w:type="dxa"/>
                  <w:tcBorders>
                    <w:tl2br w:val="nil"/>
                    <w:tr2bl w:val="nil"/>
                  </w:tcBorders>
                  <w:vAlign w:val="center"/>
                </w:tcPr>
                <w:p w14:paraId="502E7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水洗塔中的水循环利用，</w:t>
                  </w:r>
                  <w:r>
                    <w:rPr>
                      <w:rFonts w:hint="eastAsia" w:cs="Times New Roman"/>
                      <w:color w:val="auto"/>
                      <w:sz w:val="21"/>
                      <w:szCs w:val="21"/>
                      <w:highlight w:val="none"/>
                      <w:lang w:val="en-US" w:eastAsia="zh-CN"/>
                    </w:rPr>
                    <w:t>水洗塔内排水回用于稀释菌种，不能消纳部分排至化粪池</w:t>
                  </w:r>
                </w:p>
              </w:tc>
            </w:tr>
            <w:tr w14:paraId="700B8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491" w:hRule="atLeast"/>
                <w:jc w:val="center"/>
              </w:trPr>
              <w:tc>
                <w:tcPr>
                  <w:tcW w:w="533" w:type="dxa"/>
                  <w:vMerge w:val="continue"/>
                  <w:tcBorders>
                    <w:tl2br w:val="nil"/>
                    <w:tr2bl w:val="nil"/>
                  </w:tcBorders>
                  <w:vAlign w:val="center"/>
                </w:tcPr>
                <w:p w14:paraId="604085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p>
              </w:tc>
              <w:tc>
                <w:tcPr>
                  <w:tcW w:w="570" w:type="dxa"/>
                  <w:vMerge w:val="continue"/>
                  <w:tcBorders>
                    <w:tl2br w:val="nil"/>
                    <w:tr2bl w:val="nil"/>
                  </w:tcBorders>
                  <w:vAlign w:val="center"/>
                </w:tcPr>
                <w:p w14:paraId="776F4A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97" w:type="dxa"/>
                  <w:gridSpan w:val="2"/>
                  <w:vMerge w:val="continue"/>
                  <w:tcBorders>
                    <w:tl2br w:val="nil"/>
                    <w:tr2bl w:val="nil"/>
                  </w:tcBorders>
                  <w:vAlign w:val="center"/>
                </w:tcPr>
                <w:p w14:paraId="5FD442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p>
              </w:tc>
              <w:tc>
                <w:tcPr>
                  <w:tcW w:w="1785" w:type="dxa"/>
                  <w:tcBorders>
                    <w:tl2br w:val="nil"/>
                    <w:tr2bl w:val="nil"/>
                  </w:tcBorders>
                  <w:vAlign w:val="center"/>
                </w:tcPr>
                <w:p w14:paraId="4177F1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员工生活</w:t>
                  </w:r>
                </w:p>
              </w:tc>
              <w:tc>
                <w:tcPr>
                  <w:tcW w:w="4052" w:type="dxa"/>
                  <w:tcBorders>
                    <w:tl2br w:val="nil"/>
                    <w:tr2bl w:val="nil"/>
                  </w:tcBorders>
                  <w:vAlign w:val="center"/>
                </w:tcPr>
                <w:p w14:paraId="7195F5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玻璃钢化粪池内生活污水委托环卫部门定期清运处理</w:t>
                  </w:r>
                </w:p>
              </w:tc>
            </w:tr>
            <w:tr w14:paraId="548D0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733" w:hRule="atLeast"/>
                <w:jc w:val="center"/>
              </w:trPr>
              <w:tc>
                <w:tcPr>
                  <w:tcW w:w="533" w:type="dxa"/>
                  <w:vMerge w:val="continue"/>
                  <w:tcBorders>
                    <w:tl2br w:val="nil"/>
                    <w:tr2bl w:val="nil"/>
                  </w:tcBorders>
                  <w:vAlign w:val="center"/>
                </w:tcPr>
                <w:p w14:paraId="4612EB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70" w:type="dxa"/>
                  <w:vMerge w:val="restart"/>
                  <w:tcBorders>
                    <w:tl2br w:val="nil"/>
                    <w:tr2bl w:val="nil"/>
                  </w:tcBorders>
                  <w:vAlign w:val="center"/>
                </w:tcPr>
                <w:p w14:paraId="3451A4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固体废物</w:t>
                  </w:r>
                </w:p>
              </w:tc>
              <w:tc>
                <w:tcPr>
                  <w:tcW w:w="1597" w:type="dxa"/>
                  <w:gridSpan w:val="2"/>
                  <w:tcBorders>
                    <w:tl2br w:val="nil"/>
                    <w:tr2bl w:val="nil"/>
                  </w:tcBorders>
                  <w:vAlign w:val="center"/>
                </w:tcPr>
                <w:p w14:paraId="782C3E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菌种废包装袋</w:t>
                  </w:r>
                </w:p>
              </w:tc>
              <w:tc>
                <w:tcPr>
                  <w:tcW w:w="1785" w:type="dxa"/>
                  <w:tcBorders>
                    <w:tl2br w:val="nil"/>
                    <w:tr2bl w:val="nil"/>
                  </w:tcBorders>
                  <w:vAlign w:val="center"/>
                </w:tcPr>
                <w:p w14:paraId="546A0F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一次搅拌加菌、熟化加菌、高端有机肥加菌</w:t>
                  </w:r>
                </w:p>
              </w:tc>
              <w:tc>
                <w:tcPr>
                  <w:tcW w:w="4052" w:type="dxa"/>
                  <w:tcBorders>
                    <w:tl2br w:val="nil"/>
                    <w:tr2bl w:val="nil"/>
                  </w:tcBorders>
                  <w:vAlign w:val="center"/>
                </w:tcPr>
                <w:p w14:paraId="72CFD9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highlight w:val="none"/>
                      <w:lang w:val="en-US" w:eastAsia="zh-CN" w:bidi="ar"/>
                    </w:rPr>
                  </w:pPr>
                  <w:r>
                    <w:rPr>
                      <w:rFonts w:hint="eastAsia"/>
                      <w:color w:val="auto"/>
                      <w:highlight w:val="none"/>
                      <w:lang w:val="en-US" w:eastAsia="zh-CN"/>
                    </w:rPr>
                    <w:t>集中收集至一般固废间后环卫部门处理</w:t>
                  </w:r>
                </w:p>
              </w:tc>
            </w:tr>
            <w:tr w14:paraId="3C5B5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733" w:hRule="atLeast"/>
                <w:jc w:val="center"/>
              </w:trPr>
              <w:tc>
                <w:tcPr>
                  <w:tcW w:w="533" w:type="dxa"/>
                  <w:vMerge w:val="continue"/>
                  <w:tcBorders>
                    <w:tl2br w:val="nil"/>
                    <w:tr2bl w:val="nil"/>
                  </w:tcBorders>
                  <w:vAlign w:val="center"/>
                </w:tcPr>
                <w:p w14:paraId="431997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70" w:type="dxa"/>
                  <w:vMerge w:val="continue"/>
                  <w:tcBorders>
                    <w:tl2br w:val="nil"/>
                    <w:tr2bl w:val="nil"/>
                  </w:tcBorders>
                  <w:vAlign w:val="center"/>
                </w:tcPr>
                <w:p w14:paraId="52BAD0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97" w:type="dxa"/>
                  <w:gridSpan w:val="2"/>
                  <w:tcBorders>
                    <w:tl2br w:val="nil"/>
                    <w:tr2bl w:val="nil"/>
                  </w:tcBorders>
                  <w:vAlign w:val="center"/>
                </w:tcPr>
                <w:p w14:paraId="7F2CA9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粉尘</w:t>
                  </w:r>
                </w:p>
              </w:tc>
              <w:tc>
                <w:tcPr>
                  <w:tcW w:w="1785" w:type="dxa"/>
                  <w:tcBorders>
                    <w:tl2br w:val="nil"/>
                    <w:tr2bl w:val="nil"/>
                  </w:tcBorders>
                  <w:vAlign w:val="center"/>
                </w:tcPr>
                <w:p w14:paraId="1C716D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 xml:space="preserve">粉碎机、搅拌机、筛分机、挤压造粒机、包装机  </w:t>
                  </w:r>
                </w:p>
              </w:tc>
              <w:tc>
                <w:tcPr>
                  <w:tcW w:w="4052" w:type="dxa"/>
                  <w:vMerge w:val="restart"/>
                  <w:tcBorders>
                    <w:tl2br w:val="nil"/>
                    <w:tr2bl w:val="nil"/>
                  </w:tcBorders>
                  <w:vAlign w:val="center"/>
                </w:tcPr>
                <w:p w14:paraId="5DA7CE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s="Times New Roman"/>
                      <w:color w:val="auto"/>
                      <w:sz w:val="21"/>
                      <w:szCs w:val="21"/>
                      <w:highlight w:val="none"/>
                      <w:lang w:val="en-US" w:eastAsia="zh-CN"/>
                    </w:rPr>
                    <w:t>粉尘、布袋收集的除尘灰定期清理</w:t>
                  </w:r>
                  <w:r>
                    <w:rPr>
                      <w:rFonts w:hint="default" w:ascii="Times New Roman" w:hAnsi="Times New Roman" w:cs="Times New Roman"/>
                      <w:color w:val="auto"/>
                      <w:sz w:val="21"/>
                      <w:szCs w:val="21"/>
                      <w:highlight w:val="none"/>
                    </w:rPr>
                    <w:t>收集后作为原材料</w:t>
                  </w:r>
                  <w:r>
                    <w:rPr>
                      <w:rFonts w:hint="eastAsia" w:cs="Times New Roman"/>
                      <w:color w:val="auto"/>
                      <w:sz w:val="21"/>
                      <w:szCs w:val="21"/>
                      <w:highlight w:val="none"/>
                      <w:lang w:val="en-US" w:eastAsia="zh-CN"/>
                    </w:rPr>
                    <w:t>回用</w:t>
                  </w:r>
                </w:p>
              </w:tc>
            </w:tr>
            <w:tr w14:paraId="5F67C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491" w:hRule="atLeast"/>
                <w:jc w:val="center"/>
              </w:trPr>
              <w:tc>
                <w:tcPr>
                  <w:tcW w:w="533" w:type="dxa"/>
                  <w:vMerge w:val="continue"/>
                  <w:tcBorders>
                    <w:tl2br w:val="nil"/>
                    <w:tr2bl w:val="nil"/>
                  </w:tcBorders>
                  <w:vAlign w:val="center"/>
                </w:tcPr>
                <w:p w14:paraId="3B12A2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70" w:type="dxa"/>
                  <w:vMerge w:val="continue"/>
                  <w:tcBorders>
                    <w:tl2br w:val="nil"/>
                    <w:tr2bl w:val="nil"/>
                  </w:tcBorders>
                  <w:vAlign w:val="center"/>
                </w:tcPr>
                <w:p w14:paraId="4234EA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97" w:type="dxa"/>
                  <w:gridSpan w:val="2"/>
                  <w:tcBorders>
                    <w:tl2br w:val="nil"/>
                    <w:tr2bl w:val="nil"/>
                  </w:tcBorders>
                  <w:vAlign w:val="center"/>
                </w:tcPr>
                <w:p w14:paraId="2BF715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除尘灰</w:t>
                  </w:r>
                </w:p>
              </w:tc>
              <w:tc>
                <w:tcPr>
                  <w:tcW w:w="1785" w:type="dxa"/>
                  <w:tcBorders>
                    <w:tl2br w:val="nil"/>
                    <w:tr2bl w:val="nil"/>
                  </w:tcBorders>
                  <w:vAlign w:val="center"/>
                </w:tcPr>
                <w:p w14:paraId="5A342A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布袋收集的除尘灰</w:t>
                  </w:r>
                </w:p>
              </w:tc>
              <w:tc>
                <w:tcPr>
                  <w:tcW w:w="4052" w:type="dxa"/>
                  <w:vMerge w:val="continue"/>
                  <w:tcBorders>
                    <w:tl2br w:val="nil"/>
                    <w:tr2bl w:val="nil"/>
                  </w:tcBorders>
                  <w:vAlign w:val="center"/>
                </w:tcPr>
                <w:p w14:paraId="398490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r>
            <w:tr w14:paraId="069F9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491" w:hRule="atLeast"/>
                <w:jc w:val="center"/>
              </w:trPr>
              <w:tc>
                <w:tcPr>
                  <w:tcW w:w="533" w:type="dxa"/>
                  <w:vMerge w:val="continue"/>
                  <w:tcBorders>
                    <w:tl2br w:val="nil"/>
                    <w:tr2bl w:val="nil"/>
                  </w:tcBorders>
                  <w:vAlign w:val="center"/>
                </w:tcPr>
                <w:p w14:paraId="3E49EF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70" w:type="dxa"/>
                  <w:vMerge w:val="continue"/>
                  <w:tcBorders>
                    <w:tl2br w:val="nil"/>
                    <w:tr2bl w:val="nil"/>
                  </w:tcBorders>
                  <w:vAlign w:val="center"/>
                </w:tcPr>
                <w:p w14:paraId="29208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97" w:type="dxa"/>
                  <w:gridSpan w:val="2"/>
                  <w:tcBorders>
                    <w:tl2br w:val="nil"/>
                    <w:tr2bl w:val="nil"/>
                  </w:tcBorders>
                  <w:vAlign w:val="center"/>
                </w:tcPr>
                <w:p w14:paraId="1222E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未经检验的有机肥样品</w:t>
                  </w:r>
                </w:p>
              </w:tc>
              <w:tc>
                <w:tcPr>
                  <w:tcW w:w="1785" w:type="dxa"/>
                  <w:vMerge w:val="restart"/>
                  <w:tcBorders>
                    <w:tl2br w:val="nil"/>
                    <w:tr2bl w:val="nil"/>
                  </w:tcBorders>
                  <w:vAlign w:val="center"/>
                </w:tcPr>
                <w:p w14:paraId="67B347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rFonts w:hint="eastAsia" w:cs="Times New Roman"/>
                      <w:b w:val="0"/>
                      <w:bCs/>
                      <w:color w:val="auto"/>
                      <w:sz w:val="21"/>
                      <w:szCs w:val="21"/>
                      <w:highlight w:val="none"/>
                      <w:vertAlign w:val="baseline"/>
                      <w:lang w:val="en-US" w:eastAsia="zh-CN"/>
                    </w:rPr>
                    <w:t>质量检验室</w:t>
                  </w:r>
                </w:p>
              </w:tc>
              <w:tc>
                <w:tcPr>
                  <w:tcW w:w="4052" w:type="dxa"/>
                  <w:tcBorders>
                    <w:tl2br w:val="nil"/>
                    <w:tr2bl w:val="nil"/>
                  </w:tcBorders>
                  <w:vAlign w:val="center"/>
                </w:tcPr>
                <w:p w14:paraId="4C3011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定期返回生产车间重新利用</w:t>
                  </w:r>
                </w:p>
              </w:tc>
            </w:tr>
            <w:tr w14:paraId="6473C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895" w:hRule="atLeast"/>
                <w:jc w:val="center"/>
              </w:trPr>
              <w:tc>
                <w:tcPr>
                  <w:tcW w:w="533" w:type="dxa"/>
                  <w:vMerge w:val="restart"/>
                  <w:tcBorders>
                    <w:tl2br w:val="nil"/>
                    <w:tr2bl w:val="nil"/>
                  </w:tcBorders>
                  <w:vAlign w:val="center"/>
                </w:tcPr>
                <w:p w14:paraId="432C10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两期相同</w:t>
                  </w:r>
                </w:p>
              </w:tc>
              <w:tc>
                <w:tcPr>
                  <w:tcW w:w="570" w:type="dxa"/>
                  <w:vMerge w:val="continue"/>
                  <w:tcBorders>
                    <w:tl2br w:val="nil"/>
                    <w:tr2bl w:val="nil"/>
                  </w:tcBorders>
                  <w:vAlign w:val="center"/>
                </w:tcPr>
                <w:p w14:paraId="5FB168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97" w:type="dxa"/>
                  <w:gridSpan w:val="2"/>
                  <w:tcBorders>
                    <w:tl2br w:val="nil"/>
                    <w:tr2bl w:val="nil"/>
                  </w:tcBorders>
                  <w:vAlign w:val="center"/>
                </w:tcPr>
                <w:p w14:paraId="65D696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滤纸、称量纸、一次性手套、口罩、废弃塑料样品袋、破损玻璃器皿等</w:t>
                  </w:r>
                </w:p>
              </w:tc>
              <w:tc>
                <w:tcPr>
                  <w:tcW w:w="1785" w:type="dxa"/>
                  <w:vMerge w:val="continue"/>
                  <w:tcBorders>
                    <w:tl2br w:val="nil"/>
                    <w:tr2bl w:val="nil"/>
                  </w:tcBorders>
                  <w:vAlign w:val="center"/>
                </w:tcPr>
                <w:p w14:paraId="49C669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p>
              </w:tc>
              <w:tc>
                <w:tcPr>
                  <w:tcW w:w="4052" w:type="dxa"/>
                  <w:tcBorders>
                    <w:tl2br w:val="nil"/>
                    <w:tr2bl w:val="nil"/>
                  </w:tcBorders>
                  <w:vAlign w:val="center"/>
                </w:tcPr>
                <w:p w14:paraId="0539FA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olor w:val="auto"/>
                      <w:highlight w:val="none"/>
                      <w:lang w:val="en-US" w:eastAsia="zh-CN"/>
                    </w:rPr>
                    <w:t>分类收集至一般固废间后环卫部门处理</w:t>
                  </w:r>
                </w:p>
              </w:tc>
            </w:tr>
            <w:tr w14:paraId="0EFB4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491" w:hRule="atLeast"/>
                <w:jc w:val="center"/>
              </w:trPr>
              <w:tc>
                <w:tcPr>
                  <w:tcW w:w="533" w:type="dxa"/>
                  <w:vMerge w:val="continue"/>
                  <w:tcBorders>
                    <w:tl2br w:val="nil"/>
                    <w:tr2bl w:val="nil"/>
                  </w:tcBorders>
                  <w:vAlign w:val="center"/>
                </w:tcPr>
                <w:p w14:paraId="142657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70" w:type="dxa"/>
                  <w:vMerge w:val="continue"/>
                  <w:tcBorders>
                    <w:tl2br w:val="nil"/>
                    <w:tr2bl w:val="nil"/>
                  </w:tcBorders>
                  <w:vAlign w:val="center"/>
                </w:tcPr>
                <w:p w14:paraId="34478A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97" w:type="dxa"/>
                  <w:gridSpan w:val="2"/>
                  <w:tcBorders>
                    <w:tl2br w:val="nil"/>
                    <w:tr2bl w:val="nil"/>
                  </w:tcBorders>
                  <w:vAlign w:val="center"/>
                </w:tcPr>
                <w:p w14:paraId="2BAFE1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废活性炭</w:t>
                  </w:r>
                </w:p>
              </w:tc>
              <w:tc>
                <w:tcPr>
                  <w:tcW w:w="1785" w:type="dxa"/>
                  <w:tcBorders>
                    <w:tl2br w:val="nil"/>
                    <w:tr2bl w:val="nil"/>
                  </w:tcBorders>
                  <w:vAlign w:val="center"/>
                </w:tcPr>
                <w:p w14:paraId="1C7E32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二级活性炭吸附除臭装置</w:t>
                  </w:r>
                </w:p>
              </w:tc>
              <w:tc>
                <w:tcPr>
                  <w:tcW w:w="4052" w:type="dxa"/>
                  <w:tcBorders>
                    <w:tl2br w:val="nil"/>
                    <w:tr2bl w:val="nil"/>
                  </w:tcBorders>
                  <w:vAlign w:val="center"/>
                </w:tcPr>
                <w:p w14:paraId="57160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6"/>
                      <w:sz w:val="21"/>
                      <w:szCs w:val="21"/>
                      <w:highlight w:val="none"/>
                      <w:lang w:val="en-US" w:bidi="zh-CN"/>
                    </w:rPr>
                  </w:pPr>
                  <w:r>
                    <w:rPr>
                      <w:rFonts w:hint="eastAsia" w:cs="Times New Roman"/>
                      <w:color w:val="auto"/>
                      <w:spacing w:val="-6"/>
                      <w:sz w:val="21"/>
                      <w:szCs w:val="21"/>
                      <w:highlight w:val="none"/>
                      <w:lang w:val="en-US" w:bidi="zh-CN"/>
                    </w:rPr>
                    <w:t>废活性炭由活性炭吸附装置厂家每半年更换一次，不在厂内暂存</w:t>
                  </w:r>
                </w:p>
              </w:tc>
            </w:tr>
            <w:tr w14:paraId="62AD4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138" w:hRule="atLeast"/>
                <w:jc w:val="center"/>
              </w:trPr>
              <w:tc>
                <w:tcPr>
                  <w:tcW w:w="533" w:type="dxa"/>
                  <w:vMerge w:val="continue"/>
                  <w:tcBorders>
                    <w:tl2br w:val="nil"/>
                    <w:tr2bl w:val="nil"/>
                  </w:tcBorders>
                  <w:vAlign w:val="center"/>
                </w:tcPr>
                <w:p w14:paraId="412CE3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70" w:type="dxa"/>
                  <w:vMerge w:val="continue"/>
                  <w:tcBorders>
                    <w:tl2br w:val="nil"/>
                    <w:tr2bl w:val="nil"/>
                  </w:tcBorders>
                  <w:vAlign w:val="center"/>
                </w:tcPr>
                <w:p w14:paraId="00E54F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97" w:type="dxa"/>
                  <w:gridSpan w:val="2"/>
                  <w:tcBorders>
                    <w:tl2br w:val="nil"/>
                    <w:tr2bl w:val="nil"/>
                  </w:tcBorders>
                  <w:vAlign w:val="center"/>
                </w:tcPr>
                <w:p w14:paraId="5E1B66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废润滑油</w:t>
                  </w:r>
                </w:p>
              </w:tc>
              <w:tc>
                <w:tcPr>
                  <w:tcW w:w="1785" w:type="dxa"/>
                  <w:tcBorders>
                    <w:tl2br w:val="nil"/>
                    <w:tr2bl w:val="nil"/>
                  </w:tcBorders>
                  <w:vAlign w:val="center"/>
                </w:tcPr>
                <w:p w14:paraId="6A3367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设备检修</w:t>
                  </w:r>
                </w:p>
              </w:tc>
              <w:tc>
                <w:tcPr>
                  <w:tcW w:w="4052" w:type="dxa"/>
                  <w:tcBorders>
                    <w:tl2br w:val="nil"/>
                    <w:tr2bl w:val="nil"/>
                  </w:tcBorders>
                  <w:vAlign w:val="center"/>
                </w:tcPr>
                <w:p w14:paraId="79D909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6"/>
                      <w:sz w:val="21"/>
                      <w:szCs w:val="21"/>
                      <w:highlight w:val="none"/>
                      <w:lang w:val="en-US" w:bidi="zh-CN"/>
                    </w:rPr>
                  </w:pPr>
                  <w:r>
                    <w:rPr>
                      <w:rFonts w:hint="eastAsia" w:cs="Times New Roman"/>
                      <w:color w:val="auto"/>
                      <w:spacing w:val="-6"/>
                      <w:sz w:val="21"/>
                      <w:szCs w:val="21"/>
                      <w:highlight w:val="none"/>
                      <w:lang w:val="en-US" w:eastAsia="zh-CN" w:bidi="zh-CN"/>
                    </w:rPr>
                    <w:t>修理替换后的废润滑油桶装暂存至危废间定期委托有资质单位规范转运处置</w:t>
                  </w:r>
                </w:p>
              </w:tc>
            </w:tr>
            <w:tr w14:paraId="568E7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1843" w:hRule="atLeast"/>
                <w:jc w:val="center"/>
              </w:trPr>
              <w:tc>
                <w:tcPr>
                  <w:tcW w:w="533" w:type="dxa"/>
                  <w:vMerge w:val="continue"/>
                  <w:tcBorders>
                    <w:tl2br w:val="nil"/>
                    <w:tr2bl w:val="nil"/>
                  </w:tcBorders>
                  <w:vAlign w:val="center"/>
                </w:tcPr>
                <w:p w14:paraId="5F6B05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70" w:type="dxa"/>
                  <w:vMerge w:val="continue"/>
                  <w:tcBorders>
                    <w:tl2br w:val="nil"/>
                    <w:tr2bl w:val="nil"/>
                  </w:tcBorders>
                  <w:vAlign w:val="center"/>
                </w:tcPr>
                <w:p w14:paraId="26971E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97" w:type="dxa"/>
                  <w:gridSpan w:val="2"/>
                  <w:tcBorders>
                    <w:tl2br w:val="nil"/>
                    <w:tr2bl w:val="nil"/>
                  </w:tcBorders>
                  <w:vAlign w:val="center"/>
                </w:tcPr>
                <w:p w14:paraId="0FB8B4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废酸废液、废碱废液；盛装化学试剂、标准溶液的废弃试剂瓶；过期失效化学试剂、被危化品沾染的滤纸、抹布、手套等沾染废物</w:t>
                  </w:r>
                </w:p>
              </w:tc>
              <w:tc>
                <w:tcPr>
                  <w:tcW w:w="1785" w:type="dxa"/>
                  <w:tcBorders>
                    <w:tl2br w:val="nil"/>
                    <w:tr2bl w:val="nil"/>
                  </w:tcBorders>
                  <w:vAlign w:val="center"/>
                </w:tcPr>
                <w:p w14:paraId="4173F8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质量检验室</w:t>
                  </w:r>
                </w:p>
              </w:tc>
              <w:tc>
                <w:tcPr>
                  <w:tcW w:w="4052" w:type="dxa"/>
                  <w:tcBorders>
                    <w:tl2br w:val="nil"/>
                    <w:tr2bl w:val="nil"/>
                  </w:tcBorders>
                  <w:vAlign w:val="center"/>
                </w:tcPr>
                <w:p w14:paraId="5CBA11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6"/>
                      <w:sz w:val="21"/>
                      <w:szCs w:val="21"/>
                      <w:highlight w:val="none"/>
                      <w:lang w:val="en-US" w:eastAsia="zh-CN" w:bidi="zh-CN"/>
                    </w:rPr>
                  </w:pPr>
                  <w:r>
                    <w:rPr>
                      <w:rFonts w:hint="eastAsia" w:cs="Times New Roman"/>
                      <w:color w:val="auto"/>
                      <w:spacing w:val="-6"/>
                      <w:sz w:val="21"/>
                      <w:szCs w:val="21"/>
                      <w:highlight w:val="none"/>
                      <w:lang w:val="en-US" w:eastAsia="zh-CN" w:bidi="zh-CN"/>
                    </w:rPr>
                    <w:t>分类收集、专用容器密闭贮存至危废间，建立危废台账，定期委托有资质单位规范转运处置</w:t>
                  </w:r>
                </w:p>
              </w:tc>
            </w:tr>
            <w:tr w14:paraId="346FE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33" w:type="dxa"/>
                  <w:tcBorders>
                    <w:tl2br w:val="nil"/>
                    <w:tr2bl w:val="nil"/>
                  </w:tcBorders>
                  <w:vAlign w:val="center"/>
                </w:tcPr>
                <w:p w14:paraId="44724E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两期相同</w:t>
                  </w:r>
                </w:p>
              </w:tc>
              <w:tc>
                <w:tcPr>
                  <w:tcW w:w="570" w:type="dxa"/>
                  <w:vMerge w:val="restart"/>
                  <w:tcBorders>
                    <w:tl2br w:val="nil"/>
                    <w:tr2bl w:val="nil"/>
                  </w:tcBorders>
                  <w:vAlign w:val="center"/>
                </w:tcPr>
                <w:p w14:paraId="771597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废气</w:t>
                  </w:r>
                </w:p>
              </w:tc>
              <w:tc>
                <w:tcPr>
                  <w:tcW w:w="546" w:type="dxa"/>
                  <w:vMerge w:val="restart"/>
                  <w:tcBorders>
                    <w:tl2br w:val="nil"/>
                    <w:tr2bl w:val="nil"/>
                  </w:tcBorders>
                  <w:vAlign w:val="center"/>
                </w:tcPr>
                <w:p w14:paraId="68D0C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有组织</w:t>
                  </w:r>
                </w:p>
              </w:tc>
              <w:tc>
                <w:tcPr>
                  <w:tcW w:w="1051" w:type="dxa"/>
                  <w:tcBorders>
                    <w:tl2br w:val="nil"/>
                    <w:tr2bl w:val="nil"/>
                  </w:tcBorders>
                  <w:vAlign w:val="center"/>
                </w:tcPr>
                <w:p w14:paraId="28F80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颗粒物</w:t>
                  </w:r>
                </w:p>
              </w:tc>
              <w:tc>
                <w:tcPr>
                  <w:tcW w:w="1785" w:type="dxa"/>
                  <w:tcBorders>
                    <w:tl2br w:val="nil"/>
                    <w:tr2bl w:val="nil"/>
                  </w:tcBorders>
                  <w:vAlign w:val="center"/>
                </w:tcPr>
                <w:p w14:paraId="752D52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 xml:space="preserve">粉碎机、搅拌机、筛分机、挤压造粒机、包装机  </w:t>
                  </w:r>
                </w:p>
              </w:tc>
              <w:tc>
                <w:tcPr>
                  <w:tcW w:w="4156" w:type="dxa"/>
                  <w:gridSpan w:val="2"/>
                  <w:tcBorders>
                    <w:tl2br w:val="nil"/>
                    <w:tr2bl w:val="nil"/>
                  </w:tcBorders>
                  <w:vAlign w:val="center"/>
                </w:tcPr>
                <w:p w14:paraId="39148D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s="Times New Roman"/>
                      <w:color w:val="auto"/>
                      <w:spacing w:val="-6"/>
                      <w:sz w:val="21"/>
                      <w:szCs w:val="21"/>
                      <w:highlight w:val="none"/>
                      <w:lang w:val="en-US" w:eastAsia="zh-CN" w:bidi="zh-CN"/>
                    </w:rPr>
                  </w:pPr>
                  <w:r>
                    <w:rPr>
                      <w:rFonts w:hint="eastAsia" w:ascii="Times New Roman" w:hAnsi="Times New Roman" w:cs="Times New Roman"/>
                      <w:color w:val="auto"/>
                      <w:sz w:val="21"/>
                      <w:szCs w:val="21"/>
                      <w:highlight w:val="none"/>
                      <w:lang w:val="en-US" w:eastAsia="zh-CN"/>
                    </w:rPr>
                    <w:t>各个设备进料口均设置1个集气罩（</w:t>
                  </w:r>
                  <w:r>
                    <w:rPr>
                      <w:rFonts w:hint="eastAsia" w:cs="Times New Roman"/>
                      <w:color w:val="auto"/>
                      <w:sz w:val="21"/>
                      <w:szCs w:val="21"/>
                      <w:highlight w:val="none"/>
                      <w:lang w:val="en-US" w:eastAsia="zh-CN"/>
                    </w:rPr>
                    <w:t>尺寸</w:t>
                  </w:r>
                  <w:r>
                    <w:rPr>
                      <w:rFonts w:hint="default" w:ascii="Times New Roman" w:hAnsi="Times New Roman" w:eastAsia="宋体" w:cs="Times New Roman"/>
                      <w:bCs/>
                      <w:color w:val="auto"/>
                      <w:sz w:val="21"/>
                      <w:szCs w:val="21"/>
                      <w:highlight w:val="none"/>
                      <w:lang w:val="en-US" w:eastAsia="zh-CN"/>
                    </w:rPr>
                    <w:t>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1.5m</w:t>
                  </w:r>
                  <w:r>
                    <w:rPr>
                      <w:rFonts w:hint="eastAsia" w:ascii="Times New Roman" w:hAnsi="Times New Roman" w:cs="Times New Roman"/>
                      <w:color w:val="auto"/>
                      <w:sz w:val="21"/>
                      <w:szCs w:val="21"/>
                      <w:highlight w:val="none"/>
                      <w:lang w:val="en-US" w:eastAsia="zh-CN"/>
                    </w:rPr>
                    <w:t>），通过管道将收集的粉尘输送至1台布袋除尘处理后经1根15m高，</w:t>
                  </w:r>
                  <w:r>
                    <w:rPr>
                      <w:rFonts w:hint="eastAsia" w:cs="Times New Roman"/>
                      <w:color w:val="auto"/>
                      <w:sz w:val="21"/>
                      <w:szCs w:val="21"/>
                      <w:highlight w:val="none"/>
                      <w:lang w:val="en-US" w:eastAsia="zh-CN"/>
                    </w:rPr>
                    <w:t>内径0.5m</w:t>
                  </w:r>
                  <w:r>
                    <w:rPr>
                      <w:rFonts w:hint="eastAsia" w:ascii="Times New Roman" w:hAnsi="Times New Roman" w:cs="Times New Roman"/>
                      <w:color w:val="auto"/>
                      <w:sz w:val="21"/>
                      <w:szCs w:val="21"/>
                      <w:highlight w:val="none"/>
                      <w:lang w:val="en-US" w:eastAsia="zh-CN"/>
                    </w:rPr>
                    <w:t>的排气筒（#1）排放</w:t>
                  </w:r>
                </w:p>
              </w:tc>
            </w:tr>
            <w:tr w14:paraId="39E8E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33" w:type="dxa"/>
                  <w:tcBorders>
                    <w:tl2br w:val="nil"/>
                    <w:tr2bl w:val="nil"/>
                  </w:tcBorders>
                  <w:vAlign w:val="center"/>
                </w:tcPr>
                <w:p w14:paraId="338954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一期工程</w:t>
                  </w:r>
                </w:p>
              </w:tc>
              <w:tc>
                <w:tcPr>
                  <w:tcW w:w="570" w:type="dxa"/>
                  <w:vMerge w:val="continue"/>
                  <w:tcBorders>
                    <w:tl2br w:val="nil"/>
                    <w:tr2bl w:val="nil"/>
                  </w:tcBorders>
                  <w:vAlign w:val="center"/>
                </w:tcPr>
                <w:p w14:paraId="6610BE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46" w:type="dxa"/>
                  <w:vMerge w:val="continue"/>
                  <w:tcBorders>
                    <w:tl2br w:val="nil"/>
                    <w:tr2bl w:val="nil"/>
                  </w:tcBorders>
                  <w:vAlign w:val="center"/>
                </w:tcPr>
                <w:p w14:paraId="472876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vertAlign w:val="baseline"/>
                      <w:lang w:val="en-US" w:eastAsia="zh-CN"/>
                    </w:rPr>
                  </w:pPr>
                </w:p>
              </w:tc>
              <w:tc>
                <w:tcPr>
                  <w:tcW w:w="1051" w:type="dxa"/>
                  <w:tcBorders>
                    <w:tl2br w:val="nil"/>
                    <w:tr2bl w:val="nil"/>
                  </w:tcBorders>
                  <w:vAlign w:val="center"/>
                </w:tcPr>
                <w:p w14:paraId="4B934C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olor w:val="auto"/>
                      <w:highlight w:val="none"/>
                      <w:lang w:val="en-US" w:eastAsia="zh-CN"/>
                    </w:rPr>
                    <w:t>氨、硫化氢、臭气</w:t>
                  </w:r>
                </w:p>
              </w:tc>
              <w:tc>
                <w:tcPr>
                  <w:tcW w:w="1785" w:type="dxa"/>
                  <w:tcBorders>
                    <w:tl2br w:val="nil"/>
                    <w:tr2bl w:val="nil"/>
                  </w:tcBorders>
                  <w:vAlign w:val="center"/>
                </w:tcPr>
                <w:p w14:paraId="34D8D9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一期工程发酵、熟化</w:t>
                  </w:r>
                </w:p>
              </w:tc>
              <w:tc>
                <w:tcPr>
                  <w:tcW w:w="4156" w:type="dxa"/>
                  <w:gridSpan w:val="2"/>
                  <w:tcBorders>
                    <w:tl2br w:val="nil"/>
                    <w:tr2bl w:val="nil"/>
                  </w:tcBorders>
                  <w:vAlign w:val="center"/>
                </w:tcPr>
                <w:p w14:paraId="2AE545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s="Times New Roman"/>
                      <w:color w:val="auto"/>
                      <w:spacing w:val="-6"/>
                      <w:sz w:val="21"/>
                      <w:szCs w:val="21"/>
                      <w:highlight w:val="none"/>
                      <w:lang w:val="en-US" w:eastAsia="zh-CN" w:bidi="zh-CN"/>
                    </w:rPr>
                  </w:pPr>
                  <w:r>
                    <w:rPr>
                      <w:rFonts w:hint="eastAsia" w:cs="Times New Roman"/>
                      <w:b w:val="0"/>
                      <w:bCs/>
                      <w:color w:val="auto"/>
                      <w:sz w:val="21"/>
                      <w:szCs w:val="21"/>
                      <w:highlight w:val="none"/>
                      <w:vertAlign w:val="baseline"/>
                      <w:lang w:val="en-US" w:eastAsia="zh-CN"/>
                    </w:rPr>
                    <w:t>通过生产车间内发酵间设置负压收集后通过管道进入二级活性炭吸附装置+水洗塔组合除臭设备处理后经高15m，内径0.5m的排气筒（#2）排放</w:t>
                  </w:r>
                </w:p>
              </w:tc>
            </w:tr>
            <w:tr w14:paraId="202D9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533" w:type="dxa"/>
                  <w:tcBorders>
                    <w:tl2br w:val="nil"/>
                    <w:tr2bl w:val="nil"/>
                  </w:tcBorders>
                  <w:vAlign w:val="center"/>
                </w:tcPr>
                <w:p w14:paraId="25702F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两期相同</w:t>
                  </w:r>
                </w:p>
              </w:tc>
              <w:tc>
                <w:tcPr>
                  <w:tcW w:w="570" w:type="dxa"/>
                  <w:vMerge w:val="continue"/>
                  <w:tcBorders>
                    <w:tl2br w:val="nil"/>
                    <w:tr2bl w:val="nil"/>
                  </w:tcBorders>
                  <w:vAlign w:val="center"/>
                </w:tcPr>
                <w:p w14:paraId="3B57F7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46" w:type="dxa"/>
                  <w:vMerge w:val="restart"/>
                  <w:tcBorders>
                    <w:tl2br w:val="nil"/>
                    <w:tr2bl w:val="nil"/>
                  </w:tcBorders>
                  <w:vAlign w:val="center"/>
                </w:tcPr>
                <w:p w14:paraId="26208B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无组织</w:t>
                  </w:r>
                </w:p>
              </w:tc>
              <w:tc>
                <w:tcPr>
                  <w:tcW w:w="1051" w:type="dxa"/>
                  <w:vMerge w:val="restart"/>
                  <w:tcBorders>
                    <w:tl2br w:val="nil"/>
                    <w:tr2bl w:val="nil"/>
                  </w:tcBorders>
                  <w:shd w:val="clear" w:color="auto" w:fill="auto"/>
                  <w:vAlign w:val="center"/>
                </w:tcPr>
                <w:p w14:paraId="1CF04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olor w:val="auto"/>
                      <w:highlight w:val="none"/>
                      <w:lang w:val="en-US" w:eastAsia="zh-CN"/>
                    </w:rPr>
                    <w:t>氨、硫化氢、臭气</w:t>
                  </w:r>
                </w:p>
              </w:tc>
              <w:tc>
                <w:tcPr>
                  <w:tcW w:w="1785" w:type="dxa"/>
                  <w:tcBorders>
                    <w:tl2br w:val="nil"/>
                    <w:tr2bl w:val="nil"/>
                  </w:tcBorders>
                  <w:vAlign w:val="center"/>
                </w:tcPr>
                <w:p w14:paraId="36EA40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原材料预处理（一次粉碎、一次搅拌）</w:t>
                  </w:r>
                </w:p>
              </w:tc>
              <w:tc>
                <w:tcPr>
                  <w:tcW w:w="4156" w:type="dxa"/>
                  <w:gridSpan w:val="2"/>
                  <w:tcBorders>
                    <w:tl2br w:val="nil"/>
                    <w:tr2bl w:val="nil"/>
                  </w:tcBorders>
                  <w:vAlign w:val="center"/>
                </w:tcPr>
                <w:p w14:paraId="0502F1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6"/>
                      <w:sz w:val="21"/>
                      <w:szCs w:val="21"/>
                      <w:highlight w:val="none"/>
                      <w:lang w:val="en-US" w:eastAsia="zh-CN" w:bidi="zh-CN"/>
                    </w:rPr>
                  </w:pPr>
                  <w:r>
                    <w:rPr>
                      <w:rFonts w:hint="eastAsia"/>
                      <w:color w:val="auto"/>
                      <w:highlight w:val="none"/>
                      <w:lang w:val="en-US" w:eastAsia="zh-CN"/>
                    </w:rPr>
                    <w:t>厂房封闭，定期喷洒生物除臭剂，无组织排放</w:t>
                  </w:r>
                </w:p>
              </w:tc>
            </w:tr>
            <w:tr w14:paraId="4CC13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533" w:type="dxa"/>
                  <w:tcBorders>
                    <w:tl2br w:val="nil"/>
                    <w:tr2bl w:val="nil"/>
                  </w:tcBorders>
                  <w:vAlign w:val="center"/>
                </w:tcPr>
                <w:p w14:paraId="19A29C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二期工程</w:t>
                  </w:r>
                </w:p>
              </w:tc>
              <w:tc>
                <w:tcPr>
                  <w:tcW w:w="570" w:type="dxa"/>
                  <w:vMerge w:val="continue"/>
                  <w:tcBorders>
                    <w:tl2br w:val="nil"/>
                    <w:tr2bl w:val="nil"/>
                  </w:tcBorders>
                  <w:vAlign w:val="center"/>
                </w:tcPr>
                <w:p w14:paraId="3FC435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46" w:type="dxa"/>
                  <w:vMerge w:val="continue"/>
                  <w:tcBorders>
                    <w:tl2br w:val="nil"/>
                    <w:tr2bl w:val="nil"/>
                  </w:tcBorders>
                  <w:vAlign w:val="center"/>
                </w:tcPr>
                <w:p w14:paraId="4BBA61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p>
              </w:tc>
              <w:tc>
                <w:tcPr>
                  <w:tcW w:w="1051" w:type="dxa"/>
                  <w:vMerge w:val="continue"/>
                  <w:tcBorders>
                    <w:tl2br w:val="nil"/>
                    <w:tr2bl w:val="nil"/>
                  </w:tcBorders>
                  <w:vAlign w:val="center"/>
                </w:tcPr>
                <w:p w14:paraId="0D8454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p>
              </w:tc>
              <w:tc>
                <w:tcPr>
                  <w:tcW w:w="1785" w:type="dxa"/>
                  <w:tcBorders>
                    <w:tl2br w:val="nil"/>
                    <w:tr2bl w:val="nil"/>
                  </w:tcBorders>
                  <w:vAlign w:val="center"/>
                </w:tcPr>
                <w:p w14:paraId="217912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纳米膜车间发酵（二期工程）</w:t>
                  </w:r>
                </w:p>
              </w:tc>
              <w:tc>
                <w:tcPr>
                  <w:tcW w:w="4156" w:type="dxa"/>
                  <w:gridSpan w:val="2"/>
                  <w:tcBorders>
                    <w:tl2br w:val="nil"/>
                    <w:tr2bl w:val="nil"/>
                  </w:tcBorders>
                  <w:vAlign w:val="center"/>
                </w:tcPr>
                <w:p w14:paraId="56C525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6"/>
                      <w:sz w:val="21"/>
                      <w:szCs w:val="21"/>
                      <w:highlight w:val="none"/>
                      <w:lang w:val="en-US" w:eastAsia="zh-CN" w:bidi="zh-CN"/>
                    </w:rPr>
                  </w:pPr>
                  <w:r>
                    <w:rPr>
                      <w:rFonts w:hint="eastAsia" w:ascii="Times New Roman" w:hAnsi="Times New Roman" w:cs="Times New Roman"/>
                      <w:color w:val="auto"/>
                      <w:spacing w:val="-2"/>
                      <w:sz w:val="21"/>
                      <w:szCs w:val="21"/>
                      <w:highlight w:val="none"/>
                      <w:lang w:val="en-US" w:eastAsia="zh-CN"/>
                    </w:rPr>
                    <w:t>纳米膜车间全封闭设置，且覆盖的功能膜具有选择透过性，膜内水蒸气和二氧化碳等小分子气体可以透过膜排放，臭气等大分子气体被阻隔在车间内，减少臭气的排放和氨的流失。故纳米膜车间废气</w:t>
                  </w:r>
                  <w:r>
                    <w:rPr>
                      <w:rFonts w:hint="eastAsia" w:ascii="Times New Roman" w:hAnsi="Times New Roman" w:cs="Times New Roman"/>
                      <w:color w:val="auto"/>
                      <w:szCs w:val="21"/>
                      <w:highlight w:val="none"/>
                      <w:lang w:val="en-US" w:eastAsia="zh-CN"/>
                    </w:rPr>
                    <w:t>，定期喷洒生物除臭剂，</w:t>
                  </w:r>
                  <w:r>
                    <w:rPr>
                      <w:rFonts w:hint="eastAsia" w:ascii="Times New Roman" w:hAnsi="Times New Roman" w:cs="Times New Roman"/>
                      <w:color w:val="auto"/>
                      <w:spacing w:val="-2"/>
                      <w:sz w:val="21"/>
                      <w:szCs w:val="21"/>
                      <w:highlight w:val="none"/>
                      <w:lang w:val="en-US" w:eastAsia="zh-CN"/>
                    </w:rPr>
                    <w:t>无组织排</w:t>
                  </w:r>
                  <w:r>
                    <w:rPr>
                      <w:rFonts w:hint="eastAsia" w:cs="Times New Roman"/>
                      <w:color w:val="auto"/>
                      <w:sz w:val="21"/>
                      <w:szCs w:val="21"/>
                      <w:highlight w:val="none"/>
                      <w:lang w:val="en-US" w:eastAsia="zh-CN"/>
                    </w:rPr>
                    <w:t>放</w:t>
                  </w:r>
                </w:p>
              </w:tc>
            </w:tr>
            <w:tr w14:paraId="08DBC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533" w:type="dxa"/>
                  <w:tcBorders>
                    <w:tl2br w:val="nil"/>
                    <w:tr2bl w:val="nil"/>
                  </w:tcBorders>
                  <w:vAlign w:val="center"/>
                </w:tcPr>
                <w:p w14:paraId="712F59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两期相同</w:t>
                  </w:r>
                </w:p>
              </w:tc>
              <w:tc>
                <w:tcPr>
                  <w:tcW w:w="570" w:type="dxa"/>
                  <w:vMerge w:val="continue"/>
                  <w:tcBorders>
                    <w:tl2br w:val="nil"/>
                    <w:tr2bl w:val="nil"/>
                  </w:tcBorders>
                  <w:vAlign w:val="center"/>
                </w:tcPr>
                <w:p w14:paraId="349994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46" w:type="dxa"/>
                  <w:vMerge w:val="continue"/>
                  <w:tcBorders>
                    <w:tl2br w:val="nil"/>
                    <w:tr2bl w:val="nil"/>
                  </w:tcBorders>
                  <w:vAlign w:val="center"/>
                </w:tcPr>
                <w:p w14:paraId="270ACE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p>
              </w:tc>
              <w:tc>
                <w:tcPr>
                  <w:tcW w:w="1051" w:type="dxa"/>
                  <w:tcBorders>
                    <w:tl2br w:val="nil"/>
                    <w:tr2bl w:val="nil"/>
                  </w:tcBorders>
                  <w:vAlign w:val="center"/>
                </w:tcPr>
                <w:p w14:paraId="603A41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r>
                    <w:rPr>
                      <w:rFonts w:hint="eastAsia"/>
                      <w:color w:val="auto"/>
                      <w:highlight w:val="none"/>
                      <w:lang w:val="en-US" w:eastAsia="zh-CN"/>
                    </w:rPr>
                    <w:t>颗粒物</w:t>
                  </w:r>
                </w:p>
              </w:tc>
              <w:tc>
                <w:tcPr>
                  <w:tcW w:w="1785" w:type="dxa"/>
                  <w:tcBorders>
                    <w:tl2br w:val="nil"/>
                    <w:tr2bl w:val="nil"/>
                  </w:tcBorders>
                  <w:vAlign w:val="center"/>
                </w:tcPr>
                <w:p w14:paraId="4676B6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质量检验室</w:t>
                  </w:r>
                </w:p>
              </w:tc>
              <w:tc>
                <w:tcPr>
                  <w:tcW w:w="4156" w:type="dxa"/>
                  <w:gridSpan w:val="2"/>
                  <w:tcBorders>
                    <w:tl2br w:val="nil"/>
                    <w:tr2bl w:val="nil"/>
                  </w:tcBorders>
                  <w:vAlign w:val="center"/>
                </w:tcPr>
                <w:p w14:paraId="34FEFB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6"/>
                      <w:sz w:val="21"/>
                      <w:szCs w:val="21"/>
                      <w:highlight w:val="none"/>
                      <w:lang w:val="en-US" w:eastAsia="zh-CN" w:bidi="zh-CN"/>
                    </w:rPr>
                  </w:pPr>
                  <w:r>
                    <w:rPr>
                      <w:rFonts w:hint="eastAsia" w:ascii="Times New Roman" w:hAnsi="Times New Roman" w:cs="Times New Roman"/>
                      <w:color w:val="auto"/>
                      <w:spacing w:val="-2"/>
                      <w:sz w:val="21"/>
                      <w:szCs w:val="21"/>
                      <w:highlight w:val="none"/>
                      <w:lang w:val="en-US" w:eastAsia="zh-CN"/>
                    </w:rPr>
                    <w:t>在有机肥样品破碎、研磨、筛分过程会产生少量粉尘颗粒物</w:t>
                  </w:r>
                  <w:r>
                    <w:rPr>
                      <w:rFonts w:hint="eastAsia" w:cs="Times New Roman"/>
                      <w:color w:val="auto"/>
                      <w:spacing w:val="-2"/>
                      <w:sz w:val="21"/>
                      <w:szCs w:val="21"/>
                      <w:highlight w:val="none"/>
                      <w:lang w:val="en-US" w:eastAsia="zh-CN"/>
                    </w:rPr>
                    <w:t>，</w:t>
                  </w:r>
                  <w:r>
                    <w:rPr>
                      <w:rFonts w:hint="eastAsia" w:ascii="Times New Roman" w:hAnsi="Times New Roman" w:cs="Times New Roman"/>
                      <w:color w:val="auto"/>
                      <w:spacing w:val="-2"/>
                      <w:sz w:val="21"/>
                      <w:szCs w:val="21"/>
                      <w:highlight w:val="none"/>
                      <w:lang w:val="en-US" w:eastAsia="zh-CN"/>
                    </w:rPr>
                    <w:t>经室内通风排风无组织</w:t>
                  </w:r>
                  <w:r>
                    <w:rPr>
                      <w:rFonts w:hint="eastAsia" w:cs="Times New Roman"/>
                      <w:color w:val="auto"/>
                      <w:spacing w:val="-2"/>
                      <w:sz w:val="21"/>
                      <w:szCs w:val="21"/>
                      <w:highlight w:val="none"/>
                      <w:lang w:val="en-US" w:eastAsia="zh-CN"/>
                    </w:rPr>
                    <w:t>排放</w:t>
                  </w:r>
                </w:p>
              </w:tc>
            </w:tr>
          </w:tbl>
          <w:p w14:paraId="03CDFFF7">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rPr>
            </w:pPr>
          </w:p>
        </w:tc>
      </w:tr>
      <w:tr w14:paraId="15DBF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4" w:hRule="atLeast"/>
          <w:jc w:val="center"/>
        </w:trPr>
        <w:tc>
          <w:tcPr>
            <w:tcW w:w="236" w:type="pct"/>
            <w:noWrap w:val="0"/>
            <w:vAlign w:val="center"/>
          </w:tcPr>
          <w:p w14:paraId="53EBEB13">
            <w:pPr>
              <w:pStyle w:val="29"/>
              <w:adjustRightInd w:val="0"/>
              <w:snapToGrid w:val="0"/>
              <w:spacing w:before="0" w:beforeAutospacing="0" w:after="0" w:afterAutospacing="0"/>
              <w:rPr>
                <w:rFonts w:hint="default" w:ascii="Times New Roman" w:hAnsi="Times New Roman" w:cs="Times New Roman"/>
                <w:b/>
                <w:bCs w:val="0"/>
                <w:color w:val="auto"/>
                <w:kern w:val="2"/>
                <w:szCs w:val="24"/>
                <w:highlight w:val="none"/>
              </w:rPr>
            </w:pPr>
            <w:r>
              <w:rPr>
                <w:rFonts w:hint="default" w:ascii="Times New Roman" w:hAnsi="Times New Roman" w:cs="Times New Roman"/>
                <w:b/>
                <w:bCs w:val="0"/>
                <w:color w:val="auto"/>
                <w:kern w:val="2"/>
                <w:szCs w:val="24"/>
                <w:highlight w:val="none"/>
              </w:rPr>
              <w:t>与项目有关的原有环境污染问题</w:t>
            </w:r>
          </w:p>
        </w:tc>
        <w:tc>
          <w:tcPr>
            <w:tcW w:w="4763" w:type="pct"/>
            <w:noWrap w:val="0"/>
            <w:vAlign w:val="center"/>
          </w:tcPr>
          <w:p w14:paraId="0F2457EE">
            <w:pPr>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本项目</w:t>
            </w:r>
            <w:r>
              <w:rPr>
                <w:rFonts w:hint="default" w:ascii="Times New Roman" w:hAnsi="Times New Roman" w:cs="Times New Roman"/>
                <w:bCs/>
                <w:color w:val="auto"/>
                <w:sz w:val="24"/>
                <w:highlight w:val="none"/>
              </w:rPr>
              <w:t>为新建项目</w:t>
            </w:r>
            <w:r>
              <w:rPr>
                <w:rFonts w:hint="default" w:ascii="Times New Roman" w:hAnsi="Times New Roman" w:cs="Times New Roman"/>
                <w:color w:val="auto"/>
                <w:sz w:val="24"/>
                <w:highlight w:val="none"/>
              </w:rPr>
              <w:t>，无</w:t>
            </w:r>
            <w:r>
              <w:rPr>
                <w:rFonts w:hint="default" w:ascii="Times New Roman" w:hAnsi="Times New Roman" w:cs="Times New Roman"/>
                <w:bCs/>
                <w:color w:val="auto"/>
                <w:sz w:val="24"/>
                <w:highlight w:val="none"/>
              </w:rPr>
              <w:t>原有环境污染问题。</w:t>
            </w:r>
          </w:p>
        </w:tc>
      </w:tr>
    </w:tbl>
    <w:p w14:paraId="69EECC65">
      <w:pPr>
        <w:pStyle w:val="29"/>
        <w:jc w:val="center"/>
        <w:rPr>
          <w:rFonts w:hint="default" w:ascii="Times New Roman" w:hAnsi="Times New Roman" w:cs="Times New Roman"/>
          <w:snapToGrid w:val="0"/>
          <w:color w:val="auto"/>
          <w:sz w:val="36"/>
          <w:szCs w:val="36"/>
          <w:highlight w:val="none"/>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5D3DACEA">
      <w:pPr>
        <w:pStyle w:val="29"/>
        <w:spacing w:before="0" w:beforeAutospacing="0" w:after="0" w:afterAutospacing="0"/>
        <w:jc w:val="center"/>
        <w:outlineLvl w:val="0"/>
        <w:rPr>
          <w:rFonts w:hint="default" w:ascii="Times New Roman" w:hAnsi="Times New Roman" w:cs="Times New Roman"/>
          <w:snapToGrid w:val="0"/>
          <w:color w:val="auto"/>
          <w:sz w:val="30"/>
          <w:szCs w:val="30"/>
          <w:highlight w:val="none"/>
        </w:rPr>
      </w:pPr>
      <w:r>
        <w:rPr>
          <w:rFonts w:hint="default" w:ascii="Times New Roman" w:hAnsi="Times New Roman" w:cs="Times New Roman"/>
          <w:snapToGrid w:val="0"/>
          <w:color w:val="auto"/>
          <w:sz w:val="30"/>
          <w:szCs w:val="30"/>
          <w:highlight w:val="none"/>
        </w:rPr>
        <w:t>三、区域环境质量现状、环境保护目标及评价标准</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5"/>
        <w:gridCol w:w="8732"/>
      </w:tblGrid>
      <w:tr w14:paraId="53D4F1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1" w:hRule="atLeast"/>
          <w:jc w:val="center"/>
        </w:trPr>
        <w:tc>
          <w:tcPr>
            <w:tcW w:w="299" w:type="pct"/>
            <w:noWrap w:val="0"/>
            <w:vAlign w:val="center"/>
          </w:tcPr>
          <w:p w14:paraId="7625C84B">
            <w:pPr>
              <w:pStyle w:val="29"/>
              <w:adjustRightInd w:val="0"/>
              <w:snapToGrid w:val="0"/>
              <w:spacing w:before="0" w:beforeAutospacing="0" w:after="0" w:afterAutospacing="0"/>
              <w:ind w:left="-105" w:leftChars="-50" w:right="-105" w:rightChars="-50"/>
              <w:jc w:val="center"/>
              <w:rPr>
                <w:rFonts w:hint="default" w:ascii="Times New Roman" w:hAnsi="Times New Roman" w:cs="Times New Roman"/>
                <w:b/>
                <w:bCs w:val="0"/>
                <w:color w:val="auto"/>
                <w:highlight w:val="none"/>
              </w:rPr>
            </w:pPr>
            <w:r>
              <w:rPr>
                <w:rFonts w:hint="default" w:ascii="Times New Roman" w:hAnsi="Times New Roman" w:cs="Times New Roman"/>
                <w:b/>
                <w:bCs w:val="0"/>
                <w:color w:val="auto"/>
                <w:kern w:val="2"/>
                <w:szCs w:val="24"/>
                <w:highlight w:val="none"/>
              </w:rPr>
              <w:t>区域环境</w:t>
            </w:r>
            <w:r>
              <w:rPr>
                <w:rFonts w:hint="default" w:ascii="Times New Roman" w:hAnsi="Times New Roman" w:cs="Times New Roman"/>
                <w:b/>
                <w:bCs w:val="0"/>
                <w:color w:val="auto"/>
                <w:szCs w:val="22"/>
                <w:highlight w:val="none"/>
              </w:rPr>
              <w:t>质量现状</w:t>
            </w:r>
          </w:p>
        </w:tc>
        <w:tc>
          <w:tcPr>
            <w:tcW w:w="4700" w:type="pct"/>
            <w:noWrap w:val="0"/>
            <w:vAlign w:val="center"/>
          </w:tcPr>
          <w:p w14:paraId="49110D21">
            <w:pPr>
              <w:adjustRightInd w:val="0"/>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1、大气环境</w:t>
            </w:r>
          </w:p>
          <w:p w14:paraId="342B07E0">
            <w:pPr>
              <w:adjustRightInd w:val="0"/>
              <w:snapToGrid w:val="0"/>
              <w:spacing w:line="360" w:lineRule="auto"/>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1.1基本污染物</w:t>
            </w:r>
          </w:p>
          <w:p w14:paraId="38FB26EE">
            <w:pPr>
              <w:spacing w:line="4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根据《环境影响评价技术导则大气环境》（HJ2.2-2018），项目所在区域达标判定，优先采用国家或地方生态环境主管部门公开发布的评价基准年环境质量公告或环境质量报告中的数据或结论。其中评价基准年为近3 年中数据相对完整的1个日历年作为评价基准年。</w:t>
            </w:r>
          </w:p>
          <w:p w14:paraId="6ACED2C0">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本次评价引用202</w:t>
            </w:r>
            <w:r>
              <w:rPr>
                <w:rFonts w:hint="eastAsia"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rPr>
              <w:t>年</w:t>
            </w:r>
            <w:r>
              <w:rPr>
                <w:rFonts w:hint="eastAsia"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rPr>
              <w:t>月发布的《</w:t>
            </w:r>
            <w:r>
              <w:rPr>
                <w:rFonts w:hint="default" w:ascii="Times New Roman" w:hAnsi="Times New Roman" w:eastAsia="宋体" w:cs="Times New Roman"/>
                <w:bCs/>
                <w:color w:val="auto"/>
                <w:sz w:val="24"/>
                <w:szCs w:val="24"/>
                <w:highlight w:val="none"/>
                <w:lang w:val="en-US" w:eastAsia="zh-CN"/>
              </w:rPr>
              <w:t>巴彦淖尔市环境质量状况公报</w:t>
            </w:r>
            <w:r>
              <w:rPr>
                <w:rFonts w:hint="default" w:ascii="Times New Roman" w:hAnsi="Times New Roman" w:eastAsia="宋体" w:cs="Times New Roman"/>
                <w:bCs/>
                <w:color w:val="auto"/>
                <w:sz w:val="24"/>
                <w:szCs w:val="24"/>
                <w:highlight w:val="none"/>
              </w:rPr>
              <w:t>》（202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年），202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eastAsia" w:cs="Times New Roman"/>
                <w:bCs/>
                <w:color w:val="auto"/>
                <w:sz w:val="24"/>
                <w:szCs w:val="24"/>
                <w:highlight w:val="none"/>
                <w:lang w:val="en-US" w:eastAsia="zh-CN"/>
              </w:rPr>
              <w:t>巴彦高勒镇</w:t>
            </w:r>
            <w:r>
              <w:rPr>
                <w:rFonts w:hint="default" w:ascii="Times New Roman" w:hAnsi="Times New Roman" w:eastAsia="宋体" w:cs="Times New Roman"/>
                <w:bCs/>
                <w:color w:val="auto"/>
                <w:sz w:val="24"/>
                <w:szCs w:val="24"/>
                <w:highlight w:val="none"/>
              </w:rPr>
              <w:t>基本污染物年均浓度和相应百分位数24h平均或8h平均质量浓度见表3-</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w:t>
            </w:r>
          </w:p>
          <w:p w14:paraId="25F212C3">
            <w:pPr>
              <w:spacing w:line="440" w:lineRule="exact"/>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 xml:space="preserve">   202</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年</w:t>
            </w:r>
            <w:r>
              <w:rPr>
                <w:rFonts w:hint="eastAsia" w:cs="Times New Roman"/>
                <w:b/>
                <w:bCs/>
                <w:color w:val="auto"/>
                <w:sz w:val="24"/>
                <w:szCs w:val="24"/>
                <w:highlight w:val="none"/>
                <w:lang w:val="en-US" w:eastAsia="zh-CN"/>
              </w:rPr>
              <w:t>磴口县</w:t>
            </w:r>
            <w:r>
              <w:rPr>
                <w:rFonts w:hint="default" w:ascii="Times New Roman" w:hAnsi="Times New Roman" w:eastAsia="宋体" w:cs="Times New Roman"/>
                <w:b/>
                <w:bCs/>
                <w:color w:val="auto"/>
                <w:sz w:val="24"/>
                <w:szCs w:val="24"/>
                <w:highlight w:val="none"/>
              </w:rPr>
              <w:t>大气统计结果表</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79"/>
              <w:gridCol w:w="2664"/>
              <w:gridCol w:w="1241"/>
              <w:gridCol w:w="1409"/>
              <w:gridCol w:w="1493"/>
              <w:gridCol w:w="830"/>
            </w:tblGrid>
            <w:tr w14:paraId="1DC2C7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516" w:type="pct"/>
                  <w:tcBorders>
                    <w:tl2br w:val="nil"/>
                    <w:tr2bl w:val="nil"/>
                  </w:tcBorders>
                  <w:noWrap w:val="0"/>
                  <w:vAlign w:val="center"/>
                </w:tcPr>
                <w:p w14:paraId="6ED39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rPr>
                  </w:pPr>
                  <w:bookmarkStart w:id="3" w:name="_Hlk534718391"/>
                  <w:r>
                    <w:rPr>
                      <w:rFonts w:hint="default" w:ascii="Times New Roman" w:hAnsi="Times New Roman" w:eastAsia="宋体" w:cs="Times New Roman"/>
                      <w:b/>
                      <w:bCs w:val="0"/>
                      <w:color w:val="auto"/>
                      <w:sz w:val="21"/>
                      <w:szCs w:val="21"/>
                      <w:highlight w:val="none"/>
                    </w:rPr>
                    <w:t>污染物</w:t>
                  </w:r>
                </w:p>
              </w:tc>
              <w:tc>
                <w:tcPr>
                  <w:tcW w:w="1563" w:type="pct"/>
                  <w:tcBorders>
                    <w:tl2br w:val="nil"/>
                    <w:tr2bl w:val="nil"/>
                  </w:tcBorders>
                  <w:noWrap w:val="0"/>
                  <w:vAlign w:val="center"/>
                </w:tcPr>
                <w:p w14:paraId="7DF16C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年评价指标</w:t>
                  </w:r>
                </w:p>
              </w:tc>
              <w:tc>
                <w:tcPr>
                  <w:tcW w:w="728" w:type="pct"/>
                  <w:tcBorders>
                    <w:tl2br w:val="nil"/>
                    <w:tr2bl w:val="nil"/>
                  </w:tcBorders>
                  <w:noWrap w:val="0"/>
                  <w:vAlign w:val="center"/>
                </w:tcPr>
                <w:p w14:paraId="41B36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现状浓度</w:t>
                  </w:r>
                </w:p>
                <w:p w14:paraId="6B7DC1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（μg/m³）</w:t>
                  </w:r>
                </w:p>
              </w:tc>
              <w:tc>
                <w:tcPr>
                  <w:tcW w:w="827" w:type="pct"/>
                  <w:tcBorders>
                    <w:tl2br w:val="nil"/>
                    <w:tr2bl w:val="nil"/>
                  </w:tcBorders>
                  <w:noWrap w:val="0"/>
                  <w:vAlign w:val="center"/>
                </w:tcPr>
                <w:p w14:paraId="685AFA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标准值</w:t>
                  </w:r>
                </w:p>
                <w:p w14:paraId="69E6A4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（μg/m³）</w:t>
                  </w:r>
                </w:p>
              </w:tc>
              <w:tc>
                <w:tcPr>
                  <w:tcW w:w="876" w:type="pct"/>
                  <w:tcBorders>
                    <w:tl2br w:val="nil"/>
                    <w:tr2bl w:val="nil"/>
                  </w:tcBorders>
                  <w:noWrap w:val="0"/>
                  <w:vAlign w:val="center"/>
                </w:tcPr>
                <w:p w14:paraId="3DADB4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占标率%</w:t>
                  </w:r>
                </w:p>
              </w:tc>
              <w:tc>
                <w:tcPr>
                  <w:tcW w:w="487" w:type="pct"/>
                  <w:tcBorders>
                    <w:tl2br w:val="nil"/>
                    <w:tr2bl w:val="nil"/>
                  </w:tcBorders>
                  <w:noWrap w:val="0"/>
                  <w:vAlign w:val="center"/>
                </w:tcPr>
                <w:p w14:paraId="303332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达标情况</w:t>
                  </w:r>
                </w:p>
              </w:tc>
            </w:tr>
            <w:tr w14:paraId="7FF97F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516" w:type="pct"/>
                  <w:tcBorders>
                    <w:tl2br w:val="nil"/>
                    <w:tr2bl w:val="nil"/>
                  </w:tcBorders>
                  <w:noWrap w:val="0"/>
                  <w:vAlign w:val="center"/>
                </w:tcPr>
                <w:p w14:paraId="0BF37F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563" w:type="pct"/>
                  <w:tcBorders>
                    <w:tl2br w:val="nil"/>
                    <w:tr2bl w:val="nil"/>
                  </w:tcBorders>
                  <w:noWrap w:val="0"/>
                  <w:vAlign w:val="center"/>
                </w:tcPr>
                <w:p w14:paraId="46EDC4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年均浓度</w:t>
                  </w:r>
                </w:p>
              </w:tc>
              <w:tc>
                <w:tcPr>
                  <w:tcW w:w="728" w:type="pct"/>
                  <w:tcBorders>
                    <w:tl2br w:val="nil"/>
                    <w:tr2bl w:val="nil"/>
                  </w:tcBorders>
                  <w:noWrap w:val="0"/>
                  <w:vAlign w:val="center"/>
                </w:tcPr>
                <w:p w14:paraId="43153A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27" w:type="pct"/>
                  <w:tcBorders>
                    <w:tl2br w:val="nil"/>
                    <w:tr2bl w:val="nil"/>
                  </w:tcBorders>
                  <w:noWrap w:val="0"/>
                  <w:vAlign w:val="center"/>
                </w:tcPr>
                <w:p w14:paraId="14635B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876" w:type="pct"/>
                  <w:tcBorders>
                    <w:tl2br w:val="nil"/>
                    <w:tr2bl w:val="nil"/>
                  </w:tcBorders>
                  <w:noWrap w:val="0"/>
                  <w:vAlign w:val="center"/>
                </w:tcPr>
                <w:p w14:paraId="69FC8271">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16.67</w:t>
                  </w:r>
                </w:p>
              </w:tc>
              <w:tc>
                <w:tcPr>
                  <w:tcW w:w="487" w:type="pct"/>
                  <w:vMerge w:val="restart"/>
                  <w:tcBorders>
                    <w:tl2br w:val="nil"/>
                    <w:tr2bl w:val="nil"/>
                  </w:tcBorders>
                  <w:noWrap w:val="0"/>
                  <w:vAlign w:val="center"/>
                </w:tcPr>
                <w:p w14:paraId="2F9A53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bidi="zh-CN"/>
                    </w:rPr>
                  </w:pPr>
                  <w:r>
                    <w:rPr>
                      <w:rFonts w:hint="default" w:ascii="Times New Roman" w:hAnsi="Times New Roman" w:eastAsia="宋体" w:cs="Times New Roman"/>
                      <w:color w:val="auto"/>
                      <w:sz w:val="21"/>
                      <w:szCs w:val="21"/>
                      <w:highlight w:val="none"/>
                      <w:lang w:bidi="zh-CN"/>
                    </w:rPr>
                    <w:t>达标</w:t>
                  </w:r>
                </w:p>
              </w:tc>
            </w:tr>
            <w:tr w14:paraId="3478A5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516" w:type="pct"/>
                  <w:tcBorders>
                    <w:tl2br w:val="nil"/>
                    <w:tr2bl w:val="nil"/>
                  </w:tcBorders>
                  <w:noWrap w:val="0"/>
                  <w:vAlign w:val="center"/>
                </w:tcPr>
                <w:p w14:paraId="58B225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563" w:type="pct"/>
                  <w:tcBorders>
                    <w:tl2br w:val="nil"/>
                    <w:tr2bl w:val="nil"/>
                  </w:tcBorders>
                  <w:noWrap w:val="0"/>
                  <w:vAlign w:val="center"/>
                </w:tcPr>
                <w:p w14:paraId="7A78A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年均浓度</w:t>
                  </w:r>
                </w:p>
              </w:tc>
              <w:tc>
                <w:tcPr>
                  <w:tcW w:w="728" w:type="pct"/>
                  <w:tcBorders>
                    <w:tl2br w:val="nil"/>
                    <w:tr2bl w:val="nil"/>
                  </w:tcBorders>
                  <w:noWrap w:val="0"/>
                  <w:vAlign w:val="center"/>
                </w:tcPr>
                <w:p w14:paraId="554B57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827" w:type="pct"/>
                  <w:tcBorders>
                    <w:tl2br w:val="nil"/>
                    <w:tr2bl w:val="nil"/>
                  </w:tcBorders>
                  <w:noWrap w:val="0"/>
                  <w:vAlign w:val="center"/>
                </w:tcPr>
                <w:p w14:paraId="4A9F6B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876" w:type="pct"/>
                  <w:tcBorders>
                    <w:tl2br w:val="nil"/>
                    <w:tr2bl w:val="nil"/>
                  </w:tcBorders>
                  <w:noWrap w:val="0"/>
                  <w:vAlign w:val="center"/>
                </w:tcPr>
                <w:p w14:paraId="315C5084">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45.00</w:t>
                  </w:r>
                </w:p>
              </w:tc>
              <w:tc>
                <w:tcPr>
                  <w:tcW w:w="487" w:type="pct"/>
                  <w:vMerge w:val="continue"/>
                  <w:tcBorders>
                    <w:tl2br w:val="nil"/>
                    <w:tr2bl w:val="nil"/>
                  </w:tcBorders>
                  <w:noWrap w:val="0"/>
                  <w:vAlign w:val="center"/>
                </w:tcPr>
                <w:p w14:paraId="48DB1E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bidi="zh-CN"/>
                    </w:rPr>
                  </w:pPr>
                </w:p>
              </w:tc>
            </w:tr>
            <w:tr w14:paraId="08DA8B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516" w:type="pct"/>
                  <w:tcBorders>
                    <w:tl2br w:val="nil"/>
                    <w:tr2bl w:val="nil"/>
                  </w:tcBorders>
                  <w:noWrap w:val="0"/>
                  <w:vAlign w:val="center"/>
                </w:tcPr>
                <w:p w14:paraId="718284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563" w:type="pct"/>
                  <w:tcBorders>
                    <w:tl2br w:val="nil"/>
                    <w:tr2bl w:val="nil"/>
                  </w:tcBorders>
                  <w:noWrap w:val="0"/>
                  <w:vAlign w:val="center"/>
                </w:tcPr>
                <w:p w14:paraId="6E2310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年均浓度</w:t>
                  </w:r>
                </w:p>
              </w:tc>
              <w:tc>
                <w:tcPr>
                  <w:tcW w:w="728" w:type="pct"/>
                  <w:tcBorders>
                    <w:tl2br w:val="nil"/>
                    <w:tr2bl w:val="nil"/>
                  </w:tcBorders>
                  <w:noWrap w:val="0"/>
                  <w:vAlign w:val="center"/>
                </w:tcPr>
                <w:p w14:paraId="61ADE8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827" w:type="pct"/>
                  <w:tcBorders>
                    <w:tl2br w:val="nil"/>
                    <w:tr2bl w:val="nil"/>
                  </w:tcBorders>
                  <w:noWrap w:val="0"/>
                  <w:vAlign w:val="center"/>
                </w:tcPr>
                <w:p w14:paraId="44A220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876" w:type="pct"/>
                  <w:tcBorders>
                    <w:tl2br w:val="nil"/>
                    <w:tr2bl w:val="nil"/>
                  </w:tcBorders>
                  <w:noWrap w:val="0"/>
                  <w:vAlign w:val="center"/>
                </w:tcPr>
                <w:p w14:paraId="2DC003A0">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81.43</w:t>
                  </w:r>
                </w:p>
              </w:tc>
              <w:tc>
                <w:tcPr>
                  <w:tcW w:w="487" w:type="pct"/>
                  <w:vMerge w:val="continue"/>
                  <w:tcBorders>
                    <w:tl2br w:val="nil"/>
                    <w:tr2bl w:val="nil"/>
                  </w:tcBorders>
                  <w:noWrap w:val="0"/>
                  <w:vAlign w:val="center"/>
                </w:tcPr>
                <w:p w14:paraId="0291A3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bidi="zh-CN"/>
                    </w:rPr>
                  </w:pPr>
                </w:p>
              </w:tc>
            </w:tr>
            <w:tr w14:paraId="6CD0F6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516" w:type="pct"/>
                  <w:tcBorders>
                    <w:tl2br w:val="nil"/>
                    <w:tr2bl w:val="nil"/>
                  </w:tcBorders>
                  <w:noWrap w:val="0"/>
                  <w:vAlign w:val="center"/>
                </w:tcPr>
                <w:p w14:paraId="658064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1563" w:type="pct"/>
                  <w:tcBorders>
                    <w:tl2br w:val="nil"/>
                    <w:tr2bl w:val="nil"/>
                  </w:tcBorders>
                  <w:noWrap w:val="0"/>
                  <w:vAlign w:val="center"/>
                </w:tcPr>
                <w:p w14:paraId="66DBE6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年均浓度</w:t>
                  </w:r>
                </w:p>
              </w:tc>
              <w:tc>
                <w:tcPr>
                  <w:tcW w:w="728" w:type="pct"/>
                  <w:tcBorders>
                    <w:tl2br w:val="nil"/>
                    <w:tr2bl w:val="nil"/>
                  </w:tcBorders>
                  <w:noWrap w:val="0"/>
                  <w:vAlign w:val="center"/>
                </w:tcPr>
                <w:p w14:paraId="0333CD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827" w:type="pct"/>
                  <w:tcBorders>
                    <w:tl2br w:val="nil"/>
                    <w:tr2bl w:val="nil"/>
                  </w:tcBorders>
                  <w:noWrap w:val="0"/>
                  <w:vAlign w:val="center"/>
                </w:tcPr>
                <w:p w14:paraId="561EAB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876" w:type="pct"/>
                  <w:tcBorders>
                    <w:tl2br w:val="nil"/>
                    <w:tr2bl w:val="nil"/>
                  </w:tcBorders>
                  <w:noWrap w:val="0"/>
                  <w:vAlign w:val="center"/>
                </w:tcPr>
                <w:p w14:paraId="417C01CE">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45.71</w:t>
                  </w:r>
                </w:p>
              </w:tc>
              <w:tc>
                <w:tcPr>
                  <w:tcW w:w="487" w:type="pct"/>
                  <w:vMerge w:val="continue"/>
                  <w:tcBorders>
                    <w:tl2br w:val="nil"/>
                    <w:tr2bl w:val="nil"/>
                  </w:tcBorders>
                  <w:noWrap w:val="0"/>
                  <w:vAlign w:val="center"/>
                </w:tcPr>
                <w:p w14:paraId="069BEF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bidi="zh-CN"/>
                    </w:rPr>
                  </w:pPr>
                </w:p>
              </w:tc>
            </w:tr>
            <w:tr w14:paraId="594ECF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516" w:type="pct"/>
                  <w:tcBorders>
                    <w:tl2br w:val="nil"/>
                    <w:tr2bl w:val="nil"/>
                  </w:tcBorders>
                  <w:noWrap w:val="0"/>
                  <w:vAlign w:val="center"/>
                </w:tcPr>
                <w:p w14:paraId="620B17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1563" w:type="pct"/>
                  <w:tcBorders>
                    <w:tl2br w:val="nil"/>
                    <w:tr2bl w:val="nil"/>
                  </w:tcBorders>
                  <w:noWrap w:val="0"/>
                  <w:vAlign w:val="center"/>
                </w:tcPr>
                <w:p w14:paraId="43980F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日最大8小时滑动平均值第90百分位浓度</w:t>
                  </w:r>
                </w:p>
              </w:tc>
              <w:tc>
                <w:tcPr>
                  <w:tcW w:w="728" w:type="pct"/>
                  <w:tcBorders>
                    <w:tl2br w:val="nil"/>
                    <w:tr2bl w:val="nil"/>
                  </w:tcBorders>
                  <w:noWrap w:val="0"/>
                  <w:vAlign w:val="center"/>
                </w:tcPr>
                <w:p w14:paraId="25F1DC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132</w:t>
                  </w:r>
                </w:p>
              </w:tc>
              <w:tc>
                <w:tcPr>
                  <w:tcW w:w="827" w:type="pct"/>
                  <w:tcBorders>
                    <w:tl2br w:val="nil"/>
                    <w:tr2bl w:val="nil"/>
                  </w:tcBorders>
                  <w:noWrap w:val="0"/>
                  <w:vAlign w:val="center"/>
                </w:tcPr>
                <w:p w14:paraId="534334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876" w:type="pct"/>
                  <w:tcBorders>
                    <w:tl2br w:val="nil"/>
                    <w:tr2bl w:val="nil"/>
                  </w:tcBorders>
                  <w:noWrap w:val="0"/>
                  <w:vAlign w:val="center"/>
                </w:tcPr>
                <w:p w14:paraId="6F2F6344">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82.50</w:t>
                  </w:r>
                </w:p>
              </w:tc>
              <w:tc>
                <w:tcPr>
                  <w:tcW w:w="487" w:type="pct"/>
                  <w:vMerge w:val="continue"/>
                  <w:tcBorders>
                    <w:tl2br w:val="nil"/>
                    <w:tr2bl w:val="nil"/>
                  </w:tcBorders>
                  <w:noWrap w:val="0"/>
                  <w:vAlign w:val="center"/>
                </w:tcPr>
                <w:p w14:paraId="45D86B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bidi="zh-CN"/>
                    </w:rPr>
                  </w:pPr>
                </w:p>
              </w:tc>
            </w:tr>
            <w:tr w14:paraId="02071B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516" w:type="pct"/>
                  <w:tcBorders>
                    <w:tl2br w:val="nil"/>
                    <w:tr2bl w:val="nil"/>
                  </w:tcBorders>
                  <w:noWrap w:val="0"/>
                  <w:vAlign w:val="center"/>
                </w:tcPr>
                <w:p w14:paraId="2417B0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1563" w:type="pct"/>
                  <w:tcBorders>
                    <w:tl2br w:val="nil"/>
                    <w:tr2bl w:val="nil"/>
                  </w:tcBorders>
                  <w:noWrap w:val="0"/>
                  <w:vAlign w:val="center"/>
                </w:tcPr>
                <w:p w14:paraId="4D014D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日均值第95百分位浓度</w:t>
                  </w:r>
                </w:p>
              </w:tc>
              <w:tc>
                <w:tcPr>
                  <w:tcW w:w="728" w:type="pct"/>
                  <w:tcBorders>
                    <w:tl2br w:val="nil"/>
                    <w:tr2bl w:val="nil"/>
                  </w:tcBorders>
                  <w:noWrap w:val="0"/>
                  <w:vAlign w:val="center"/>
                </w:tcPr>
                <w:p w14:paraId="271090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mg/m³</w:t>
                  </w:r>
                </w:p>
              </w:tc>
              <w:tc>
                <w:tcPr>
                  <w:tcW w:w="827" w:type="pct"/>
                  <w:tcBorders>
                    <w:tl2br w:val="nil"/>
                    <w:tr2bl w:val="nil"/>
                  </w:tcBorders>
                  <w:noWrap w:val="0"/>
                  <w:vAlign w:val="center"/>
                </w:tcPr>
                <w:p w14:paraId="13579F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4mg/m³</w:t>
                  </w:r>
                </w:p>
              </w:tc>
              <w:tc>
                <w:tcPr>
                  <w:tcW w:w="876" w:type="pct"/>
                  <w:tcBorders>
                    <w:tl2br w:val="nil"/>
                    <w:tr2bl w:val="nil"/>
                  </w:tcBorders>
                  <w:noWrap w:val="0"/>
                  <w:vAlign w:val="center"/>
                </w:tcPr>
                <w:p w14:paraId="550B131F">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27.50</w:t>
                  </w:r>
                </w:p>
              </w:tc>
              <w:tc>
                <w:tcPr>
                  <w:tcW w:w="487" w:type="pct"/>
                  <w:vMerge w:val="continue"/>
                  <w:tcBorders>
                    <w:tl2br w:val="nil"/>
                    <w:tr2bl w:val="nil"/>
                  </w:tcBorders>
                  <w:noWrap w:val="0"/>
                  <w:vAlign w:val="center"/>
                </w:tcPr>
                <w:p w14:paraId="2279AC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bidi="zh-CN"/>
                    </w:rPr>
                  </w:pPr>
                </w:p>
              </w:tc>
            </w:tr>
            <w:bookmarkEnd w:id="3"/>
          </w:tbl>
          <w:p w14:paraId="51677339">
            <w:p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由上表可知：项目区基本污染物均满足《环境空气质量标准》</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GB3095-20</w:t>
            </w:r>
            <w:r>
              <w:rPr>
                <w:rFonts w:hint="default" w:ascii="Times New Roman" w:hAnsi="Times New Roman" w:eastAsia="宋体" w:cs="Times New Roman"/>
                <w:color w:val="auto"/>
                <w:kern w:val="0"/>
                <w:sz w:val="24"/>
                <w:szCs w:val="24"/>
                <w:highlight w:val="none"/>
                <w:lang w:val="en-US" w:eastAsia="zh-CN"/>
              </w:rPr>
              <w:t>12</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二级标准限值，为达标区。</w:t>
            </w:r>
          </w:p>
          <w:p w14:paraId="68ADA044">
            <w:pPr>
              <w:adjustRightInd w:val="0"/>
              <w:snapToGrid w:val="0"/>
              <w:spacing w:line="360" w:lineRule="auto"/>
              <w:ind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1.2其他污染物</w:t>
            </w:r>
          </w:p>
          <w:p w14:paraId="22D12D89">
            <w:pPr>
              <w:adjustRightInd w:val="0"/>
              <w:snapToGrid w:val="0"/>
              <w:spacing w:line="360" w:lineRule="auto"/>
              <w:ind w:firstLine="48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依据《建设项目环境影响报告表编制技术指南（污染影响类）》（试行）中要求：</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排放国家、地方环境空气质量标准中有标准限值要求的特征污染物时，引用建设项目周边5km范围内近3年的现有监测数据，无相关数据的选择当季主导下风向1个点位补充不少于3天的监测数据。</w:t>
            </w:r>
            <w:r>
              <w:rPr>
                <w:rFonts w:hint="eastAsia" w:cs="Times New Roman"/>
                <w:color w:val="auto"/>
                <w:sz w:val="24"/>
                <w:highlight w:val="none"/>
                <w:lang w:eastAsia="zh-CN"/>
              </w:rPr>
              <w:t>”</w:t>
            </w:r>
          </w:p>
          <w:p w14:paraId="1F632C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本项目特征因子TSP</w:t>
            </w:r>
            <w:r>
              <w:rPr>
                <w:rFonts w:hint="eastAsia" w:cs="Times New Roman"/>
                <w:color w:val="auto"/>
                <w:sz w:val="24"/>
                <w:highlight w:val="none"/>
                <w:lang w:eastAsia="zh-CN"/>
              </w:rPr>
              <w:t>、</w:t>
            </w:r>
            <w:r>
              <w:rPr>
                <w:rFonts w:hint="eastAsia" w:cs="Times New Roman"/>
                <w:color w:val="auto"/>
                <w:sz w:val="24"/>
                <w:highlight w:val="none"/>
                <w:lang w:val="en-US" w:eastAsia="zh-CN"/>
              </w:rPr>
              <w:t>氨、硫化氢日均值</w:t>
            </w:r>
            <w:r>
              <w:rPr>
                <w:rFonts w:hint="default" w:ascii="Times New Roman" w:hAnsi="Times New Roman" w:cs="Times New Roman"/>
                <w:color w:val="auto"/>
                <w:sz w:val="24"/>
                <w:highlight w:val="none"/>
              </w:rPr>
              <w:t>由</w:t>
            </w:r>
            <w:r>
              <w:rPr>
                <w:rFonts w:hint="eastAsia" w:cs="Times New Roman"/>
                <w:color w:val="auto"/>
                <w:sz w:val="24"/>
                <w:highlight w:val="none"/>
                <w:lang w:val="en-US" w:eastAsia="zh-CN"/>
              </w:rPr>
              <w:t>内蒙古新众辉环境检测</w:t>
            </w:r>
            <w:r>
              <w:rPr>
                <w:rFonts w:hint="default" w:ascii="Times New Roman" w:hAnsi="Times New Roman" w:cs="Times New Roman"/>
                <w:color w:val="auto"/>
                <w:sz w:val="24"/>
                <w:highlight w:val="none"/>
              </w:rPr>
              <w:t>有限公司于</w:t>
            </w:r>
            <w:r>
              <w:rPr>
                <w:rFonts w:hint="eastAsia" w:cs="Times New Roman"/>
                <w:color w:val="auto"/>
                <w:sz w:val="24"/>
                <w:highlight w:val="none"/>
                <w:lang w:val="en-US" w:eastAsia="zh-CN"/>
              </w:rPr>
              <w:t>2026</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月</w:t>
            </w:r>
            <w:r>
              <w:rPr>
                <w:rFonts w:hint="eastAsia" w:cs="Times New Roman"/>
                <w:color w:val="auto"/>
                <w:sz w:val="24"/>
                <w:highlight w:val="none"/>
                <w:lang w:val="en-US" w:eastAsia="zh-CN"/>
              </w:rPr>
              <w:t>16</w:t>
            </w:r>
            <w:r>
              <w:rPr>
                <w:rFonts w:hint="default" w:ascii="Times New Roman" w:hAnsi="Times New Roman" w:cs="Times New Roman"/>
                <w:color w:val="auto"/>
                <w:sz w:val="24"/>
                <w:highlight w:val="none"/>
              </w:rPr>
              <w:t>日~</w:t>
            </w:r>
            <w:r>
              <w:rPr>
                <w:rFonts w:hint="eastAsia" w:cs="Times New Roman"/>
                <w:color w:val="auto"/>
                <w:sz w:val="24"/>
                <w:highlight w:val="none"/>
                <w:lang w:val="en-US" w:eastAsia="zh-CN"/>
              </w:rPr>
              <w:t>2026</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月</w:t>
            </w:r>
            <w:r>
              <w:rPr>
                <w:rFonts w:hint="eastAsia" w:cs="Times New Roman"/>
                <w:color w:val="auto"/>
                <w:sz w:val="24"/>
                <w:highlight w:val="none"/>
                <w:lang w:val="en-US" w:eastAsia="zh-CN"/>
              </w:rPr>
              <w:t>18</w:t>
            </w:r>
            <w:r>
              <w:rPr>
                <w:rFonts w:hint="default" w:ascii="Times New Roman" w:hAnsi="Times New Roman" w:cs="Times New Roman"/>
                <w:color w:val="auto"/>
                <w:sz w:val="24"/>
                <w:highlight w:val="none"/>
              </w:rPr>
              <w:t>日监测。</w:t>
            </w:r>
          </w:p>
          <w:p w14:paraId="4A18FFA7">
            <w:pPr>
              <w:adjustRightInd w:val="0"/>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（1）监测点位</w:t>
            </w:r>
          </w:p>
          <w:p w14:paraId="3496B5BF">
            <w:pPr>
              <w:adjustRightInd w:val="0"/>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共布设1个环境空气监测点位</w:t>
            </w:r>
            <w:r>
              <w:rPr>
                <w:rFonts w:hint="default" w:ascii="Times New Roman" w:hAnsi="Times New Roman" w:cs="Times New Roman"/>
                <w:color w:val="auto"/>
                <w:sz w:val="24"/>
                <w:highlight w:val="none"/>
                <w:lang w:val="en-US" w:eastAsia="zh-CN"/>
              </w:rPr>
              <w:t>位于厂界下风向10m处监控点N：40°30′1″，E106°42′39″</w:t>
            </w:r>
            <w:r>
              <w:rPr>
                <w:rFonts w:hint="default" w:ascii="Times New Roman" w:hAnsi="Times New Roman" w:cs="Times New Roman"/>
                <w:color w:val="auto"/>
                <w:sz w:val="24"/>
                <w:highlight w:val="none"/>
              </w:rPr>
              <w:t>，具体信息见表3-2</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监测报告见附件5</w:t>
            </w:r>
            <w:r>
              <w:rPr>
                <w:rFonts w:hint="default" w:ascii="Times New Roman" w:hAnsi="Times New Roman" w:cs="Times New Roman"/>
                <w:color w:val="auto"/>
                <w:sz w:val="24"/>
                <w:highlight w:val="none"/>
              </w:rPr>
              <w:t>。</w:t>
            </w:r>
          </w:p>
          <w:p w14:paraId="114AD401">
            <w:pPr>
              <w:adjustRightInd w:val="0"/>
              <w:snapToGrid w:val="0"/>
              <w:jc w:val="center"/>
              <w:rPr>
                <w:rFonts w:hint="eastAsia" w:ascii="Times New Roman" w:hAnsi="Times New Roman" w:eastAsia="宋体" w:cs="Times New Roman"/>
                <w:b/>
                <w:color w:val="auto"/>
                <w:sz w:val="24"/>
                <w:szCs w:val="24"/>
                <w:highlight w:val="none"/>
                <w:lang w:val="en-US" w:eastAsia="zh-CN"/>
              </w:rPr>
            </w:pPr>
            <w:r>
              <w:rPr>
                <w:rFonts w:hint="default" w:ascii="Times New Roman" w:hAnsi="Times New Roman" w:cs="Times New Roman"/>
                <w:b/>
                <w:color w:val="auto"/>
                <w:sz w:val="24"/>
                <w:szCs w:val="24"/>
                <w:highlight w:val="none"/>
              </w:rPr>
              <w:t>表3-2   环境空气监测</w:t>
            </w:r>
            <w:r>
              <w:rPr>
                <w:rFonts w:hint="eastAsia" w:cs="Times New Roman"/>
                <w:b/>
                <w:color w:val="auto"/>
                <w:sz w:val="24"/>
                <w:szCs w:val="24"/>
                <w:highlight w:val="none"/>
                <w:lang w:val="en-US" w:eastAsia="zh-CN"/>
              </w:rPr>
              <w:t>结果</w:t>
            </w:r>
          </w:p>
          <w:tbl>
            <w:tblPr>
              <w:tblStyle w:val="33"/>
              <w:tblW w:w="84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920"/>
              <w:gridCol w:w="3600"/>
              <w:gridCol w:w="1080"/>
              <w:gridCol w:w="1144"/>
            </w:tblGrid>
            <w:tr w14:paraId="63784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54" w:type="dxa"/>
                  <w:vMerge w:val="restart"/>
                  <w:tcBorders>
                    <w:tl2br w:val="nil"/>
                    <w:tr2bl w:val="nil"/>
                  </w:tcBorders>
                  <w:vAlign w:val="center"/>
                </w:tcPr>
                <w:p w14:paraId="1656B55A">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bCs/>
                      <w:color w:val="auto"/>
                      <w:position w:val="-10"/>
                      <w:szCs w:val="21"/>
                      <w:highlight w:val="none"/>
                      <w:lang w:val="en-US" w:eastAsia="zh-CN"/>
                    </w:rPr>
                  </w:pPr>
                  <w:r>
                    <w:rPr>
                      <w:rFonts w:hint="eastAsia" w:ascii="Times New Roman" w:hAnsi="Times New Roman" w:cs="Times New Roman"/>
                      <w:b/>
                      <w:bCs/>
                      <w:color w:val="auto"/>
                      <w:position w:val="-10"/>
                      <w:szCs w:val="21"/>
                      <w:highlight w:val="none"/>
                      <w:lang w:val="en-US" w:eastAsia="zh-CN"/>
                    </w:rPr>
                    <w:t>采样日期</w:t>
                  </w:r>
                </w:p>
              </w:tc>
              <w:tc>
                <w:tcPr>
                  <w:tcW w:w="1920" w:type="dxa"/>
                  <w:vMerge w:val="restart"/>
                  <w:tcBorders>
                    <w:tl2br w:val="nil"/>
                    <w:tr2bl w:val="nil"/>
                  </w:tcBorders>
                  <w:vAlign w:val="center"/>
                </w:tcPr>
                <w:p w14:paraId="147EABFA">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cs="Times New Roman"/>
                      <w:b/>
                      <w:bCs/>
                      <w:color w:val="auto"/>
                      <w:position w:val="-10"/>
                      <w:szCs w:val="21"/>
                      <w:highlight w:val="none"/>
                      <w:lang w:val="en-US" w:eastAsia="zh-CN"/>
                    </w:rPr>
                  </w:pPr>
                  <w:r>
                    <w:rPr>
                      <w:rFonts w:hint="eastAsia" w:ascii="Times New Roman" w:hAnsi="Times New Roman"/>
                      <w:b/>
                      <w:bCs/>
                      <w:color w:val="auto"/>
                      <w:position w:val="-10"/>
                      <w:sz w:val="21"/>
                      <w:szCs w:val="21"/>
                      <w:highlight w:val="none"/>
                      <w:lang w:val="en-US" w:eastAsia="zh-CN"/>
                    </w:rPr>
                    <w:t>检测项目</w:t>
                  </w:r>
                </w:p>
              </w:tc>
              <w:tc>
                <w:tcPr>
                  <w:tcW w:w="3600" w:type="dxa"/>
                  <w:tcBorders>
                    <w:tl2br w:val="nil"/>
                    <w:tr2bl w:val="nil"/>
                  </w:tcBorders>
                  <w:vAlign w:val="center"/>
                </w:tcPr>
                <w:p w14:paraId="4E6CA926">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cs="Times New Roman"/>
                      <w:b/>
                      <w:bCs/>
                      <w:color w:val="auto"/>
                      <w:position w:val="-10"/>
                      <w:szCs w:val="21"/>
                      <w:highlight w:val="none"/>
                      <w:lang w:val="en-US" w:eastAsia="zh-CN"/>
                    </w:rPr>
                  </w:pPr>
                  <w:r>
                    <w:rPr>
                      <w:rFonts w:hint="eastAsia" w:ascii="Times New Roman" w:hAnsi="Times New Roman" w:cs="Times New Roman"/>
                      <w:b/>
                      <w:bCs/>
                      <w:color w:val="auto"/>
                      <w:position w:val="-10"/>
                      <w:szCs w:val="21"/>
                      <w:highlight w:val="none"/>
                      <w:lang w:val="en-US" w:eastAsia="zh-CN"/>
                    </w:rPr>
                    <w:t>分析结果</w:t>
                  </w:r>
                </w:p>
              </w:tc>
              <w:tc>
                <w:tcPr>
                  <w:tcW w:w="1080" w:type="dxa"/>
                  <w:vMerge w:val="restart"/>
                  <w:tcBorders>
                    <w:tl2br w:val="nil"/>
                    <w:tr2bl w:val="nil"/>
                  </w:tcBorders>
                  <w:vAlign w:val="center"/>
                </w:tcPr>
                <w:p w14:paraId="740D2FE6">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cs="Times New Roman"/>
                      <w:b/>
                      <w:bCs/>
                      <w:color w:val="auto"/>
                      <w:position w:val="-10"/>
                      <w:szCs w:val="21"/>
                      <w:highlight w:val="none"/>
                      <w:lang w:val="en-US" w:eastAsia="zh-CN"/>
                    </w:rPr>
                  </w:pPr>
                  <w:r>
                    <w:rPr>
                      <w:rFonts w:hint="eastAsia" w:ascii="Times New Roman" w:hAnsi="Times New Roman" w:cs="Times New Roman"/>
                      <w:b/>
                      <w:bCs/>
                      <w:color w:val="auto"/>
                      <w:position w:val="-10"/>
                      <w:szCs w:val="21"/>
                      <w:highlight w:val="none"/>
                      <w:lang w:val="en-US" w:eastAsia="zh-CN"/>
                    </w:rPr>
                    <w:t>限值</w:t>
                  </w:r>
                </w:p>
              </w:tc>
              <w:tc>
                <w:tcPr>
                  <w:tcW w:w="1144" w:type="dxa"/>
                  <w:vMerge w:val="restart"/>
                  <w:tcBorders>
                    <w:tl2br w:val="nil"/>
                    <w:tr2bl w:val="nil"/>
                  </w:tcBorders>
                  <w:vAlign w:val="center"/>
                </w:tcPr>
                <w:p w14:paraId="5418AFA8">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b/>
                      <w:bCs/>
                      <w:color w:val="auto"/>
                      <w:position w:val="-10"/>
                      <w:szCs w:val="21"/>
                      <w:highlight w:val="none"/>
                      <w:lang w:val="en-US" w:eastAsia="zh-CN"/>
                    </w:rPr>
                  </w:pPr>
                  <w:r>
                    <w:rPr>
                      <w:rFonts w:hint="eastAsia" w:ascii="Times New Roman" w:hAnsi="Times New Roman" w:cs="Times New Roman"/>
                      <w:b/>
                      <w:bCs/>
                      <w:color w:val="auto"/>
                      <w:position w:val="-10"/>
                      <w:szCs w:val="21"/>
                      <w:highlight w:val="none"/>
                      <w:lang w:val="en-US" w:eastAsia="zh-CN"/>
                    </w:rPr>
                    <w:t>单位</w:t>
                  </w:r>
                </w:p>
              </w:tc>
            </w:tr>
            <w:tr w14:paraId="3E0CD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54" w:type="dxa"/>
                  <w:vMerge w:val="continue"/>
                  <w:tcBorders>
                    <w:tl2br w:val="nil"/>
                    <w:tr2bl w:val="nil"/>
                  </w:tcBorders>
                  <w:vAlign w:val="center"/>
                </w:tcPr>
                <w:p w14:paraId="17CC939D">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cs="Times New Roman"/>
                      <w:b/>
                      <w:bCs/>
                      <w:color w:val="auto"/>
                      <w:position w:val="-10"/>
                      <w:szCs w:val="21"/>
                      <w:highlight w:val="none"/>
                      <w:lang w:val="en-US" w:eastAsia="zh-CN"/>
                    </w:rPr>
                  </w:pPr>
                </w:p>
              </w:tc>
              <w:tc>
                <w:tcPr>
                  <w:tcW w:w="1920" w:type="dxa"/>
                  <w:vMerge w:val="continue"/>
                  <w:tcBorders>
                    <w:tl2br w:val="nil"/>
                    <w:tr2bl w:val="nil"/>
                  </w:tcBorders>
                  <w:vAlign w:val="center"/>
                </w:tcPr>
                <w:p w14:paraId="29503E88">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b/>
                      <w:bCs/>
                      <w:color w:val="auto"/>
                      <w:position w:val="-10"/>
                      <w:sz w:val="21"/>
                      <w:szCs w:val="21"/>
                      <w:highlight w:val="none"/>
                      <w:lang w:val="en-US" w:eastAsia="zh-CN"/>
                    </w:rPr>
                  </w:pPr>
                </w:p>
              </w:tc>
              <w:tc>
                <w:tcPr>
                  <w:tcW w:w="3600" w:type="dxa"/>
                  <w:tcBorders>
                    <w:tl2br w:val="nil"/>
                    <w:tr2bl w:val="nil"/>
                  </w:tcBorders>
                  <w:vAlign w:val="center"/>
                </w:tcPr>
                <w:p w14:paraId="63AD24F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position w:val="-10"/>
                      <w:szCs w:val="21"/>
                      <w:highlight w:val="none"/>
                      <w:lang w:val="en-US" w:eastAsia="zh-CN"/>
                    </w:rPr>
                  </w:pPr>
                  <w:r>
                    <w:rPr>
                      <w:rFonts w:hint="default" w:ascii="Times New Roman" w:hAnsi="Times New Roman" w:cs="Times New Roman"/>
                      <w:b/>
                      <w:bCs/>
                      <w:color w:val="auto"/>
                      <w:position w:val="-10"/>
                      <w:szCs w:val="21"/>
                      <w:highlight w:val="none"/>
                      <w:lang w:val="en-US" w:eastAsia="zh-CN"/>
                    </w:rPr>
                    <w:t>厂界下风向10m处监控点N：40°30′1″，E106°42′39″</w:t>
                  </w:r>
                </w:p>
              </w:tc>
              <w:tc>
                <w:tcPr>
                  <w:tcW w:w="1080" w:type="dxa"/>
                  <w:vMerge w:val="continue"/>
                  <w:tcBorders>
                    <w:tl2br w:val="nil"/>
                    <w:tr2bl w:val="nil"/>
                  </w:tcBorders>
                  <w:vAlign w:val="center"/>
                </w:tcPr>
                <w:p w14:paraId="05856BA6">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cs="Times New Roman"/>
                      <w:color w:val="auto"/>
                      <w:position w:val="-10"/>
                      <w:szCs w:val="21"/>
                      <w:highlight w:val="none"/>
                      <w:lang w:val="en-US" w:eastAsia="zh-CN"/>
                    </w:rPr>
                  </w:pPr>
                </w:p>
              </w:tc>
              <w:tc>
                <w:tcPr>
                  <w:tcW w:w="1144" w:type="dxa"/>
                  <w:vMerge w:val="continue"/>
                  <w:tcBorders>
                    <w:tl2br w:val="nil"/>
                    <w:tr2bl w:val="nil"/>
                  </w:tcBorders>
                  <w:vAlign w:val="center"/>
                </w:tcPr>
                <w:p w14:paraId="05B94828">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cs="Times New Roman"/>
                      <w:color w:val="auto"/>
                      <w:position w:val="-10"/>
                      <w:szCs w:val="21"/>
                      <w:highlight w:val="none"/>
                      <w:lang w:val="en-US" w:eastAsia="zh-CN"/>
                    </w:rPr>
                  </w:pPr>
                </w:p>
              </w:tc>
            </w:tr>
            <w:tr w14:paraId="12B94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54" w:type="dxa"/>
                  <w:vMerge w:val="restart"/>
                  <w:tcBorders>
                    <w:tl2br w:val="nil"/>
                    <w:tr2bl w:val="nil"/>
                  </w:tcBorders>
                  <w:vAlign w:val="center"/>
                </w:tcPr>
                <w:p w14:paraId="409D55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2026.4.16</w:t>
                  </w:r>
                </w:p>
              </w:tc>
              <w:tc>
                <w:tcPr>
                  <w:tcW w:w="1920" w:type="dxa"/>
                  <w:tcBorders>
                    <w:tl2br w:val="nil"/>
                    <w:tr2bl w:val="nil"/>
                  </w:tcBorders>
                  <w:shd w:val="clear" w:color="auto" w:fill="auto"/>
                  <w:vAlign w:val="center"/>
                </w:tcPr>
                <w:p w14:paraId="5061A73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highlight w:val="none"/>
                      <w:lang w:val="en-US" w:eastAsia="zh-CN"/>
                    </w:rPr>
                    <w:t>氨</w:t>
                  </w:r>
                </w:p>
              </w:tc>
              <w:tc>
                <w:tcPr>
                  <w:tcW w:w="3600" w:type="dxa"/>
                  <w:tcBorders>
                    <w:tl2br w:val="nil"/>
                    <w:tr2bl w:val="nil"/>
                  </w:tcBorders>
                  <w:shd w:val="clear" w:color="auto" w:fill="auto"/>
                  <w:vAlign w:val="center"/>
                </w:tcPr>
                <w:p w14:paraId="7C7966F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position w:val="-10"/>
                      <w:sz w:val="21"/>
                      <w:szCs w:val="21"/>
                      <w:highlight w:val="none"/>
                      <w:lang w:val="en-US" w:eastAsia="zh-CN"/>
                    </w:rPr>
                  </w:pPr>
                  <w:r>
                    <w:rPr>
                      <w:rFonts w:hint="eastAsia" w:cs="Times New Roman"/>
                      <w:color w:val="auto"/>
                      <w:position w:val="-10"/>
                      <w:sz w:val="21"/>
                      <w:szCs w:val="21"/>
                      <w:highlight w:val="none"/>
                      <w:lang w:val="en-US" w:eastAsia="zh-CN"/>
                    </w:rPr>
                    <w:t>0.09</w:t>
                  </w:r>
                </w:p>
              </w:tc>
              <w:tc>
                <w:tcPr>
                  <w:tcW w:w="1080" w:type="dxa"/>
                  <w:tcBorders>
                    <w:tl2br w:val="nil"/>
                    <w:tr2bl w:val="nil"/>
                  </w:tcBorders>
                  <w:shd w:val="clear" w:color="auto" w:fill="auto"/>
                  <w:vAlign w:val="center"/>
                </w:tcPr>
                <w:p w14:paraId="588EAEA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0.2</w:t>
                  </w:r>
                </w:p>
              </w:tc>
              <w:tc>
                <w:tcPr>
                  <w:tcW w:w="1144" w:type="dxa"/>
                  <w:tcBorders>
                    <w:tl2br w:val="nil"/>
                    <w:tr2bl w:val="nil"/>
                  </w:tcBorders>
                  <w:shd w:val="clear" w:color="auto" w:fill="auto"/>
                  <w:vAlign w:val="center"/>
                </w:tcPr>
                <w:p w14:paraId="50C08718">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mg/m</w:t>
                  </w:r>
                  <w:r>
                    <w:rPr>
                      <w:rFonts w:hint="eastAsia" w:ascii="Times New Roman" w:hAnsi="Times New Roman" w:cs="Times New Roman"/>
                      <w:snapToGrid w:val="0"/>
                      <w:color w:val="auto"/>
                      <w:kern w:val="0"/>
                      <w:sz w:val="21"/>
                      <w:szCs w:val="21"/>
                      <w:highlight w:val="none"/>
                      <w:vertAlign w:val="superscript"/>
                      <w:lang w:val="en-US" w:eastAsia="zh-CN"/>
                    </w:rPr>
                    <w:t>3</w:t>
                  </w:r>
                </w:p>
              </w:tc>
            </w:tr>
            <w:tr w14:paraId="36CA6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54" w:type="dxa"/>
                  <w:vMerge w:val="continue"/>
                  <w:tcBorders>
                    <w:tl2br w:val="nil"/>
                    <w:tr2bl w:val="nil"/>
                  </w:tcBorders>
                  <w:vAlign w:val="center"/>
                </w:tcPr>
                <w:p w14:paraId="41E367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20" w:type="dxa"/>
                  <w:tcBorders>
                    <w:tl2br w:val="nil"/>
                    <w:tr2bl w:val="nil"/>
                  </w:tcBorders>
                  <w:shd w:val="clear" w:color="auto" w:fill="auto"/>
                  <w:vAlign w:val="center"/>
                </w:tcPr>
                <w:p w14:paraId="1C21282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0"/>
                      <w:sz w:val="21"/>
                      <w:highlight w:val="none"/>
                      <w:lang w:val="en-US" w:eastAsia="zh-CN"/>
                    </w:rPr>
                  </w:pPr>
                  <w:r>
                    <w:rPr>
                      <w:rFonts w:hint="eastAsia" w:ascii="Times New Roman" w:hAnsi="Times New Roman" w:cs="Times New Roman"/>
                      <w:snapToGrid w:val="0"/>
                      <w:color w:val="auto"/>
                      <w:kern w:val="0"/>
                      <w:sz w:val="21"/>
                      <w:highlight w:val="none"/>
                      <w:lang w:val="en-US" w:eastAsia="zh-CN"/>
                    </w:rPr>
                    <w:t>硫化氢</w:t>
                  </w:r>
                </w:p>
              </w:tc>
              <w:tc>
                <w:tcPr>
                  <w:tcW w:w="3600" w:type="dxa"/>
                  <w:tcBorders>
                    <w:tl2br w:val="nil"/>
                    <w:tr2bl w:val="nil"/>
                  </w:tcBorders>
                  <w:shd w:val="clear" w:color="auto" w:fill="auto"/>
                  <w:vAlign w:val="center"/>
                </w:tcPr>
                <w:p w14:paraId="036FE85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position w:val="-10"/>
                      <w:sz w:val="21"/>
                      <w:szCs w:val="21"/>
                      <w:highlight w:val="none"/>
                      <w:lang w:val="en-US" w:eastAsia="zh-CN"/>
                    </w:rPr>
                  </w:pPr>
                  <w:r>
                    <w:rPr>
                      <w:rFonts w:hint="eastAsia" w:cs="Times New Roman"/>
                      <w:color w:val="auto"/>
                      <w:position w:val="-10"/>
                      <w:sz w:val="21"/>
                      <w:szCs w:val="21"/>
                      <w:highlight w:val="none"/>
                      <w:lang w:val="en-US" w:eastAsia="zh-CN"/>
                    </w:rPr>
                    <w:t>0.004</w:t>
                  </w:r>
                </w:p>
              </w:tc>
              <w:tc>
                <w:tcPr>
                  <w:tcW w:w="1080" w:type="dxa"/>
                  <w:tcBorders>
                    <w:tl2br w:val="nil"/>
                    <w:tr2bl w:val="nil"/>
                  </w:tcBorders>
                  <w:shd w:val="clear" w:color="auto" w:fill="auto"/>
                  <w:vAlign w:val="center"/>
                </w:tcPr>
                <w:p w14:paraId="665B9E2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0.01</w:t>
                  </w:r>
                </w:p>
              </w:tc>
              <w:tc>
                <w:tcPr>
                  <w:tcW w:w="1144" w:type="dxa"/>
                  <w:tcBorders>
                    <w:tl2br w:val="nil"/>
                    <w:tr2bl w:val="nil"/>
                  </w:tcBorders>
                  <w:shd w:val="clear" w:color="auto" w:fill="auto"/>
                  <w:vAlign w:val="center"/>
                </w:tcPr>
                <w:p w14:paraId="2053F36D">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mg/m</w:t>
                  </w:r>
                  <w:r>
                    <w:rPr>
                      <w:rFonts w:hint="eastAsia" w:ascii="Times New Roman" w:hAnsi="Times New Roman" w:cs="Times New Roman"/>
                      <w:snapToGrid w:val="0"/>
                      <w:color w:val="auto"/>
                      <w:kern w:val="0"/>
                      <w:sz w:val="21"/>
                      <w:szCs w:val="21"/>
                      <w:highlight w:val="none"/>
                      <w:vertAlign w:val="superscript"/>
                      <w:lang w:val="en-US" w:eastAsia="zh-CN"/>
                    </w:rPr>
                    <w:t>3</w:t>
                  </w:r>
                </w:p>
              </w:tc>
            </w:tr>
            <w:tr w14:paraId="7A097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54" w:type="dxa"/>
                  <w:vMerge w:val="continue"/>
                  <w:tcBorders>
                    <w:tl2br w:val="nil"/>
                    <w:tr2bl w:val="nil"/>
                  </w:tcBorders>
                  <w:vAlign w:val="center"/>
                </w:tcPr>
                <w:p w14:paraId="3839B244">
                  <w:pPr>
                    <w:pStyle w:val="69"/>
                    <w:keepNext w:val="0"/>
                    <w:keepLines w:val="0"/>
                    <w:suppressLineNumbers w:val="0"/>
                    <w:tabs>
                      <w:tab w:val="left" w:pos="0"/>
                    </w:tabs>
                    <w:bidi w:val="0"/>
                    <w:spacing w:before="0" w:beforeAutospacing="0" w:after="0" w:afterAutospacing="0"/>
                    <w:ind w:left="0" w:right="0" w:firstLine="0" w:firstLineChars="0"/>
                    <w:rPr>
                      <w:rFonts w:hint="default" w:ascii="Times New Roman" w:hAnsi="Times New Roman" w:cs="Times New Roman"/>
                      <w:bCs/>
                      <w:color w:val="auto"/>
                      <w:sz w:val="21"/>
                      <w:szCs w:val="21"/>
                      <w:highlight w:val="none"/>
                      <w:lang w:val="en-US" w:eastAsia="zh-CN"/>
                    </w:rPr>
                  </w:pPr>
                </w:p>
              </w:tc>
              <w:tc>
                <w:tcPr>
                  <w:tcW w:w="1920" w:type="dxa"/>
                  <w:tcBorders>
                    <w:tl2br w:val="nil"/>
                    <w:tr2bl w:val="nil"/>
                  </w:tcBorders>
                  <w:shd w:val="clear" w:color="auto" w:fill="auto"/>
                  <w:vAlign w:val="center"/>
                </w:tcPr>
                <w:p w14:paraId="5B6C728D">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总悬浮颗粒物</w:t>
                  </w:r>
                </w:p>
              </w:tc>
              <w:tc>
                <w:tcPr>
                  <w:tcW w:w="3600" w:type="dxa"/>
                  <w:tcBorders>
                    <w:tl2br w:val="nil"/>
                    <w:tr2bl w:val="nil"/>
                  </w:tcBorders>
                  <w:shd w:val="clear" w:color="auto" w:fill="auto"/>
                  <w:vAlign w:val="center"/>
                </w:tcPr>
                <w:p w14:paraId="488C0C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position w:val="-10"/>
                      <w:sz w:val="21"/>
                      <w:szCs w:val="21"/>
                      <w:highlight w:val="none"/>
                      <w:lang w:val="en-US" w:eastAsia="zh-CN" w:bidi="ar-SA"/>
                    </w:rPr>
                  </w:pPr>
                  <w:r>
                    <w:rPr>
                      <w:rFonts w:hint="eastAsia" w:ascii="Times New Roman" w:hAnsi="Times New Roman" w:cs="Times New Roman"/>
                      <w:color w:val="auto"/>
                      <w:kern w:val="2"/>
                      <w:position w:val="-10"/>
                      <w:sz w:val="21"/>
                      <w:szCs w:val="21"/>
                      <w:highlight w:val="none"/>
                      <w:lang w:val="en-US" w:eastAsia="zh-CN" w:bidi="ar-SA"/>
                    </w:rPr>
                    <w:t>0.</w:t>
                  </w:r>
                  <w:r>
                    <w:rPr>
                      <w:rFonts w:hint="eastAsia" w:cs="Times New Roman"/>
                      <w:color w:val="auto"/>
                      <w:kern w:val="2"/>
                      <w:position w:val="-10"/>
                      <w:sz w:val="21"/>
                      <w:szCs w:val="21"/>
                      <w:highlight w:val="none"/>
                      <w:lang w:val="en-US" w:eastAsia="zh-CN" w:bidi="ar-SA"/>
                    </w:rPr>
                    <w:t>154</w:t>
                  </w:r>
                </w:p>
              </w:tc>
              <w:tc>
                <w:tcPr>
                  <w:tcW w:w="1080" w:type="dxa"/>
                  <w:tcBorders>
                    <w:tl2br w:val="nil"/>
                    <w:tr2bl w:val="nil"/>
                  </w:tcBorders>
                  <w:shd w:val="clear" w:color="auto" w:fill="auto"/>
                  <w:vAlign w:val="center"/>
                </w:tcPr>
                <w:p w14:paraId="3CBABCA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0.3</w:t>
                  </w:r>
                </w:p>
              </w:tc>
              <w:tc>
                <w:tcPr>
                  <w:tcW w:w="1144" w:type="dxa"/>
                  <w:tcBorders>
                    <w:tl2br w:val="nil"/>
                    <w:tr2bl w:val="nil"/>
                  </w:tcBorders>
                  <w:shd w:val="clear" w:color="auto" w:fill="auto"/>
                  <w:vAlign w:val="center"/>
                </w:tcPr>
                <w:p w14:paraId="55735FB8">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mg/m</w:t>
                  </w:r>
                  <w:r>
                    <w:rPr>
                      <w:rFonts w:hint="eastAsia" w:ascii="Times New Roman" w:hAnsi="Times New Roman" w:cs="Times New Roman"/>
                      <w:snapToGrid w:val="0"/>
                      <w:color w:val="auto"/>
                      <w:kern w:val="0"/>
                      <w:sz w:val="21"/>
                      <w:szCs w:val="21"/>
                      <w:highlight w:val="none"/>
                      <w:vertAlign w:val="superscript"/>
                      <w:lang w:val="en-US" w:eastAsia="zh-CN"/>
                    </w:rPr>
                    <w:t>3</w:t>
                  </w:r>
                </w:p>
              </w:tc>
            </w:tr>
            <w:tr w14:paraId="0EE38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54" w:type="dxa"/>
                  <w:vMerge w:val="restart"/>
                  <w:tcBorders>
                    <w:tl2br w:val="nil"/>
                    <w:tr2bl w:val="nil"/>
                  </w:tcBorders>
                  <w:vAlign w:val="center"/>
                </w:tcPr>
                <w:p w14:paraId="1F9E38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2026.4.15</w:t>
                  </w:r>
                </w:p>
              </w:tc>
              <w:tc>
                <w:tcPr>
                  <w:tcW w:w="1920" w:type="dxa"/>
                  <w:tcBorders>
                    <w:tl2br w:val="nil"/>
                    <w:tr2bl w:val="nil"/>
                  </w:tcBorders>
                  <w:shd w:val="clear" w:color="auto" w:fill="auto"/>
                  <w:vAlign w:val="center"/>
                </w:tcPr>
                <w:p w14:paraId="078CCD6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highlight w:val="none"/>
                      <w:lang w:val="en-US" w:eastAsia="zh-CN"/>
                    </w:rPr>
                    <w:t>氨</w:t>
                  </w:r>
                </w:p>
              </w:tc>
              <w:tc>
                <w:tcPr>
                  <w:tcW w:w="3600" w:type="dxa"/>
                  <w:tcBorders>
                    <w:tl2br w:val="nil"/>
                    <w:tr2bl w:val="nil"/>
                  </w:tcBorders>
                  <w:shd w:val="clear" w:color="auto" w:fill="auto"/>
                  <w:vAlign w:val="center"/>
                </w:tcPr>
                <w:p w14:paraId="4FC1CA0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position w:val="-10"/>
                      <w:sz w:val="21"/>
                      <w:szCs w:val="21"/>
                      <w:highlight w:val="none"/>
                      <w:lang w:val="en-US" w:eastAsia="zh-CN"/>
                    </w:rPr>
                  </w:pPr>
                  <w:r>
                    <w:rPr>
                      <w:rFonts w:hint="eastAsia" w:cs="Times New Roman"/>
                      <w:color w:val="auto"/>
                      <w:position w:val="-10"/>
                      <w:sz w:val="21"/>
                      <w:szCs w:val="21"/>
                      <w:highlight w:val="none"/>
                      <w:lang w:val="en-US" w:eastAsia="zh-CN"/>
                    </w:rPr>
                    <w:t>0.10</w:t>
                  </w:r>
                </w:p>
              </w:tc>
              <w:tc>
                <w:tcPr>
                  <w:tcW w:w="1080" w:type="dxa"/>
                  <w:tcBorders>
                    <w:tl2br w:val="nil"/>
                    <w:tr2bl w:val="nil"/>
                  </w:tcBorders>
                  <w:vAlign w:val="center"/>
                </w:tcPr>
                <w:p w14:paraId="22862881">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0.2</w:t>
                  </w:r>
                </w:p>
              </w:tc>
              <w:tc>
                <w:tcPr>
                  <w:tcW w:w="1144" w:type="dxa"/>
                  <w:tcBorders>
                    <w:tl2br w:val="nil"/>
                    <w:tr2bl w:val="nil"/>
                  </w:tcBorders>
                  <w:vAlign w:val="center"/>
                </w:tcPr>
                <w:p w14:paraId="04E4BB8A">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mg/m</w:t>
                  </w:r>
                  <w:r>
                    <w:rPr>
                      <w:rFonts w:hint="eastAsia" w:ascii="Times New Roman" w:hAnsi="Times New Roman" w:cs="Times New Roman"/>
                      <w:snapToGrid w:val="0"/>
                      <w:color w:val="auto"/>
                      <w:kern w:val="0"/>
                      <w:sz w:val="21"/>
                      <w:szCs w:val="21"/>
                      <w:highlight w:val="none"/>
                      <w:vertAlign w:val="superscript"/>
                      <w:lang w:val="en-US" w:eastAsia="zh-CN"/>
                    </w:rPr>
                    <w:t>3</w:t>
                  </w:r>
                </w:p>
              </w:tc>
            </w:tr>
            <w:tr w14:paraId="738B6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54" w:type="dxa"/>
                  <w:vMerge w:val="continue"/>
                  <w:tcBorders>
                    <w:tl2br w:val="nil"/>
                    <w:tr2bl w:val="nil"/>
                  </w:tcBorders>
                  <w:vAlign w:val="center"/>
                </w:tcPr>
                <w:p w14:paraId="2F6D38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20" w:type="dxa"/>
                  <w:tcBorders>
                    <w:tl2br w:val="nil"/>
                    <w:tr2bl w:val="nil"/>
                  </w:tcBorders>
                  <w:shd w:val="clear" w:color="auto" w:fill="auto"/>
                  <w:vAlign w:val="center"/>
                </w:tcPr>
                <w:p w14:paraId="3678A46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snapToGrid w:val="0"/>
                      <w:color w:val="auto"/>
                      <w:kern w:val="0"/>
                      <w:sz w:val="21"/>
                      <w:highlight w:val="none"/>
                      <w:lang w:val="en-US" w:eastAsia="zh-CN"/>
                    </w:rPr>
                  </w:pPr>
                  <w:r>
                    <w:rPr>
                      <w:rFonts w:hint="eastAsia" w:ascii="Times New Roman" w:hAnsi="Times New Roman" w:cs="Times New Roman"/>
                      <w:snapToGrid w:val="0"/>
                      <w:color w:val="auto"/>
                      <w:kern w:val="0"/>
                      <w:sz w:val="21"/>
                      <w:highlight w:val="none"/>
                      <w:lang w:val="en-US" w:eastAsia="zh-CN"/>
                    </w:rPr>
                    <w:t>硫化氢</w:t>
                  </w:r>
                </w:p>
              </w:tc>
              <w:tc>
                <w:tcPr>
                  <w:tcW w:w="3600" w:type="dxa"/>
                  <w:tcBorders>
                    <w:tl2br w:val="nil"/>
                    <w:tr2bl w:val="nil"/>
                  </w:tcBorders>
                  <w:shd w:val="clear" w:color="auto" w:fill="auto"/>
                  <w:vAlign w:val="center"/>
                </w:tcPr>
                <w:p w14:paraId="07A766D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position w:val="-10"/>
                      <w:sz w:val="21"/>
                      <w:szCs w:val="21"/>
                      <w:highlight w:val="none"/>
                      <w:lang w:val="en-US" w:eastAsia="zh-CN"/>
                    </w:rPr>
                  </w:pPr>
                  <w:r>
                    <w:rPr>
                      <w:rFonts w:hint="eastAsia" w:cs="Times New Roman"/>
                      <w:color w:val="auto"/>
                      <w:position w:val="-10"/>
                      <w:sz w:val="21"/>
                      <w:szCs w:val="21"/>
                      <w:highlight w:val="none"/>
                      <w:lang w:val="en-US" w:eastAsia="zh-CN"/>
                    </w:rPr>
                    <w:t>0.005</w:t>
                  </w:r>
                </w:p>
              </w:tc>
              <w:tc>
                <w:tcPr>
                  <w:tcW w:w="1080" w:type="dxa"/>
                  <w:tcBorders>
                    <w:tl2br w:val="nil"/>
                    <w:tr2bl w:val="nil"/>
                  </w:tcBorders>
                  <w:vAlign w:val="center"/>
                </w:tcPr>
                <w:p w14:paraId="59761C0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0.01</w:t>
                  </w:r>
                </w:p>
              </w:tc>
              <w:tc>
                <w:tcPr>
                  <w:tcW w:w="1144" w:type="dxa"/>
                  <w:tcBorders>
                    <w:tl2br w:val="nil"/>
                    <w:tr2bl w:val="nil"/>
                  </w:tcBorders>
                  <w:vAlign w:val="center"/>
                </w:tcPr>
                <w:p w14:paraId="633E9E48">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mg/m</w:t>
                  </w:r>
                  <w:r>
                    <w:rPr>
                      <w:rFonts w:hint="eastAsia" w:ascii="Times New Roman" w:hAnsi="Times New Roman" w:cs="Times New Roman"/>
                      <w:snapToGrid w:val="0"/>
                      <w:color w:val="auto"/>
                      <w:kern w:val="0"/>
                      <w:sz w:val="21"/>
                      <w:szCs w:val="21"/>
                      <w:highlight w:val="none"/>
                      <w:vertAlign w:val="superscript"/>
                      <w:lang w:val="en-US" w:eastAsia="zh-CN"/>
                    </w:rPr>
                    <w:t>3</w:t>
                  </w:r>
                </w:p>
              </w:tc>
            </w:tr>
            <w:tr w14:paraId="5EB1D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54" w:type="dxa"/>
                  <w:vMerge w:val="continue"/>
                  <w:tcBorders>
                    <w:tl2br w:val="nil"/>
                    <w:tr2bl w:val="nil"/>
                  </w:tcBorders>
                  <w:vAlign w:val="center"/>
                </w:tcPr>
                <w:p w14:paraId="3783406A">
                  <w:pPr>
                    <w:pStyle w:val="69"/>
                    <w:keepNext w:val="0"/>
                    <w:keepLines w:val="0"/>
                    <w:suppressLineNumbers w:val="0"/>
                    <w:tabs>
                      <w:tab w:val="left" w:pos="0"/>
                    </w:tabs>
                    <w:bidi w:val="0"/>
                    <w:spacing w:before="0" w:beforeAutospacing="0" w:after="0" w:afterAutospacing="0"/>
                    <w:ind w:left="0" w:right="0" w:firstLine="0" w:firstLineChars="0"/>
                    <w:rPr>
                      <w:rFonts w:hint="default" w:ascii="Times New Roman" w:hAnsi="Times New Roman" w:cs="Times New Roman"/>
                      <w:bCs/>
                      <w:color w:val="auto"/>
                      <w:sz w:val="21"/>
                      <w:szCs w:val="21"/>
                      <w:highlight w:val="none"/>
                      <w:lang w:val="en-US" w:eastAsia="zh-CN"/>
                    </w:rPr>
                  </w:pPr>
                </w:p>
              </w:tc>
              <w:tc>
                <w:tcPr>
                  <w:tcW w:w="1920" w:type="dxa"/>
                  <w:tcBorders>
                    <w:tl2br w:val="nil"/>
                    <w:tr2bl w:val="nil"/>
                  </w:tcBorders>
                  <w:shd w:val="clear" w:color="auto" w:fill="auto"/>
                  <w:vAlign w:val="center"/>
                </w:tcPr>
                <w:p w14:paraId="6F9E37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总悬浮颗粒物</w:t>
                  </w:r>
                </w:p>
              </w:tc>
              <w:tc>
                <w:tcPr>
                  <w:tcW w:w="3600" w:type="dxa"/>
                  <w:tcBorders>
                    <w:tl2br w:val="nil"/>
                    <w:tr2bl w:val="nil"/>
                  </w:tcBorders>
                  <w:shd w:val="clear" w:color="auto" w:fill="auto"/>
                  <w:vAlign w:val="center"/>
                </w:tcPr>
                <w:p w14:paraId="5B24FB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kern w:val="2"/>
                      <w:position w:val="-10"/>
                      <w:sz w:val="21"/>
                      <w:szCs w:val="21"/>
                      <w:highlight w:val="none"/>
                      <w:lang w:val="en-US" w:eastAsia="zh-CN" w:bidi="ar-SA"/>
                    </w:rPr>
                    <w:t>0.125</w:t>
                  </w:r>
                </w:p>
              </w:tc>
              <w:tc>
                <w:tcPr>
                  <w:tcW w:w="1080" w:type="dxa"/>
                  <w:tcBorders>
                    <w:tl2br w:val="nil"/>
                    <w:tr2bl w:val="nil"/>
                  </w:tcBorders>
                  <w:vAlign w:val="center"/>
                </w:tcPr>
                <w:p w14:paraId="069F2EB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0.3</w:t>
                  </w:r>
                </w:p>
              </w:tc>
              <w:tc>
                <w:tcPr>
                  <w:tcW w:w="1144" w:type="dxa"/>
                  <w:tcBorders>
                    <w:tl2br w:val="nil"/>
                    <w:tr2bl w:val="nil"/>
                  </w:tcBorders>
                  <w:vAlign w:val="center"/>
                </w:tcPr>
                <w:p w14:paraId="03D0E97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mg/m</w:t>
                  </w:r>
                  <w:r>
                    <w:rPr>
                      <w:rFonts w:hint="eastAsia" w:ascii="Times New Roman" w:hAnsi="Times New Roman" w:cs="Times New Roman"/>
                      <w:snapToGrid w:val="0"/>
                      <w:color w:val="auto"/>
                      <w:kern w:val="0"/>
                      <w:sz w:val="21"/>
                      <w:szCs w:val="21"/>
                      <w:highlight w:val="none"/>
                      <w:vertAlign w:val="superscript"/>
                      <w:lang w:val="en-US" w:eastAsia="zh-CN"/>
                    </w:rPr>
                    <w:t>3</w:t>
                  </w:r>
                </w:p>
              </w:tc>
            </w:tr>
            <w:tr w14:paraId="5DF08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54" w:type="dxa"/>
                  <w:vMerge w:val="restart"/>
                  <w:tcBorders>
                    <w:tl2br w:val="nil"/>
                    <w:tr2bl w:val="nil"/>
                  </w:tcBorders>
                  <w:vAlign w:val="center"/>
                </w:tcPr>
                <w:p w14:paraId="541CB7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2026.4.16</w:t>
                  </w:r>
                </w:p>
              </w:tc>
              <w:tc>
                <w:tcPr>
                  <w:tcW w:w="1920" w:type="dxa"/>
                  <w:tcBorders>
                    <w:tl2br w:val="nil"/>
                    <w:tr2bl w:val="nil"/>
                  </w:tcBorders>
                  <w:shd w:val="clear" w:color="auto" w:fill="auto"/>
                  <w:vAlign w:val="center"/>
                </w:tcPr>
                <w:p w14:paraId="1FE5AE0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highlight w:val="none"/>
                      <w:lang w:val="en-US" w:eastAsia="zh-CN"/>
                    </w:rPr>
                    <w:t>氨</w:t>
                  </w:r>
                </w:p>
              </w:tc>
              <w:tc>
                <w:tcPr>
                  <w:tcW w:w="3600" w:type="dxa"/>
                  <w:tcBorders>
                    <w:tl2br w:val="nil"/>
                    <w:tr2bl w:val="nil"/>
                  </w:tcBorders>
                  <w:shd w:val="clear" w:color="auto" w:fill="auto"/>
                  <w:vAlign w:val="center"/>
                </w:tcPr>
                <w:p w14:paraId="60D6548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position w:val="-10"/>
                      <w:sz w:val="21"/>
                      <w:szCs w:val="21"/>
                      <w:highlight w:val="none"/>
                      <w:lang w:val="en-US" w:eastAsia="zh-CN"/>
                    </w:rPr>
                  </w:pPr>
                  <w:r>
                    <w:rPr>
                      <w:rFonts w:hint="eastAsia" w:cs="Times New Roman"/>
                      <w:color w:val="auto"/>
                      <w:position w:val="-10"/>
                      <w:sz w:val="21"/>
                      <w:szCs w:val="21"/>
                      <w:highlight w:val="none"/>
                      <w:lang w:val="en-US" w:eastAsia="zh-CN"/>
                    </w:rPr>
                    <w:t>0.10</w:t>
                  </w:r>
                </w:p>
              </w:tc>
              <w:tc>
                <w:tcPr>
                  <w:tcW w:w="1080" w:type="dxa"/>
                  <w:tcBorders>
                    <w:tl2br w:val="nil"/>
                    <w:tr2bl w:val="nil"/>
                  </w:tcBorders>
                  <w:shd w:val="clear" w:color="auto" w:fill="auto"/>
                  <w:vAlign w:val="center"/>
                </w:tcPr>
                <w:p w14:paraId="09965F4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0.2</w:t>
                  </w:r>
                </w:p>
              </w:tc>
              <w:tc>
                <w:tcPr>
                  <w:tcW w:w="1144" w:type="dxa"/>
                  <w:tcBorders>
                    <w:tl2br w:val="nil"/>
                    <w:tr2bl w:val="nil"/>
                  </w:tcBorders>
                  <w:shd w:val="clear" w:color="auto" w:fill="auto"/>
                  <w:vAlign w:val="center"/>
                </w:tcPr>
                <w:p w14:paraId="19EFD77D">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mg/m</w:t>
                  </w:r>
                  <w:r>
                    <w:rPr>
                      <w:rFonts w:hint="eastAsia" w:ascii="Times New Roman" w:hAnsi="Times New Roman" w:cs="Times New Roman"/>
                      <w:snapToGrid w:val="0"/>
                      <w:color w:val="auto"/>
                      <w:kern w:val="0"/>
                      <w:sz w:val="21"/>
                      <w:szCs w:val="21"/>
                      <w:highlight w:val="none"/>
                      <w:vertAlign w:val="superscript"/>
                      <w:lang w:val="en-US" w:eastAsia="zh-CN"/>
                    </w:rPr>
                    <w:t>3</w:t>
                  </w:r>
                </w:p>
              </w:tc>
            </w:tr>
            <w:tr w14:paraId="46832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54" w:type="dxa"/>
                  <w:vMerge w:val="continue"/>
                  <w:tcBorders>
                    <w:tl2br w:val="nil"/>
                    <w:tr2bl w:val="nil"/>
                  </w:tcBorders>
                  <w:vAlign w:val="center"/>
                </w:tcPr>
                <w:p w14:paraId="4DF132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20" w:type="dxa"/>
                  <w:tcBorders>
                    <w:tl2br w:val="nil"/>
                    <w:tr2bl w:val="nil"/>
                  </w:tcBorders>
                  <w:shd w:val="clear" w:color="auto" w:fill="auto"/>
                  <w:vAlign w:val="center"/>
                </w:tcPr>
                <w:p w14:paraId="4A77647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0"/>
                      <w:sz w:val="21"/>
                      <w:highlight w:val="none"/>
                      <w:lang w:val="en-US" w:eastAsia="zh-CN"/>
                    </w:rPr>
                  </w:pPr>
                  <w:r>
                    <w:rPr>
                      <w:rFonts w:hint="eastAsia" w:ascii="Times New Roman" w:hAnsi="Times New Roman" w:cs="Times New Roman"/>
                      <w:snapToGrid w:val="0"/>
                      <w:color w:val="auto"/>
                      <w:kern w:val="0"/>
                      <w:sz w:val="21"/>
                      <w:highlight w:val="none"/>
                      <w:lang w:val="en-US" w:eastAsia="zh-CN"/>
                    </w:rPr>
                    <w:t>硫化氢</w:t>
                  </w:r>
                </w:p>
              </w:tc>
              <w:tc>
                <w:tcPr>
                  <w:tcW w:w="3600" w:type="dxa"/>
                  <w:tcBorders>
                    <w:tl2br w:val="nil"/>
                    <w:tr2bl w:val="nil"/>
                  </w:tcBorders>
                  <w:shd w:val="clear" w:color="auto" w:fill="auto"/>
                  <w:vAlign w:val="center"/>
                </w:tcPr>
                <w:p w14:paraId="48F7474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position w:val="-10"/>
                      <w:sz w:val="21"/>
                      <w:szCs w:val="21"/>
                      <w:highlight w:val="none"/>
                      <w:lang w:val="en-US" w:eastAsia="zh-CN"/>
                    </w:rPr>
                  </w:pPr>
                  <w:r>
                    <w:rPr>
                      <w:rFonts w:hint="eastAsia" w:cs="Times New Roman"/>
                      <w:color w:val="auto"/>
                      <w:position w:val="-10"/>
                      <w:sz w:val="21"/>
                      <w:szCs w:val="21"/>
                      <w:highlight w:val="none"/>
                      <w:lang w:val="en-US" w:eastAsia="zh-CN"/>
                    </w:rPr>
                    <w:t>0.005</w:t>
                  </w:r>
                </w:p>
              </w:tc>
              <w:tc>
                <w:tcPr>
                  <w:tcW w:w="1080" w:type="dxa"/>
                  <w:tcBorders>
                    <w:tl2br w:val="nil"/>
                    <w:tr2bl w:val="nil"/>
                  </w:tcBorders>
                  <w:shd w:val="clear" w:color="auto" w:fill="auto"/>
                  <w:vAlign w:val="center"/>
                </w:tcPr>
                <w:p w14:paraId="434122F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0.01</w:t>
                  </w:r>
                </w:p>
              </w:tc>
              <w:tc>
                <w:tcPr>
                  <w:tcW w:w="1144" w:type="dxa"/>
                  <w:tcBorders>
                    <w:tl2br w:val="nil"/>
                    <w:tr2bl w:val="nil"/>
                  </w:tcBorders>
                  <w:shd w:val="clear" w:color="auto" w:fill="auto"/>
                  <w:vAlign w:val="center"/>
                </w:tcPr>
                <w:p w14:paraId="7E00D46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mg/m</w:t>
                  </w:r>
                  <w:r>
                    <w:rPr>
                      <w:rFonts w:hint="eastAsia" w:ascii="Times New Roman" w:hAnsi="Times New Roman" w:cs="Times New Roman"/>
                      <w:snapToGrid w:val="0"/>
                      <w:color w:val="auto"/>
                      <w:kern w:val="0"/>
                      <w:sz w:val="21"/>
                      <w:szCs w:val="21"/>
                      <w:highlight w:val="none"/>
                      <w:vertAlign w:val="superscript"/>
                      <w:lang w:val="en-US" w:eastAsia="zh-CN"/>
                    </w:rPr>
                    <w:t>3</w:t>
                  </w:r>
                </w:p>
              </w:tc>
            </w:tr>
            <w:tr w14:paraId="51F35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54" w:type="dxa"/>
                  <w:vMerge w:val="continue"/>
                  <w:tcBorders>
                    <w:tl2br w:val="nil"/>
                    <w:tr2bl w:val="nil"/>
                  </w:tcBorders>
                  <w:vAlign w:val="center"/>
                </w:tcPr>
                <w:p w14:paraId="5890FD6E">
                  <w:pPr>
                    <w:pStyle w:val="69"/>
                    <w:keepNext w:val="0"/>
                    <w:keepLines w:val="0"/>
                    <w:suppressLineNumbers w:val="0"/>
                    <w:tabs>
                      <w:tab w:val="left" w:pos="0"/>
                    </w:tabs>
                    <w:bidi w:val="0"/>
                    <w:spacing w:before="0" w:beforeAutospacing="0" w:after="0" w:afterAutospacing="0"/>
                    <w:ind w:left="0" w:right="0" w:firstLine="0" w:firstLineChars="0"/>
                    <w:rPr>
                      <w:rFonts w:hint="default" w:ascii="Times New Roman" w:hAnsi="Times New Roman" w:cs="Times New Roman"/>
                      <w:bCs/>
                      <w:color w:val="auto"/>
                      <w:sz w:val="21"/>
                      <w:szCs w:val="21"/>
                      <w:highlight w:val="none"/>
                      <w:lang w:val="en-US" w:eastAsia="zh-CN"/>
                    </w:rPr>
                  </w:pPr>
                </w:p>
              </w:tc>
              <w:tc>
                <w:tcPr>
                  <w:tcW w:w="1920" w:type="dxa"/>
                  <w:tcBorders>
                    <w:tl2br w:val="nil"/>
                    <w:tr2bl w:val="nil"/>
                  </w:tcBorders>
                  <w:shd w:val="clear" w:color="auto" w:fill="auto"/>
                  <w:vAlign w:val="center"/>
                </w:tcPr>
                <w:p w14:paraId="7F34C951">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总悬浮颗粒物</w:t>
                  </w:r>
                </w:p>
              </w:tc>
              <w:tc>
                <w:tcPr>
                  <w:tcW w:w="3600" w:type="dxa"/>
                  <w:tcBorders>
                    <w:tl2br w:val="nil"/>
                    <w:tr2bl w:val="nil"/>
                  </w:tcBorders>
                  <w:shd w:val="clear" w:color="auto" w:fill="auto"/>
                  <w:vAlign w:val="center"/>
                </w:tcPr>
                <w:p w14:paraId="04F3E64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rPr>
                    <w:t>0.190</w:t>
                  </w:r>
                </w:p>
              </w:tc>
              <w:tc>
                <w:tcPr>
                  <w:tcW w:w="1080" w:type="dxa"/>
                  <w:tcBorders>
                    <w:tl2br w:val="nil"/>
                    <w:tr2bl w:val="nil"/>
                  </w:tcBorders>
                  <w:shd w:val="clear" w:color="auto" w:fill="auto"/>
                  <w:vAlign w:val="center"/>
                </w:tcPr>
                <w:p w14:paraId="7B4B2B2F">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0.3</w:t>
                  </w:r>
                </w:p>
              </w:tc>
              <w:tc>
                <w:tcPr>
                  <w:tcW w:w="1144" w:type="dxa"/>
                  <w:tcBorders>
                    <w:tl2br w:val="nil"/>
                    <w:tr2bl w:val="nil"/>
                  </w:tcBorders>
                  <w:shd w:val="clear" w:color="auto" w:fill="auto"/>
                  <w:vAlign w:val="center"/>
                </w:tcPr>
                <w:p w14:paraId="293D4D2B">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mg/m</w:t>
                  </w:r>
                  <w:r>
                    <w:rPr>
                      <w:rFonts w:hint="eastAsia" w:ascii="Times New Roman" w:hAnsi="Times New Roman" w:cs="Times New Roman"/>
                      <w:snapToGrid w:val="0"/>
                      <w:color w:val="auto"/>
                      <w:kern w:val="0"/>
                      <w:sz w:val="21"/>
                      <w:szCs w:val="21"/>
                      <w:highlight w:val="none"/>
                      <w:vertAlign w:val="superscript"/>
                      <w:lang w:val="en-US" w:eastAsia="zh-CN"/>
                    </w:rPr>
                    <w:t>3</w:t>
                  </w:r>
                </w:p>
              </w:tc>
            </w:tr>
            <w:tr w14:paraId="2B891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754" w:type="dxa"/>
                  <w:tcBorders>
                    <w:tl2br w:val="nil"/>
                    <w:tr2bl w:val="nil"/>
                  </w:tcBorders>
                  <w:vAlign w:val="center"/>
                </w:tcPr>
                <w:p w14:paraId="203797C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position w:val="-10"/>
                      <w:szCs w:val="21"/>
                      <w:highlight w:val="none"/>
                      <w:lang w:val="en-US" w:eastAsia="zh-CN"/>
                    </w:rPr>
                  </w:pPr>
                  <w:r>
                    <w:rPr>
                      <w:rFonts w:hint="default" w:ascii="Times New Roman" w:hAnsi="Times New Roman" w:cs="Times New Roman"/>
                      <w:color w:val="auto"/>
                      <w:position w:val="-10"/>
                      <w:szCs w:val="21"/>
                      <w:highlight w:val="none"/>
                      <w:lang w:val="en-US" w:eastAsia="zh-CN"/>
                    </w:rPr>
                    <w:t>备注</w:t>
                  </w:r>
                </w:p>
              </w:tc>
              <w:tc>
                <w:tcPr>
                  <w:tcW w:w="7744" w:type="dxa"/>
                  <w:gridSpan w:val="4"/>
                  <w:tcBorders>
                    <w:tl2br w:val="nil"/>
                    <w:tr2bl w:val="nil"/>
                  </w:tcBorders>
                  <w:vAlign w:val="center"/>
                </w:tcPr>
                <w:p w14:paraId="6F1B1A86">
                  <w:pPr>
                    <w:keepNext w:val="0"/>
                    <w:keepLines w:val="0"/>
                    <w:suppressLineNumbers w:val="0"/>
                    <w:spacing w:before="0" w:beforeAutospacing="0" w:after="0" w:afterAutospacing="0"/>
                    <w:ind w:left="0" w:right="0"/>
                    <w:jc w:val="left"/>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r>
                    <w:rPr>
                      <w:rFonts w:hint="eastAsia" w:ascii="Times New Roman" w:hAnsi="Times New Roman" w:eastAsia="宋体" w:cs="Times New Roman"/>
                      <w:color w:val="auto"/>
                      <w:kern w:val="0"/>
                      <w:szCs w:val="21"/>
                      <w:highlight w:val="none"/>
                      <w:lang w:val="en-US" w:eastAsia="zh-CN"/>
                    </w:rPr>
                    <w:t>总悬浮颗粒物</w:t>
                  </w:r>
                  <w:r>
                    <w:rPr>
                      <w:rFonts w:hint="eastAsia" w:ascii="Times New Roman" w:hAnsi="Times New Roman" w:cs="Times New Roman"/>
                      <w:color w:val="auto"/>
                      <w:highlight w:val="none"/>
                      <w:lang w:val="en-US" w:eastAsia="zh-CN"/>
                    </w:rPr>
                    <w:t>检测结果参照执行《环境空气质量标准》GB3095-</w:t>
                  </w:r>
                  <w:r>
                    <w:rPr>
                      <w:rFonts w:hint="eastAsia" w:cs="Times New Roman"/>
                      <w:color w:val="auto"/>
                      <w:highlight w:val="none"/>
                      <w:lang w:val="en-US" w:eastAsia="zh-CN"/>
                    </w:rPr>
                    <w:t>2026</w:t>
                  </w:r>
                  <w:r>
                    <w:rPr>
                      <w:rFonts w:hint="eastAsia" w:ascii="Times New Roman" w:hAnsi="Times New Roman" w:cs="Times New Roman"/>
                      <w:color w:val="auto"/>
                      <w:highlight w:val="none"/>
                      <w:lang w:val="en-US" w:eastAsia="zh-CN"/>
                    </w:rPr>
                    <w:t>，氨、硫化氢检测结果参照执行《环境影响评价技术导则大气环境》HJ2.2-2018附录D中表D.1其他污染物空气质量浓度参考限值；</w:t>
                  </w:r>
                </w:p>
                <w:p w14:paraId="73AC2BA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2.</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ND</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表示未检出</w:t>
                  </w:r>
                  <w:r>
                    <w:rPr>
                      <w:rFonts w:hint="default" w:ascii="Times New Roman" w:hAnsi="Times New Roman" w:eastAsia="宋体" w:cs="Times New Roman"/>
                      <w:color w:val="auto"/>
                      <w:kern w:val="2"/>
                      <w:sz w:val="21"/>
                      <w:szCs w:val="24"/>
                      <w:highlight w:val="none"/>
                      <w:lang w:val="en-US" w:eastAsia="zh-CN" w:bidi="ar-SA"/>
                    </w:rPr>
                    <w:t>。</w:t>
                  </w:r>
                </w:p>
              </w:tc>
            </w:tr>
          </w:tbl>
          <w:p w14:paraId="2DC8B6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b/>
                <w:bCs/>
                <w:color w:val="auto"/>
                <w:highlight w:val="none"/>
              </w:rPr>
            </w:pPr>
            <w:r>
              <w:rPr>
                <w:rFonts w:hint="default" w:ascii="Times New Roman" w:hAnsi="Times New Roman" w:cs="Times New Roman"/>
                <w:color w:val="auto"/>
                <w:sz w:val="24"/>
                <w:highlight w:val="none"/>
              </w:rPr>
              <w:t>从上表可以看出，本项目所在区域TSP</w:t>
            </w:r>
            <w:r>
              <w:rPr>
                <w:rFonts w:hint="eastAsia" w:cs="Times New Roman"/>
                <w:color w:val="auto"/>
                <w:sz w:val="24"/>
                <w:highlight w:val="none"/>
                <w:lang w:val="en-US" w:eastAsia="zh-CN"/>
              </w:rPr>
              <w:t>日均</w:t>
            </w:r>
            <w:r>
              <w:rPr>
                <w:rFonts w:hint="default" w:ascii="Times New Roman" w:hAnsi="Times New Roman" w:cs="Times New Roman"/>
                <w:color w:val="auto"/>
                <w:sz w:val="24"/>
                <w:highlight w:val="none"/>
              </w:rPr>
              <w:t>浓度满足《环境空气质量标准》（GB3095-</w:t>
            </w:r>
            <w:r>
              <w:rPr>
                <w:rFonts w:hint="eastAsia" w:cs="Times New Roman"/>
                <w:color w:val="auto"/>
                <w:sz w:val="24"/>
                <w:highlight w:val="none"/>
                <w:lang w:val="en-US" w:eastAsia="zh-CN"/>
              </w:rPr>
              <w:t>2026</w:t>
            </w:r>
            <w:r>
              <w:rPr>
                <w:rFonts w:hint="default" w:ascii="Times New Roman" w:hAnsi="Times New Roman" w:cs="Times New Roman"/>
                <w:color w:val="auto"/>
                <w:sz w:val="24"/>
                <w:highlight w:val="none"/>
              </w:rPr>
              <w:t>）中</w:t>
            </w:r>
            <w:r>
              <w:rPr>
                <w:rFonts w:hint="default" w:ascii="Times New Roman" w:hAnsi="Times New Roman" w:cs="Times New Roman"/>
                <w:color w:val="auto"/>
                <w:sz w:val="24"/>
                <w:highlight w:val="none"/>
                <w:lang w:val="en-US" w:eastAsia="zh-CN"/>
              </w:rPr>
              <w:t>过渡期二级标准</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和H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S日均浓度符合《环境影响评价技术导则 大气环境》（HJ2.2-2018）附录 D 中其他污染物空气质量浓度参考限值。</w:t>
            </w:r>
          </w:p>
          <w:p w14:paraId="54D4095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2、声环境</w:t>
            </w:r>
          </w:p>
          <w:p w14:paraId="0955A3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依据《建设项目环境影响报告表编制技术指南（污染影响类）》（试行）中要求：</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厂界外周边50 米范围内存在声环境保护目标的建设项目，应监测保护目标声环境质量现状并评价达标情况。</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本项目厂界50m范围内不存在声环境保护目标，因此本次评价</w:t>
            </w:r>
            <w:r>
              <w:rPr>
                <w:rFonts w:hint="eastAsia" w:ascii="Times New Roman" w:hAnsi="Times New Roman" w:cs="Times New Roman"/>
                <w:color w:val="auto"/>
                <w:sz w:val="24"/>
                <w:highlight w:val="none"/>
                <w:lang w:val="en-US" w:eastAsia="zh-CN"/>
              </w:rPr>
              <w:t>不进行</w:t>
            </w:r>
            <w:r>
              <w:rPr>
                <w:rFonts w:hint="default" w:ascii="Times New Roman" w:hAnsi="Times New Roman" w:cs="Times New Roman"/>
                <w:color w:val="auto"/>
                <w:sz w:val="24"/>
                <w:highlight w:val="none"/>
              </w:rPr>
              <w:t>声环境质量现状监测。</w:t>
            </w:r>
          </w:p>
          <w:p w14:paraId="42BDB06D">
            <w:pPr>
              <w:pStyle w:val="97"/>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default" w:ascii="Times New Roman" w:hAnsi="Times New Roman" w:cs="Times New Roman"/>
                <w:b/>
                <w:color w:val="auto"/>
                <w:kern w:val="2"/>
                <w:highlight w:val="none"/>
              </w:rPr>
            </w:pPr>
            <w:r>
              <w:rPr>
                <w:rFonts w:hint="default" w:ascii="Times New Roman" w:hAnsi="Times New Roman" w:cs="Times New Roman"/>
                <w:b/>
                <w:color w:val="auto"/>
                <w:kern w:val="2"/>
                <w:highlight w:val="none"/>
              </w:rPr>
              <w:t>3、地下水环境质量现状</w:t>
            </w:r>
          </w:p>
          <w:p w14:paraId="0521D5A9">
            <w:pPr>
              <w:pStyle w:val="97"/>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b/>
                <w:color w:val="auto"/>
                <w:kern w:val="2"/>
                <w:highlight w:val="none"/>
              </w:rPr>
            </w:pPr>
            <w:r>
              <w:rPr>
                <w:rFonts w:hint="eastAsia" w:cs="Times New Roman"/>
                <w:color w:val="auto"/>
                <w:sz w:val="24"/>
                <w:szCs w:val="24"/>
                <w:highlight w:val="none"/>
                <w:lang w:val="en-US" w:eastAsia="zh-CN"/>
              </w:rPr>
              <w:t>本次评价要求项目生产车间采取相应防渗处理，</w:t>
            </w:r>
            <w:r>
              <w:rPr>
                <w:rFonts w:hint="default" w:ascii="Times New Roman" w:hAnsi="Times New Roman" w:eastAsia="宋体" w:cs="Times New Roman"/>
                <w:color w:val="auto"/>
                <w:sz w:val="24"/>
                <w:szCs w:val="24"/>
                <w:highlight w:val="none"/>
                <w:lang w:val="en-US" w:eastAsia="zh-CN"/>
              </w:rPr>
              <w:t>正常工况</w:t>
            </w:r>
            <w:r>
              <w:rPr>
                <w:rFonts w:hint="eastAsia" w:cs="Times New Roman"/>
                <w:color w:val="auto"/>
                <w:sz w:val="24"/>
                <w:szCs w:val="24"/>
                <w:highlight w:val="none"/>
                <w:lang w:val="en-US" w:eastAsia="zh-CN"/>
              </w:rPr>
              <w:t>下不存在污染地下水的情况</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根据《建设项目环境影响报告表编制技术指南（污染影响类）》（试行），</w:t>
            </w:r>
            <w:r>
              <w:rPr>
                <w:rFonts w:hint="eastAsia" w:ascii="Times New Roman" w:hAnsi="Times New Roman" w:cs="Times New Roman"/>
                <w:color w:val="auto"/>
                <w:sz w:val="24"/>
                <w:szCs w:val="24"/>
                <w:highlight w:val="none"/>
                <w:lang w:val="en-US" w:eastAsia="zh-CN"/>
              </w:rPr>
              <w:t>本项目周围无地下水环境保护目标原则上</w:t>
            </w:r>
            <w:r>
              <w:rPr>
                <w:rFonts w:hint="eastAsia" w:cs="Times New Roman"/>
                <w:color w:val="auto"/>
                <w:sz w:val="24"/>
                <w:szCs w:val="24"/>
                <w:highlight w:val="none"/>
                <w:lang w:val="en-US" w:eastAsia="zh-CN"/>
              </w:rPr>
              <w:t>本次评价</w:t>
            </w:r>
            <w:r>
              <w:rPr>
                <w:rFonts w:hint="eastAsia"/>
                <w:color w:val="auto"/>
                <w:sz w:val="24"/>
                <w:szCs w:val="24"/>
                <w:highlight w:val="none"/>
              </w:rPr>
              <w:t>不进行地下水的环境质量现状监测</w:t>
            </w:r>
            <w:r>
              <w:rPr>
                <w:rFonts w:hint="eastAsia"/>
                <w:color w:val="auto"/>
                <w:sz w:val="24"/>
                <w:szCs w:val="24"/>
                <w:highlight w:val="none"/>
                <w:lang w:eastAsia="zh-CN"/>
              </w:rPr>
              <w:t>。</w:t>
            </w:r>
          </w:p>
          <w:p w14:paraId="7FB2E90B">
            <w:pPr>
              <w:pStyle w:val="97"/>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default" w:ascii="Times New Roman" w:hAnsi="Times New Roman" w:cs="Times New Roman"/>
                <w:b/>
                <w:color w:val="auto"/>
                <w:kern w:val="2"/>
                <w:highlight w:val="none"/>
              </w:rPr>
            </w:pPr>
            <w:r>
              <w:rPr>
                <w:rFonts w:hint="default" w:ascii="Times New Roman" w:hAnsi="Times New Roman" w:cs="Times New Roman"/>
                <w:b/>
                <w:color w:val="auto"/>
                <w:kern w:val="2"/>
                <w:highlight w:val="none"/>
              </w:rPr>
              <w:t>4、土壤环境质量现状</w:t>
            </w:r>
          </w:p>
          <w:p w14:paraId="6DA0D03F">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highlight w:val="none"/>
                <w:lang w:val="en-US" w:eastAsia="zh-CN"/>
              </w:rPr>
            </w:pPr>
            <w:r>
              <w:rPr>
                <w:rFonts w:hint="eastAsia" w:cs="Times New Roman"/>
                <w:color w:val="auto"/>
                <w:sz w:val="24"/>
                <w:szCs w:val="24"/>
                <w:highlight w:val="none"/>
                <w:lang w:val="en-US" w:eastAsia="zh-CN"/>
              </w:rPr>
              <w:t>本次评价要求项目生产车间采取相应防渗处理，</w:t>
            </w:r>
            <w:r>
              <w:rPr>
                <w:rFonts w:hint="default" w:ascii="Times New Roman" w:hAnsi="Times New Roman" w:eastAsia="宋体" w:cs="Times New Roman"/>
                <w:color w:val="auto"/>
                <w:sz w:val="24"/>
                <w:szCs w:val="24"/>
                <w:highlight w:val="none"/>
                <w:lang w:val="en-US" w:eastAsia="zh-CN"/>
              </w:rPr>
              <w:t>正常工况</w:t>
            </w:r>
            <w:r>
              <w:rPr>
                <w:rFonts w:hint="eastAsia" w:cs="Times New Roman"/>
                <w:color w:val="auto"/>
                <w:sz w:val="24"/>
                <w:szCs w:val="24"/>
                <w:highlight w:val="none"/>
                <w:lang w:val="en-US" w:eastAsia="zh-CN"/>
              </w:rPr>
              <w:t>下不存在污染土壤的情况</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根据《建设项目环境影响报告表编制技术指南（污染影响类）》（试行），</w:t>
            </w:r>
            <w:r>
              <w:rPr>
                <w:rFonts w:hint="eastAsia" w:ascii="Times New Roman" w:hAnsi="Times New Roman" w:cs="Times New Roman"/>
                <w:color w:val="auto"/>
                <w:sz w:val="24"/>
                <w:szCs w:val="24"/>
                <w:highlight w:val="none"/>
                <w:lang w:val="en-US" w:eastAsia="zh-CN"/>
              </w:rPr>
              <w:t>本项目周围无土壤环境保护目标原则上</w:t>
            </w:r>
            <w:r>
              <w:rPr>
                <w:rFonts w:hint="eastAsia" w:cs="Times New Roman"/>
                <w:color w:val="auto"/>
                <w:sz w:val="24"/>
                <w:szCs w:val="24"/>
                <w:highlight w:val="none"/>
                <w:lang w:val="en-US" w:eastAsia="zh-CN"/>
              </w:rPr>
              <w:t>本次评价</w:t>
            </w:r>
            <w:r>
              <w:rPr>
                <w:rFonts w:hint="eastAsia"/>
                <w:color w:val="auto"/>
                <w:sz w:val="24"/>
                <w:szCs w:val="24"/>
                <w:highlight w:val="none"/>
              </w:rPr>
              <w:t>不进行</w:t>
            </w:r>
            <w:r>
              <w:rPr>
                <w:rFonts w:hint="eastAsia"/>
                <w:color w:val="auto"/>
                <w:sz w:val="24"/>
                <w:szCs w:val="24"/>
                <w:highlight w:val="none"/>
                <w:lang w:val="en-US" w:eastAsia="zh-CN"/>
              </w:rPr>
              <w:t>土壤</w:t>
            </w:r>
            <w:r>
              <w:rPr>
                <w:rFonts w:hint="eastAsia"/>
                <w:color w:val="auto"/>
                <w:sz w:val="24"/>
                <w:szCs w:val="24"/>
                <w:highlight w:val="none"/>
              </w:rPr>
              <w:t>的环境质量现状监测</w:t>
            </w:r>
            <w:r>
              <w:rPr>
                <w:rFonts w:hint="default" w:ascii="Times New Roman" w:hAnsi="Times New Roman" w:cs="Times New Roman"/>
                <w:color w:val="auto"/>
                <w:sz w:val="24"/>
                <w:highlight w:val="none"/>
              </w:rPr>
              <w:t>。</w:t>
            </w:r>
          </w:p>
        </w:tc>
      </w:tr>
      <w:tr w14:paraId="5674D8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99" w:type="pct"/>
            <w:noWrap w:val="0"/>
            <w:vAlign w:val="top"/>
          </w:tcPr>
          <w:p w14:paraId="4D84E77C">
            <w:pPr>
              <w:adjustRightInd w:val="0"/>
              <w:snapToGrid w:val="0"/>
              <w:spacing w:line="360" w:lineRule="auto"/>
              <w:jc w:val="center"/>
              <w:rPr>
                <w:rFonts w:hint="default" w:ascii="Times New Roman" w:hAnsi="Times New Roman" w:cs="Times New Roman"/>
                <w:b/>
                <w:bCs/>
                <w:color w:val="auto"/>
                <w:kern w:val="0"/>
                <w:sz w:val="24"/>
                <w:highlight w:val="none"/>
              </w:rPr>
            </w:pPr>
          </w:p>
          <w:p w14:paraId="2A52E779">
            <w:pPr>
              <w:pStyle w:val="65"/>
              <w:rPr>
                <w:rFonts w:hint="default" w:ascii="Times New Roman" w:hAnsi="Times New Roman" w:cs="Times New Roman"/>
                <w:b/>
                <w:bCs/>
                <w:color w:val="auto"/>
                <w:highlight w:val="none"/>
              </w:rPr>
            </w:pPr>
          </w:p>
          <w:p w14:paraId="560EFB3C">
            <w:pPr>
              <w:pStyle w:val="65"/>
              <w:rPr>
                <w:rFonts w:hint="default" w:ascii="Times New Roman" w:hAnsi="Times New Roman" w:cs="Times New Roman"/>
                <w:b/>
                <w:bCs/>
                <w:color w:val="auto"/>
                <w:highlight w:val="none"/>
              </w:rPr>
            </w:pPr>
          </w:p>
          <w:p w14:paraId="65D10758">
            <w:pPr>
              <w:pStyle w:val="65"/>
              <w:rPr>
                <w:rFonts w:hint="default" w:ascii="Times New Roman" w:hAnsi="Times New Roman" w:cs="Times New Roman"/>
                <w:b/>
                <w:bCs/>
                <w:color w:val="auto"/>
                <w:highlight w:val="none"/>
              </w:rPr>
            </w:pPr>
          </w:p>
          <w:p w14:paraId="52B1BD6A">
            <w:pPr>
              <w:pStyle w:val="65"/>
              <w:rPr>
                <w:rFonts w:hint="default" w:ascii="Times New Roman" w:hAnsi="Times New Roman" w:cs="Times New Roman"/>
                <w:b/>
                <w:bCs/>
                <w:color w:val="auto"/>
                <w:highlight w:val="none"/>
              </w:rPr>
            </w:pPr>
          </w:p>
          <w:p w14:paraId="6D98FD98">
            <w:pPr>
              <w:pStyle w:val="65"/>
              <w:rPr>
                <w:rFonts w:hint="default" w:ascii="Times New Roman" w:hAnsi="Times New Roman" w:cs="Times New Roman"/>
                <w:b/>
                <w:bCs/>
                <w:color w:val="auto"/>
                <w:highlight w:val="none"/>
              </w:rPr>
            </w:pPr>
          </w:p>
          <w:p w14:paraId="70E882FF">
            <w:pPr>
              <w:pStyle w:val="29"/>
              <w:adjustRightInd w:val="0"/>
              <w:snapToGrid w:val="0"/>
              <w:spacing w:before="0" w:beforeAutospacing="0" w:after="0" w:afterAutospacing="0"/>
              <w:ind w:left="-105" w:leftChars="-50" w:right="-105" w:rightChars="-50"/>
              <w:jc w:val="center"/>
              <w:rPr>
                <w:rFonts w:hint="default" w:ascii="Times New Roman" w:hAnsi="Times New Roman" w:cs="Times New Roman"/>
                <w:b/>
                <w:bCs/>
                <w:color w:val="auto"/>
                <w:kern w:val="2"/>
                <w:szCs w:val="22"/>
                <w:highlight w:val="none"/>
              </w:rPr>
            </w:pPr>
            <w:r>
              <w:rPr>
                <w:rFonts w:hint="default" w:ascii="Times New Roman" w:hAnsi="Times New Roman" w:cs="Times New Roman"/>
                <w:b/>
                <w:bCs/>
                <w:color w:val="auto"/>
                <w:kern w:val="2"/>
                <w:szCs w:val="22"/>
                <w:highlight w:val="none"/>
              </w:rPr>
              <w:t>环境</w:t>
            </w:r>
          </w:p>
          <w:p w14:paraId="28446A0F">
            <w:pPr>
              <w:pStyle w:val="29"/>
              <w:adjustRightInd w:val="0"/>
              <w:snapToGrid w:val="0"/>
              <w:spacing w:before="0" w:beforeAutospacing="0" w:after="0" w:afterAutospacing="0"/>
              <w:ind w:left="-105" w:leftChars="-50" w:right="-105" w:rightChars="-50"/>
              <w:jc w:val="center"/>
              <w:rPr>
                <w:rFonts w:hint="default" w:ascii="Times New Roman" w:hAnsi="Times New Roman" w:cs="Times New Roman"/>
                <w:b/>
                <w:bCs/>
                <w:color w:val="auto"/>
                <w:kern w:val="2"/>
                <w:szCs w:val="22"/>
                <w:highlight w:val="none"/>
              </w:rPr>
            </w:pPr>
            <w:r>
              <w:rPr>
                <w:rFonts w:hint="default" w:ascii="Times New Roman" w:hAnsi="Times New Roman" w:cs="Times New Roman"/>
                <w:b/>
                <w:bCs/>
                <w:color w:val="auto"/>
                <w:kern w:val="2"/>
                <w:szCs w:val="22"/>
                <w:highlight w:val="none"/>
              </w:rPr>
              <w:t>保护</w:t>
            </w:r>
          </w:p>
          <w:p w14:paraId="554FCE5E">
            <w:pPr>
              <w:pStyle w:val="29"/>
              <w:adjustRightInd w:val="0"/>
              <w:snapToGrid w:val="0"/>
              <w:spacing w:before="0" w:beforeAutospacing="0" w:after="0" w:afterAutospacing="0"/>
              <w:ind w:left="-105" w:leftChars="-50" w:right="-105" w:rightChars="-50"/>
              <w:jc w:val="center"/>
              <w:rPr>
                <w:rFonts w:hint="default" w:ascii="Times New Roman" w:hAnsi="Times New Roman" w:cs="Times New Roman"/>
                <w:b/>
                <w:bCs/>
                <w:color w:val="auto"/>
                <w:kern w:val="2"/>
                <w:szCs w:val="22"/>
                <w:highlight w:val="none"/>
              </w:rPr>
            </w:pPr>
            <w:r>
              <w:rPr>
                <w:rFonts w:hint="default" w:ascii="Times New Roman" w:hAnsi="Times New Roman" w:cs="Times New Roman"/>
                <w:b/>
                <w:bCs/>
                <w:color w:val="auto"/>
                <w:kern w:val="2"/>
                <w:szCs w:val="22"/>
                <w:highlight w:val="none"/>
              </w:rPr>
              <w:t>目标</w:t>
            </w:r>
          </w:p>
          <w:p w14:paraId="032B7923">
            <w:pPr>
              <w:rPr>
                <w:rFonts w:hint="default" w:ascii="Times New Roman" w:hAnsi="Times New Roman" w:cs="Times New Roman"/>
                <w:b/>
                <w:bCs/>
                <w:color w:val="auto"/>
                <w:highlight w:val="none"/>
              </w:rPr>
            </w:pPr>
          </w:p>
          <w:p w14:paraId="3564A5AD">
            <w:pPr>
              <w:pStyle w:val="31"/>
              <w:ind w:firstLine="480"/>
              <w:rPr>
                <w:rFonts w:hint="default" w:ascii="Times New Roman" w:hAnsi="Times New Roman" w:cs="Times New Roman"/>
                <w:b/>
                <w:bCs/>
                <w:color w:val="auto"/>
                <w:highlight w:val="none"/>
              </w:rPr>
            </w:pPr>
          </w:p>
          <w:p w14:paraId="718F905B">
            <w:pPr>
              <w:pStyle w:val="9"/>
              <w:ind w:firstLine="240"/>
              <w:rPr>
                <w:rFonts w:hint="default" w:ascii="Times New Roman" w:hAnsi="Times New Roman" w:cs="Times New Roman"/>
                <w:b/>
                <w:bCs/>
                <w:color w:val="auto"/>
                <w:highlight w:val="none"/>
              </w:rPr>
            </w:pPr>
          </w:p>
          <w:p w14:paraId="650294B2">
            <w:pPr>
              <w:rPr>
                <w:rFonts w:hint="default" w:ascii="Times New Roman" w:hAnsi="Times New Roman" w:cs="Times New Roman"/>
                <w:b/>
                <w:bCs/>
                <w:color w:val="auto"/>
                <w:highlight w:val="none"/>
              </w:rPr>
            </w:pPr>
          </w:p>
          <w:p w14:paraId="08A16C1D">
            <w:pPr>
              <w:pStyle w:val="31"/>
              <w:ind w:firstLine="480"/>
              <w:rPr>
                <w:rFonts w:hint="default" w:ascii="Times New Roman" w:hAnsi="Times New Roman" w:cs="Times New Roman"/>
                <w:b/>
                <w:bCs/>
                <w:color w:val="auto"/>
                <w:highlight w:val="none"/>
              </w:rPr>
            </w:pPr>
          </w:p>
          <w:p w14:paraId="155B983D">
            <w:pPr>
              <w:pStyle w:val="9"/>
              <w:ind w:firstLine="240"/>
              <w:rPr>
                <w:rFonts w:hint="default" w:ascii="Times New Roman" w:hAnsi="Times New Roman" w:cs="Times New Roman"/>
                <w:b/>
                <w:bCs/>
                <w:color w:val="auto"/>
                <w:highlight w:val="none"/>
              </w:rPr>
            </w:pPr>
          </w:p>
          <w:p w14:paraId="4F7E433C">
            <w:pPr>
              <w:adjustRightInd w:val="0"/>
              <w:snapToGrid w:val="0"/>
              <w:spacing w:line="360" w:lineRule="auto"/>
              <w:jc w:val="center"/>
              <w:rPr>
                <w:rFonts w:hint="default" w:ascii="Times New Roman" w:hAnsi="Times New Roman" w:cs="Times New Roman"/>
                <w:b/>
                <w:bCs/>
                <w:color w:val="auto"/>
                <w:kern w:val="0"/>
                <w:sz w:val="24"/>
                <w:highlight w:val="none"/>
              </w:rPr>
            </w:pPr>
          </w:p>
          <w:p w14:paraId="121329F9">
            <w:pPr>
              <w:adjustRightInd w:val="0"/>
              <w:snapToGrid w:val="0"/>
              <w:spacing w:line="360" w:lineRule="auto"/>
              <w:jc w:val="center"/>
              <w:rPr>
                <w:rFonts w:hint="default" w:ascii="Times New Roman" w:hAnsi="Times New Roman" w:cs="Times New Roman"/>
                <w:b/>
                <w:bCs/>
                <w:color w:val="auto"/>
                <w:kern w:val="0"/>
                <w:sz w:val="24"/>
                <w:highlight w:val="none"/>
              </w:rPr>
            </w:pPr>
          </w:p>
          <w:p w14:paraId="24A59BD3">
            <w:pPr>
              <w:adjustRightInd w:val="0"/>
              <w:snapToGrid w:val="0"/>
              <w:spacing w:line="360" w:lineRule="auto"/>
              <w:jc w:val="center"/>
              <w:rPr>
                <w:rFonts w:hint="default" w:ascii="Times New Roman" w:hAnsi="Times New Roman" w:cs="Times New Roman"/>
                <w:b/>
                <w:bCs/>
                <w:color w:val="auto"/>
                <w:kern w:val="0"/>
                <w:sz w:val="24"/>
                <w:highlight w:val="none"/>
              </w:rPr>
            </w:pPr>
          </w:p>
          <w:p w14:paraId="252A7C8D">
            <w:pPr>
              <w:adjustRightInd w:val="0"/>
              <w:snapToGrid w:val="0"/>
              <w:spacing w:line="360" w:lineRule="auto"/>
              <w:jc w:val="center"/>
              <w:rPr>
                <w:rFonts w:hint="default" w:ascii="Times New Roman" w:hAnsi="Times New Roman" w:cs="Times New Roman"/>
                <w:b/>
                <w:bCs/>
                <w:color w:val="auto"/>
                <w:kern w:val="0"/>
                <w:sz w:val="24"/>
                <w:highlight w:val="none"/>
              </w:rPr>
            </w:pPr>
          </w:p>
          <w:p w14:paraId="180ADB50">
            <w:pPr>
              <w:adjustRightInd w:val="0"/>
              <w:snapToGrid w:val="0"/>
              <w:rPr>
                <w:rFonts w:hint="default" w:ascii="Times New Roman" w:hAnsi="Times New Roman" w:cs="Times New Roman"/>
                <w:b/>
                <w:bCs/>
                <w:color w:val="auto"/>
                <w:kern w:val="0"/>
                <w:sz w:val="24"/>
                <w:highlight w:val="none"/>
              </w:rPr>
            </w:pPr>
          </w:p>
        </w:tc>
        <w:tc>
          <w:tcPr>
            <w:tcW w:w="4700" w:type="pct"/>
            <w:noWrap w:val="0"/>
            <w:vAlign w:val="center"/>
          </w:tcPr>
          <w:p w14:paraId="3337B447">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根据现场调查，本项目评价区域内无风景名胜区、自然保护区、文物古迹和珍稀动植物、历史文化保护遗迹等敏感目标。</w:t>
            </w:r>
          </w:p>
          <w:p w14:paraId="57E1D667">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1、大气环境：本项目厂界外500m内</w:t>
            </w:r>
            <w:r>
              <w:rPr>
                <w:rFonts w:hint="eastAsia" w:ascii="Times New Roman" w:hAnsi="Times New Roman" w:cs="Times New Roman"/>
                <w:color w:val="auto"/>
                <w:sz w:val="24"/>
                <w:highlight w:val="none"/>
                <w:lang w:val="en-US" w:eastAsia="zh-CN"/>
              </w:rPr>
              <w:t>不存在</w:t>
            </w:r>
            <w:r>
              <w:rPr>
                <w:rFonts w:hint="default" w:ascii="Times New Roman" w:hAnsi="Times New Roman" w:cs="Times New Roman"/>
                <w:color w:val="auto"/>
                <w:sz w:val="24"/>
                <w:highlight w:val="none"/>
              </w:rPr>
              <w:t>大气环境保护目标。</w:t>
            </w:r>
          </w:p>
          <w:p w14:paraId="5154F17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2、声环境：本项目</w:t>
            </w:r>
            <w:r>
              <w:rPr>
                <w:rFonts w:hint="default" w:ascii="Times New Roman" w:hAnsi="Times New Roman" w:cs="Times New Roman"/>
                <w:color w:val="auto"/>
                <w:kern w:val="0"/>
                <w:sz w:val="24"/>
                <w:highlight w:val="none"/>
              </w:rPr>
              <w:t>厂界外50m范围内不存在声环境保护目标。</w:t>
            </w:r>
          </w:p>
          <w:p w14:paraId="2258DE8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3、地下水环境：本项目厂界外500m范围内无地下水集中式饮用水水源和热水、矿泉水、温泉等特殊地下水资源。</w:t>
            </w:r>
          </w:p>
          <w:p w14:paraId="0AA67CF0">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项目环境保护目标见表3-</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w:t>
            </w:r>
          </w:p>
          <w:p w14:paraId="6780E58B">
            <w:pPr>
              <w:adjustRightInd w:val="0"/>
              <w:snapToGrid w:val="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表3-</w:t>
            </w:r>
            <w:r>
              <w:rPr>
                <w:rFonts w:hint="eastAsia" w:cs="Times New Roman"/>
                <w:b/>
                <w:color w:val="auto"/>
                <w:sz w:val="24"/>
                <w:highlight w:val="none"/>
                <w:lang w:val="en-US" w:eastAsia="zh-CN"/>
              </w:rPr>
              <w:t>3</w:t>
            </w:r>
            <w:r>
              <w:rPr>
                <w:rFonts w:hint="default" w:ascii="Times New Roman" w:hAnsi="Times New Roman" w:cs="Times New Roman"/>
                <w:b/>
                <w:color w:val="auto"/>
                <w:sz w:val="24"/>
                <w:highlight w:val="none"/>
              </w:rPr>
              <w:t xml:space="preserve">    主要环境保护目标一览表</w:t>
            </w:r>
          </w:p>
          <w:tbl>
            <w:tblPr>
              <w:tblStyle w:val="32"/>
              <w:tblW w:w="85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101"/>
              <w:gridCol w:w="1131"/>
              <w:gridCol w:w="1158"/>
              <w:gridCol w:w="645"/>
              <w:gridCol w:w="537"/>
              <w:gridCol w:w="705"/>
              <w:gridCol w:w="479"/>
              <w:gridCol w:w="2042"/>
            </w:tblGrid>
            <w:tr w14:paraId="0DD90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42" w:type="pct"/>
                  <w:vMerge w:val="restart"/>
                  <w:tcBorders>
                    <w:tl2br w:val="nil"/>
                    <w:tr2bl w:val="nil"/>
                  </w:tcBorders>
                  <w:noWrap w:val="0"/>
                  <w:vAlign w:val="center"/>
                </w:tcPr>
                <w:p w14:paraId="3470BC03">
                  <w:pPr>
                    <w:pStyle w:val="9"/>
                    <w:spacing w:after="0"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w:t>
                  </w:r>
                </w:p>
                <w:p w14:paraId="07A7BF30">
                  <w:pPr>
                    <w:pStyle w:val="9"/>
                    <w:spacing w:after="0"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类型</w:t>
                  </w:r>
                </w:p>
              </w:tc>
              <w:tc>
                <w:tcPr>
                  <w:tcW w:w="643" w:type="pct"/>
                  <w:vMerge w:val="restart"/>
                  <w:tcBorders>
                    <w:tl2br w:val="nil"/>
                    <w:tr2bl w:val="nil"/>
                  </w:tcBorders>
                  <w:noWrap w:val="0"/>
                  <w:vAlign w:val="center"/>
                </w:tcPr>
                <w:p w14:paraId="25C9C41D">
                  <w:pPr>
                    <w:pStyle w:val="9"/>
                    <w:spacing w:after="0"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337" w:type="pct"/>
                  <w:gridSpan w:val="2"/>
                  <w:tcBorders>
                    <w:tl2br w:val="nil"/>
                    <w:tr2bl w:val="nil"/>
                  </w:tcBorders>
                  <w:noWrap w:val="0"/>
                  <w:vAlign w:val="center"/>
                </w:tcPr>
                <w:p w14:paraId="32DDCC55">
                  <w:pPr>
                    <w:pStyle w:val="9"/>
                    <w:spacing w:after="0"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坐标</w:t>
                  </w:r>
                </w:p>
              </w:tc>
              <w:tc>
                <w:tcPr>
                  <w:tcW w:w="376" w:type="pct"/>
                  <w:vMerge w:val="restart"/>
                  <w:tcBorders>
                    <w:tl2br w:val="nil"/>
                    <w:tr2bl w:val="nil"/>
                  </w:tcBorders>
                  <w:noWrap w:val="0"/>
                  <w:vAlign w:val="center"/>
                </w:tcPr>
                <w:p w14:paraId="7387522D">
                  <w:pPr>
                    <w:pStyle w:val="9"/>
                    <w:spacing w:after="0"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方向</w:t>
                  </w:r>
                </w:p>
              </w:tc>
              <w:tc>
                <w:tcPr>
                  <w:tcW w:w="313" w:type="pct"/>
                  <w:vMerge w:val="restart"/>
                  <w:tcBorders>
                    <w:tl2br w:val="nil"/>
                    <w:tr2bl w:val="nil"/>
                  </w:tcBorders>
                  <w:noWrap w:val="0"/>
                  <w:vAlign w:val="center"/>
                </w:tcPr>
                <w:p w14:paraId="446DAA3C">
                  <w:pPr>
                    <w:pStyle w:val="9"/>
                    <w:spacing w:after="0"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距离</w:t>
                  </w:r>
                </w:p>
              </w:tc>
              <w:tc>
                <w:tcPr>
                  <w:tcW w:w="412" w:type="pct"/>
                  <w:vMerge w:val="restart"/>
                  <w:tcBorders>
                    <w:tl2br w:val="nil"/>
                    <w:tr2bl w:val="nil"/>
                  </w:tcBorders>
                  <w:noWrap w:val="0"/>
                  <w:vAlign w:val="center"/>
                </w:tcPr>
                <w:p w14:paraId="633FD699">
                  <w:pPr>
                    <w:pStyle w:val="9"/>
                    <w:spacing w:after="0"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户数</w:t>
                  </w:r>
                </w:p>
              </w:tc>
              <w:tc>
                <w:tcPr>
                  <w:tcW w:w="279" w:type="pct"/>
                  <w:vMerge w:val="restart"/>
                  <w:tcBorders>
                    <w:tl2br w:val="nil"/>
                    <w:tr2bl w:val="nil"/>
                  </w:tcBorders>
                  <w:noWrap w:val="0"/>
                  <w:vAlign w:val="center"/>
                </w:tcPr>
                <w:p w14:paraId="5C1F1F67">
                  <w:pPr>
                    <w:pStyle w:val="9"/>
                    <w:spacing w:after="0"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人数</w:t>
                  </w:r>
                </w:p>
              </w:tc>
              <w:tc>
                <w:tcPr>
                  <w:tcW w:w="1193" w:type="pct"/>
                  <w:vMerge w:val="restart"/>
                  <w:tcBorders>
                    <w:tl2br w:val="nil"/>
                    <w:tr2bl w:val="nil"/>
                  </w:tcBorders>
                  <w:noWrap w:val="0"/>
                  <w:vAlign w:val="center"/>
                </w:tcPr>
                <w:p w14:paraId="598CCA88">
                  <w:pPr>
                    <w:pStyle w:val="9"/>
                    <w:spacing w:after="0"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w:t>
                  </w:r>
                </w:p>
                <w:p w14:paraId="523BA348">
                  <w:pPr>
                    <w:pStyle w:val="9"/>
                    <w:spacing w:after="0"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w:t>
                  </w:r>
                </w:p>
              </w:tc>
            </w:tr>
            <w:tr w14:paraId="33416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42" w:type="pct"/>
                  <w:vMerge w:val="continue"/>
                  <w:tcBorders>
                    <w:tl2br w:val="nil"/>
                    <w:tr2bl w:val="nil"/>
                  </w:tcBorders>
                  <w:noWrap w:val="0"/>
                  <w:vAlign w:val="center"/>
                </w:tcPr>
                <w:p w14:paraId="0EDCC6FE">
                  <w:pPr>
                    <w:pStyle w:val="9"/>
                    <w:spacing w:after="0" w:line="240" w:lineRule="auto"/>
                    <w:ind w:firstLine="0" w:firstLineChars="0"/>
                    <w:jc w:val="center"/>
                    <w:rPr>
                      <w:rFonts w:hint="default" w:ascii="Times New Roman" w:hAnsi="Times New Roman" w:cs="Times New Roman"/>
                      <w:b/>
                      <w:bCs/>
                      <w:color w:val="auto"/>
                      <w:sz w:val="21"/>
                      <w:szCs w:val="21"/>
                      <w:highlight w:val="none"/>
                    </w:rPr>
                  </w:pPr>
                </w:p>
              </w:tc>
              <w:tc>
                <w:tcPr>
                  <w:tcW w:w="643" w:type="pct"/>
                  <w:vMerge w:val="continue"/>
                  <w:tcBorders>
                    <w:tl2br w:val="nil"/>
                    <w:tr2bl w:val="nil"/>
                  </w:tcBorders>
                  <w:noWrap w:val="0"/>
                  <w:vAlign w:val="center"/>
                </w:tcPr>
                <w:p w14:paraId="711E1021">
                  <w:pPr>
                    <w:pStyle w:val="9"/>
                    <w:spacing w:after="0" w:line="240" w:lineRule="auto"/>
                    <w:ind w:firstLine="0" w:firstLineChars="0"/>
                    <w:jc w:val="center"/>
                    <w:rPr>
                      <w:rFonts w:hint="default" w:ascii="Times New Roman" w:hAnsi="Times New Roman" w:cs="Times New Roman"/>
                      <w:b/>
                      <w:bCs/>
                      <w:color w:val="auto"/>
                      <w:sz w:val="21"/>
                      <w:szCs w:val="21"/>
                      <w:highlight w:val="none"/>
                    </w:rPr>
                  </w:pPr>
                </w:p>
              </w:tc>
              <w:tc>
                <w:tcPr>
                  <w:tcW w:w="661" w:type="pct"/>
                  <w:tcBorders>
                    <w:tl2br w:val="nil"/>
                    <w:tr2bl w:val="nil"/>
                  </w:tcBorders>
                  <w:noWrap w:val="0"/>
                  <w:vAlign w:val="center"/>
                </w:tcPr>
                <w:p w14:paraId="151BCF14">
                  <w:pPr>
                    <w:pStyle w:val="9"/>
                    <w:spacing w:after="0"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X</w:t>
                  </w:r>
                </w:p>
              </w:tc>
              <w:tc>
                <w:tcPr>
                  <w:tcW w:w="676" w:type="pct"/>
                  <w:tcBorders>
                    <w:tl2br w:val="nil"/>
                    <w:tr2bl w:val="nil"/>
                  </w:tcBorders>
                  <w:noWrap w:val="0"/>
                  <w:vAlign w:val="center"/>
                </w:tcPr>
                <w:p w14:paraId="464B3818">
                  <w:pPr>
                    <w:pStyle w:val="9"/>
                    <w:spacing w:after="0"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Y</w:t>
                  </w:r>
                </w:p>
              </w:tc>
              <w:tc>
                <w:tcPr>
                  <w:tcW w:w="376" w:type="pct"/>
                  <w:vMerge w:val="continue"/>
                  <w:tcBorders>
                    <w:tl2br w:val="nil"/>
                    <w:tr2bl w:val="nil"/>
                  </w:tcBorders>
                  <w:noWrap w:val="0"/>
                  <w:vAlign w:val="center"/>
                </w:tcPr>
                <w:p w14:paraId="06B6A54F">
                  <w:pPr>
                    <w:pStyle w:val="9"/>
                    <w:spacing w:after="0" w:line="240" w:lineRule="auto"/>
                    <w:ind w:firstLine="0" w:firstLineChars="0"/>
                    <w:jc w:val="center"/>
                    <w:rPr>
                      <w:rFonts w:hint="default" w:ascii="Times New Roman" w:hAnsi="Times New Roman" w:cs="Times New Roman"/>
                      <w:color w:val="auto"/>
                      <w:sz w:val="21"/>
                      <w:szCs w:val="21"/>
                      <w:highlight w:val="none"/>
                    </w:rPr>
                  </w:pPr>
                </w:p>
              </w:tc>
              <w:tc>
                <w:tcPr>
                  <w:tcW w:w="313" w:type="pct"/>
                  <w:vMerge w:val="continue"/>
                  <w:tcBorders>
                    <w:tl2br w:val="nil"/>
                    <w:tr2bl w:val="nil"/>
                  </w:tcBorders>
                  <w:noWrap w:val="0"/>
                  <w:vAlign w:val="center"/>
                </w:tcPr>
                <w:p w14:paraId="0090C39E">
                  <w:pPr>
                    <w:pStyle w:val="9"/>
                    <w:spacing w:after="0" w:line="240" w:lineRule="auto"/>
                    <w:ind w:firstLine="0" w:firstLineChars="0"/>
                    <w:jc w:val="center"/>
                    <w:rPr>
                      <w:rFonts w:hint="default" w:ascii="Times New Roman" w:hAnsi="Times New Roman" w:cs="Times New Roman"/>
                      <w:color w:val="auto"/>
                      <w:sz w:val="21"/>
                      <w:szCs w:val="21"/>
                      <w:highlight w:val="none"/>
                    </w:rPr>
                  </w:pPr>
                </w:p>
              </w:tc>
              <w:tc>
                <w:tcPr>
                  <w:tcW w:w="412" w:type="pct"/>
                  <w:vMerge w:val="continue"/>
                  <w:tcBorders>
                    <w:tl2br w:val="nil"/>
                    <w:tr2bl w:val="nil"/>
                  </w:tcBorders>
                  <w:noWrap w:val="0"/>
                  <w:vAlign w:val="center"/>
                </w:tcPr>
                <w:p w14:paraId="30C55EDE">
                  <w:pPr>
                    <w:pStyle w:val="9"/>
                    <w:spacing w:after="0" w:line="240" w:lineRule="auto"/>
                    <w:ind w:firstLine="0" w:firstLineChars="0"/>
                    <w:jc w:val="center"/>
                    <w:rPr>
                      <w:rFonts w:hint="default" w:ascii="Times New Roman" w:hAnsi="Times New Roman" w:cs="Times New Roman"/>
                      <w:color w:val="auto"/>
                      <w:sz w:val="21"/>
                      <w:szCs w:val="21"/>
                      <w:highlight w:val="none"/>
                    </w:rPr>
                  </w:pPr>
                </w:p>
              </w:tc>
              <w:tc>
                <w:tcPr>
                  <w:tcW w:w="279" w:type="pct"/>
                  <w:vMerge w:val="continue"/>
                  <w:tcBorders>
                    <w:tl2br w:val="nil"/>
                    <w:tr2bl w:val="nil"/>
                  </w:tcBorders>
                  <w:noWrap w:val="0"/>
                  <w:vAlign w:val="center"/>
                </w:tcPr>
                <w:p w14:paraId="747F57CA">
                  <w:pPr>
                    <w:pStyle w:val="9"/>
                    <w:spacing w:after="0" w:line="240" w:lineRule="auto"/>
                    <w:ind w:firstLine="0" w:firstLineChars="0"/>
                    <w:jc w:val="center"/>
                    <w:rPr>
                      <w:rFonts w:hint="default" w:ascii="Times New Roman" w:hAnsi="Times New Roman" w:cs="Times New Roman"/>
                      <w:color w:val="auto"/>
                      <w:sz w:val="21"/>
                      <w:szCs w:val="21"/>
                      <w:highlight w:val="none"/>
                    </w:rPr>
                  </w:pPr>
                </w:p>
              </w:tc>
              <w:tc>
                <w:tcPr>
                  <w:tcW w:w="1193" w:type="pct"/>
                  <w:vMerge w:val="continue"/>
                  <w:tcBorders>
                    <w:tl2br w:val="nil"/>
                    <w:tr2bl w:val="nil"/>
                  </w:tcBorders>
                  <w:noWrap w:val="0"/>
                  <w:vAlign w:val="center"/>
                </w:tcPr>
                <w:p w14:paraId="019398EE">
                  <w:pPr>
                    <w:pStyle w:val="9"/>
                    <w:spacing w:after="0" w:line="240" w:lineRule="auto"/>
                    <w:ind w:firstLine="0" w:firstLineChars="0"/>
                    <w:jc w:val="center"/>
                    <w:rPr>
                      <w:rFonts w:hint="default" w:ascii="Times New Roman" w:hAnsi="Times New Roman" w:cs="Times New Roman"/>
                      <w:color w:val="auto"/>
                      <w:sz w:val="21"/>
                      <w:szCs w:val="21"/>
                      <w:highlight w:val="none"/>
                    </w:rPr>
                  </w:pPr>
                </w:p>
              </w:tc>
            </w:tr>
            <w:tr w14:paraId="7D6A1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442" w:type="pct"/>
                  <w:tcBorders>
                    <w:tl2br w:val="nil"/>
                    <w:tr2bl w:val="nil"/>
                  </w:tcBorders>
                  <w:noWrap w:val="0"/>
                  <w:vAlign w:val="center"/>
                </w:tcPr>
                <w:p w14:paraId="4A470977">
                  <w:pPr>
                    <w:pStyle w:val="9"/>
                    <w:spacing w:after="0"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大气环境</w:t>
                  </w:r>
                </w:p>
              </w:tc>
              <w:tc>
                <w:tcPr>
                  <w:tcW w:w="3364" w:type="pct"/>
                  <w:gridSpan w:val="7"/>
                  <w:tcBorders>
                    <w:tl2br w:val="nil"/>
                    <w:tr2bl w:val="nil"/>
                  </w:tcBorders>
                  <w:noWrap w:val="0"/>
                  <w:vAlign w:val="center"/>
                </w:tcPr>
                <w:p w14:paraId="278555D1">
                  <w:pPr>
                    <w:pStyle w:val="9"/>
                    <w:spacing w:after="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厂界外50</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m范围内无</w:t>
                  </w:r>
                  <w:r>
                    <w:rPr>
                      <w:rFonts w:hint="eastAsia" w:ascii="Times New Roman" w:hAnsi="Times New Roman" w:cs="Times New Roman"/>
                      <w:color w:val="auto"/>
                      <w:sz w:val="21"/>
                      <w:szCs w:val="21"/>
                      <w:highlight w:val="none"/>
                      <w:lang w:val="en-US" w:eastAsia="zh-CN"/>
                    </w:rPr>
                    <w:t>大气</w:t>
                  </w:r>
                  <w:r>
                    <w:rPr>
                      <w:rFonts w:hint="default" w:ascii="Times New Roman" w:hAnsi="Times New Roman" w:cs="Times New Roman"/>
                      <w:color w:val="auto"/>
                      <w:sz w:val="21"/>
                      <w:szCs w:val="21"/>
                      <w:highlight w:val="none"/>
                    </w:rPr>
                    <w:t>环境保护目标</w:t>
                  </w:r>
                </w:p>
              </w:tc>
              <w:tc>
                <w:tcPr>
                  <w:tcW w:w="1193" w:type="pct"/>
                  <w:tcBorders>
                    <w:tl2br w:val="nil"/>
                    <w:tr2bl w:val="nil"/>
                  </w:tcBorders>
                  <w:noWrap w:val="0"/>
                  <w:vAlign w:val="center"/>
                </w:tcPr>
                <w:p w14:paraId="513FAF1D">
                  <w:pPr>
                    <w:adjustRightInd w:val="0"/>
                    <w:snapToGrid w:val="0"/>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《环境空气质量标准》（GB3095-</w:t>
                  </w:r>
                  <w:r>
                    <w:rPr>
                      <w:rFonts w:hint="eastAsia" w:cs="Times New Roman"/>
                      <w:color w:val="auto"/>
                      <w:szCs w:val="21"/>
                      <w:highlight w:val="none"/>
                      <w:lang w:val="en-US" w:eastAsia="zh-CN"/>
                    </w:rPr>
                    <w:t>2026</w:t>
                  </w:r>
                  <w:r>
                    <w:rPr>
                      <w:rFonts w:hint="default" w:ascii="Times New Roman" w:hAnsi="Times New Roman" w:cs="Times New Roman"/>
                      <w:color w:val="auto"/>
                      <w:szCs w:val="21"/>
                      <w:highlight w:val="none"/>
                    </w:rPr>
                    <w:t>）</w:t>
                  </w:r>
                </w:p>
                <w:p w14:paraId="52C2A904">
                  <w:pPr>
                    <w:pStyle w:val="9"/>
                    <w:spacing w:after="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二级标准</w:t>
                  </w:r>
                </w:p>
              </w:tc>
            </w:tr>
            <w:tr w14:paraId="4F61F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442" w:type="pct"/>
                  <w:tcBorders>
                    <w:tl2br w:val="nil"/>
                    <w:tr2bl w:val="nil"/>
                  </w:tcBorders>
                  <w:noWrap w:val="0"/>
                  <w:vAlign w:val="center"/>
                </w:tcPr>
                <w:p w14:paraId="2F9655E4">
                  <w:pPr>
                    <w:adjustRightInd w:val="0"/>
                    <w:snapToGrid w:val="0"/>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3364" w:type="pct"/>
                  <w:gridSpan w:val="7"/>
                  <w:tcBorders>
                    <w:tl2br w:val="nil"/>
                    <w:tr2bl w:val="nil"/>
                  </w:tcBorders>
                  <w:noWrap w:val="0"/>
                  <w:vAlign w:val="center"/>
                </w:tcPr>
                <w:p w14:paraId="68A75175">
                  <w:pPr>
                    <w:adjustRightInd w:val="0"/>
                    <w:snapToGrid w:val="0"/>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厂界外50m范围内无声环境保护目标</w:t>
                  </w:r>
                </w:p>
              </w:tc>
              <w:tc>
                <w:tcPr>
                  <w:tcW w:w="1193" w:type="pct"/>
                  <w:tcBorders>
                    <w:tl2br w:val="nil"/>
                    <w:tr2bl w:val="nil"/>
                  </w:tcBorders>
                  <w:noWrap w:val="0"/>
                  <w:vAlign w:val="center"/>
                </w:tcPr>
                <w:p w14:paraId="5C89E0E3">
                  <w:pPr>
                    <w:adjustRightInd w:val="0"/>
                    <w:snapToGrid w:val="0"/>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《声环境质量标准》（GB3096-2008）中</w:t>
                  </w:r>
                </w:p>
                <w:p w14:paraId="6CDFDED5">
                  <w:pPr>
                    <w:adjustRightInd w:val="0"/>
                    <w:snapToGrid w:val="0"/>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2类标准</w:t>
                  </w:r>
                </w:p>
              </w:tc>
            </w:tr>
            <w:tr w14:paraId="17124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42" w:type="pct"/>
                  <w:tcBorders>
                    <w:tl2br w:val="nil"/>
                    <w:tr2bl w:val="nil"/>
                  </w:tcBorders>
                  <w:noWrap w:val="0"/>
                  <w:vAlign w:val="center"/>
                </w:tcPr>
                <w:p w14:paraId="23D2D54D">
                  <w:pPr>
                    <w:adjustRightInd w:val="0"/>
                    <w:snapToGrid w:val="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地下水</w:t>
                  </w:r>
                  <w:r>
                    <w:rPr>
                      <w:rFonts w:hint="eastAsia" w:cs="Times New Roman"/>
                      <w:color w:val="auto"/>
                      <w:szCs w:val="21"/>
                      <w:highlight w:val="none"/>
                      <w:lang w:eastAsia="zh-CN"/>
                    </w:rPr>
                    <w:t>、</w:t>
                  </w:r>
                  <w:r>
                    <w:rPr>
                      <w:rFonts w:hint="eastAsia" w:cs="Times New Roman"/>
                      <w:color w:val="auto"/>
                      <w:szCs w:val="21"/>
                      <w:highlight w:val="none"/>
                      <w:lang w:val="en-US" w:eastAsia="zh-CN"/>
                    </w:rPr>
                    <w:t>土壤</w:t>
                  </w:r>
                </w:p>
              </w:tc>
              <w:tc>
                <w:tcPr>
                  <w:tcW w:w="3364" w:type="pct"/>
                  <w:gridSpan w:val="7"/>
                  <w:tcBorders>
                    <w:tl2br w:val="nil"/>
                    <w:tr2bl w:val="nil"/>
                  </w:tcBorders>
                  <w:noWrap w:val="0"/>
                  <w:vAlign w:val="center"/>
                </w:tcPr>
                <w:p w14:paraId="462DBE0D">
                  <w:pPr>
                    <w:adjustRightInd w:val="0"/>
                    <w:snapToGrid w:val="0"/>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厂界外500m范围内无地下水集中</w:t>
                  </w: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饮用水水源和热水、矿泉水、温泉等特殊地下水资源</w:t>
                  </w:r>
                </w:p>
              </w:tc>
              <w:tc>
                <w:tcPr>
                  <w:tcW w:w="1193" w:type="pct"/>
                  <w:tcBorders>
                    <w:tl2br w:val="nil"/>
                    <w:tr2bl w:val="nil"/>
                  </w:tcBorders>
                  <w:noWrap w:val="0"/>
                  <w:vAlign w:val="center"/>
                </w:tcPr>
                <w:p w14:paraId="1C79E47D">
                  <w:pPr>
                    <w:adjustRightInd w:val="0"/>
                    <w:snapToGrid w:val="0"/>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《地下水质量标准》（GB/T14848-2017）</w:t>
                  </w:r>
                </w:p>
                <w:p w14:paraId="5D169DD2">
                  <w:pPr>
                    <w:adjustRightInd w:val="0"/>
                    <w:snapToGrid w:val="0"/>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Ⅲ类标准</w:t>
                  </w:r>
                </w:p>
              </w:tc>
            </w:tr>
            <w:tr w14:paraId="04B70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442" w:type="pct"/>
                  <w:tcBorders>
                    <w:tl2br w:val="nil"/>
                    <w:tr2bl w:val="nil"/>
                  </w:tcBorders>
                  <w:noWrap w:val="0"/>
                  <w:vAlign w:val="center"/>
                </w:tcPr>
                <w:p w14:paraId="20946C9C">
                  <w:pPr>
                    <w:pStyle w:val="9"/>
                    <w:spacing w:after="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643" w:type="pct"/>
                  <w:tcBorders>
                    <w:tl2br w:val="nil"/>
                    <w:tr2bl w:val="nil"/>
                  </w:tcBorders>
                  <w:noWrap w:val="0"/>
                  <w:vAlign w:val="center"/>
                </w:tcPr>
                <w:p w14:paraId="70068822">
                  <w:pPr>
                    <w:pStyle w:val="9"/>
                    <w:spacing w:after="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土地利用、植</w:t>
                  </w:r>
                </w:p>
                <w:p w14:paraId="535DE809">
                  <w:pPr>
                    <w:pStyle w:val="9"/>
                    <w:spacing w:after="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被、动物</w:t>
                  </w:r>
                </w:p>
              </w:tc>
              <w:tc>
                <w:tcPr>
                  <w:tcW w:w="2720" w:type="pct"/>
                  <w:gridSpan w:val="6"/>
                  <w:tcBorders>
                    <w:tl2br w:val="nil"/>
                    <w:tr2bl w:val="nil"/>
                  </w:tcBorders>
                  <w:noWrap w:val="0"/>
                  <w:vAlign w:val="center"/>
                </w:tcPr>
                <w:p w14:paraId="29FC311E">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用地范围内</w:t>
                  </w:r>
                </w:p>
              </w:tc>
              <w:tc>
                <w:tcPr>
                  <w:tcW w:w="1193" w:type="pct"/>
                  <w:tcBorders>
                    <w:tl2br w:val="nil"/>
                    <w:tr2bl w:val="nil"/>
                  </w:tcBorders>
                  <w:noWrap w:val="0"/>
                  <w:vAlign w:val="center"/>
                </w:tcPr>
                <w:p w14:paraId="1605A36A">
                  <w:pPr>
                    <w:pStyle w:val="9"/>
                    <w:spacing w:after="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保护现有植被，保护生物多样性，保持生态系统完整性</w:t>
                  </w:r>
                </w:p>
              </w:tc>
            </w:tr>
          </w:tbl>
          <w:p w14:paraId="0C98CF8D">
            <w:pPr>
              <w:adjustRightInd w:val="0"/>
              <w:snapToGrid w:val="0"/>
              <w:spacing w:line="360" w:lineRule="auto"/>
              <w:rPr>
                <w:rFonts w:hint="default" w:ascii="Times New Roman" w:hAnsi="Times New Roman" w:cs="Times New Roman"/>
                <w:color w:val="auto"/>
                <w:kern w:val="0"/>
                <w:sz w:val="24"/>
                <w:highlight w:val="none"/>
              </w:rPr>
            </w:pPr>
          </w:p>
        </w:tc>
      </w:tr>
      <w:tr w14:paraId="77636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299" w:type="pct"/>
            <w:noWrap w:val="0"/>
            <w:tcMar>
              <w:left w:w="28" w:type="dxa"/>
              <w:right w:w="28" w:type="dxa"/>
            </w:tcMar>
            <w:vAlign w:val="top"/>
          </w:tcPr>
          <w:p w14:paraId="3593F7BF">
            <w:pPr>
              <w:adjustRightInd w:val="0"/>
              <w:snapToGrid w:val="0"/>
              <w:spacing w:line="360" w:lineRule="auto"/>
              <w:jc w:val="center"/>
              <w:rPr>
                <w:rFonts w:hint="default" w:ascii="Times New Roman" w:hAnsi="Times New Roman" w:cs="Times New Roman"/>
                <w:color w:val="auto"/>
                <w:kern w:val="0"/>
                <w:sz w:val="24"/>
                <w:highlight w:val="none"/>
              </w:rPr>
            </w:pPr>
          </w:p>
          <w:p w14:paraId="7E286586">
            <w:pPr>
              <w:adjustRightInd w:val="0"/>
              <w:snapToGrid w:val="0"/>
              <w:spacing w:line="360" w:lineRule="auto"/>
              <w:jc w:val="center"/>
              <w:rPr>
                <w:rFonts w:hint="default" w:ascii="Times New Roman" w:hAnsi="Times New Roman" w:cs="Times New Roman"/>
                <w:color w:val="auto"/>
                <w:kern w:val="0"/>
                <w:sz w:val="24"/>
                <w:highlight w:val="none"/>
              </w:rPr>
            </w:pPr>
          </w:p>
          <w:p w14:paraId="602A3FAB">
            <w:pPr>
              <w:adjustRightInd w:val="0"/>
              <w:snapToGrid w:val="0"/>
              <w:spacing w:line="360" w:lineRule="auto"/>
              <w:jc w:val="center"/>
              <w:rPr>
                <w:rFonts w:hint="default" w:ascii="Times New Roman" w:hAnsi="Times New Roman" w:cs="Times New Roman"/>
                <w:color w:val="auto"/>
                <w:kern w:val="0"/>
                <w:sz w:val="24"/>
                <w:highlight w:val="none"/>
              </w:rPr>
            </w:pPr>
          </w:p>
          <w:p w14:paraId="6D28BF43">
            <w:pPr>
              <w:adjustRightInd w:val="0"/>
              <w:snapToGrid w:val="0"/>
              <w:spacing w:line="360" w:lineRule="auto"/>
              <w:jc w:val="center"/>
              <w:rPr>
                <w:rFonts w:hint="default" w:ascii="Times New Roman" w:hAnsi="Times New Roman" w:cs="Times New Roman"/>
                <w:color w:val="auto"/>
                <w:kern w:val="0"/>
                <w:sz w:val="24"/>
                <w:highlight w:val="none"/>
              </w:rPr>
            </w:pPr>
          </w:p>
          <w:p w14:paraId="07AFCC4F">
            <w:pPr>
              <w:adjustRightInd w:val="0"/>
              <w:snapToGrid w:val="0"/>
              <w:spacing w:line="360" w:lineRule="auto"/>
              <w:jc w:val="center"/>
              <w:rPr>
                <w:rFonts w:hint="default" w:ascii="Times New Roman" w:hAnsi="Times New Roman" w:cs="Times New Roman"/>
                <w:color w:val="auto"/>
                <w:kern w:val="0"/>
                <w:sz w:val="24"/>
                <w:highlight w:val="none"/>
              </w:rPr>
            </w:pPr>
          </w:p>
          <w:p w14:paraId="57B5E738">
            <w:pPr>
              <w:adjustRightInd w:val="0"/>
              <w:snapToGrid w:val="0"/>
              <w:spacing w:line="360" w:lineRule="auto"/>
              <w:jc w:val="center"/>
              <w:rPr>
                <w:rFonts w:hint="default" w:ascii="Times New Roman" w:hAnsi="Times New Roman" w:cs="Times New Roman"/>
                <w:color w:val="auto"/>
                <w:kern w:val="0"/>
                <w:sz w:val="24"/>
                <w:highlight w:val="none"/>
              </w:rPr>
            </w:pPr>
          </w:p>
          <w:p w14:paraId="4607F8E0">
            <w:pPr>
              <w:adjustRightInd w:val="0"/>
              <w:snapToGrid w:val="0"/>
              <w:spacing w:line="360" w:lineRule="auto"/>
              <w:jc w:val="center"/>
              <w:rPr>
                <w:rFonts w:hint="default" w:ascii="Times New Roman" w:hAnsi="Times New Roman" w:cs="Times New Roman"/>
                <w:color w:val="auto"/>
                <w:kern w:val="0"/>
                <w:sz w:val="24"/>
                <w:highlight w:val="none"/>
              </w:rPr>
            </w:pPr>
          </w:p>
          <w:p w14:paraId="5DC2E7AA">
            <w:pPr>
              <w:adjustRightInd w:val="0"/>
              <w:snapToGrid w:val="0"/>
              <w:spacing w:line="360" w:lineRule="auto"/>
              <w:jc w:val="center"/>
              <w:rPr>
                <w:rFonts w:hint="default" w:ascii="Times New Roman" w:hAnsi="Times New Roman" w:cs="Times New Roman"/>
                <w:color w:val="auto"/>
                <w:kern w:val="0"/>
                <w:sz w:val="24"/>
                <w:highlight w:val="none"/>
              </w:rPr>
            </w:pPr>
          </w:p>
          <w:p w14:paraId="3FC9A3BF">
            <w:pPr>
              <w:adjustRightInd w:val="0"/>
              <w:snapToGrid w:val="0"/>
              <w:spacing w:line="360" w:lineRule="auto"/>
              <w:jc w:val="center"/>
              <w:rPr>
                <w:rFonts w:hint="default" w:ascii="Times New Roman" w:hAnsi="Times New Roman" w:cs="Times New Roman"/>
                <w:color w:val="auto"/>
                <w:kern w:val="0"/>
                <w:sz w:val="24"/>
                <w:highlight w:val="none"/>
              </w:rPr>
            </w:pPr>
          </w:p>
          <w:p w14:paraId="42CF31C7">
            <w:pPr>
              <w:adjustRightInd w:val="0"/>
              <w:snapToGrid w:val="0"/>
              <w:spacing w:line="360" w:lineRule="auto"/>
              <w:jc w:val="center"/>
              <w:rPr>
                <w:rFonts w:hint="default" w:ascii="Times New Roman" w:hAnsi="Times New Roman" w:cs="Times New Roman"/>
                <w:color w:val="auto"/>
                <w:kern w:val="0"/>
                <w:sz w:val="24"/>
                <w:highlight w:val="none"/>
              </w:rPr>
            </w:pPr>
          </w:p>
          <w:p w14:paraId="481BD161">
            <w:pPr>
              <w:adjustRightInd w:val="0"/>
              <w:snapToGrid w:val="0"/>
              <w:spacing w:line="360" w:lineRule="auto"/>
              <w:jc w:val="center"/>
              <w:rPr>
                <w:rFonts w:hint="default" w:ascii="Times New Roman" w:hAnsi="Times New Roman" w:cs="Times New Roman"/>
                <w:color w:val="auto"/>
                <w:kern w:val="0"/>
                <w:sz w:val="24"/>
                <w:highlight w:val="none"/>
              </w:rPr>
            </w:pPr>
          </w:p>
          <w:p w14:paraId="67D0C30D">
            <w:pPr>
              <w:adjustRightInd w:val="0"/>
              <w:snapToGrid w:val="0"/>
              <w:spacing w:line="360" w:lineRule="auto"/>
              <w:jc w:val="center"/>
              <w:rPr>
                <w:rFonts w:hint="default" w:ascii="Times New Roman" w:hAnsi="Times New Roman" w:cs="Times New Roman"/>
                <w:b/>
                <w:bCs/>
                <w:color w:val="auto"/>
                <w:kern w:val="0"/>
                <w:sz w:val="24"/>
                <w:highlight w:val="none"/>
              </w:rPr>
            </w:pPr>
          </w:p>
          <w:p w14:paraId="54782D16">
            <w:pPr>
              <w:adjustRightInd w:val="0"/>
              <w:snapToGrid w:val="0"/>
              <w:ind w:left="-210" w:leftChars="-100" w:right="-210" w:rightChars="-10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污染</w:t>
            </w:r>
          </w:p>
          <w:p w14:paraId="05F22CF9">
            <w:pPr>
              <w:adjustRightInd w:val="0"/>
              <w:snapToGrid w:val="0"/>
              <w:ind w:left="-210" w:leftChars="-100" w:right="-210" w:rightChars="-10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物排</w:t>
            </w:r>
          </w:p>
          <w:p w14:paraId="180BF476">
            <w:pPr>
              <w:adjustRightInd w:val="0"/>
              <w:snapToGrid w:val="0"/>
              <w:ind w:left="-210" w:leftChars="-100" w:right="-210" w:rightChars="-10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放控</w:t>
            </w:r>
          </w:p>
          <w:p w14:paraId="33022B35">
            <w:pPr>
              <w:adjustRightInd w:val="0"/>
              <w:snapToGrid w:val="0"/>
              <w:ind w:left="-210" w:leftChars="-100" w:right="-210" w:rightChars="-10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制标</w:t>
            </w:r>
          </w:p>
          <w:p w14:paraId="78960415">
            <w:pPr>
              <w:adjustRightInd w:val="0"/>
              <w:snapToGrid w:val="0"/>
              <w:ind w:left="-210" w:leftChars="-100" w:right="-210" w:rightChars="-10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准</w:t>
            </w:r>
          </w:p>
          <w:p w14:paraId="6553B941">
            <w:pPr>
              <w:adjustRightInd w:val="0"/>
              <w:snapToGrid w:val="0"/>
              <w:spacing w:line="360" w:lineRule="auto"/>
              <w:jc w:val="center"/>
              <w:rPr>
                <w:rFonts w:hint="default" w:ascii="Times New Roman" w:hAnsi="Times New Roman" w:cs="Times New Roman"/>
                <w:b/>
                <w:bCs/>
                <w:color w:val="auto"/>
                <w:kern w:val="0"/>
                <w:sz w:val="24"/>
                <w:highlight w:val="none"/>
              </w:rPr>
            </w:pPr>
          </w:p>
          <w:p w14:paraId="37F85DF8">
            <w:pPr>
              <w:adjustRightInd w:val="0"/>
              <w:snapToGrid w:val="0"/>
              <w:spacing w:line="360" w:lineRule="auto"/>
              <w:jc w:val="center"/>
              <w:rPr>
                <w:rFonts w:hint="default" w:ascii="Times New Roman" w:hAnsi="Times New Roman" w:cs="Times New Roman"/>
                <w:color w:val="auto"/>
                <w:kern w:val="0"/>
                <w:sz w:val="24"/>
                <w:highlight w:val="none"/>
              </w:rPr>
            </w:pPr>
          </w:p>
          <w:p w14:paraId="27EB019B">
            <w:pPr>
              <w:adjustRightInd w:val="0"/>
              <w:snapToGrid w:val="0"/>
              <w:spacing w:line="360" w:lineRule="auto"/>
              <w:jc w:val="center"/>
              <w:rPr>
                <w:rFonts w:hint="default" w:ascii="Times New Roman" w:hAnsi="Times New Roman" w:cs="Times New Roman"/>
                <w:color w:val="auto"/>
                <w:kern w:val="0"/>
                <w:sz w:val="24"/>
                <w:highlight w:val="none"/>
              </w:rPr>
            </w:pPr>
          </w:p>
          <w:p w14:paraId="22E68415">
            <w:pPr>
              <w:adjustRightInd w:val="0"/>
              <w:snapToGrid w:val="0"/>
              <w:spacing w:line="360" w:lineRule="auto"/>
              <w:jc w:val="center"/>
              <w:rPr>
                <w:rFonts w:hint="default" w:ascii="Times New Roman" w:hAnsi="Times New Roman" w:cs="Times New Roman"/>
                <w:color w:val="auto"/>
                <w:kern w:val="0"/>
                <w:sz w:val="24"/>
                <w:highlight w:val="none"/>
              </w:rPr>
            </w:pPr>
          </w:p>
          <w:p w14:paraId="5741EC07">
            <w:pPr>
              <w:adjustRightInd w:val="0"/>
              <w:snapToGrid w:val="0"/>
              <w:spacing w:line="360" w:lineRule="auto"/>
              <w:jc w:val="center"/>
              <w:rPr>
                <w:rFonts w:hint="default" w:ascii="Times New Roman" w:hAnsi="Times New Roman" w:cs="Times New Roman"/>
                <w:color w:val="auto"/>
                <w:kern w:val="0"/>
                <w:sz w:val="24"/>
                <w:highlight w:val="none"/>
              </w:rPr>
            </w:pPr>
          </w:p>
          <w:p w14:paraId="10DA3BE5">
            <w:pPr>
              <w:adjustRightInd w:val="0"/>
              <w:snapToGrid w:val="0"/>
              <w:spacing w:line="360" w:lineRule="auto"/>
              <w:jc w:val="center"/>
              <w:rPr>
                <w:rFonts w:hint="default" w:ascii="Times New Roman" w:hAnsi="Times New Roman" w:cs="Times New Roman"/>
                <w:color w:val="auto"/>
                <w:kern w:val="0"/>
                <w:sz w:val="24"/>
                <w:highlight w:val="none"/>
              </w:rPr>
            </w:pPr>
          </w:p>
          <w:p w14:paraId="2ADFE154">
            <w:pPr>
              <w:adjustRightInd w:val="0"/>
              <w:snapToGrid w:val="0"/>
              <w:spacing w:line="360" w:lineRule="auto"/>
              <w:jc w:val="center"/>
              <w:rPr>
                <w:rFonts w:hint="default" w:ascii="Times New Roman" w:hAnsi="Times New Roman" w:cs="Times New Roman"/>
                <w:color w:val="auto"/>
                <w:kern w:val="0"/>
                <w:sz w:val="24"/>
                <w:highlight w:val="none"/>
              </w:rPr>
            </w:pPr>
          </w:p>
          <w:p w14:paraId="3146A3E7">
            <w:pPr>
              <w:adjustRightInd w:val="0"/>
              <w:snapToGrid w:val="0"/>
              <w:spacing w:line="360" w:lineRule="auto"/>
              <w:jc w:val="center"/>
              <w:rPr>
                <w:rFonts w:hint="default" w:ascii="Times New Roman" w:hAnsi="Times New Roman" w:cs="Times New Roman"/>
                <w:color w:val="auto"/>
                <w:kern w:val="0"/>
                <w:sz w:val="24"/>
                <w:highlight w:val="none"/>
              </w:rPr>
            </w:pPr>
          </w:p>
          <w:p w14:paraId="64A36DD9">
            <w:pPr>
              <w:adjustRightInd w:val="0"/>
              <w:snapToGrid w:val="0"/>
              <w:spacing w:line="360" w:lineRule="auto"/>
              <w:jc w:val="center"/>
              <w:rPr>
                <w:rFonts w:hint="default" w:ascii="Times New Roman" w:hAnsi="Times New Roman" w:cs="Times New Roman"/>
                <w:color w:val="auto"/>
                <w:kern w:val="0"/>
                <w:sz w:val="24"/>
                <w:highlight w:val="none"/>
              </w:rPr>
            </w:pPr>
          </w:p>
          <w:p w14:paraId="22B031DA">
            <w:pPr>
              <w:pStyle w:val="65"/>
              <w:rPr>
                <w:rFonts w:hint="default" w:ascii="Times New Roman" w:hAnsi="Times New Roman" w:cs="Times New Roman"/>
                <w:color w:val="auto"/>
                <w:highlight w:val="none"/>
              </w:rPr>
            </w:pPr>
          </w:p>
          <w:p w14:paraId="6A4A1DB3">
            <w:pPr>
              <w:adjustRightInd w:val="0"/>
              <w:snapToGrid w:val="0"/>
              <w:ind w:right="-210" w:rightChars="-100"/>
              <w:rPr>
                <w:rFonts w:hint="default" w:ascii="Times New Roman" w:hAnsi="Times New Roman" w:cs="Times New Roman"/>
                <w:color w:val="auto"/>
                <w:kern w:val="0"/>
                <w:sz w:val="24"/>
                <w:highlight w:val="none"/>
              </w:rPr>
            </w:pPr>
          </w:p>
        </w:tc>
        <w:tc>
          <w:tcPr>
            <w:tcW w:w="4700" w:type="pct"/>
            <w:noWrap w:val="0"/>
            <w:vAlign w:val="center"/>
          </w:tcPr>
          <w:p w14:paraId="2BAAD34F">
            <w:pPr>
              <w:adjustRightInd w:val="0"/>
              <w:snapToGrid w:val="0"/>
              <w:spacing w:line="500" w:lineRule="atLeas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1、废气</w:t>
            </w:r>
          </w:p>
          <w:p w14:paraId="6C30C8E5">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Style w:val="104"/>
                <w:rFonts w:hint="default" w:ascii="Times New Roman" w:hAnsi="Times New Roman" w:cs="Times New Roman"/>
                <w:color w:val="auto"/>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项目运营期</w:t>
            </w:r>
            <w:r>
              <w:rPr>
                <w:rFonts w:hint="eastAsia" w:cs="Times New Roman"/>
                <w:color w:val="auto"/>
                <w:sz w:val="24"/>
                <w:szCs w:val="24"/>
                <w:highlight w:val="none"/>
                <w:lang w:val="en-US" w:eastAsia="zh-CN"/>
              </w:rPr>
              <w:t>有组织</w:t>
            </w:r>
            <w:r>
              <w:rPr>
                <w:rFonts w:hint="eastAsia"/>
                <w:color w:val="auto"/>
                <w:sz w:val="24"/>
                <w:highlight w:val="none"/>
              </w:rPr>
              <w:t>颗粒物执行</w:t>
            </w:r>
            <w:r>
              <w:rPr>
                <w:rFonts w:hint="eastAsia" w:ascii="Times New Roman" w:hAnsi="Times New Roman" w:eastAsia="宋体" w:cs="Times New Roman"/>
                <w:color w:val="auto"/>
                <w:sz w:val="24"/>
                <w:szCs w:val="24"/>
                <w:highlight w:val="none"/>
              </w:rPr>
              <w:t>《大气污染物综合排放标准》（GB</w:t>
            </w:r>
            <w:r>
              <w:rPr>
                <w:rFonts w:ascii="Times New Roman" w:hAnsi="Times New Roman" w:eastAsia="宋体" w:cs="Times New Roman"/>
                <w:color w:val="auto"/>
                <w:sz w:val="24"/>
                <w:szCs w:val="24"/>
                <w:highlight w:val="none"/>
              </w:rPr>
              <w:t>16297-1996</w:t>
            </w:r>
            <w:r>
              <w:rPr>
                <w:rFonts w:hint="eastAsia" w:ascii="Times New Roman" w:hAnsi="Times New Roman" w:eastAsia="宋体" w:cs="Times New Roman"/>
                <w:color w:val="auto"/>
                <w:sz w:val="24"/>
                <w:szCs w:val="24"/>
                <w:highlight w:val="none"/>
              </w:rPr>
              <w:t>）表2中二级标准</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sz w:val="24"/>
                <w:highlight w:val="none"/>
              </w:rPr>
              <w:t>无组织粉尘排放执行《大气污染物综合排放标准》（GB16297-1996）中表2其它颗粒物二级标准，周界外浓度最高点1.0mg/m</w:t>
            </w:r>
            <w:r>
              <w:rPr>
                <w:rFonts w:hint="default" w:ascii="Times New Roman" w:hAnsi="Times New Roman" w:cs="Times New Roman"/>
                <w:color w:val="auto"/>
                <w:sz w:val="24"/>
                <w:highlight w:val="none"/>
                <w:vertAlign w:val="superscript"/>
              </w:rPr>
              <w:t>3</w:t>
            </w:r>
            <w:r>
              <w:rPr>
                <w:rStyle w:val="104"/>
                <w:rFonts w:hint="default" w:ascii="Times New Roman" w:hAnsi="Times New Roman" w:cs="Times New Roman"/>
                <w:color w:val="auto"/>
                <w:highlight w:val="none"/>
              </w:rPr>
              <w:t>，具体见表3-</w:t>
            </w:r>
            <w:r>
              <w:rPr>
                <w:rStyle w:val="104"/>
                <w:rFonts w:hint="eastAsia" w:cs="Times New Roman"/>
                <w:color w:val="auto"/>
                <w:highlight w:val="none"/>
                <w:lang w:val="en-US" w:eastAsia="zh-CN"/>
              </w:rPr>
              <w:t>4</w:t>
            </w:r>
            <w:r>
              <w:rPr>
                <w:rStyle w:val="104"/>
                <w:rFonts w:hint="default" w:ascii="Times New Roman" w:hAnsi="Times New Roman" w:cs="Times New Roman"/>
                <w:color w:val="auto"/>
                <w:highlight w:val="none"/>
              </w:rPr>
              <w:t>。</w:t>
            </w:r>
          </w:p>
          <w:p w14:paraId="7C966DA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kern w:val="0"/>
                <w:sz w:val="24"/>
                <w:szCs w:val="24"/>
                <w:highlight w:val="none"/>
                <w:lang w:bidi="ar"/>
              </w:rPr>
            </w:pPr>
            <w:r>
              <w:rPr>
                <w:rFonts w:hint="default" w:ascii="Times New Roman" w:hAnsi="Times New Roman" w:cs="Times New Roman"/>
                <w:b/>
                <w:bCs/>
                <w:color w:val="auto"/>
                <w:sz w:val="24"/>
                <w:szCs w:val="24"/>
                <w:highlight w:val="none"/>
              </w:rPr>
              <w:t>表3-</w:t>
            </w:r>
            <w:r>
              <w:rPr>
                <w:rFonts w:hint="eastAsia"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 xml:space="preserve"> </w:t>
            </w:r>
            <w:r>
              <w:rPr>
                <w:rFonts w:hint="eastAsia" w:cs="Times New Roman"/>
                <w:b/>
                <w:bCs/>
                <w:color w:val="auto"/>
                <w:sz w:val="24"/>
                <w:szCs w:val="24"/>
                <w:highlight w:val="none"/>
                <w:lang w:val="en-US" w:eastAsia="zh-CN"/>
              </w:rPr>
              <w:t>运营期颗粒物排放执行标准</w:t>
            </w:r>
            <w:r>
              <w:rPr>
                <w:rFonts w:hint="default" w:ascii="Times New Roman" w:hAnsi="Times New Roman" w:cs="Times New Roman"/>
                <w:b/>
                <w:bCs/>
                <w:color w:val="auto"/>
                <w:sz w:val="24"/>
                <w:szCs w:val="24"/>
                <w:highlight w:val="none"/>
              </w:rPr>
              <w:t xml:space="preserve"> </w:t>
            </w:r>
          </w:p>
          <w:tbl>
            <w:tblPr>
              <w:tblStyle w:val="32"/>
              <w:tblW w:w="851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676"/>
              <w:gridCol w:w="3003"/>
              <w:gridCol w:w="1803"/>
              <w:gridCol w:w="1579"/>
              <w:gridCol w:w="1457"/>
            </w:tblGrid>
            <w:tr w14:paraId="43C52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cantSplit/>
                <w:trHeight w:val="145" w:hRule="atLeast"/>
              </w:trPr>
              <w:tc>
                <w:tcPr>
                  <w:tcW w:w="396" w:type="pct"/>
                  <w:vMerge w:val="restart"/>
                  <w:tcBorders>
                    <w:tl2br w:val="nil"/>
                    <w:tr2bl w:val="nil"/>
                  </w:tcBorders>
                  <w:vAlign w:val="center"/>
                </w:tcPr>
                <w:p w14:paraId="521AD3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类别</w:t>
                  </w:r>
                </w:p>
              </w:tc>
              <w:tc>
                <w:tcPr>
                  <w:tcW w:w="1762" w:type="pct"/>
                  <w:vMerge w:val="restart"/>
                  <w:tcBorders>
                    <w:tl2br w:val="nil"/>
                    <w:tr2bl w:val="nil"/>
                  </w:tcBorders>
                  <w:vAlign w:val="center"/>
                </w:tcPr>
                <w:p w14:paraId="4F7FBC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标准名称及级（类）别</w:t>
                  </w:r>
                </w:p>
              </w:tc>
              <w:tc>
                <w:tcPr>
                  <w:tcW w:w="1058" w:type="pct"/>
                  <w:vMerge w:val="restart"/>
                  <w:tcBorders>
                    <w:tl2br w:val="nil"/>
                    <w:tr2bl w:val="nil"/>
                  </w:tcBorders>
                  <w:vAlign w:val="center"/>
                </w:tcPr>
                <w:p w14:paraId="40A5FF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污染因子</w:t>
                  </w:r>
                </w:p>
              </w:tc>
              <w:tc>
                <w:tcPr>
                  <w:tcW w:w="1782" w:type="pct"/>
                  <w:gridSpan w:val="2"/>
                  <w:tcBorders>
                    <w:tl2br w:val="nil"/>
                    <w:tr2bl w:val="nil"/>
                  </w:tcBorders>
                  <w:vAlign w:val="center"/>
                </w:tcPr>
                <w:p w14:paraId="2C9397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标准值</w:t>
                  </w:r>
                </w:p>
              </w:tc>
            </w:tr>
            <w:tr w14:paraId="78F70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cantSplit/>
                <w:trHeight w:val="138" w:hRule="atLeast"/>
              </w:trPr>
              <w:tc>
                <w:tcPr>
                  <w:tcW w:w="396" w:type="pct"/>
                  <w:vMerge w:val="continue"/>
                  <w:tcBorders>
                    <w:tl2br w:val="nil"/>
                    <w:tr2bl w:val="nil"/>
                  </w:tcBorders>
                  <w:vAlign w:val="center"/>
                </w:tcPr>
                <w:p w14:paraId="56D136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
                      <w:bCs/>
                      <w:color w:val="auto"/>
                      <w:szCs w:val="21"/>
                      <w:highlight w:val="none"/>
                    </w:rPr>
                  </w:pPr>
                </w:p>
              </w:tc>
              <w:tc>
                <w:tcPr>
                  <w:tcW w:w="1762" w:type="pct"/>
                  <w:vMerge w:val="continue"/>
                  <w:tcBorders>
                    <w:tl2br w:val="nil"/>
                    <w:tr2bl w:val="nil"/>
                  </w:tcBorders>
                  <w:vAlign w:val="center"/>
                </w:tcPr>
                <w:p w14:paraId="25E126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
                      <w:bCs/>
                      <w:color w:val="auto"/>
                      <w:szCs w:val="21"/>
                      <w:highlight w:val="none"/>
                    </w:rPr>
                  </w:pPr>
                </w:p>
              </w:tc>
              <w:tc>
                <w:tcPr>
                  <w:tcW w:w="1058" w:type="pct"/>
                  <w:vMerge w:val="continue"/>
                  <w:tcBorders>
                    <w:tl2br w:val="nil"/>
                    <w:tr2bl w:val="nil"/>
                  </w:tcBorders>
                  <w:vAlign w:val="center"/>
                </w:tcPr>
                <w:p w14:paraId="535175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
                      <w:bCs/>
                      <w:color w:val="auto"/>
                      <w:szCs w:val="21"/>
                      <w:highlight w:val="none"/>
                    </w:rPr>
                  </w:pPr>
                </w:p>
              </w:tc>
              <w:tc>
                <w:tcPr>
                  <w:tcW w:w="926" w:type="pct"/>
                  <w:tcBorders>
                    <w:tl2br w:val="nil"/>
                    <w:tr2bl w:val="nil"/>
                  </w:tcBorders>
                  <w:vAlign w:val="center"/>
                </w:tcPr>
                <w:p w14:paraId="711C9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单位</w:t>
                  </w:r>
                </w:p>
              </w:tc>
              <w:tc>
                <w:tcPr>
                  <w:tcW w:w="855" w:type="pct"/>
                  <w:tcBorders>
                    <w:tl2br w:val="nil"/>
                    <w:tr2bl w:val="nil"/>
                  </w:tcBorders>
                  <w:vAlign w:val="center"/>
                </w:tcPr>
                <w:p w14:paraId="715AFA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数值</w:t>
                  </w:r>
                </w:p>
              </w:tc>
            </w:tr>
            <w:tr w14:paraId="674C9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cantSplit/>
                <w:trHeight w:val="379" w:hRule="atLeast"/>
              </w:trPr>
              <w:tc>
                <w:tcPr>
                  <w:tcW w:w="396" w:type="pct"/>
                  <w:vMerge w:val="restart"/>
                  <w:tcBorders>
                    <w:tl2br w:val="nil"/>
                    <w:tr2bl w:val="nil"/>
                  </w:tcBorders>
                  <w:vAlign w:val="center"/>
                </w:tcPr>
                <w:p w14:paraId="1B5FD1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废气</w:t>
                  </w:r>
                </w:p>
              </w:tc>
              <w:tc>
                <w:tcPr>
                  <w:tcW w:w="1762" w:type="pct"/>
                  <w:vMerge w:val="restart"/>
                  <w:tcBorders>
                    <w:tl2br w:val="nil"/>
                    <w:tr2bl w:val="nil"/>
                  </w:tcBorders>
                  <w:vAlign w:val="center"/>
                </w:tcPr>
                <w:p w14:paraId="3C61A8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rPr>
                  </w:pPr>
                  <w:r>
                    <w:rPr>
                      <w:rFonts w:hint="eastAsia"/>
                      <w:color w:val="auto"/>
                      <w:sz w:val="21"/>
                      <w:szCs w:val="21"/>
                      <w:highlight w:val="none"/>
                    </w:rPr>
                    <w:t>执行</w:t>
                  </w:r>
                  <w:r>
                    <w:rPr>
                      <w:rFonts w:hint="eastAsia" w:ascii="Times New Roman" w:hAnsi="Times New Roman" w:eastAsia="宋体" w:cs="Times New Roman"/>
                      <w:color w:val="auto"/>
                      <w:sz w:val="21"/>
                      <w:szCs w:val="21"/>
                      <w:highlight w:val="none"/>
                    </w:rPr>
                    <w:t>《大气污染物综合排放标准》（GB</w:t>
                  </w:r>
                  <w:r>
                    <w:rPr>
                      <w:rFonts w:ascii="Times New Roman" w:hAnsi="Times New Roman" w:eastAsia="宋体" w:cs="Times New Roman"/>
                      <w:color w:val="auto"/>
                      <w:sz w:val="21"/>
                      <w:szCs w:val="21"/>
                      <w:highlight w:val="none"/>
                    </w:rPr>
                    <w:t>16297-1996</w:t>
                  </w:r>
                  <w:r>
                    <w:rPr>
                      <w:rFonts w:hint="eastAsia" w:ascii="Times New Roman" w:hAnsi="Times New Roman" w:eastAsia="宋体" w:cs="Times New Roman"/>
                      <w:color w:val="auto"/>
                      <w:sz w:val="21"/>
                      <w:szCs w:val="21"/>
                      <w:highlight w:val="none"/>
                    </w:rPr>
                    <w:t>）表2中二级标准</w:t>
                  </w:r>
                </w:p>
              </w:tc>
              <w:tc>
                <w:tcPr>
                  <w:tcW w:w="1058" w:type="pct"/>
                  <w:vMerge w:val="restart"/>
                  <w:tcBorders>
                    <w:tl2br w:val="nil"/>
                    <w:tr2bl w:val="nil"/>
                  </w:tcBorders>
                  <w:vAlign w:val="center"/>
                </w:tcPr>
                <w:p w14:paraId="2EFA29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有组织颗粒物</w:t>
                  </w:r>
                </w:p>
                <w:p w14:paraId="6DAA3D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rPr>
                  </w:pPr>
                  <w:r>
                    <w:rPr>
                      <w:rFonts w:hint="eastAsia" w:cs="Times New Roman"/>
                      <w:color w:val="auto"/>
                      <w:szCs w:val="21"/>
                      <w:highlight w:val="none"/>
                      <w:lang w:val="en-US" w:eastAsia="zh-CN"/>
                    </w:rPr>
                    <w:t>（#1排口高15米，内径0.5米）</w:t>
                  </w:r>
                </w:p>
              </w:tc>
              <w:tc>
                <w:tcPr>
                  <w:tcW w:w="926" w:type="pct"/>
                  <w:tcBorders>
                    <w:tl2br w:val="nil"/>
                    <w:tr2bl w:val="nil"/>
                  </w:tcBorders>
                  <w:vAlign w:val="center"/>
                </w:tcPr>
                <w:p w14:paraId="3D2241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mg/m</w:t>
                  </w:r>
                  <w:r>
                    <w:rPr>
                      <w:rFonts w:ascii="Times New Roman" w:hAnsi="Times New Roman" w:eastAsia="宋体" w:cs="Times New Roman"/>
                      <w:color w:val="auto"/>
                      <w:szCs w:val="21"/>
                      <w:highlight w:val="none"/>
                      <w:vertAlign w:val="superscript"/>
                    </w:rPr>
                    <w:t>3</w:t>
                  </w:r>
                </w:p>
              </w:tc>
              <w:tc>
                <w:tcPr>
                  <w:tcW w:w="855" w:type="pct"/>
                  <w:tcBorders>
                    <w:tl2br w:val="nil"/>
                    <w:tr2bl w:val="nil"/>
                  </w:tcBorders>
                  <w:vAlign w:val="center"/>
                </w:tcPr>
                <w:p w14:paraId="02A157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szCs w:val="21"/>
                      <w:highlight w:val="none"/>
                    </w:rPr>
                  </w:pPr>
                  <w:r>
                    <w:rPr>
                      <w:rFonts w:hint="eastAsia" w:cs="Times New Roman"/>
                      <w:color w:val="auto"/>
                      <w:szCs w:val="21"/>
                      <w:highlight w:val="none"/>
                      <w:lang w:val="en-US" w:eastAsia="zh-CN"/>
                    </w:rPr>
                    <w:t>120</w:t>
                  </w:r>
                </w:p>
              </w:tc>
            </w:tr>
            <w:tr w14:paraId="43691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cantSplit/>
                <w:trHeight w:val="138" w:hRule="atLeast"/>
              </w:trPr>
              <w:tc>
                <w:tcPr>
                  <w:tcW w:w="396" w:type="pct"/>
                  <w:vMerge w:val="continue"/>
                  <w:tcBorders>
                    <w:tl2br w:val="nil"/>
                    <w:tr2bl w:val="nil"/>
                  </w:tcBorders>
                  <w:vAlign w:val="center"/>
                </w:tcPr>
                <w:p w14:paraId="18BB59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szCs w:val="21"/>
                      <w:highlight w:val="none"/>
                    </w:rPr>
                  </w:pPr>
                </w:p>
              </w:tc>
              <w:tc>
                <w:tcPr>
                  <w:tcW w:w="1762" w:type="pct"/>
                  <w:vMerge w:val="continue"/>
                  <w:tcBorders>
                    <w:tl2br w:val="nil"/>
                    <w:tr2bl w:val="nil"/>
                  </w:tcBorders>
                  <w:vAlign w:val="center"/>
                </w:tcPr>
                <w:p w14:paraId="264330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rPr>
                  </w:pPr>
                </w:p>
              </w:tc>
              <w:tc>
                <w:tcPr>
                  <w:tcW w:w="1058" w:type="pct"/>
                  <w:vMerge w:val="continue"/>
                  <w:tcBorders>
                    <w:tl2br w:val="nil"/>
                    <w:tr2bl w:val="nil"/>
                  </w:tcBorders>
                  <w:vAlign w:val="center"/>
                </w:tcPr>
                <w:p w14:paraId="607D77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rPr>
                  </w:pPr>
                </w:p>
              </w:tc>
              <w:tc>
                <w:tcPr>
                  <w:tcW w:w="926" w:type="pct"/>
                  <w:tcBorders>
                    <w:tl2br w:val="nil"/>
                    <w:tr2bl w:val="nil"/>
                  </w:tcBorders>
                  <w:vAlign w:val="center"/>
                </w:tcPr>
                <w:p w14:paraId="2D79E6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szCs w:val="21"/>
                      <w:highlight w:val="none"/>
                    </w:rPr>
                  </w:pPr>
                  <w:r>
                    <w:rPr>
                      <w:rFonts w:hint="eastAsia" w:cs="Times New Roman"/>
                      <w:color w:val="auto"/>
                      <w:szCs w:val="21"/>
                      <w:highlight w:val="none"/>
                      <w:lang w:val="en-US" w:eastAsia="zh-CN"/>
                    </w:rPr>
                    <w:t>kg/h</w:t>
                  </w:r>
                </w:p>
              </w:tc>
              <w:tc>
                <w:tcPr>
                  <w:tcW w:w="855" w:type="pct"/>
                  <w:tcBorders>
                    <w:tl2br w:val="nil"/>
                    <w:tr2bl w:val="nil"/>
                  </w:tcBorders>
                  <w:vAlign w:val="center"/>
                </w:tcPr>
                <w:p w14:paraId="7FBFDE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szCs w:val="21"/>
                      <w:highlight w:val="none"/>
                    </w:rPr>
                  </w:pPr>
                  <w:r>
                    <w:rPr>
                      <w:rFonts w:hint="eastAsia" w:cs="Times New Roman"/>
                      <w:color w:val="auto"/>
                      <w:szCs w:val="21"/>
                      <w:highlight w:val="none"/>
                      <w:lang w:val="en-US" w:eastAsia="zh-CN"/>
                    </w:rPr>
                    <w:t>3.5</w:t>
                  </w:r>
                </w:p>
              </w:tc>
            </w:tr>
            <w:tr w14:paraId="5276E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cantSplit/>
                <w:trHeight w:val="417" w:hRule="atLeast"/>
              </w:trPr>
              <w:tc>
                <w:tcPr>
                  <w:tcW w:w="396" w:type="pct"/>
                  <w:vMerge w:val="continue"/>
                  <w:tcBorders>
                    <w:tl2br w:val="nil"/>
                    <w:tr2bl w:val="nil"/>
                  </w:tcBorders>
                  <w:vAlign w:val="center"/>
                </w:tcPr>
                <w:p w14:paraId="0AAA7C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szCs w:val="21"/>
                      <w:highlight w:val="none"/>
                    </w:rPr>
                  </w:pPr>
                </w:p>
              </w:tc>
              <w:tc>
                <w:tcPr>
                  <w:tcW w:w="1762" w:type="pct"/>
                  <w:tcBorders>
                    <w:tl2br w:val="nil"/>
                    <w:tr2bl w:val="nil"/>
                  </w:tcBorders>
                  <w:vAlign w:val="center"/>
                </w:tcPr>
                <w:p w14:paraId="33B136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szCs w:val="21"/>
                      <w:highlight w:val="none"/>
                    </w:rPr>
                  </w:pPr>
                  <w:r>
                    <w:rPr>
                      <w:rFonts w:hint="eastAsia"/>
                      <w:color w:val="auto"/>
                      <w:highlight w:val="none"/>
                    </w:rPr>
                    <w:t>《大气污染物综合排放标准》（GB 16297-1996）</w:t>
                  </w:r>
                  <w:r>
                    <w:rPr>
                      <w:rFonts w:hint="eastAsia"/>
                      <w:color w:val="auto"/>
                      <w:highlight w:val="none"/>
                      <w:lang w:eastAsia="zh-CN"/>
                    </w:rPr>
                    <w:t>，</w:t>
                  </w:r>
                  <w:r>
                    <w:rPr>
                      <w:rFonts w:hint="eastAsia"/>
                      <w:color w:val="auto"/>
                      <w:highlight w:val="none"/>
                    </w:rPr>
                    <w:t>颗粒物无组织排放监控浓度限值</w:t>
                  </w:r>
                </w:p>
              </w:tc>
              <w:tc>
                <w:tcPr>
                  <w:tcW w:w="1058" w:type="pct"/>
                  <w:tcBorders>
                    <w:tl2br w:val="nil"/>
                    <w:tr2bl w:val="nil"/>
                  </w:tcBorders>
                  <w:vAlign w:val="center"/>
                </w:tcPr>
                <w:p w14:paraId="12488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厂界无组织颗粒物</w:t>
                  </w:r>
                </w:p>
              </w:tc>
              <w:tc>
                <w:tcPr>
                  <w:tcW w:w="926" w:type="pct"/>
                  <w:tcBorders>
                    <w:tl2br w:val="nil"/>
                    <w:tr2bl w:val="nil"/>
                  </w:tcBorders>
                  <w:vAlign w:val="center"/>
                </w:tcPr>
                <w:p w14:paraId="20603A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mg/m</w:t>
                  </w:r>
                  <w:r>
                    <w:rPr>
                      <w:rFonts w:ascii="Times New Roman" w:hAnsi="Times New Roman" w:eastAsia="宋体" w:cs="Times New Roman"/>
                      <w:color w:val="auto"/>
                      <w:szCs w:val="21"/>
                      <w:highlight w:val="none"/>
                      <w:vertAlign w:val="superscript"/>
                    </w:rPr>
                    <w:t>3</w:t>
                  </w:r>
                </w:p>
              </w:tc>
              <w:tc>
                <w:tcPr>
                  <w:tcW w:w="855" w:type="pct"/>
                  <w:tcBorders>
                    <w:tl2br w:val="nil"/>
                    <w:tr2bl w:val="nil"/>
                  </w:tcBorders>
                  <w:vAlign w:val="center"/>
                </w:tcPr>
                <w:p w14:paraId="0A1241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r>
                    <w:rPr>
                      <w:rFonts w:ascii="Times New Roman" w:hAnsi="Times New Roman" w:eastAsia="宋体" w:cs="Times New Roman"/>
                      <w:color w:val="auto"/>
                      <w:szCs w:val="21"/>
                      <w:highlight w:val="none"/>
                    </w:rPr>
                    <w:t>.0</w:t>
                  </w:r>
                </w:p>
              </w:tc>
            </w:tr>
          </w:tbl>
          <w:p w14:paraId="34203473">
            <w:pPr>
              <w:keepNext w:val="0"/>
              <w:keepLines w:val="0"/>
              <w:pageBreakBefore w:val="0"/>
              <w:widowControl w:val="0"/>
              <w:kinsoku/>
              <w:wordWrap/>
              <w:overflowPunct/>
              <w:topLinePunct w:val="0"/>
              <w:autoSpaceDE/>
              <w:autoSpaceDN/>
              <w:bidi w:val="0"/>
              <w:adjustRightInd w:val="0"/>
              <w:snapToGrid w:val="0"/>
              <w:spacing w:line="440" w:lineRule="exact"/>
              <w:ind w:firstLine="480"/>
              <w:textAlignment w:val="auto"/>
              <w:rPr>
                <w:rFonts w:hint="default"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2</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运营</w:t>
            </w:r>
            <w:r>
              <w:rPr>
                <w:rFonts w:hint="default" w:ascii="Times New Roman" w:hAnsi="Times New Roman" w:cs="Times New Roman"/>
                <w:color w:val="auto"/>
                <w:sz w:val="24"/>
                <w:highlight w:val="none"/>
                <w:lang w:bidi="ar"/>
              </w:rPr>
              <w:t>期废气NH</w:t>
            </w:r>
            <w:r>
              <w:rPr>
                <w:rFonts w:hint="default" w:ascii="Times New Roman" w:hAnsi="Times New Roman" w:cs="Times New Roman"/>
                <w:color w:val="auto"/>
                <w:sz w:val="24"/>
                <w:highlight w:val="none"/>
                <w:vertAlign w:val="subscript"/>
                <w:lang w:bidi="ar"/>
              </w:rPr>
              <w:t>3</w:t>
            </w:r>
            <w:r>
              <w:rPr>
                <w:rFonts w:hint="default" w:ascii="Times New Roman" w:hAnsi="Times New Roman" w:cs="Times New Roman"/>
                <w:color w:val="auto"/>
                <w:sz w:val="24"/>
                <w:highlight w:val="none"/>
                <w:lang w:bidi="ar"/>
              </w:rPr>
              <w:t>、H</w:t>
            </w:r>
            <w:r>
              <w:rPr>
                <w:rFonts w:hint="default" w:ascii="Times New Roman" w:hAnsi="Times New Roman" w:cs="Times New Roman"/>
                <w:color w:val="auto"/>
                <w:sz w:val="24"/>
                <w:highlight w:val="none"/>
                <w:vertAlign w:val="subscript"/>
                <w:lang w:bidi="ar"/>
              </w:rPr>
              <w:t>2</w:t>
            </w:r>
            <w:r>
              <w:rPr>
                <w:rFonts w:hint="default" w:ascii="Times New Roman" w:hAnsi="Times New Roman" w:cs="Times New Roman"/>
                <w:color w:val="auto"/>
                <w:sz w:val="24"/>
                <w:highlight w:val="none"/>
                <w:lang w:bidi="ar"/>
              </w:rPr>
              <w:t>S、臭气浓度执行《恶臭污染物排放标准》（GB14554-93）中规定的浓度；</w:t>
            </w:r>
          </w:p>
          <w:p w14:paraId="3B6026F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表3-</w:t>
            </w:r>
            <w:r>
              <w:rPr>
                <w:rFonts w:hint="eastAsia" w:cs="Times New Roman"/>
                <w:b/>
                <w:color w:val="auto"/>
                <w:sz w:val="24"/>
                <w:szCs w:val="24"/>
                <w:highlight w:val="none"/>
                <w:lang w:val="en-US" w:eastAsia="zh-CN"/>
              </w:rPr>
              <w:t>5</w:t>
            </w:r>
            <w:r>
              <w:rPr>
                <w:rFonts w:hint="default" w:ascii="Times New Roman" w:hAnsi="Times New Roman" w:cs="Times New Roman"/>
                <w:b/>
                <w:color w:val="auto"/>
                <w:sz w:val="24"/>
                <w:szCs w:val="24"/>
                <w:highlight w:val="none"/>
              </w:rPr>
              <w:t xml:space="preserve">  本项目运营期</w:t>
            </w:r>
            <w:r>
              <w:rPr>
                <w:rFonts w:hint="eastAsia" w:cs="Times New Roman"/>
                <w:b/>
                <w:color w:val="auto"/>
                <w:sz w:val="24"/>
                <w:szCs w:val="24"/>
                <w:highlight w:val="none"/>
                <w:lang w:val="en-US" w:eastAsia="zh-CN"/>
              </w:rPr>
              <w:t>臭气</w:t>
            </w:r>
            <w:r>
              <w:rPr>
                <w:rFonts w:hint="default" w:ascii="Times New Roman" w:hAnsi="Times New Roman" w:cs="Times New Roman"/>
                <w:b/>
                <w:color w:val="auto"/>
                <w:sz w:val="24"/>
                <w:szCs w:val="24"/>
                <w:highlight w:val="none"/>
              </w:rPr>
              <w:t>排放执行标准</w:t>
            </w:r>
          </w:p>
          <w:tbl>
            <w:tblPr>
              <w:tblStyle w:val="32"/>
              <w:tblW w:w="49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650"/>
              <w:gridCol w:w="1485"/>
              <w:gridCol w:w="916"/>
              <w:gridCol w:w="1490"/>
              <w:gridCol w:w="1983"/>
            </w:tblGrid>
            <w:tr w14:paraId="54762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65" w:type="pct"/>
                  <w:vMerge w:val="restart"/>
                  <w:tcBorders>
                    <w:tl2br w:val="nil"/>
                    <w:tr2bl w:val="nil"/>
                  </w:tcBorders>
                  <w:noWrap w:val="0"/>
                  <w:vAlign w:val="center"/>
                </w:tcPr>
                <w:p w14:paraId="4EEF5FEA">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847" w:type="pct"/>
                  <w:gridSpan w:val="2"/>
                  <w:tcBorders>
                    <w:tl2br w:val="nil"/>
                    <w:tr2bl w:val="nil"/>
                  </w:tcBorders>
                  <w:noWrap w:val="0"/>
                  <w:vAlign w:val="center"/>
                </w:tcPr>
                <w:p w14:paraId="4D4466CE">
                  <w:pPr>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有组织排放浓度限值</w:t>
                  </w:r>
                </w:p>
              </w:tc>
              <w:tc>
                <w:tcPr>
                  <w:tcW w:w="1417" w:type="pct"/>
                  <w:gridSpan w:val="2"/>
                  <w:tcBorders>
                    <w:tl2br w:val="nil"/>
                    <w:tr2bl w:val="nil"/>
                  </w:tcBorders>
                  <w:noWrap w:val="0"/>
                  <w:vAlign w:val="center"/>
                </w:tcPr>
                <w:p w14:paraId="37819F66">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无组织排放</w:t>
                  </w:r>
                  <w:r>
                    <w:rPr>
                      <w:rFonts w:hint="default" w:ascii="Times New Roman" w:hAnsi="Times New Roman" w:cs="Times New Roman"/>
                      <w:b/>
                      <w:bCs/>
                      <w:color w:val="auto"/>
                      <w:sz w:val="21"/>
                      <w:szCs w:val="21"/>
                      <w:highlight w:val="none"/>
                    </w:rPr>
                    <w:cr/>
                  </w:r>
                  <w:r>
                    <w:rPr>
                      <w:rFonts w:hint="default" w:ascii="Times New Roman" w:hAnsi="Times New Roman" w:cs="Times New Roman"/>
                      <w:b/>
                      <w:bCs/>
                      <w:color w:val="auto"/>
                      <w:sz w:val="21"/>
                      <w:szCs w:val="21"/>
                      <w:highlight w:val="none"/>
                    </w:rPr>
                    <w:t>控浓度限值</w:t>
                  </w:r>
                </w:p>
              </w:tc>
              <w:tc>
                <w:tcPr>
                  <w:tcW w:w="1168" w:type="pct"/>
                  <w:vMerge w:val="restart"/>
                  <w:tcBorders>
                    <w:tl2br w:val="nil"/>
                    <w:tr2bl w:val="nil"/>
                  </w:tcBorders>
                  <w:noWrap w:val="0"/>
                  <w:vAlign w:val="center"/>
                </w:tcPr>
                <w:p w14:paraId="1FB61C7C">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执行标准</w:t>
                  </w:r>
                </w:p>
              </w:tc>
            </w:tr>
            <w:tr w14:paraId="44C25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65" w:type="pct"/>
                  <w:vMerge w:val="continue"/>
                  <w:tcBorders>
                    <w:tl2br w:val="nil"/>
                    <w:tr2bl w:val="nil"/>
                  </w:tcBorders>
                  <w:noWrap w:val="0"/>
                  <w:vAlign w:val="center"/>
                </w:tcPr>
                <w:p w14:paraId="2B934927">
                  <w:pPr>
                    <w:jc w:val="center"/>
                    <w:rPr>
                      <w:rFonts w:hint="default" w:ascii="Times New Roman" w:hAnsi="Times New Roman" w:cs="Times New Roman"/>
                      <w:b/>
                      <w:bCs/>
                      <w:color w:val="auto"/>
                      <w:sz w:val="21"/>
                      <w:szCs w:val="21"/>
                      <w:highlight w:val="none"/>
                    </w:rPr>
                  </w:pPr>
                </w:p>
              </w:tc>
              <w:tc>
                <w:tcPr>
                  <w:tcW w:w="972" w:type="pct"/>
                  <w:tcBorders>
                    <w:tl2br w:val="nil"/>
                    <w:tr2bl w:val="nil"/>
                  </w:tcBorders>
                  <w:noWrap w:val="0"/>
                  <w:vAlign w:val="center"/>
                </w:tcPr>
                <w:p w14:paraId="4FB07F52">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监控点</w:t>
                  </w:r>
                </w:p>
              </w:tc>
              <w:tc>
                <w:tcPr>
                  <w:tcW w:w="875" w:type="pct"/>
                  <w:tcBorders>
                    <w:tl2br w:val="nil"/>
                    <w:tr2bl w:val="nil"/>
                  </w:tcBorders>
                  <w:noWrap w:val="0"/>
                  <w:vAlign w:val="center"/>
                </w:tcPr>
                <w:p w14:paraId="5F8E5C86">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r>
                    <w:rPr>
                      <w:rFonts w:hint="eastAsia" w:ascii="Times New Roman" w:hAnsi="Times New Roman" w:cs="Times New Roman"/>
                      <w:b/>
                      <w:bCs/>
                      <w:color w:val="auto"/>
                      <w:sz w:val="21"/>
                      <w:szCs w:val="21"/>
                      <w:highlight w:val="none"/>
                      <w:lang w:val="en-US" w:eastAsia="zh-CN"/>
                    </w:rPr>
                    <w:t>kg/h</w:t>
                  </w:r>
                  <w:r>
                    <w:rPr>
                      <w:rFonts w:hint="default" w:ascii="Times New Roman" w:hAnsi="Times New Roman" w:cs="Times New Roman"/>
                      <w:b/>
                      <w:bCs/>
                      <w:color w:val="auto"/>
                      <w:sz w:val="21"/>
                      <w:szCs w:val="21"/>
                      <w:highlight w:val="none"/>
                    </w:rPr>
                    <w:t>）</w:t>
                  </w:r>
                </w:p>
              </w:tc>
              <w:tc>
                <w:tcPr>
                  <w:tcW w:w="539" w:type="pct"/>
                  <w:tcBorders>
                    <w:tl2br w:val="nil"/>
                    <w:tr2bl w:val="nil"/>
                  </w:tcBorders>
                  <w:noWrap w:val="0"/>
                  <w:vAlign w:val="center"/>
                </w:tcPr>
                <w:p w14:paraId="78D2DB2C">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监控点</w:t>
                  </w:r>
                </w:p>
              </w:tc>
              <w:tc>
                <w:tcPr>
                  <w:tcW w:w="878" w:type="pct"/>
                  <w:tcBorders>
                    <w:tl2br w:val="nil"/>
                    <w:tr2bl w:val="nil"/>
                  </w:tcBorders>
                  <w:noWrap w:val="0"/>
                  <w:vAlign w:val="center"/>
                </w:tcPr>
                <w:p w14:paraId="7457C316">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1168" w:type="pct"/>
                  <w:vMerge w:val="continue"/>
                  <w:tcBorders>
                    <w:tl2br w:val="nil"/>
                    <w:tr2bl w:val="nil"/>
                  </w:tcBorders>
                  <w:noWrap w:val="0"/>
                  <w:vAlign w:val="center"/>
                </w:tcPr>
                <w:p w14:paraId="7EDF4743">
                  <w:pPr>
                    <w:jc w:val="center"/>
                    <w:rPr>
                      <w:rFonts w:hint="default" w:ascii="Times New Roman" w:hAnsi="Times New Roman" w:cs="Times New Roman"/>
                      <w:b/>
                      <w:bCs/>
                      <w:color w:val="auto"/>
                      <w:sz w:val="21"/>
                      <w:szCs w:val="21"/>
                      <w:highlight w:val="none"/>
                    </w:rPr>
                  </w:pPr>
                </w:p>
              </w:tc>
            </w:tr>
            <w:tr w14:paraId="334B4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65" w:type="pct"/>
                  <w:tcBorders>
                    <w:tl2br w:val="nil"/>
                    <w:tr2bl w:val="nil"/>
                  </w:tcBorders>
                  <w:noWrap w:val="0"/>
                  <w:vAlign w:val="center"/>
                </w:tcPr>
                <w:p w14:paraId="514D8584">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臭气浓度</w:t>
                  </w:r>
                </w:p>
              </w:tc>
              <w:tc>
                <w:tcPr>
                  <w:tcW w:w="972" w:type="pct"/>
                  <w:vMerge w:val="restart"/>
                  <w:tcBorders>
                    <w:tl2br w:val="nil"/>
                    <w:tr2bl w:val="nil"/>
                  </w:tcBorders>
                  <w:noWrap w:val="0"/>
                  <w:vAlign w:val="center"/>
                </w:tcPr>
                <w:p w14:paraId="42065E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color w:val="auto"/>
                      <w:sz w:val="21"/>
                      <w:szCs w:val="21"/>
                      <w:highlight w:val="none"/>
                    </w:rPr>
                  </w:pPr>
                  <w:r>
                    <w:rPr>
                      <w:rFonts w:hint="eastAsia" w:cs="Times New Roman"/>
                      <w:color w:val="auto"/>
                      <w:szCs w:val="21"/>
                      <w:highlight w:val="none"/>
                      <w:lang w:val="en-US" w:eastAsia="zh-CN"/>
                    </w:rPr>
                    <w:t>有组织排气筒（#2排口高15米，内径0.5米）</w:t>
                  </w:r>
                </w:p>
              </w:tc>
              <w:tc>
                <w:tcPr>
                  <w:tcW w:w="875" w:type="pct"/>
                  <w:tcBorders>
                    <w:tl2br w:val="nil"/>
                    <w:tr2bl w:val="nil"/>
                  </w:tcBorders>
                  <w:noWrap w:val="0"/>
                  <w:vAlign w:val="center"/>
                </w:tcPr>
                <w:p w14:paraId="64C74C05">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2000（无量纲）</w:t>
                  </w:r>
                </w:p>
              </w:tc>
              <w:tc>
                <w:tcPr>
                  <w:tcW w:w="539" w:type="pct"/>
                  <w:vMerge w:val="restart"/>
                  <w:tcBorders>
                    <w:tl2br w:val="nil"/>
                    <w:tr2bl w:val="nil"/>
                  </w:tcBorders>
                  <w:noWrap w:val="0"/>
                  <w:vAlign w:val="center"/>
                </w:tcPr>
                <w:p w14:paraId="723FB6F9">
                  <w:pPr>
                    <w:jc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周界</w:t>
                  </w:r>
                  <w:r>
                    <w:rPr>
                      <w:rFonts w:hint="eastAsia" w:cs="Times New Roman"/>
                      <w:bCs/>
                      <w:color w:val="auto"/>
                      <w:sz w:val="21"/>
                      <w:szCs w:val="21"/>
                      <w:highlight w:val="none"/>
                      <w:lang w:val="en-US" w:eastAsia="zh-CN"/>
                    </w:rPr>
                    <w:t>四周</w:t>
                  </w:r>
                </w:p>
              </w:tc>
              <w:tc>
                <w:tcPr>
                  <w:tcW w:w="878" w:type="pct"/>
                  <w:tcBorders>
                    <w:tl2br w:val="nil"/>
                    <w:tr2bl w:val="nil"/>
                  </w:tcBorders>
                  <w:noWrap w:val="0"/>
                  <w:vAlign w:val="center"/>
                </w:tcPr>
                <w:p w14:paraId="4BB70103">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20（无量纲）</w:t>
                  </w:r>
                </w:p>
              </w:tc>
              <w:tc>
                <w:tcPr>
                  <w:tcW w:w="1168" w:type="pct"/>
                  <w:vMerge w:val="restart"/>
                  <w:tcBorders>
                    <w:tl2br w:val="nil"/>
                    <w:tr2bl w:val="nil"/>
                  </w:tcBorders>
                  <w:noWrap w:val="0"/>
                  <w:vAlign w:val="center"/>
                </w:tcPr>
                <w:p w14:paraId="4B8E86A6">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《恶臭污染物排放标准》（GB14554-93）</w:t>
                  </w:r>
                  <w:r>
                    <w:rPr>
                      <w:rFonts w:hint="eastAsia" w:cs="Times New Roman"/>
                      <w:bCs/>
                      <w:color w:val="auto"/>
                      <w:sz w:val="21"/>
                      <w:szCs w:val="21"/>
                      <w:highlight w:val="none"/>
                      <w:lang w:val="en-US" w:eastAsia="zh-CN"/>
                    </w:rPr>
                    <w:t>二级标准</w:t>
                  </w:r>
                </w:p>
              </w:tc>
            </w:tr>
            <w:tr w14:paraId="0EF26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tcBorders>
                    <w:tl2br w:val="nil"/>
                    <w:tr2bl w:val="nil"/>
                  </w:tcBorders>
                  <w:noWrap w:val="0"/>
                  <w:vAlign w:val="center"/>
                </w:tcPr>
                <w:p w14:paraId="6E3BC627">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NH</w:t>
                  </w:r>
                  <w:r>
                    <w:rPr>
                      <w:rFonts w:hint="default" w:ascii="Times New Roman" w:hAnsi="Times New Roman" w:cs="Times New Roman"/>
                      <w:bCs/>
                      <w:color w:val="auto"/>
                      <w:sz w:val="21"/>
                      <w:szCs w:val="21"/>
                      <w:highlight w:val="none"/>
                      <w:vertAlign w:val="subscript"/>
                    </w:rPr>
                    <w:t>3</w:t>
                  </w:r>
                </w:p>
              </w:tc>
              <w:tc>
                <w:tcPr>
                  <w:tcW w:w="972" w:type="pct"/>
                  <w:vMerge w:val="continue"/>
                  <w:tcBorders>
                    <w:tl2br w:val="nil"/>
                    <w:tr2bl w:val="nil"/>
                  </w:tcBorders>
                  <w:noWrap w:val="0"/>
                  <w:vAlign w:val="center"/>
                </w:tcPr>
                <w:p w14:paraId="48259E68">
                  <w:pPr>
                    <w:jc w:val="center"/>
                    <w:rPr>
                      <w:rFonts w:hint="default" w:ascii="Times New Roman" w:hAnsi="Times New Roman" w:cs="Times New Roman"/>
                      <w:bCs/>
                      <w:color w:val="auto"/>
                      <w:sz w:val="21"/>
                      <w:szCs w:val="21"/>
                      <w:highlight w:val="none"/>
                    </w:rPr>
                  </w:pPr>
                </w:p>
              </w:tc>
              <w:tc>
                <w:tcPr>
                  <w:tcW w:w="875" w:type="pct"/>
                  <w:tcBorders>
                    <w:tl2br w:val="nil"/>
                    <w:tr2bl w:val="nil"/>
                  </w:tcBorders>
                  <w:noWrap w:val="0"/>
                  <w:vAlign w:val="center"/>
                </w:tcPr>
                <w:p w14:paraId="0E474854">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4.9</w:t>
                  </w:r>
                </w:p>
              </w:tc>
              <w:tc>
                <w:tcPr>
                  <w:tcW w:w="539" w:type="pct"/>
                  <w:vMerge w:val="continue"/>
                  <w:tcBorders>
                    <w:tl2br w:val="nil"/>
                    <w:tr2bl w:val="nil"/>
                  </w:tcBorders>
                  <w:noWrap w:val="0"/>
                  <w:vAlign w:val="center"/>
                </w:tcPr>
                <w:p w14:paraId="3811370A">
                  <w:pPr>
                    <w:jc w:val="center"/>
                    <w:rPr>
                      <w:rFonts w:hint="default" w:ascii="Times New Roman" w:hAnsi="Times New Roman" w:cs="Times New Roman"/>
                      <w:bCs/>
                      <w:color w:val="auto"/>
                      <w:sz w:val="21"/>
                      <w:szCs w:val="21"/>
                      <w:highlight w:val="none"/>
                    </w:rPr>
                  </w:pPr>
                </w:p>
              </w:tc>
              <w:tc>
                <w:tcPr>
                  <w:tcW w:w="878" w:type="pct"/>
                  <w:tcBorders>
                    <w:tl2br w:val="nil"/>
                    <w:tr2bl w:val="nil"/>
                  </w:tcBorders>
                  <w:noWrap w:val="0"/>
                  <w:vAlign w:val="center"/>
                </w:tcPr>
                <w:p w14:paraId="4FB23D3E">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1168" w:type="pct"/>
                  <w:vMerge w:val="continue"/>
                  <w:tcBorders>
                    <w:tl2br w:val="nil"/>
                    <w:tr2bl w:val="nil"/>
                  </w:tcBorders>
                  <w:noWrap w:val="0"/>
                  <w:vAlign w:val="center"/>
                </w:tcPr>
                <w:p w14:paraId="749941B7">
                  <w:pPr>
                    <w:jc w:val="center"/>
                    <w:rPr>
                      <w:rFonts w:hint="default" w:ascii="Times New Roman" w:hAnsi="Times New Roman" w:cs="Times New Roman"/>
                      <w:bCs/>
                      <w:color w:val="auto"/>
                      <w:sz w:val="21"/>
                      <w:szCs w:val="21"/>
                      <w:highlight w:val="none"/>
                    </w:rPr>
                  </w:pPr>
                </w:p>
              </w:tc>
            </w:tr>
            <w:tr w14:paraId="7C177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65" w:type="pct"/>
                  <w:tcBorders>
                    <w:tl2br w:val="nil"/>
                    <w:tr2bl w:val="nil"/>
                  </w:tcBorders>
                  <w:noWrap w:val="0"/>
                  <w:vAlign w:val="center"/>
                </w:tcPr>
                <w:p w14:paraId="285D2466">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H</w:t>
                  </w:r>
                  <w:r>
                    <w:rPr>
                      <w:rFonts w:hint="default" w:ascii="Times New Roman" w:hAnsi="Times New Roman" w:cs="Times New Roman"/>
                      <w:bCs/>
                      <w:color w:val="auto"/>
                      <w:sz w:val="21"/>
                      <w:szCs w:val="21"/>
                      <w:highlight w:val="none"/>
                      <w:vertAlign w:val="subscript"/>
                    </w:rPr>
                    <w:t>2</w:t>
                  </w:r>
                  <w:r>
                    <w:rPr>
                      <w:rFonts w:hint="default" w:ascii="Times New Roman" w:hAnsi="Times New Roman" w:cs="Times New Roman"/>
                      <w:bCs/>
                      <w:color w:val="auto"/>
                      <w:sz w:val="21"/>
                      <w:szCs w:val="21"/>
                      <w:highlight w:val="none"/>
                    </w:rPr>
                    <w:t>S</w:t>
                  </w:r>
                </w:p>
              </w:tc>
              <w:tc>
                <w:tcPr>
                  <w:tcW w:w="972" w:type="pct"/>
                  <w:vMerge w:val="continue"/>
                  <w:tcBorders>
                    <w:tl2br w:val="nil"/>
                    <w:tr2bl w:val="nil"/>
                  </w:tcBorders>
                  <w:noWrap w:val="0"/>
                  <w:vAlign w:val="center"/>
                </w:tcPr>
                <w:p w14:paraId="5A475B5B">
                  <w:pPr>
                    <w:jc w:val="center"/>
                    <w:rPr>
                      <w:rFonts w:hint="default" w:ascii="Times New Roman" w:hAnsi="Times New Roman" w:cs="Times New Roman"/>
                      <w:bCs/>
                      <w:color w:val="auto"/>
                      <w:sz w:val="21"/>
                      <w:szCs w:val="21"/>
                      <w:highlight w:val="none"/>
                    </w:rPr>
                  </w:pPr>
                </w:p>
              </w:tc>
              <w:tc>
                <w:tcPr>
                  <w:tcW w:w="875" w:type="pct"/>
                  <w:tcBorders>
                    <w:tl2br w:val="nil"/>
                    <w:tr2bl w:val="nil"/>
                  </w:tcBorders>
                  <w:noWrap w:val="0"/>
                  <w:vAlign w:val="center"/>
                </w:tcPr>
                <w:p w14:paraId="50BFB891">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0.33</w:t>
                  </w:r>
                </w:p>
              </w:tc>
              <w:tc>
                <w:tcPr>
                  <w:tcW w:w="539" w:type="pct"/>
                  <w:vMerge w:val="continue"/>
                  <w:tcBorders>
                    <w:tl2br w:val="nil"/>
                    <w:tr2bl w:val="nil"/>
                  </w:tcBorders>
                  <w:noWrap w:val="0"/>
                  <w:vAlign w:val="center"/>
                </w:tcPr>
                <w:p w14:paraId="5FBFE30C">
                  <w:pPr>
                    <w:jc w:val="center"/>
                    <w:rPr>
                      <w:rFonts w:hint="default" w:ascii="Times New Roman" w:hAnsi="Times New Roman" w:cs="Times New Roman"/>
                      <w:bCs/>
                      <w:color w:val="auto"/>
                      <w:sz w:val="21"/>
                      <w:szCs w:val="21"/>
                      <w:highlight w:val="none"/>
                    </w:rPr>
                  </w:pPr>
                </w:p>
              </w:tc>
              <w:tc>
                <w:tcPr>
                  <w:tcW w:w="878" w:type="pct"/>
                  <w:tcBorders>
                    <w:tl2br w:val="nil"/>
                    <w:tr2bl w:val="nil"/>
                  </w:tcBorders>
                  <w:noWrap w:val="0"/>
                  <w:vAlign w:val="center"/>
                </w:tcPr>
                <w:p w14:paraId="5FC1DD8E">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0.06</w:t>
                  </w:r>
                </w:p>
              </w:tc>
              <w:tc>
                <w:tcPr>
                  <w:tcW w:w="1168" w:type="pct"/>
                  <w:vMerge w:val="continue"/>
                  <w:tcBorders>
                    <w:tl2br w:val="nil"/>
                    <w:tr2bl w:val="nil"/>
                  </w:tcBorders>
                  <w:noWrap w:val="0"/>
                  <w:vAlign w:val="center"/>
                </w:tcPr>
                <w:p w14:paraId="4976F513">
                  <w:pPr>
                    <w:jc w:val="center"/>
                    <w:rPr>
                      <w:rFonts w:hint="default" w:ascii="Times New Roman" w:hAnsi="Times New Roman" w:cs="Times New Roman"/>
                      <w:bCs/>
                      <w:color w:val="auto"/>
                      <w:sz w:val="21"/>
                      <w:szCs w:val="21"/>
                      <w:highlight w:val="none"/>
                    </w:rPr>
                  </w:pPr>
                </w:p>
              </w:tc>
            </w:tr>
          </w:tbl>
          <w:p w14:paraId="70918CF2">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2、废水</w:t>
            </w:r>
          </w:p>
          <w:p w14:paraId="4A4A87C2">
            <w:pPr>
              <w:pStyle w:val="29"/>
              <w:spacing w:before="0" w:beforeAutospacing="0" w:after="0" w:afterAutospacing="0" w:line="360" w:lineRule="auto"/>
              <w:ind w:firstLine="480" w:firstLineChars="200"/>
              <w:jc w:val="both"/>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水洗塔中的水循环利用，</w:t>
            </w:r>
            <w:r>
              <w:rPr>
                <w:rFonts w:hint="eastAsia" w:cs="Times New Roman"/>
                <w:color w:val="auto"/>
                <w:kern w:val="0"/>
                <w:sz w:val="24"/>
                <w:highlight w:val="none"/>
                <w:lang w:val="en-US" w:eastAsia="zh-CN"/>
              </w:rPr>
              <w:t>水洗塔内排水回用于稀释菌种</w:t>
            </w:r>
            <w:r>
              <w:rPr>
                <w:rFonts w:hint="eastAsia" w:ascii="Times New Roman" w:hAnsi="Times New Roman" w:cs="Times New Roman"/>
                <w:color w:val="auto"/>
                <w:sz w:val="24"/>
                <w:szCs w:val="21"/>
                <w:highlight w:val="none"/>
                <w:lang w:val="en-US" w:eastAsia="zh-CN"/>
              </w:rPr>
              <w:t>，无法</w:t>
            </w:r>
            <w:r>
              <w:rPr>
                <w:rFonts w:hint="eastAsia"/>
                <w:color w:val="auto"/>
                <w:highlight w:val="none"/>
                <w:lang w:val="en-US" w:eastAsia="zh-CN"/>
              </w:rPr>
              <w:t>消纳的部分排入化粪池，由环卫部门定期清运处理；</w:t>
            </w:r>
            <w:r>
              <w:rPr>
                <w:rFonts w:hint="eastAsia" w:cs="Times New Roman"/>
                <w:color w:val="auto"/>
                <w:kern w:val="0"/>
                <w:sz w:val="24"/>
                <w:highlight w:val="none"/>
                <w:lang w:val="en-US" w:eastAsia="zh-CN"/>
              </w:rPr>
              <w:t>玻璃钢</w:t>
            </w:r>
            <w:r>
              <w:rPr>
                <w:rFonts w:hint="default" w:ascii="Times New Roman" w:hAnsi="Times New Roman" w:cs="Times New Roman"/>
                <w:color w:val="auto"/>
                <w:kern w:val="0"/>
                <w:sz w:val="24"/>
                <w:highlight w:val="none"/>
                <w:lang w:val="en-US" w:eastAsia="zh-CN"/>
              </w:rPr>
              <w:t>化粪池</w:t>
            </w:r>
            <w:r>
              <w:rPr>
                <w:rFonts w:hint="eastAsia" w:cs="Times New Roman"/>
                <w:color w:val="auto"/>
                <w:kern w:val="0"/>
                <w:sz w:val="24"/>
                <w:highlight w:val="none"/>
                <w:lang w:val="en-US" w:eastAsia="zh-CN"/>
              </w:rPr>
              <w:t>内</w:t>
            </w:r>
            <w:r>
              <w:rPr>
                <w:rFonts w:hint="default" w:ascii="Times New Roman" w:hAnsi="Times New Roman" w:cs="Times New Roman"/>
                <w:color w:val="auto"/>
                <w:kern w:val="0"/>
                <w:sz w:val="24"/>
                <w:highlight w:val="none"/>
                <w:lang w:val="en-US" w:eastAsia="zh-CN"/>
              </w:rPr>
              <w:t>生活污水委托环卫部门定期清运处理。</w:t>
            </w:r>
          </w:p>
          <w:p w14:paraId="04EDE63D">
            <w:pPr>
              <w:keepNext w:val="0"/>
              <w:keepLines w:val="0"/>
              <w:pageBreakBefore w:val="0"/>
              <w:widowControl w:val="0"/>
              <w:kinsoku/>
              <w:wordWrap/>
              <w:overflowPunct/>
              <w:topLinePunct w:val="0"/>
              <w:bidi w:val="0"/>
              <w:adjustRightInd w:val="0"/>
              <w:snapToGrid w:val="0"/>
              <w:spacing w:line="440" w:lineRule="exact"/>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3、噪声</w:t>
            </w:r>
          </w:p>
          <w:p w14:paraId="76FF89F9">
            <w:pPr>
              <w:pStyle w:val="62"/>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b w:val="0"/>
                <w:bCs/>
                <w:color w:val="auto"/>
                <w:sz w:val="24"/>
                <w:szCs w:val="21"/>
                <w:highlight w:val="none"/>
                <w:lang w:val="en-US" w:eastAsia="zh-CN"/>
              </w:rPr>
              <w:t>本项目</w:t>
            </w:r>
            <w:r>
              <w:rPr>
                <w:rFonts w:hint="default" w:ascii="Times New Roman" w:hAnsi="Times New Roman" w:eastAsia="宋体" w:cs="Times New Roman"/>
                <w:b w:val="0"/>
                <w:bCs/>
                <w:color w:val="auto"/>
                <w:sz w:val="24"/>
                <w:szCs w:val="21"/>
                <w:highlight w:val="none"/>
              </w:rPr>
              <w:t>施工期噪声执行《建筑施工噪声排放标准》（GB12523-2025）中的相应标准限值；</w:t>
            </w:r>
            <w:r>
              <w:rPr>
                <w:rFonts w:hint="default" w:ascii="Times New Roman" w:hAnsi="Times New Roman" w:cs="Times New Roman"/>
                <w:color w:val="auto"/>
                <w:sz w:val="24"/>
                <w:highlight w:val="none"/>
                <w:lang w:val="en-US" w:eastAsia="zh-CN"/>
              </w:rPr>
              <w:t>运营期噪声</w:t>
            </w:r>
            <w:r>
              <w:rPr>
                <w:rFonts w:hint="default" w:ascii="Times New Roman" w:hAnsi="Times New Roman" w:cs="Times New Roman"/>
                <w:color w:val="auto"/>
                <w:sz w:val="24"/>
                <w:highlight w:val="none"/>
              </w:rPr>
              <w:t>执行《工业企业厂界环境噪声排放标准》（GB12348-2008）中2类标准。具体见表3-</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w:t>
            </w:r>
          </w:p>
          <w:p w14:paraId="188B3D84">
            <w:pPr>
              <w:pStyle w:val="60"/>
              <w:keepNext w:val="0"/>
              <w:keepLines w:val="0"/>
              <w:pageBreakBefore w:val="0"/>
              <w:widowControl w:val="0"/>
              <w:kinsoku/>
              <w:wordWrap/>
              <w:overflowPunct/>
              <w:topLinePunct w:val="0"/>
              <w:bidi w:val="0"/>
              <w:spacing w:line="440" w:lineRule="exact"/>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表3-</w:t>
            </w:r>
            <w:r>
              <w:rPr>
                <w:rFonts w:hint="default" w:ascii="Times New Roman" w:hAnsi="Times New Roman" w:eastAsia="宋体" w:cs="Times New Roman"/>
                <w:b/>
                <w:bCs/>
                <w:color w:val="auto"/>
                <w:kern w:val="2"/>
                <w:sz w:val="24"/>
                <w:szCs w:val="24"/>
                <w:highlight w:val="none"/>
                <w:lang w:val="en-US" w:eastAsia="zh-CN"/>
              </w:rPr>
              <w:t>10</w:t>
            </w:r>
            <w:r>
              <w:rPr>
                <w:rFonts w:hint="default" w:ascii="Times New Roman" w:hAnsi="Times New Roman" w:eastAsia="宋体" w:cs="Times New Roman"/>
                <w:b/>
                <w:bCs/>
                <w:color w:val="auto"/>
                <w:kern w:val="2"/>
                <w:sz w:val="24"/>
                <w:szCs w:val="24"/>
                <w:highlight w:val="none"/>
              </w:rPr>
              <w:t xml:space="preserve">   工业企业厂界环境噪声排放标准  单位：dB（A）</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230"/>
              <w:gridCol w:w="2187"/>
              <w:gridCol w:w="1749"/>
            </w:tblGrid>
            <w:tr w14:paraId="02607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379" w:type="pct"/>
                  <w:vAlign w:val="center"/>
                </w:tcPr>
                <w:p w14:paraId="3A0C1647">
                  <w:pPr>
                    <w:adjustRightInd w:val="0"/>
                    <w:snapToGrid w:val="0"/>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项目类别</w:t>
                  </w:r>
                </w:p>
              </w:tc>
              <w:tc>
                <w:tcPr>
                  <w:tcW w:w="1309" w:type="pct"/>
                  <w:vAlign w:val="center"/>
                </w:tcPr>
                <w:p w14:paraId="4F4E1C1D">
                  <w:pPr>
                    <w:adjustRightInd w:val="0"/>
                    <w:snapToGrid w:val="0"/>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时段</w:t>
                  </w:r>
                </w:p>
              </w:tc>
              <w:tc>
                <w:tcPr>
                  <w:tcW w:w="1284" w:type="pct"/>
                  <w:vAlign w:val="center"/>
                </w:tcPr>
                <w:p w14:paraId="77861DD4">
                  <w:pPr>
                    <w:adjustRightInd w:val="0"/>
                    <w:snapToGrid w:val="0"/>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标准值</w:t>
                  </w:r>
                </w:p>
              </w:tc>
              <w:tc>
                <w:tcPr>
                  <w:tcW w:w="1026" w:type="pct"/>
                  <w:vAlign w:val="center"/>
                </w:tcPr>
                <w:p w14:paraId="4C9B8910">
                  <w:pPr>
                    <w:adjustRightInd w:val="0"/>
                    <w:snapToGrid w:val="0"/>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单位</w:t>
                  </w:r>
                </w:p>
              </w:tc>
            </w:tr>
            <w:tr w14:paraId="6D4EB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79" w:type="pct"/>
                  <w:vMerge w:val="restart"/>
                  <w:vAlign w:val="center"/>
                </w:tcPr>
                <w:p w14:paraId="19643180">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施工期</w:t>
                  </w:r>
                </w:p>
              </w:tc>
              <w:tc>
                <w:tcPr>
                  <w:tcW w:w="1309" w:type="pct"/>
                  <w:vAlign w:val="center"/>
                </w:tcPr>
                <w:p w14:paraId="4675AB89">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color w:val="auto"/>
                      <w:kern w:val="0"/>
                      <w:sz w:val="21"/>
                      <w:szCs w:val="21"/>
                      <w:highlight w:val="none"/>
                    </w:rPr>
                    <w:t>昼间</w:t>
                  </w:r>
                </w:p>
              </w:tc>
              <w:tc>
                <w:tcPr>
                  <w:tcW w:w="1284" w:type="pct"/>
                  <w:vAlign w:val="center"/>
                </w:tcPr>
                <w:p w14:paraId="3A0BEEAF">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70</w:t>
                  </w:r>
                </w:p>
              </w:tc>
              <w:tc>
                <w:tcPr>
                  <w:tcW w:w="1026" w:type="pct"/>
                  <w:vMerge w:val="restart"/>
                  <w:vAlign w:val="center"/>
                </w:tcPr>
                <w:p w14:paraId="00217292">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dB(A)</w:t>
                  </w:r>
                </w:p>
              </w:tc>
            </w:tr>
            <w:tr w14:paraId="1D301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379" w:type="pct"/>
                  <w:vMerge w:val="continue"/>
                  <w:vAlign w:val="center"/>
                </w:tcPr>
                <w:p w14:paraId="1FEF763F">
                  <w:pPr>
                    <w:adjustRightInd w:val="0"/>
                    <w:snapToGrid w:val="0"/>
                    <w:jc w:val="center"/>
                    <w:rPr>
                      <w:rFonts w:hint="default" w:ascii="Times New Roman" w:hAnsi="Times New Roman" w:eastAsia="宋体" w:cs="Times New Roman"/>
                      <w:bCs/>
                      <w:color w:val="auto"/>
                      <w:kern w:val="0"/>
                      <w:sz w:val="21"/>
                      <w:szCs w:val="21"/>
                      <w:highlight w:val="none"/>
                    </w:rPr>
                  </w:pPr>
                </w:p>
              </w:tc>
              <w:tc>
                <w:tcPr>
                  <w:tcW w:w="1309" w:type="pct"/>
                  <w:vAlign w:val="center"/>
                </w:tcPr>
                <w:p w14:paraId="1F6A76CC">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color w:val="auto"/>
                      <w:kern w:val="0"/>
                      <w:sz w:val="21"/>
                      <w:szCs w:val="21"/>
                      <w:highlight w:val="none"/>
                    </w:rPr>
                    <w:t>夜间</w:t>
                  </w:r>
                </w:p>
              </w:tc>
              <w:tc>
                <w:tcPr>
                  <w:tcW w:w="1284" w:type="pct"/>
                  <w:vAlign w:val="center"/>
                </w:tcPr>
                <w:p w14:paraId="67A79C9F">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55</w:t>
                  </w:r>
                </w:p>
              </w:tc>
              <w:tc>
                <w:tcPr>
                  <w:tcW w:w="1026" w:type="pct"/>
                  <w:vMerge w:val="continue"/>
                  <w:vAlign w:val="center"/>
                </w:tcPr>
                <w:p w14:paraId="0031626C">
                  <w:pPr>
                    <w:adjustRightInd w:val="0"/>
                    <w:snapToGrid w:val="0"/>
                    <w:jc w:val="center"/>
                    <w:rPr>
                      <w:rFonts w:hint="default" w:ascii="Times New Roman" w:hAnsi="Times New Roman" w:eastAsia="宋体" w:cs="Times New Roman"/>
                      <w:bCs/>
                      <w:color w:val="auto"/>
                      <w:kern w:val="0"/>
                      <w:sz w:val="21"/>
                      <w:szCs w:val="21"/>
                      <w:highlight w:val="none"/>
                    </w:rPr>
                  </w:pPr>
                </w:p>
              </w:tc>
            </w:tr>
            <w:tr w14:paraId="207A3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379" w:type="pct"/>
                  <w:vAlign w:val="center"/>
                </w:tcPr>
                <w:p w14:paraId="0B97815F">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运营期</w:t>
                  </w:r>
                </w:p>
              </w:tc>
              <w:tc>
                <w:tcPr>
                  <w:tcW w:w="1309" w:type="pct"/>
                  <w:vAlign w:val="center"/>
                </w:tcPr>
                <w:p w14:paraId="1D424368">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昼间</w:t>
                  </w:r>
                </w:p>
              </w:tc>
              <w:tc>
                <w:tcPr>
                  <w:tcW w:w="1284" w:type="pct"/>
                  <w:vAlign w:val="center"/>
                </w:tcPr>
                <w:p w14:paraId="61227A31">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1026" w:type="pct"/>
                  <w:vMerge w:val="continue"/>
                  <w:vAlign w:val="center"/>
                </w:tcPr>
                <w:p w14:paraId="45EB897E">
                  <w:pPr>
                    <w:adjustRightInd w:val="0"/>
                    <w:snapToGrid w:val="0"/>
                    <w:jc w:val="center"/>
                    <w:rPr>
                      <w:rFonts w:hint="default" w:ascii="Times New Roman" w:hAnsi="Times New Roman" w:eastAsia="宋体" w:cs="Times New Roman"/>
                      <w:color w:val="auto"/>
                      <w:kern w:val="0"/>
                      <w:sz w:val="21"/>
                      <w:szCs w:val="21"/>
                      <w:highlight w:val="none"/>
                    </w:rPr>
                  </w:pPr>
                </w:p>
              </w:tc>
            </w:tr>
          </w:tbl>
          <w:p w14:paraId="6AC9CD39">
            <w:pPr>
              <w:adjustRightInd w:val="0"/>
              <w:snapToGrid w:val="0"/>
              <w:spacing w:line="500" w:lineRule="atLeas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4、固体废物</w:t>
            </w:r>
          </w:p>
          <w:p w14:paraId="5D1A6D24">
            <w:pPr>
              <w:spacing w:line="500" w:lineRule="atLeast"/>
              <w:ind w:firstLine="480"/>
              <w:rPr>
                <w:rFonts w:hint="eastAsia" w:cs="Times New Roman"/>
                <w:color w:val="auto"/>
                <w:sz w:val="24"/>
                <w:highlight w:val="none"/>
                <w:lang w:eastAsia="zh-CN"/>
              </w:rPr>
            </w:pPr>
            <w:r>
              <w:rPr>
                <w:rFonts w:hint="default" w:ascii="Times New Roman" w:hAnsi="Times New Roman" w:cs="Times New Roman"/>
                <w:color w:val="auto"/>
                <w:sz w:val="24"/>
                <w:highlight w:val="none"/>
              </w:rPr>
              <w:t>项目一般工业固体废物暂存过程中执行《一般工业固体废物贮存和填埋污染控制标准》（GB18599-2020）规定，满足防渗漏、防雨淋、防扬尘等环保要求</w:t>
            </w:r>
            <w:r>
              <w:rPr>
                <w:rFonts w:hint="eastAsia" w:cs="Times New Roman"/>
                <w:color w:val="auto"/>
                <w:sz w:val="24"/>
                <w:highlight w:val="none"/>
                <w:lang w:eastAsia="zh-CN"/>
              </w:rPr>
              <w:t>；</w:t>
            </w:r>
          </w:p>
          <w:p w14:paraId="4C2D9022">
            <w:pPr>
              <w:spacing w:line="500" w:lineRule="atLeast"/>
              <w:ind w:firstLine="480"/>
              <w:rPr>
                <w:rFonts w:hint="default" w:ascii="Times New Roman" w:hAnsi="Times New Roman" w:cs="Times New Roman"/>
                <w:bCs/>
                <w:color w:val="auto"/>
                <w:sz w:val="24"/>
                <w:highlight w:val="none"/>
              </w:rPr>
            </w:pPr>
            <w:r>
              <w:rPr>
                <w:rFonts w:hint="default" w:ascii="Times New Roman" w:hAnsi="Times New Roman" w:eastAsia="宋体" w:cs="Times New Roman"/>
                <w:color w:val="auto"/>
                <w:sz w:val="24"/>
                <w:szCs w:val="21"/>
                <w:highlight w:val="none"/>
                <w:lang w:val="en-US" w:eastAsia="zh-CN"/>
              </w:rPr>
              <w:t>危险固体废物执行《危险废物贮存污染控制标准》（GB18597-2023）的有关规定。</w:t>
            </w:r>
          </w:p>
        </w:tc>
      </w:tr>
      <w:tr w14:paraId="1735DA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1" w:hRule="atLeast"/>
          <w:jc w:val="center"/>
        </w:trPr>
        <w:tc>
          <w:tcPr>
            <w:tcW w:w="299" w:type="pct"/>
            <w:noWrap w:val="0"/>
            <w:vAlign w:val="center"/>
          </w:tcPr>
          <w:p w14:paraId="367E3A48">
            <w:pPr>
              <w:adjustRightInd w:val="0"/>
              <w:snapToGrid w:val="0"/>
              <w:ind w:left="-105" w:leftChars="-50" w:right="-105" w:rightChars="-5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总量控制指标</w:t>
            </w:r>
          </w:p>
        </w:tc>
        <w:tc>
          <w:tcPr>
            <w:tcW w:w="4700" w:type="pct"/>
            <w:noWrap w:val="0"/>
            <w:vAlign w:val="center"/>
          </w:tcPr>
          <w:p w14:paraId="101A2C97">
            <w:pPr>
              <w:pStyle w:val="101"/>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根据《国务院关于印发</w:t>
            </w:r>
            <w:r>
              <w:rPr>
                <w:rFonts w:hint="eastAsia" w:asci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十四五</w:t>
            </w:r>
            <w:r>
              <w:rPr>
                <w:rFonts w:hint="eastAsia" w:asci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节能减排综合工作方案的通知》（国发〔2021〕33号）中的规定，实施污染物排放总量控制的指标有化学需氧量、氨氮、氮氧化物、挥发性有机物四项污染物。</w:t>
            </w:r>
          </w:p>
          <w:p w14:paraId="5F08A54F">
            <w:pPr>
              <w:pStyle w:val="101"/>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本项目废气全部排放的污染物为颗粒物，不涉及挥发性有机物</w:t>
            </w:r>
            <w:r>
              <w:rPr>
                <w:rFonts w:hint="eastAsia" w:asci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项目水洗塔中的水循环利用，</w:t>
            </w:r>
            <w:r>
              <w:rPr>
                <w:rFonts w:hint="eastAsia" w:ascii="Times New Roman" w:eastAsia="宋体" w:cs="Times New Roman"/>
                <w:color w:val="auto"/>
                <w:sz w:val="24"/>
                <w:highlight w:val="none"/>
                <w:lang w:val="en-US" w:eastAsia="zh-CN"/>
              </w:rPr>
              <w:t>水洗塔内排水回用于稀释菌种，未消纳部分排入化粪池</w:t>
            </w:r>
            <w:r>
              <w:rPr>
                <w:rFonts w:hint="eastAsia" w:ascii="Times New Roman" w:hAnsi="Times New Roman" w:eastAsia="宋体" w:cs="Times New Roman"/>
                <w:color w:val="auto"/>
                <w:sz w:val="24"/>
                <w:highlight w:val="none"/>
                <w:lang w:val="en-US" w:eastAsia="zh-CN"/>
              </w:rPr>
              <w:t>；</w:t>
            </w:r>
            <w:r>
              <w:rPr>
                <w:rFonts w:hint="eastAsia" w:ascii="Times New Roman" w:eastAsia="宋体" w:cs="Times New Roman"/>
                <w:color w:val="auto"/>
                <w:sz w:val="24"/>
                <w:highlight w:val="none"/>
                <w:lang w:val="en-US" w:eastAsia="zh-CN"/>
              </w:rPr>
              <w:t>玻璃钢</w:t>
            </w:r>
            <w:r>
              <w:rPr>
                <w:rFonts w:hint="eastAsia" w:ascii="Times New Roman" w:hAnsi="Times New Roman" w:eastAsia="宋体" w:cs="Times New Roman"/>
                <w:color w:val="auto"/>
                <w:sz w:val="24"/>
                <w:highlight w:val="none"/>
                <w:lang w:val="en-US" w:eastAsia="zh-CN"/>
              </w:rPr>
              <w:t>化粪池生活污水委托环卫部门定期清运处理</w:t>
            </w:r>
            <w:r>
              <w:rPr>
                <w:rFonts w:hint="default" w:ascii="Times New Roman" w:hAnsi="Times New Roman" w:eastAsia="宋体" w:cs="Times New Roman"/>
                <w:color w:val="auto"/>
                <w:sz w:val="24"/>
                <w:highlight w:val="none"/>
              </w:rPr>
              <w:t>，因此，本项目废水无需申请总量。</w:t>
            </w:r>
          </w:p>
          <w:p w14:paraId="3DFEA3B5">
            <w:pPr>
              <w:pStyle w:val="101"/>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eastAsia="宋体" w:cs="Times New Roman"/>
                <w:color w:val="auto"/>
                <w:sz w:val="24"/>
                <w:highlight w:val="none"/>
              </w:rPr>
              <w:t>本项目总量控制指标为：</w:t>
            </w:r>
            <w:r>
              <w:rPr>
                <w:rFonts w:hint="eastAsia" w:ascii="Times New Roman" w:eastAsia="宋体" w:cs="Times New Roman"/>
                <w:color w:val="auto"/>
                <w:sz w:val="24"/>
                <w:highlight w:val="none"/>
                <w:lang w:val="en-US" w:eastAsia="zh-CN"/>
              </w:rPr>
              <w:t>颗粒物0.888t/a</w:t>
            </w:r>
            <w:r>
              <w:rPr>
                <w:rFonts w:hint="default" w:ascii="Times New Roman" w:hAnsi="Times New Roman" w:eastAsia="宋体" w:cs="Times New Roman"/>
                <w:color w:val="auto"/>
                <w:sz w:val="24"/>
                <w:highlight w:val="none"/>
              </w:rPr>
              <w:t>。</w:t>
            </w:r>
          </w:p>
        </w:tc>
      </w:tr>
    </w:tbl>
    <w:p w14:paraId="616CE440">
      <w:pPr>
        <w:pStyle w:val="29"/>
        <w:spacing w:before="0" w:beforeAutospacing="0" w:after="0" w:afterAutospacing="0"/>
        <w:jc w:val="center"/>
        <w:outlineLvl w:val="0"/>
        <w:rPr>
          <w:rFonts w:hint="default" w:ascii="Times New Roman" w:hAnsi="Times New Roman" w:cs="Times New Roman"/>
          <w:snapToGrid w:val="0"/>
          <w:color w:val="auto"/>
          <w:sz w:val="30"/>
          <w:szCs w:val="30"/>
          <w:highlight w:val="none"/>
        </w:rPr>
      </w:pPr>
      <w:r>
        <w:rPr>
          <w:rFonts w:hint="default" w:ascii="Times New Roman" w:hAnsi="Times New Roman" w:cs="Times New Roman"/>
          <w:snapToGrid w:val="0"/>
          <w:color w:val="auto"/>
          <w:sz w:val="36"/>
          <w:szCs w:val="36"/>
          <w:highlight w:val="none"/>
        </w:rPr>
        <w:br w:type="page"/>
      </w:r>
      <w:r>
        <w:rPr>
          <w:rFonts w:hint="default" w:ascii="Times New Roman" w:hAnsi="Times New Roman" w:cs="Times New Roman"/>
          <w:snapToGrid w:val="0"/>
          <w:color w:val="auto"/>
          <w:sz w:val="30"/>
          <w:szCs w:val="30"/>
          <w:highlight w:val="none"/>
        </w:rPr>
        <w:t>四、主要环境影响和保护措施</w:t>
      </w:r>
    </w:p>
    <w:tbl>
      <w:tblPr>
        <w:tblStyle w:val="32"/>
        <w:tblW w:w="513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7"/>
        <w:gridCol w:w="8841"/>
      </w:tblGrid>
      <w:tr w14:paraId="115C0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noWrap w:val="0"/>
            <w:tcMar>
              <w:left w:w="28" w:type="dxa"/>
              <w:right w:w="28" w:type="dxa"/>
            </w:tcMar>
            <w:vAlign w:val="center"/>
          </w:tcPr>
          <w:p w14:paraId="65014FE2">
            <w:pPr>
              <w:pStyle w:val="29"/>
              <w:adjustRightInd w:val="0"/>
              <w:snapToGrid w:val="0"/>
              <w:spacing w:before="0" w:beforeAutospacing="0" w:after="0" w:afterAutospacing="0"/>
              <w:jc w:val="center"/>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施工</w:t>
            </w:r>
          </w:p>
          <w:p w14:paraId="4A4E0EB8">
            <w:pPr>
              <w:pStyle w:val="29"/>
              <w:adjustRightInd w:val="0"/>
              <w:snapToGrid w:val="0"/>
              <w:spacing w:before="0" w:beforeAutospacing="0" w:after="0" w:afterAutospacing="0"/>
              <w:jc w:val="center"/>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期环</w:t>
            </w:r>
          </w:p>
          <w:p w14:paraId="18C124C4">
            <w:pPr>
              <w:pStyle w:val="29"/>
              <w:adjustRightInd w:val="0"/>
              <w:snapToGrid w:val="0"/>
              <w:spacing w:before="0" w:beforeAutospacing="0" w:after="0" w:afterAutospacing="0"/>
              <w:jc w:val="center"/>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境保</w:t>
            </w:r>
          </w:p>
          <w:p w14:paraId="54D59698">
            <w:pPr>
              <w:pStyle w:val="29"/>
              <w:adjustRightInd w:val="0"/>
              <w:snapToGrid w:val="0"/>
              <w:spacing w:before="0" w:beforeAutospacing="0" w:after="0" w:afterAutospacing="0"/>
              <w:jc w:val="center"/>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护措</w:t>
            </w:r>
          </w:p>
          <w:p w14:paraId="3B227678">
            <w:pPr>
              <w:pStyle w:val="29"/>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
                <w:bCs/>
                <w:color w:val="auto"/>
                <w:kern w:val="2"/>
                <w:sz w:val="21"/>
                <w:szCs w:val="21"/>
                <w:highlight w:val="none"/>
              </w:rPr>
              <w:t>施</w:t>
            </w:r>
          </w:p>
        </w:tc>
        <w:tc>
          <w:tcPr>
            <w:tcW w:w="4678" w:type="pct"/>
            <w:noWrap w:val="0"/>
            <w:vAlign w:val="center"/>
          </w:tcPr>
          <w:p w14:paraId="399AFB93">
            <w:pPr>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szCs w:val="32"/>
                <w:highlight w:val="none"/>
              </w:rPr>
              <w:t>施工期环境影响分析</w:t>
            </w:r>
          </w:p>
          <w:p w14:paraId="3709A74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1、施工期大气环境影响分析</w:t>
            </w:r>
          </w:p>
          <w:p w14:paraId="6231A3E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施工期产生的大气污染物主要为扬尘、机动车尾气。</w:t>
            </w:r>
          </w:p>
          <w:p w14:paraId="17C15A8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施工产生的扬尘主要集中在土建施工阶段，按起尘的原因可分为风力起尘和动力起尘。其中风力起尘主要是由于露天堆放的建材（如</w:t>
            </w:r>
            <w:r>
              <w:rPr>
                <w:rFonts w:hint="default" w:ascii="Times New Roman" w:hAnsi="Times New Roman" w:cs="Times New Roman"/>
                <w:color w:val="auto"/>
                <w:sz w:val="24"/>
                <w:highlight w:val="none"/>
                <w:lang w:eastAsia="zh-CN"/>
              </w:rPr>
              <w:t>商砼，预制混凝土</w:t>
            </w:r>
            <w:r>
              <w:rPr>
                <w:rFonts w:hint="default" w:ascii="Times New Roman" w:hAnsi="Times New Roman" w:cs="Times New Roman"/>
                <w:color w:val="auto"/>
                <w:sz w:val="24"/>
                <w:highlight w:val="none"/>
              </w:rPr>
              <w:t>等）及裸露的施工区表层浮尘由于天气干燥及大风，产生风力扬尘；动力起尘，主要是在建材的装卸、搅拌的过程中，由于外力而产生的尘粒再悬浮而造成，其中施工及装卸车辆造成的扬尘最为严重。</w:t>
            </w:r>
          </w:p>
          <w:p w14:paraId="7D0494B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各种粉尘和扬尘在晴朗、干燥、有风的天气下，会对周围环境空气产生较大影响。</w:t>
            </w:r>
          </w:p>
          <w:p w14:paraId="2087535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产生的粉尘属无组织排放，对周围环境影响突出，类比同类项目，施工期现场厂界粉尘对周围一定范围（100m内）的大气环境质量会产生一定的影响。项目施工期需采取防治措施，减小施工粉尘对厂界外的影响。</w:t>
            </w:r>
          </w:p>
          <w:p w14:paraId="7171385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施工期扬尘主要来自车辆来往行驶、临时堆场等过程，扬尘的排放与施工场地的面积和施工活动频率成比例，还与当地气象条件如风速、湿度、日照等有关。</w:t>
            </w:r>
          </w:p>
          <w:p w14:paraId="5F691C5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施工过程中需频繁使用机动车辆运输建筑原材料、施工设备、器材及建</w:t>
            </w:r>
          </w:p>
          <w:p w14:paraId="56204301">
            <w:pPr>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筑垃圾，排出的机动车尾气主要污染物是HC、CO、NOx等。</w:t>
            </w:r>
          </w:p>
          <w:p w14:paraId="59B1D42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2、施工期废水影响分析</w:t>
            </w:r>
          </w:p>
          <w:p w14:paraId="2732AFF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施工期废水主要是施工人员生活污水和施工工程废水。</w:t>
            </w:r>
          </w:p>
          <w:p w14:paraId="33DF036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2、施工期废水影响分析</w:t>
            </w:r>
          </w:p>
          <w:p w14:paraId="7400898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施工期废水主要是施工人员生活污水和施工工程废水。</w:t>
            </w:r>
          </w:p>
          <w:p w14:paraId="6D5A81E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施工期现场劳动人数按</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rPr>
              <w:t>人计算，按照用水定额50升/（人•日）计算，排污系数为0.8，则施工期生活用水为</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/d，则生活污水排放量</w:t>
            </w:r>
            <w:r>
              <w:rPr>
                <w:rFonts w:hint="eastAsia" w:cs="Times New Roman"/>
                <w:color w:val="auto"/>
                <w:sz w:val="24"/>
                <w:highlight w:val="none"/>
                <w:lang w:val="en-US" w:eastAsia="zh-CN"/>
              </w:rPr>
              <w:t>0.8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/d，类比同类型污水水质，各污染物浓度：COD350mg/L、BOD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200mg/L、SS 220mg/L，氨氮35mg/L，则污染物的产生量为 COD：0.</w:t>
            </w:r>
            <w:r>
              <w:rPr>
                <w:rFonts w:hint="eastAsia" w:cs="Times New Roman"/>
                <w:color w:val="auto"/>
                <w:sz w:val="24"/>
                <w:highlight w:val="none"/>
                <w:lang w:val="en-US" w:eastAsia="zh-CN"/>
              </w:rPr>
              <w:t>14</w:t>
            </w:r>
            <w:r>
              <w:rPr>
                <w:rFonts w:hint="default" w:ascii="Times New Roman" w:hAnsi="Times New Roman" w:cs="Times New Roman"/>
                <w:color w:val="auto"/>
                <w:sz w:val="24"/>
                <w:highlight w:val="none"/>
              </w:rPr>
              <w:t>kg/d、BOD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08</w:t>
            </w:r>
            <w:r>
              <w:rPr>
                <w:rFonts w:hint="default" w:ascii="Times New Roman" w:hAnsi="Times New Roman" w:cs="Times New Roman"/>
                <w:color w:val="auto"/>
                <w:sz w:val="24"/>
                <w:highlight w:val="none"/>
              </w:rPr>
              <w:t>kg/d、SS：0.</w:t>
            </w:r>
            <w:r>
              <w:rPr>
                <w:rFonts w:hint="eastAsia" w:cs="Times New Roman"/>
                <w:color w:val="auto"/>
                <w:sz w:val="24"/>
                <w:highlight w:val="none"/>
                <w:lang w:val="en-US" w:eastAsia="zh-CN"/>
              </w:rPr>
              <w:t>088</w:t>
            </w:r>
            <w:r>
              <w:rPr>
                <w:rFonts w:hint="default" w:ascii="Times New Roman" w:hAnsi="Times New Roman" w:cs="Times New Roman"/>
                <w:color w:val="auto"/>
                <w:sz w:val="24"/>
                <w:highlight w:val="none"/>
              </w:rPr>
              <w:t>kg/d，氨氮：0.0</w:t>
            </w:r>
            <w:r>
              <w:rPr>
                <w:rFonts w:hint="eastAsia" w:cs="Times New Roman"/>
                <w:color w:val="auto"/>
                <w:sz w:val="24"/>
                <w:highlight w:val="none"/>
                <w:lang w:val="en-US" w:eastAsia="zh-CN"/>
              </w:rPr>
              <w:t>14</w:t>
            </w:r>
            <w:r>
              <w:rPr>
                <w:rFonts w:hint="default" w:ascii="Times New Roman" w:hAnsi="Times New Roman" w:cs="Times New Roman"/>
                <w:color w:val="auto"/>
                <w:sz w:val="24"/>
                <w:highlight w:val="none"/>
              </w:rPr>
              <w:t>kg/d，生活污水排入</w:t>
            </w:r>
            <w:r>
              <w:rPr>
                <w:rFonts w:hint="eastAsia" w:cs="Times New Roman"/>
                <w:color w:val="auto"/>
                <w:sz w:val="24"/>
                <w:highlight w:val="none"/>
                <w:lang w:eastAsia="zh-CN"/>
              </w:rPr>
              <w:t>化粪池</w:t>
            </w:r>
            <w:r>
              <w:rPr>
                <w:rFonts w:hint="default" w:ascii="Times New Roman" w:hAnsi="Times New Roman" w:cs="Times New Roman"/>
                <w:color w:val="auto"/>
                <w:sz w:val="24"/>
                <w:highlight w:val="none"/>
              </w:rPr>
              <w:t>。</w:t>
            </w:r>
          </w:p>
          <w:p w14:paraId="3315105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工程废水包括进出施工场地的车辆清洗废水及施工阶段产生的泥浆水等工程废水，主要污染物是SS，水量较少，少量通过蒸发散失，大部分通过临时沉淀池沉淀后回用，</w:t>
            </w:r>
          </w:p>
          <w:p w14:paraId="2008A9F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因此，做好施工废水的收集与初沉工作，可以杜绝施工废水对环境的影响。</w:t>
            </w:r>
          </w:p>
          <w:p w14:paraId="55D6B573">
            <w:pPr>
              <w:pStyle w:val="14"/>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3、施工期噪声影响分析</w:t>
            </w:r>
          </w:p>
          <w:p w14:paraId="1507FA86">
            <w:pPr>
              <w:pStyle w:val="113"/>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施工过程中，常使用的施工机械有挖掘机、装卸机、电锯、运输车辆等设备，在正常情况下这些设备产生的声压级在79~110dB（A）之间，且施工期间这些噪声源均处于露天状态。根据类比调查各类施工机械噪声源强见表4-1。</w:t>
            </w:r>
          </w:p>
          <w:p w14:paraId="6436A69C">
            <w:pPr>
              <w:pStyle w:val="113"/>
              <w:spacing w:line="240" w:lineRule="auto"/>
              <w:jc w:val="center"/>
              <w:rPr>
                <w:rFonts w:hint="default" w:ascii="Times New Roman" w:hAnsi="Times New Roman" w:cs="Times New Roman"/>
                <w:b/>
                <w:color w:val="auto"/>
                <w:sz w:val="24"/>
                <w:szCs w:val="21"/>
                <w:highlight w:val="none"/>
              </w:rPr>
            </w:pPr>
            <w:r>
              <w:rPr>
                <w:rFonts w:hint="default" w:ascii="Times New Roman" w:hAnsi="Times New Roman" w:cs="Times New Roman"/>
                <w:b/>
                <w:color w:val="auto"/>
                <w:sz w:val="24"/>
                <w:szCs w:val="21"/>
                <w:highlight w:val="none"/>
              </w:rPr>
              <w:t>表4-1   主要施工设备噪声源强单位：dB（A）</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12"/>
              <w:gridCol w:w="4313"/>
            </w:tblGrid>
            <w:tr w14:paraId="443D2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68" w:type="dxa"/>
                  <w:tcBorders>
                    <w:tl2br w:val="nil"/>
                    <w:tr2bl w:val="nil"/>
                  </w:tcBorders>
                  <w:noWrap w:val="0"/>
                  <w:vAlign w:val="center"/>
                </w:tcPr>
                <w:p w14:paraId="63963896">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声源名称</w:t>
                  </w:r>
                </w:p>
              </w:tc>
              <w:tc>
                <w:tcPr>
                  <w:tcW w:w="3968" w:type="dxa"/>
                  <w:tcBorders>
                    <w:tl2br w:val="nil"/>
                    <w:tr2bl w:val="nil"/>
                  </w:tcBorders>
                  <w:noWrap w:val="0"/>
                  <w:vAlign w:val="center"/>
                </w:tcPr>
                <w:p w14:paraId="56E2A74E">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噪声强度</w:t>
                  </w:r>
                </w:p>
              </w:tc>
            </w:tr>
            <w:tr w14:paraId="16F82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8" w:type="dxa"/>
                  <w:tcBorders>
                    <w:tl2br w:val="nil"/>
                    <w:tr2bl w:val="nil"/>
                  </w:tcBorders>
                  <w:noWrap w:val="0"/>
                  <w:vAlign w:val="center"/>
                </w:tcPr>
                <w:p w14:paraId="3F7D324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空压机</w:t>
                  </w:r>
                </w:p>
              </w:tc>
              <w:tc>
                <w:tcPr>
                  <w:tcW w:w="3968" w:type="dxa"/>
                  <w:tcBorders>
                    <w:tl2br w:val="nil"/>
                    <w:tr2bl w:val="nil"/>
                  </w:tcBorders>
                  <w:noWrap w:val="0"/>
                  <w:vAlign w:val="center"/>
                </w:tcPr>
                <w:p w14:paraId="65E70AA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w:t>
                  </w:r>
                </w:p>
              </w:tc>
            </w:tr>
            <w:tr w14:paraId="7F0FD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8" w:type="dxa"/>
                  <w:tcBorders>
                    <w:tl2br w:val="nil"/>
                    <w:tr2bl w:val="nil"/>
                  </w:tcBorders>
                  <w:noWrap w:val="0"/>
                  <w:vAlign w:val="center"/>
                </w:tcPr>
                <w:p w14:paraId="022B0F2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挖掘机</w:t>
                  </w:r>
                </w:p>
              </w:tc>
              <w:tc>
                <w:tcPr>
                  <w:tcW w:w="3968" w:type="dxa"/>
                  <w:tcBorders>
                    <w:tl2br w:val="nil"/>
                    <w:tr2bl w:val="nil"/>
                  </w:tcBorders>
                  <w:noWrap w:val="0"/>
                  <w:vAlign w:val="center"/>
                </w:tcPr>
                <w:p w14:paraId="1676B63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83</w:t>
                  </w:r>
                </w:p>
              </w:tc>
            </w:tr>
            <w:tr w14:paraId="6EB09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68" w:type="dxa"/>
                  <w:tcBorders>
                    <w:tl2br w:val="nil"/>
                    <w:tr2bl w:val="nil"/>
                  </w:tcBorders>
                  <w:noWrap w:val="0"/>
                  <w:vAlign w:val="center"/>
                </w:tcPr>
                <w:p w14:paraId="0D2BB8E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推土机</w:t>
                  </w:r>
                </w:p>
              </w:tc>
              <w:tc>
                <w:tcPr>
                  <w:tcW w:w="3968" w:type="dxa"/>
                  <w:tcBorders>
                    <w:tl2br w:val="nil"/>
                    <w:tr2bl w:val="nil"/>
                  </w:tcBorders>
                  <w:noWrap w:val="0"/>
                  <w:vAlign w:val="center"/>
                </w:tcPr>
                <w:p w14:paraId="40622E1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w:t>
                  </w:r>
                </w:p>
              </w:tc>
            </w:tr>
            <w:tr w14:paraId="5C7C9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8" w:type="dxa"/>
                  <w:tcBorders>
                    <w:tl2br w:val="nil"/>
                    <w:tr2bl w:val="nil"/>
                  </w:tcBorders>
                  <w:noWrap w:val="0"/>
                  <w:vAlign w:val="center"/>
                </w:tcPr>
                <w:p w14:paraId="6F39033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装载机</w:t>
                  </w:r>
                </w:p>
              </w:tc>
              <w:tc>
                <w:tcPr>
                  <w:tcW w:w="3968" w:type="dxa"/>
                  <w:tcBorders>
                    <w:tl2br w:val="nil"/>
                    <w:tr2bl w:val="nil"/>
                  </w:tcBorders>
                  <w:noWrap w:val="0"/>
                  <w:vAlign w:val="center"/>
                </w:tcPr>
                <w:p w14:paraId="3421E72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w:t>
                  </w:r>
                </w:p>
              </w:tc>
            </w:tr>
            <w:tr w14:paraId="43BFC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8" w:type="dxa"/>
                  <w:tcBorders>
                    <w:tl2br w:val="nil"/>
                    <w:tr2bl w:val="nil"/>
                  </w:tcBorders>
                  <w:noWrap w:val="0"/>
                  <w:vAlign w:val="center"/>
                </w:tcPr>
                <w:p w14:paraId="78F6BBB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升降机</w:t>
                  </w:r>
                </w:p>
              </w:tc>
              <w:tc>
                <w:tcPr>
                  <w:tcW w:w="3968" w:type="dxa"/>
                  <w:tcBorders>
                    <w:tl2br w:val="nil"/>
                    <w:tr2bl w:val="nil"/>
                  </w:tcBorders>
                  <w:noWrap w:val="0"/>
                  <w:vAlign w:val="center"/>
                </w:tcPr>
                <w:p w14:paraId="7ACC5A6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72</w:t>
                  </w:r>
                </w:p>
              </w:tc>
            </w:tr>
            <w:tr w14:paraId="388DC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8" w:type="dxa"/>
                  <w:tcBorders>
                    <w:tl2br w:val="nil"/>
                    <w:tr2bl w:val="nil"/>
                  </w:tcBorders>
                  <w:noWrap w:val="0"/>
                  <w:vAlign w:val="center"/>
                </w:tcPr>
                <w:p w14:paraId="7D96BD9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载重汽车</w:t>
                  </w:r>
                </w:p>
              </w:tc>
              <w:tc>
                <w:tcPr>
                  <w:tcW w:w="3968" w:type="dxa"/>
                  <w:tcBorders>
                    <w:tl2br w:val="nil"/>
                    <w:tr2bl w:val="nil"/>
                  </w:tcBorders>
                  <w:noWrap w:val="0"/>
                  <w:vAlign w:val="center"/>
                </w:tcPr>
                <w:p w14:paraId="79709CD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83</w:t>
                  </w:r>
                </w:p>
              </w:tc>
            </w:tr>
            <w:tr w14:paraId="07821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68" w:type="dxa"/>
                  <w:tcBorders>
                    <w:tl2br w:val="nil"/>
                    <w:tr2bl w:val="nil"/>
                  </w:tcBorders>
                  <w:noWrap w:val="0"/>
                  <w:vAlign w:val="center"/>
                </w:tcPr>
                <w:p w14:paraId="5EC2115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电锯</w:t>
                  </w:r>
                </w:p>
              </w:tc>
              <w:tc>
                <w:tcPr>
                  <w:tcW w:w="3968" w:type="dxa"/>
                  <w:tcBorders>
                    <w:tl2br w:val="nil"/>
                    <w:tr2bl w:val="nil"/>
                  </w:tcBorders>
                  <w:noWrap w:val="0"/>
                  <w:vAlign w:val="center"/>
                </w:tcPr>
                <w:p w14:paraId="5F7292A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w:t>
                  </w:r>
                </w:p>
              </w:tc>
            </w:tr>
            <w:tr w14:paraId="2E39C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8" w:type="dxa"/>
                  <w:tcBorders>
                    <w:tl2br w:val="nil"/>
                    <w:tr2bl w:val="nil"/>
                  </w:tcBorders>
                  <w:noWrap w:val="0"/>
                  <w:vAlign w:val="center"/>
                </w:tcPr>
                <w:p w14:paraId="4B91310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焊接机</w:t>
                  </w:r>
                </w:p>
              </w:tc>
              <w:tc>
                <w:tcPr>
                  <w:tcW w:w="3968" w:type="dxa"/>
                  <w:tcBorders>
                    <w:tl2br w:val="nil"/>
                    <w:tr2bl w:val="nil"/>
                  </w:tcBorders>
                  <w:noWrap w:val="0"/>
                  <w:vAlign w:val="center"/>
                </w:tcPr>
                <w:p w14:paraId="2EE87DE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78</w:t>
                  </w:r>
                </w:p>
              </w:tc>
            </w:tr>
            <w:tr w14:paraId="15318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8" w:type="dxa"/>
                  <w:tcBorders>
                    <w:tl2br w:val="nil"/>
                    <w:tr2bl w:val="nil"/>
                  </w:tcBorders>
                  <w:noWrap w:val="0"/>
                  <w:vAlign w:val="center"/>
                </w:tcPr>
                <w:p w14:paraId="29C7D9F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平铲</w:t>
                  </w:r>
                </w:p>
              </w:tc>
              <w:tc>
                <w:tcPr>
                  <w:tcW w:w="3968" w:type="dxa"/>
                  <w:tcBorders>
                    <w:tl2br w:val="nil"/>
                    <w:tr2bl w:val="nil"/>
                  </w:tcBorders>
                  <w:noWrap w:val="0"/>
                  <w:vAlign w:val="center"/>
                </w:tcPr>
                <w:p w14:paraId="6EC2222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w:t>
                  </w:r>
                </w:p>
              </w:tc>
            </w:tr>
          </w:tbl>
          <w:p w14:paraId="6CC426E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单位应该合理安排工期，尽量在白天施工，避开正常的休息时间，同时，施工单位应尽量选用先进的低噪声设备，在高噪声设备周围设置屏障以减轻噪声对周围环境的影响，优化施工机械布置位置，控制施工场界噪声不超过《建筑施工噪声排放标准》（GB12523-2025）中的相应标准限值。</w:t>
            </w:r>
          </w:p>
          <w:p w14:paraId="53023DA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4、施工期固体废物影响分析</w:t>
            </w:r>
          </w:p>
          <w:p w14:paraId="26F4F7A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施工期固体废物主要是建筑垃圾和施工人员产生的生活垃圾。</w:t>
            </w:r>
          </w:p>
          <w:p w14:paraId="074B59F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该项目在建设过程中产生的建筑垃圾主要有开挖土地产生的土方、建材损耗产生的建筑垃圾等，包括砂石、碎砖瓦、废木料等杂物。废建筑材料收集后运至当地建筑垃圾堆放场。</w:t>
            </w:r>
          </w:p>
          <w:p w14:paraId="034B7C9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工程施工高峰期人数按</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rPr>
              <w:t>人计算，以每人每天产生垃圾</w:t>
            </w:r>
            <w:r>
              <w:rPr>
                <w:rFonts w:hint="eastAsia" w:cs="Times New Roman"/>
                <w:color w:val="auto"/>
                <w:sz w:val="24"/>
                <w:highlight w:val="none"/>
                <w:lang w:val="en-US" w:eastAsia="zh-CN"/>
              </w:rPr>
              <w:t>0.5</w:t>
            </w:r>
            <w:r>
              <w:rPr>
                <w:rFonts w:hint="default" w:ascii="Times New Roman" w:hAnsi="Times New Roman" w:cs="Times New Roman"/>
                <w:color w:val="auto"/>
                <w:sz w:val="24"/>
                <w:highlight w:val="none"/>
              </w:rPr>
              <w:t>kg定额计算，故生活垃圾产生量约为</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rPr>
              <w:t>kg/d，施工场地内设置垃圾收集点，收集后运往政府指定地点，对周围环境影响很小。</w:t>
            </w:r>
          </w:p>
          <w:p w14:paraId="12AE4E9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5、生态环境影响</w:t>
            </w:r>
          </w:p>
          <w:p w14:paraId="74CB699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（1）项目的建设对生态环境的影响</w:t>
            </w:r>
          </w:p>
          <w:p w14:paraId="2C2FFE6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项目的建设对生态环境的影响主要为场地清理平整、工程压占土地、施工扰动地貌、施工机械碾压、施工人员践踏等破坏施工区域内的地貌，并破坏和影响施工区周围环境。</w:t>
            </w:r>
          </w:p>
          <w:p w14:paraId="4474624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（2）生态环境保护与恢复措施</w:t>
            </w:r>
          </w:p>
          <w:p w14:paraId="2B7D61C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施工过程应加强施工管理，尽量缩小施工范围，施工活动应严格控制在施工区域内，将临时占地面积控制在最低限度，尽可能的不破坏原有的地表植被，以免造成植被大面积破坏。</w:t>
            </w:r>
          </w:p>
          <w:p w14:paraId="686B4D42">
            <w:pPr>
              <w:spacing w:line="360" w:lineRule="auto"/>
              <w:ind w:firstLine="480" w:firstLineChars="200"/>
              <w:rPr>
                <w:rFonts w:hint="eastAsia" w:ascii="Times New Roman" w:hAnsi="Times New Roman" w:eastAsia="宋体" w:cs="Times New Roman"/>
                <w:bCs/>
                <w:color w:val="auto"/>
                <w:spacing w:val="-10"/>
                <w:szCs w:val="21"/>
                <w:highlight w:val="none"/>
                <w:lang w:eastAsia="zh-CN"/>
              </w:rPr>
            </w:pPr>
            <w:r>
              <w:rPr>
                <w:rFonts w:hint="default" w:ascii="Times New Roman" w:hAnsi="Times New Roman" w:cs="Times New Roman"/>
                <w:color w:val="auto"/>
                <w:sz w:val="24"/>
                <w:highlight w:val="none"/>
              </w:rPr>
              <w:t>施工单位在施工过程中应严格控制施工作业区面积，以减少土壤扰动，减少裸地和土方暴露面积；场施工作业机械应严格管理，划定活动范围，不得在道路、施工场地以外的地方行驶和作业；施工结束后，临时占地应进行植被恢复工作，凡受到施工车辆、施工机械破坏的地方均需要进行土地平整，生态恢复</w:t>
            </w:r>
            <w:r>
              <w:rPr>
                <w:rFonts w:hint="eastAsia"/>
                <w:color w:val="auto"/>
                <w:highlight w:val="none"/>
                <w:lang w:eastAsia="zh-CN"/>
              </w:rPr>
              <w:t>。</w:t>
            </w:r>
          </w:p>
        </w:tc>
      </w:tr>
      <w:tr w14:paraId="79D61E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noWrap w:val="0"/>
            <w:tcMar>
              <w:left w:w="28" w:type="dxa"/>
              <w:right w:w="28" w:type="dxa"/>
            </w:tcMar>
            <w:vAlign w:val="center"/>
          </w:tcPr>
          <w:p w14:paraId="7CC867DD">
            <w:pPr>
              <w:adjustRightInd w:val="0"/>
              <w:snapToGrid w:val="0"/>
              <w:jc w:val="center"/>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sz w:val="24"/>
                <w:highlight w:val="none"/>
              </w:rPr>
              <w:t>运营期环境影响和保护措施</w:t>
            </w:r>
          </w:p>
          <w:p w14:paraId="32897936">
            <w:pPr>
              <w:adjustRightInd w:val="0"/>
              <w:snapToGrid w:val="0"/>
              <w:spacing w:line="360" w:lineRule="auto"/>
              <w:jc w:val="center"/>
              <w:rPr>
                <w:rFonts w:hint="default" w:ascii="Times New Roman" w:hAnsi="Times New Roman" w:cs="Times New Roman"/>
                <w:bCs/>
                <w:color w:val="auto"/>
                <w:sz w:val="24"/>
                <w:highlight w:val="none"/>
              </w:rPr>
            </w:pPr>
          </w:p>
        </w:tc>
        <w:tc>
          <w:tcPr>
            <w:tcW w:w="4678" w:type="pct"/>
            <w:noWrap w:val="0"/>
            <w:vAlign w:val="center"/>
          </w:tcPr>
          <w:p w14:paraId="265B1BBF">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1</w:t>
            </w:r>
            <w:r>
              <w:rPr>
                <w:rFonts w:hint="default" w:ascii="Times New Roman" w:hAnsi="Times New Roman" w:cs="Times New Roman"/>
                <w:b/>
                <w:color w:val="auto"/>
                <w:sz w:val="24"/>
                <w:highlight w:val="none"/>
              </w:rPr>
              <w:t>、大气环境影响分析</w:t>
            </w:r>
          </w:p>
          <w:p w14:paraId="1AA19D12">
            <w:pPr>
              <w:pStyle w:val="107"/>
              <w:keepNext w:val="0"/>
              <w:keepLines w:val="0"/>
              <w:pageBreakBefore w:val="0"/>
              <w:widowControl w:val="0"/>
              <w:kinsoku/>
              <w:wordWrap/>
              <w:overflowPunct/>
              <w:topLinePunct w:val="0"/>
              <w:autoSpaceDE/>
              <w:autoSpaceDN/>
              <w:bidi w:val="0"/>
              <w:adjustRightInd/>
              <w:spacing w:line="440" w:lineRule="exact"/>
              <w:ind w:firstLine="480"/>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源强核算</w:t>
            </w:r>
          </w:p>
          <w:p w14:paraId="7BC2CBCD">
            <w:pPr>
              <w:pStyle w:val="107"/>
              <w:keepNext w:val="0"/>
              <w:keepLines w:val="0"/>
              <w:pageBreakBefore w:val="0"/>
              <w:widowControl w:val="0"/>
              <w:kinsoku/>
              <w:wordWrap/>
              <w:overflowPunct/>
              <w:topLinePunct w:val="0"/>
              <w:autoSpaceDE/>
              <w:autoSpaceDN/>
              <w:bidi w:val="0"/>
              <w:adjustRightInd/>
              <w:spacing w:line="440" w:lineRule="exact"/>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本项目废气主要为</w:t>
            </w:r>
            <w:r>
              <w:rPr>
                <w:rFonts w:hint="eastAsia" w:cs="Times New Roman"/>
                <w:color w:val="auto"/>
                <w:highlight w:val="none"/>
                <w:lang w:val="en-US" w:eastAsia="zh-CN"/>
              </w:rPr>
              <w:t>生产车间粉碎、搅拌等工序产生的粉尘颗粒物；发酵、熟化</w:t>
            </w:r>
            <w:r>
              <w:rPr>
                <w:rFonts w:hint="default" w:ascii="Times New Roman" w:hAnsi="Times New Roman" w:cs="Times New Roman"/>
                <w:color w:val="auto"/>
                <w:highlight w:val="none"/>
              </w:rPr>
              <w:t>过程中产生的恶臭污染物NH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r>
              <w:rPr>
                <w:rFonts w:hint="eastAsia" w:cs="Times New Roman"/>
                <w:color w:val="auto"/>
                <w:highlight w:val="none"/>
                <w:lang w:val="en-US" w:eastAsia="zh-CN"/>
              </w:rPr>
              <w:t>及牛粪储存过程散发的恶臭等</w:t>
            </w:r>
            <w:r>
              <w:rPr>
                <w:rFonts w:hint="default" w:ascii="Times New Roman" w:hAnsi="Times New Roman" w:cs="Times New Roman"/>
                <w:color w:val="auto"/>
                <w:highlight w:val="none"/>
              </w:rPr>
              <w:t>。</w:t>
            </w:r>
          </w:p>
          <w:p w14:paraId="71B72AF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1"/>
                <w:highlight w:val="none"/>
                <w:lang w:eastAsia="zh-CN"/>
              </w:rPr>
            </w:pPr>
            <w:r>
              <w:rPr>
                <w:rFonts w:hint="default" w:ascii="Times New Roman" w:hAnsi="Times New Roman" w:cs="Times New Roman"/>
                <w:b/>
                <w:bCs/>
                <w:color w:val="auto"/>
                <w:sz w:val="24"/>
                <w:highlight w:val="none"/>
              </w:rPr>
              <w:t>（</w:t>
            </w:r>
            <w:r>
              <w:rPr>
                <w:rFonts w:hint="eastAsia" w:cs="Times New Roman"/>
                <w:b/>
                <w:bCs/>
                <w:color w:val="auto"/>
                <w:sz w:val="24"/>
                <w:highlight w:val="none"/>
                <w:lang w:val="en-US" w:eastAsia="zh-CN"/>
              </w:rPr>
              <w:t>1</w:t>
            </w:r>
            <w:r>
              <w:rPr>
                <w:rFonts w:hint="default" w:ascii="Times New Roman" w:hAnsi="Times New Roman" w:cs="Times New Roman"/>
                <w:b/>
                <w:bCs/>
                <w:color w:val="auto"/>
                <w:sz w:val="24"/>
                <w:highlight w:val="none"/>
              </w:rPr>
              <w:t>）</w:t>
            </w:r>
            <w:r>
              <w:rPr>
                <w:rFonts w:hint="eastAsia" w:cs="Times New Roman"/>
                <w:b/>
                <w:bCs/>
                <w:color w:val="auto"/>
                <w:sz w:val="24"/>
                <w:szCs w:val="21"/>
                <w:highlight w:val="none"/>
                <w:lang w:val="en-US" w:eastAsia="zh-CN"/>
              </w:rPr>
              <w:t>粉碎、搅拌、筛分、制粒、包装颗粒物（有组织）</w:t>
            </w:r>
          </w:p>
          <w:p w14:paraId="5D3E0772">
            <w:pPr>
              <w:pStyle w:val="103"/>
              <w:keepNext w:val="0"/>
              <w:keepLines w:val="0"/>
              <w:pageBreakBefore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本项目生产过程中</w:t>
            </w:r>
            <w:r>
              <w:rPr>
                <w:rFonts w:hint="default" w:ascii="Times New Roman" w:hAnsi="Times New Roman" w:eastAsia="宋体" w:cs="Times New Roman"/>
                <w:color w:val="auto"/>
                <w:szCs w:val="21"/>
                <w:highlight w:val="none"/>
              </w:rPr>
              <w:t>物料</w:t>
            </w:r>
            <w:r>
              <w:rPr>
                <w:rFonts w:hint="eastAsia" w:ascii="Times New Roman" w:hAnsi="Times New Roman" w:eastAsia="宋体" w:cs="Times New Roman"/>
                <w:color w:val="auto"/>
                <w:szCs w:val="21"/>
                <w:highlight w:val="none"/>
                <w:lang w:val="en-US" w:eastAsia="zh-CN"/>
              </w:rPr>
              <w:t>粉碎、搅拌、筛分、制粒、包装</w:t>
            </w:r>
            <w:r>
              <w:rPr>
                <w:rFonts w:hint="default" w:ascii="Times New Roman" w:hAnsi="Times New Roman" w:eastAsia="宋体" w:cs="Times New Roman"/>
                <w:color w:val="auto"/>
                <w:szCs w:val="21"/>
                <w:highlight w:val="none"/>
              </w:rPr>
              <w:t>过程会产生粉尘，</w:t>
            </w:r>
            <w:r>
              <w:rPr>
                <w:rFonts w:hint="default" w:ascii="Times New Roman" w:hAnsi="Times New Roman" w:eastAsia="宋体" w:cs="Times New Roman"/>
                <w:color w:val="auto"/>
                <w:kern w:val="0"/>
                <w:szCs w:val="21"/>
                <w:highlight w:val="none"/>
              </w:rPr>
              <w:t>参照《排放源统计调查产排污核算方法和系数手册</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2625有机肥料及微生物肥料制造行业系数手册</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lang w:val="en-US" w:eastAsia="zh-CN"/>
              </w:rPr>
              <w:t>中前处理、后处理过程混配/混配</w:t>
            </w:r>
            <w:r>
              <w:rPr>
                <w:rFonts w:hint="eastAsia" w:ascii="Times New Roman" w:hAnsi="Times New Roman" w:eastAsia="宋体" w:cs="Times New Roman"/>
                <w:color w:val="auto"/>
                <w:kern w:val="0"/>
                <w:szCs w:val="21"/>
                <w:highlight w:val="none"/>
                <w:lang w:val="en-US" w:eastAsia="zh-CN"/>
              </w:rPr>
              <w:t>制粒</w:t>
            </w:r>
            <w:r>
              <w:rPr>
                <w:rFonts w:hint="default" w:ascii="Times New Roman" w:hAnsi="Times New Roman" w:eastAsia="宋体" w:cs="Times New Roman"/>
                <w:color w:val="auto"/>
                <w:kern w:val="0"/>
                <w:szCs w:val="21"/>
                <w:highlight w:val="none"/>
                <w:lang w:val="en-US" w:eastAsia="zh-CN"/>
              </w:rPr>
              <w:t>生产工艺</w:t>
            </w:r>
            <w:r>
              <w:rPr>
                <w:rFonts w:hint="eastAsia" w:ascii="Times New Roman" w:hAnsi="Times New Roman" w:eastAsia="宋体" w:cs="Times New Roman"/>
                <w:color w:val="auto"/>
                <w:kern w:val="0"/>
                <w:szCs w:val="21"/>
                <w:highlight w:val="none"/>
                <w:lang w:val="en-US" w:eastAsia="zh-CN"/>
              </w:rPr>
              <w:t>：颗粒物</w:t>
            </w:r>
            <w:r>
              <w:rPr>
                <w:rFonts w:hint="default" w:ascii="Times New Roman" w:hAnsi="Times New Roman" w:eastAsia="宋体" w:cs="Times New Roman"/>
                <w:color w:val="auto"/>
                <w:kern w:val="0"/>
                <w:szCs w:val="21"/>
                <w:highlight w:val="none"/>
              </w:rPr>
              <w:t>产生系数为</w:t>
            </w:r>
            <w:r>
              <w:rPr>
                <w:rFonts w:hint="default"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lang w:val="en-US" w:eastAsia="zh-CN"/>
              </w:rPr>
              <w:t>37</w:t>
            </w:r>
            <w:r>
              <w:rPr>
                <w:rFonts w:hint="default" w:ascii="Times New Roman" w:hAnsi="Times New Roman" w:eastAsia="宋体" w:cs="Times New Roman"/>
                <w:color w:val="auto"/>
                <w:szCs w:val="21"/>
                <w:highlight w:val="none"/>
              </w:rPr>
              <w:t>kg/t</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产品。</w:t>
            </w:r>
          </w:p>
          <w:p w14:paraId="3FF2FA55">
            <w:pPr>
              <w:pStyle w:val="103"/>
              <w:keepNext w:val="0"/>
              <w:keepLines w:val="0"/>
              <w:pageBreakBefore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本项目全厂建设规模为30万吨/年，一、二期工程共用1条生产线，一期工程产能为年生产基础有机肥26万吨，二期工程产能为年生产高端有机肥4万吨/年。项目两期建成后年运行2400h，年产有机肥料30万吨</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年运行2400h，</w:t>
            </w:r>
            <w:r>
              <w:rPr>
                <w:rFonts w:hint="default" w:ascii="Times New Roman" w:hAnsi="Times New Roman" w:eastAsia="宋体" w:cs="Times New Roman"/>
                <w:color w:val="auto"/>
                <w:szCs w:val="21"/>
                <w:highlight w:val="none"/>
              </w:rPr>
              <w:t>则项目</w:t>
            </w:r>
            <w:r>
              <w:rPr>
                <w:rFonts w:hint="eastAsia" w:ascii="Times New Roman" w:hAnsi="Times New Roman" w:eastAsia="宋体" w:cs="Times New Roman"/>
                <w:color w:val="auto"/>
                <w:szCs w:val="21"/>
                <w:highlight w:val="none"/>
                <w:lang w:val="en-US" w:eastAsia="zh-CN"/>
              </w:rPr>
              <w:t>颗粒物</w:t>
            </w:r>
            <w:r>
              <w:rPr>
                <w:rFonts w:hint="default" w:ascii="Times New Roman" w:hAnsi="Times New Roman" w:eastAsia="宋体" w:cs="Times New Roman"/>
                <w:color w:val="auto"/>
                <w:szCs w:val="21"/>
                <w:highlight w:val="none"/>
              </w:rPr>
              <w:t>总产生量为</w:t>
            </w:r>
            <w:r>
              <w:rPr>
                <w:rFonts w:hint="eastAsia" w:ascii="Times New Roman" w:hAnsi="Times New Roman" w:eastAsia="宋体" w:cs="Times New Roman"/>
                <w:color w:val="auto"/>
                <w:szCs w:val="21"/>
                <w:highlight w:val="none"/>
                <w:lang w:val="en-US" w:eastAsia="zh-CN"/>
              </w:rPr>
              <w:t>111</w:t>
            </w:r>
            <w:r>
              <w:rPr>
                <w:rFonts w:hint="default" w:ascii="Times New Roman" w:hAnsi="Times New Roman" w:eastAsia="宋体" w:cs="Times New Roman"/>
                <w:color w:val="auto"/>
                <w:szCs w:val="21"/>
                <w:highlight w:val="none"/>
              </w:rPr>
              <w:t>t/a</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46.25kg/h</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w:t>
            </w:r>
          </w:p>
          <w:p w14:paraId="48C0977D">
            <w:pPr>
              <w:pStyle w:val="103"/>
              <w:keepNext w:val="0"/>
              <w:keepLines w:val="0"/>
              <w:pageBreakBefore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粉碎机、搅拌机、筛分机、制粒机、包装机运行过程中</w:t>
            </w:r>
            <w:r>
              <w:rPr>
                <w:rFonts w:hint="default" w:ascii="Times New Roman" w:hAnsi="Times New Roman" w:eastAsia="宋体" w:cs="Times New Roman"/>
                <w:color w:val="auto"/>
                <w:sz w:val="24"/>
                <w:szCs w:val="24"/>
                <w:highlight w:val="none"/>
                <w:lang w:val="en-US" w:eastAsia="zh-CN"/>
              </w:rPr>
              <w:t>封闭设置，</w:t>
            </w:r>
            <w:r>
              <w:rPr>
                <w:rFonts w:hint="eastAsia" w:ascii="Times New Roman" w:hAnsi="Times New Roman" w:eastAsia="宋体" w:cs="Times New Roman"/>
                <w:color w:val="auto"/>
                <w:sz w:val="24"/>
                <w:szCs w:val="24"/>
                <w:highlight w:val="none"/>
                <w:lang w:val="en-US" w:eastAsia="zh-CN"/>
              </w:rPr>
              <w:t>且</w:t>
            </w:r>
            <w:r>
              <w:rPr>
                <w:rFonts w:hint="default" w:ascii="Times New Roman" w:hAnsi="Times New Roman" w:eastAsia="宋体" w:cs="Times New Roman"/>
                <w:color w:val="auto"/>
                <w:sz w:val="24"/>
                <w:szCs w:val="24"/>
                <w:highlight w:val="none"/>
                <w:lang w:val="en-US" w:eastAsia="zh-CN"/>
              </w:rPr>
              <w:t>入料口</w:t>
            </w:r>
            <w:r>
              <w:rPr>
                <w:rFonts w:hint="eastAsia" w:ascii="Times New Roman" w:hAnsi="Times New Roman" w:eastAsia="宋体" w:cs="Times New Roman"/>
                <w:color w:val="auto"/>
                <w:sz w:val="24"/>
                <w:szCs w:val="24"/>
                <w:highlight w:val="none"/>
                <w:lang w:val="en-US" w:eastAsia="zh-CN"/>
              </w:rPr>
              <w:t>各设有1台集气罩（尺寸</w:t>
            </w:r>
            <w:r>
              <w:rPr>
                <w:rFonts w:hint="default" w:ascii="Times New Roman" w:hAnsi="Times New Roman" w:eastAsia="宋体" w:cs="Times New Roman"/>
                <w:bCs/>
                <w:color w:val="auto"/>
                <w:sz w:val="21"/>
                <w:szCs w:val="21"/>
                <w:highlight w:val="none"/>
                <w:lang w:val="en-US" w:eastAsia="zh-CN"/>
              </w:rPr>
              <w:t>1.5m</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1.5m</w:t>
            </w:r>
            <w:r>
              <w:rPr>
                <w:rFonts w:hint="eastAsia" w:ascii="Times New Roman" w:hAnsi="Times New Roman" w:eastAsia="宋体" w:cs="Times New Roman"/>
                <w:color w:val="auto"/>
                <w:sz w:val="24"/>
                <w:szCs w:val="24"/>
                <w:highlight w:val="none"/>
                <w:lang w:val="en-US" w:eastAsia="zh-CN"/>
              </w:rPr>
              <w:t>），集气效率为80%，破碎机及搅拌机产生的废气经</w:t>
            </w:r>
            <w:r>
              <w:rPr>
                <w:rFonts w:hint="default" w:ascii="Times New Roman" w:hAnsi="Times New Roman" w:eastAsia="宋体" w:cs="Times New Roman"/>
                <w:color w:val="auto"/>
                <w:sz w:val="24"/>
                <w:szCs w:val="24"/>
                <w:highlight w:val="none"/>
                <w:lang w:val="en-US" w:eastAsia="zh-CN"/>
              </w:rPr>
              <w:t>集气罩收集后通过管道将收集的粉尘输送至布袋除尘器处理后经1根高15m，</w:t>
            </w:r>
            <w:r>
              <w:rPr>
                <w:rFonts w:hint="eastAsia" w:ascii="Times New Roman" w:hAnsi="Times New Roman" w:eastAsia="宋体" w:cs="Times New Roman"/>
                <w:color w:val="auto"/>
                <w:sz w:val="24"/>
                <w:szCs w:val="24"/>
                <w:highlight w:val="none"/>
                <w:lang w:val="en-US" w:eastAsia="zh-CN"/>
              </w:rPr>
              <w:t>内径0.5m</w:t>
            </w:r>
            <w:r>
              <w:rPr>
                <w:rFonts w:hint="default" w:ascii="Times New Roman" w:hAnsi="Times New Roman" w:eastAsia="宋体" w:cs="Times New Roman"/>
                <w:color w:val="auto"/>
                <w:sz w:val="24"/>
                <w:szCs w:val="24"/>
                <w:highlight w:val="none"/>
                <w:lang w:val="en-US" w:eastAsia="zh-CN"/>
              </w:rPr>
              <w:t>的排气筒（#1）排放</w:t>
            </w:r>
            <w:r>
              <w:rPr>
                <w:rFonts w:hint="default" w:ascii="Times New Roman" w:hAnsi="Times New Roman" w:eastAsia="宋体" w:cs="Times New Roman"/>
                <w:color w:val="auto"/>
                <w:szCs w:val="21"/>
                <w:highlight w:val="none"/>
              </w:rPr>
              <w:t>。</w:t>
            </w:r>
          </w:p>
          <w:p w14:paraId="10EB8A1E">
            <w:pPr>
              <w:pStyle w:val="103"/>
              <w:keepNext w:val="0"/>
              <w:keepLines w:val="0"/>
              <w:pageBreakBefore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eastAsia="宋体" w:cs="Times New Roman"/>
                <w:color w:val="auto"/>
                <w:szCs w:val="21"/>
                <w:highlight w:val="none"/>
                <w:lang w:val="en-US" w:eastAsia="zh-CN"/>
              </w:rPr>
              <w:t>项目两期工程建成基础有机肥、高端有有机肥连续生产后各工序颗粒物总产生量为111t/a，被收集的颗粒物量为88.8t/a，产生速率为37kg/h，产生浓度3700</w:t>
            </w:r>
            <w:r>
              <w:rPr>
                <w:rFonts w:hint="eastAsia" w:ascii="Times New Roman" w:hAnsi="Times New Roman" w:eastAsia="宋体" w:cs="Times New Roman"/>
                <w:color w:val="auto"/>
                <w:kern w:val="0"/>
                <w:sz w:val="24"/>
                <w:szCs w:val="24"/>
                <w:highlight w:val="none"/>
                <w:lang w:val="en-US" w:eastAsia="zh-CN" w:bidi="ar-SA"/>
              </w:rPr>
              <w:t>mg/m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vertAlign w:val="baseline"/>
                <w:lang w:val="en-US" w:eastAsia="zh-CN" w:bidi="ar-SA"/>
              </w:rPr>
              <w:t>；</w:t>
            </w:r>
            <w:r>
              <w:rPr>
                <w:rFonts w:hint="eastAsia" w:ascii="Times New Roman" w:hAnsi="Times New Roman" w:eastAsia="宋体" w:cs="Times New Roman"/>
                <w:color w:val="auto"/>
                <w:szCs w:val="21"/>
                <w:highlight w:val="none"/>
                <w:lang w:val="en-US" w:eastAsia="zh-CN"/>
              </w:rPr>
              <w:t>风机风量为10000m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/h，布袋除尘器对颗粒物的去除效率按99%计，</w:t>
            </w:r>
            <w:r>
              <w:rPr>
                <w:rFonts w:hint="eastAsia" w:ascii="Times New Roman" w:hAnsi="Times New Roman" w:eastAsia="宋体" w:cs="Times New Roman"/>
                <w:color w:val="auto"/>
                <w:kern w:val="0"/>
                <w:sz w:val="24"/>
                <w:szCs w:val="24"/>
                <w:highlight w:val="none"/>
                <w:vertAlign w:val="baseline"/>
                <w:lang w:val="en-US" w:eastAsia="zh-CN" w:bidi="ar-SA"/>
              </w:rPr>
              <w:t>则排放量为0.888t/a（0.37kg/h，37mg/m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vertAlign w:val="baseline"/>
                <w:lang w:val="en-US" w:eastAsia="zh-CN" w:bidi="ar-SA"/>
              </w:rPr>
              <w:t>）。</w:t>
            </w:r>
          </w:p>
          <w:p w14:paraId="74DC9897">
            <w:pPr>
              <w:pStyle w:val="103"/>
              <w:keepNext w:val="0"/>
              <w:keepLines w:val="0"/>
              <w:pageBreakBefore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eastAsia="宋体" w:cs="Times New Roman"/>
                <w:color w:val="auto"/>
                <w:kern w:val="0"/>
                <w:sz w:val="24"/>
                <w:szCs w:val="24"/>
                <w:highlight w:val="none"/>
                <w:vertAlign w:val="baseline"/>
                <w:lang w:val="en-US" w:eastAsia="zh-CN" w:bidi="ar-SA"/>
              </w:rPr>
              <w:t>未收集到的颗粒物量为22.2t/a，大部分自然沉降于车间内（车间阻隔效率70%），清扫收集返回生产系统，少部分无组织排放，排放量为6.66t/a。</w:t>
            </w:r>
          </w:p>
          <w:p w14:paraId="4B78E4FB">
            <w:pPr>
              <w:pStyle w:val="103"/>
              <w:keepNext w:val="0"/>
              <w:keepLines w:val="0"/>
              <w:pageBreakBefore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排气筒废气产排情况见下表4-</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p>
          <w:p w14:paraId="29AAE17C">
            <w:pPr>
              <w:keepNext w:val="0"/>
              <w:keepLines w:val="0"/>
              <w:pageBreakBefore w:val="0"/>
              <w:widowControl w:val="0"/>
              <w:kinsoku/>
              <w:wordWrap/>
              <w:overflowPunct/>
              <w:topLinePunct w:val="0"/>
              <w:autoSpaceDE/>
              <w:autoSpaceDN/>
              <w:bidi w:val="0"/>
              <w:adjustRightInd/>
              <w:snapToGrid/>
              <w:spacing w:line="440" w:lineRule="exact"/>
              <w:ind w:firstLine="241" w:firstLineChars="100"/>
              <w:jc w:val="center"/>
              <w:textAlignment w:val="auto"/>
              <w:rPr>
                <w:rFonts w:hint="default" w:ascii="Times New Roman" w:hAnsi="Times New Roman" w:eastAsia="宋体" w:cs="Times New Roman"/>
                <w:b/>
                <w:bCs w:val="0"/>
                <w:color w:val="auto"/>
                <w:sz w:val="24"/>
                <w:szCs w:val="21"/>
                <w:highlight w:val="none"/>
              </w:rPr>
            </w:pPr>
            <w:r>
              <w:rPr>
                <w:rFonts w:hint="default" w:ascii="Times New Roman" w:hAnsi="Times New Roman" w:eastAsia="宋体" w:cs="Times New Roman"/>
                <w:b/>
                <w:bCs w:val="0"/>
                <w:color w:val="auto"/>
                <w:sz w:val="24"/>
                <w:szCs w:val="21"/>
                <w:highlight w:val="none"/>
                <w:lang w:bidi="ar"/>
              </w:rPr>
              <w:t>表4</w:t>
            </w:r>
            <w:r>
              <w:rPr>
                <w:rFonts w:hint="eastAsia" w:cs="Times New Roman"/>
                <w:b/>
                <w:bCs w:val="0"/>
                <w:color w:val="auto"/>
                <w:sz w:val="24"/>
                <w:szCs w:val="21"/>
                <w:highlight w:val="none"/>
                <w:lang w:val="en-US" w:eastAsia="zh-CN" w:bidi="ar"/>
              </w:rPr>
              <w:t>-2</w:t>
            </w:r>
            <w:r>
              <w:rPr>
                <w:rFonts w:hint="default" w:ascii="Times New Roman" w:hAnsi="Times New Roman" w:eastAsia="宋体" w:cs="Times New Roman"/>
                <w:b/>
                <w:bCs w:val="0"/>
                <w:color w:val="auto"/>
                <w:sz w:val="24"/>
                <w:szCs w:val="21"/>
                <w:highlight w:val="none"/>
                <w:lang w:bidi="ar"/>
              </w:rPr>
              <w:t xml:space="preserve">  </w:t>
            </w:r>
            <w:r>
              <w:rPr>
                <w:rFonts w:hint="eastAsia" w:cs="Times New Roman"/>
                <w:b/>
                <w:bCs w:val="0"/>
                <w:color w:val="auto"/>
                <w:sz w:val="24"/>
                <w:szCs w:val="21"/>
                <w:highlight w:val="none"/>
                <w:lang w:val="en-US" w:eastAsia="zh-CN" w:bidi="ar"/>
              </w:rPr>
              <w:t>#1排气筒</w:t>
            </w:r>
            <w:r>
              <w:rPr>
                <w:rFonts w:hint="default" w:ascii="Times New Roman" w:hAnsi="Times New Roman" w:eastAsia="宋体" w:cs="Times New Roman"/>
                <w:b/>
                <w:bCs w:val="0"/>
                <w:color w:val="auto"/>
                <w:sz w:val="24"/>
                <w:szCs w:val="21"/>
                <w:highlight w:val="none"/>
                <w:lang w:bidi="ar"/>
              </w:rPr>
              <w:t>污染物产生及排放情况表</w:t>
            </w:r>
          </w:p>
          <w:tbl>
            <w:tblPr>
              <w:tblStyle w:val="32"/>
              <w:tblW w:w="8654"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1"/>
              <w:gridCol w:w="475"/>
              <w:gridCol w:w="1070"/>
              <w:gridCol w:w="648"/>
              <w:gridCol w:w="814"/>
              <w:gridCol w:w="829"/>
              <w:gridCol w:w="663"/>
              <w:gridCol w:w="739"/>
              <w:gridCol w:w="663"/>
              <w:gridCol w:w="719"/>
              <w:gridCol w:w="623"/>
              <w:gridCol w:w="590"/>
            </w:tblGrid>
            <w:tr w14:paraId="3DC62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74" w:type="pct"/>
                  <w:vMerge w:val="restart"/>
                  <w:tcBorders>
                    <w:tl2br w:val="nil"/>
                    <w:tr2bl w:val="nil"/>
                  </w:tcBorders>
                  <w:noWrap w:val="0"/>
                  <w:vAlign w:val="center"/>
                </w:tcPr>
                <w:p w14:paraId="78A97E39">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污染源</w:t>
                  </w:r>
                </w:p>
              </w:tc>
              <w:tc>
                <w:tcPr>
                  <w:tcW w:w="274" w:type="pct"/>
                  <w:vMerge w:val="restart"/>
                  <w:tcBorders>
                    <w:tl2br w:val="nil"/>
                    <w:tr2bl w:val="nil"/>
                  </w:tcBorders>
                  <w:noWrap w:val="0"/>
                  <w:vAlign w:val="center"/>
                </w:tcPr>
                <w:p w14:paraId="50C6BF72">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废气量</w:t>
                  </w:r>
                </w:p>
                <w:p w14:paraId="3D27A3EE">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m</w:t>
                  </w:r>
                  <w:r>
                    <w:rPr>
                      <w:rFonts w:hint="default" w:ascii="Times New Roman" w:hAnsi="Times New Roman" w:cs="Times New Roman"/>
                      <w:b/>
                      <w:bCs/>
                      <w:color w:val="auto"/>
                      <w:szCs w:val="21"/>
                      <w:highlight w:val="none"/>
                      <w:vertAlign w:val="superscript"/>
                      <w:lang w:bidi="ar"/>
                    </w:rPr>
                    <w:t>3</w:t>
                  </w:r>
                  <w:r>
                    <w:rPr>
                      <w:rFonts w:hint="default" w:ascii="Times New Roman" w:hAnsi="Times New Roman" w:cs="Times New Roman"/>
                      <w:b/>
                      <w:bCs/>
                      <w:color w:val="auto"/>
                      <w:szCs w:val="21"/>
                      <w:highlight w:val="none"/>
                      <w:lang w:bidi="ar"/>
                    </w:rPr>
                    <w:t>/h</w:t>
                  </w:r>
                </w:p>
              </w:tc>
              <w:tc>
                <w:tcPr>
                  <w:tcW w:w="618" w:type="pct"/>
                  <w:vMerge w:val="restart"/>
                  <w:tcBorders>
                    <w:tl2br w:val="nil"/>
                    <w:tr2bl w:val="nil"/>
                  </w:tcBorders>
                  <w:noWrap w:val="0"/>
                  <w:vAlign w:val="center"/>
                </w:tcPr>
                <w:p w14:paraId="0C719FE3">
                  <w:pPr>
                    <w:jc w:val="center"/>
                    <w:rPr>
                      <w:rFonts w:hint="default" w:ascii="Times New Roman" w:hAnsi="Times New Roman" w:cs="Times New Roman"/>
                      <w:b/>
                      <w:bCs/>
                      <w:color w:val="auto"/>
                      <w:spacing w:val="-12"/>
                      <w:szCs w:val="21"/>
                      <w:highlight w:val="none"/>
                    </w:rPr>
                  </w:pPr>
                  <w:r>
                    <w:rPr>
                      <w:rFonts w:hint="default" w:ascii="Times New Roman" w:hAnsi="Times New Roman" w:cs="Times New Roman"/>
                      <w:b/>
                      <w:bCs/>
                      <w:color w:val="auto"/>
                      <w:szCs w:val="21"/>
                      <w:highlight w:val="none"/>
                      <w:lang w:bidi="ar"/>
                    </w:rPr>
                    <w:t>治理措施</w:t>
                  </w:r>
                </w:p>
              </w:tc>
              <w:tc>
                <w:tcPr>
                  <w:tcW w:w="374" w:type="pct"/>
                  <w:vMerge w:val="restart"/>
                  <w:tcBorders>
                    <w:tl2br w:val="nil"/>
                    <w:tr2bl w:val="nil"/>
                  </w:tcBorders>
                  <w:noWrap w:val="0"/>
                  <w:vAlign w:val="center"/>
                </w:tcPr>
                <w:p w14:paraId="390C4DA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污染物</w:t>
                  </w:r>
                </w:p>
              </w:tc>
              <w:tc>
                <w:tcPr>
                  <w:tcW w:w="470" w:type="pct"/>
                  <w:vMerge w:val="restart"/>
                  <w:tcBorders>
                    <w:tl2br w:val="nil"/>
                    <w:tr2bl w:val="nil"/>
                  </w:tcBorders>
                  <w:noWrap w:val="0"/>
                  <w:vAlign w:val="center"/>
                </w:tcPr>
                <w:p w14:paraId="766F22EA">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产生</w:t>
                  </w:r>
                </w:p>
                <w:p w14:paraId="268997D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浓度mg/m</w:t>
                  </w:r>
                  <w:r>
                    <w:rPr>
                      <w:rFonts w:hint="default" w:ascii="Times New Roman" w:hAnsi="Times New Roman" w:cs="Times New Roman"/>
                      <w:b/>
                      <w:bCs/>
                      <w:color w:val="auto"/>
                      <w:szCs w:val="21"/>
                      <w:highlight w:val="none"/>
                      <w:vertAlign w:val="superscript"/>
                      <w:lang w:bidi="ar"/>
                    </w:rPr>
                    <w:t>3</w:t>
                  </w:r>
                </w:p>
              </w:tc>
              <w:tc>
                <w:tcPr>
                  <w:tcW w:w="478" w:type="pct"/>
                  <w:vMerge w:val="restart"/>
                  <w:tcBorders>
                    <w:tl2br w:val="nil"/>
                    <w:tr2bl w:val="nil"/>
                  </w:tcBorders>
                  <w:noWrap w:val="0"/>
                  <w:vAlign w:val="center"/>
                </w:tcPr>
                <w:p w14:paraId="66E4B50A">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产生速率kg/h</w:t>
                  </w:r>
                </w:p>
              </w:tc>
              <w:tc>
                <w:tcPr>
                  <w:tcW w:w="383" w:type="pct"/>
                  <w:vMerge w:val="restart"/>
                  <w:tcBorders>
                    <w:tl2br w:val="nil"/>
                    <w:tr2bl w:val="nil"/>
                  </w:tcBorders>
                  <w:noWrap w:val="0"/>
                  <w:vAlign w:val="center"/>
                </w:tcPr>
                <w:p w14:paraId="531202D1">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处理</w:t>
                  </w:r>
                </w:p>
                <w:p w14:paraId="443EFF7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效率</w:t>
                  </w:r>
                </w:p>
              </w:tc>
              <w:tc>
                <w:tcPr>
                  <w:tcW w:w="426" w:type="pct"/>
                  <w:vMerge w:val="restart"/>
                  <w:tcBorders>
                    <w:tl2br w:val="nil"/>
                    <w:tr2bl w:val="nil"/>
                  </w:tcBorders>
                  <w:noWrap w:val="0"/>
                  <w:vAlign w:val="center"/>
                </w:tcPr>
                <w:p w14:paraId="6CF0D543">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排放</w:t>
                  </w:r>
                </w:p>
                <w:p w14:paraId="7B843D74">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浓度mg/m</w:t>
                  </w:r>
                  <w:r>
                    <w:rPr>
                      <w:rFonts w:hint="default" w:ascii="Times New Roman" w:hAnsi="Times New Roman" w:cs="Times New Roman"/>
                      <w:b/>
                      <w:bCs/>
                      <w:color w:val="auto"/>
                      <w:szCs w:val="21"/>
                      <w:highlight w:val="none"/>
                      <w:vertAlign w:val="superscript"/>
                      <w:lang w:bidi="ar"/>
                    </w:rPr>
                    <w:t>3</w:t>
                  </w:r>
                </w:p>
              </w:tc>
              <w:tc>
                <w:tcPr>
                  <w:tcW w:w="383" w:type="pct"/>
                  <w:vMerge w:val="restart"/>
                  <w:tcBorders>
                    <w:tl2br w:val="nil"/>
                    <w:tr2bl w:val="nil"/>
                  </w:tcBorders>
                  <w:noWrap w:val="0"/>
                  <w:vAlign w:val="center"/>
                </w:tcPr>
                <w:p w14:paraId="73974266">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排放</w:t>
                  </w:r>
                </w:p>
                <w:p w14:paraId="621848C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速率kg/h</w:t>
                  </w:r>
                </w:p>
              </w:tc>
              <w:tc>
                <w:tcPr>
                  <w:tcW w:w="415" w:type="pct"/>
                  <w:vMerge w:val="restart"/>
                  <w:tcBorders>
                    <w:tl2br w:val="nil"/>
                    <w:tr2bl w:val="nil"/>
                  </w:tcBorders>
                  <w:noWrap w:val="0"/>
                  <w:vAlign w:val="center"/>
                </w:tcPr>
                <w:p w14:paraId="0D11E2D2">
                  <w:pPr>
                    <w:jc w:val="center"/>
                    <w:rPr>
                      <w:rFonts w:hint="default" w:cs="Times New Roman"/>
                      <w:b/>
                      <w:bCs/>
                      <w:color w:val="auto"/>
                      <w:szCs w:val="21"/>
                      <w:highlight w:val="none"/>
                      <w:lang w:val="en-US" w:eastAsia="zh-CN" w:bidi="ar"/>
                    </w:rPr>
                  </w:pPr>
                  <w:r>
                    <w:rPr>
                      <w:rFonts w:hint="eastAsia" w:cs="Times New Roman"/>
                      <w:b/>
                      <w:bCs/>
                      <w:color w:val="auto"/>
                      <w:szCs w:val="21"/>
                      <w:highlight w:val="none"/>
                      <w:lang w:val="en-US" w:eastAsia="zh-CN" w:bidi="ar"/>
                    </w:rPr>
                    <w:t>排放量t/a</w:t>
                  </w:r>
                </w:p>
              </w:tc>
              <w:tc>
                <w:tcPr>
                  <w:tcW w:w="700" w:type="pct"/>
                  <w:gridSpan w:val="2"/>
                  <w:tcBorders>
                    <w:tl2br w:val="nil"/>
                    <w:tr2bl w:val="nil"/>
                  </w:tcBorders>
                  <w:noWrap w:val="0"/>
                  <w:vAlign w:val="center"/>
                </w:tcPr>
                <w:p w14:paraId="5002897D">
                  <w:pPr>
                    <w:jc w:val="center"/>
                    <w:rPr>
                      <w:rFonts w:hint="default" w:ascii="Times New Roman" w:hAnsi="Times New Roman" w:cs="Times New Roman"/>
                      <w:b/>
                      <w:bCs/>
                      <w:color w:val="auto"/>
                      <w:szCs w:val="21"/>
                      <w:highlight w:val="none"/>
                      <w:lang w:val="en-US" w:bidi="ar"/>
                    </w:rPr>
                  </w:pPr>
                  <w:r>
                    <w:rPr>
                      <w:rFonts w:hint="eastAsia" w:cs="Times New Roman"/>
                      <w:b/>
                      <w:bCs/>
                      <w:color w:val="auto"/>
                      <w:szCs w:val="21"/>
                      <w:highlight w:val="none"/>
                      <w:lang w:val="en-US" w:eastAsia="zh-CN" w:bidi="ar"/>
                    </w:rPr>
                    <w:t>排放参数</w:t>
                  </w:r>
                </w:p>
              </w:tc>
            </w:tr>
            <w:tr w14:paraId="5483A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474" w:type="pct"/>
                  <w:vMerge w:val="continue"/>
                  <w:tcBorders>
                    <w:tl2br w:val="nil"/>
                    <w:tr2bl w:val="nil"/>
                  </w:tcBorders>
                  <w:noWrap w:val="0"/>
                  <w:vAlign w:val="center"/>
                </w:tcPr>
                <w:p w14:paraId="6A812D38">
                  <w:pPr>
                    <w:jc w:val="center"/>
                    <w:rPr>
                      <w:rFonts w:hint="default" w:ascii="Times New Roman" w:hAnsi="Times New Roman" w:cs="Times New Roman"/>
                      <w:b/>
                      <w:bCs/>
                      <w:color w:val="auto"/>
                      <w:szCs w:val="21"/>
                      <w:highlight w:val="none"/>
                    </w:rPr>
                  </w:pPr>
                </w:p>
              </w:tc>
              <w:tc>
                <w:tcPr>
                  <w:tcW w:w="274" w:type="pct"/>
                  <w:vMerge w:val="continue"/>
                  <w:tcBorders>
                    <w:tl2br w:val="nil"/>
                    <w:tr2bl w:val="nil"/>
                  </w:tcBorders>
                  <w:noWrap w:val="0"/>
                  <w:vAlign w:val="center"/>
                </w:tcPr>
                <w:p w14:paraId="456BF3CA">
                  <w:pPr>
                    <w:jc w:val="center"/>
                    <w:rPr>
                      <w:rFonts w:hint="default" w:ascii="Times New Roman" w:hAnsi="Times New Roman" w:cs="Times New Roman"/>
                      <w:b/>
                      <w:bCs/>
                      <w:color w:val="auto"/>
                      <w:szCs w:val="21"/>
                      <w:highlight w:val="none"/>
                    </w:rPr>
                  </w:pPr>
                </w:p>
              </w:tc>
              <w:tc>
                <w:tcPr>
                  <w:tcW w:w="618" w:type="pct"/>
                  <w:vMerge w:val="continue"/>
                  <w:tcBorders>
                    <w:tl2br w:val="nil"/>
                    <w:tr2bl w:val="nil"/>
                  </w:tcBorders>
                  <w:noWrap w:val="0"/>
                  <w:vAlign w:val="center"/>
                </w:tcPr>
                <w:p w14:paraId="38381338">
                  <w:pPr>
                    <w:jc w:val="center"/>
                    <w:rPr>
                      <w:rFonts w:hint="default" w:ascii="Times New Roman" w:hAnsi="Times New Roman" w:cs="Times New Roman"/>
                      <w:b/>
                      <w:bCs/>
                      <w:color w:val="auto"/>
                      <w:szCs w:val="21"/>
                      <w:highlight w:val="none"/>
                    </w:rPr>
                  </w:pPr>
                </w:p>
              </w:tc>
              <w:tc>
                <w:tcPr>
                  <w:tcW w:w="374" w:type="pct"/>
                  <w:vMerge w:val="continue"/>
                  <w:tcBorders>
                    <w:tl2br w:val="nil"/>
                    <w:tr2bl w:val="nil"/>
                  </w:tcBorders>
                  <w:noWrap w:val="0"/>
                  <w:vAlign w:val="center"/>
                </w:tcPr>
                <w:p w14:paraId="08A968C5">
                  <w:pPr>
                    <w:jc w:val="center"/>
                    <w:rPr>
                      <w:rFonts w:hint="default" w:ascii="Times New Roman" w:hAnsi="Times New Roman" w:cs="Times New Roman"/>
                      <w:b/>
                      <w:bCs/>
                      <w:color w:val="auto"/>
                      <w:szCs w:val="21"/>
                      <w:highlight w:val="none"/>
                    </w:rPr>
                  </w:pPr>
                </w:p>
              </w:tc>
              <w:tc>
                <w:tcPr>
                  <w:tcW w:w="470" w:type="pct"/>
                  <w:vMerge w:val="continue"/>
                  <w:tcBorders>
                    <w:tl2br w:val="nil"/>
                    <w:tr2bl w:val="nil"/>
                  </w:tcBorders>
                  <w:noWrap w:val="0"/>
                  <w:vAlign w:val="center"/>
                </w:tcPr>
                <w:p w14:paraId="614131D9">
                  <w:pPr>
                    <w:jc w:val="center"/>
                    <w:rPr>
                      <w:rFonts w:hint="default" w:ascii="Times New Roman" w:hAnsi="Times New Roman" w:cs="Times New Roman"/>
                      <w:b/>
                      <w:bCs/>
                      <w:color w:val="auto"/>
                      <w:szCs w:val="21"/>
                      <w:highlight w:val="none"/>
                    </w:rPr>
                  </w:pPr>
                </w:p>
              </w:tc>
              <w:tc>
                <w:tcPr>
                  <w:tcW w:w="478" w:type="pct"/>
                  <w:vMerge w:val="continue"/>
                  <w:tcBorders>
                    <w:tl2br w:val="nil"/>
                    <w:tr2bl w:val="nil"/>
                  </w:tcBorders>
                  <w:noWrap w:val="0"/>
                  <w:vAlign w:val="center"/>
                </w:tcPr>
                <w:p w14:paraId="7179E568">
                  <w:pPr>
                    <w:jc w:val="center"/>
                    <w:rPr>
                      <w:rFonts w:hint="default" w:ascii="Times New Roman" w:hAnsi="Times New Roman" w:cs="Times New Roman"/>
                      <w:b/>
                      <w:bCs/>
                      <w:color w:val="auto"/>
                      <w:szCs w:val="21"/>
                      <w:highlight w:val="none"/>
                    </w:rPr>
                  </w:pPr>
                </w:p>
              </w:tc>
              <w:tc>
                <w:tcPr>
                  <w:tcW w:w="383" w:type="pct"/>
                  <w:vMerge w:val="continue"/>
                  <w:tcBorders>
                    <w:tl2br w:val="nil"/>
                    <w:tr2bl w:val="nil"/>
                  </w:tcBorders>
                  <w:noWrap w:val="0"/>
                  <w:vAlign w:val="center"/>
                </w:tcPr>
                <w:p w14:paraId="4C03C4B6">
                  <w:pPr>
                    <w:jc w:val="center"/>
                    <w:rPr>
                      <w:rFonts w:hint="default" w:ascii="Times New Roman" w:hAnsi="Times New Roman" w:cs="Times New Roman"/>
                      <w:b/>
                      <w:bCs/>
                      <w:color w:val="auto"/>
                      <w:szCs w:val="21"/>
                      <w:highlight w:val="none"/>
                    </w:rPr>
                  </w:pPr>
                </w:p>
              </w:tc>
              <w:tc>
                <w:tcPr>
                  <w:tcW w:w="426" w:type="pct"/>
                  <w:vMerge w:val="continue"/>
                  <w:tcBorders>
                    <w:tl2br w:val="nil"/>
                    <w:tr2bl w:val="nil"/>
                  </w:tcBorders>
                  <w:noWrap w:val="0"/>
                  <w:vAlign w:val="center"/>
                </w:tcPr>
                <w:p w14:paraId="1C928BFD">
                  <w:pPr>
                    <w:jc w:val="center"/>
                    <w:rPr>
                      <w:rFonts w:hint="default" w:ascii="Times New Roman" w:hAnsi="Times New Roman" w:cs="Times New Roman"/>
                      <w:b/>
                      <w:bCs/>
                      <w:color w:val="auto"/>
                      <w:szCs w:val="21"/>
                      <w:highlight w:val="none"/>
                    </w:rPr>
                  </w:pPr>
                </w:p>
              </w:tc>
              <w:tc>
                <w:tcPr>
                  <w:tcW w:w="383" w:type="pct"/>
                  <w:vMerge w:val="continue"/>
                  <w:tcBorders>
                    <w:tl2br w:val="nil"/>
                    <w:tr2bl w:val="nil"/>
                  </w:tcBorders>
                  <w:noWrap w:val="0"/>
                  <w:vAlign w:val="center"/>
                </w:tcPr>
                <w:p w14:paraId="43223352">
                  <w:pPr>
                    <w:jc w:val="center"/>
                    <w:rPr>
                      <w:rFonts w:hint="default" w:ascii="Times New Roman" w:hAnsi="Times New Roman" w:cs="Times New Roman"/>
                      <w:b/>
                      <w:bCs/>
                      <w:color w:val="auto"/>
                      <w:szCs w:val="21"/>
                      <w:highlight w:val="none"/>
                    </w:rPr>
                  </w:pPr>
                </w:p>
              </w:tc>
              <w:tc>
                <w:tcPr>
                  <w:tcW w:w="415" w:type="pct"/>
                  <w:vMerge w:val="continue"/>
                  <w:tcBorders>
                    <w:tl2br w:val="nil"/>
                    <w:tr2bl w:val="nil"/>
                  </w:tcBorders>
                  <w:noWrap w:val="0"/>
                  <w:vAlign w:val="center"/>
                </w:tcPr>
                <w:p w14:paraId="7B798215">
                  <w:pPr>
                    <w:jc w:val="center"/>
                    <w:rPr>
                      <w:rFonts w:hint="eastAsia" w:cs="Times New Roman"/>
                      <w:b/>
                      <w:bCs/>
                      <w:color w:val="auto"/>
                      <w:szCs w:val="21"/>
                      <w:highlight w:val="none"/>
                      <w:lang w:val="en-US" w:eastAsia="zh-CN"/>
                    </w:rPr>
                  </w:pPr>
                </w:p>
              </w:tc>
              <w:tc>
                <w:tcPr>
                  <w:tcW w:w="359" w:type="pct"/>
                  <w:tcBorders>
                    <w:tl2br w:val="nil"/>
                    <w:tr2bl w:val="nil"/>
                  </w:tcBorders>
                  <w:noWrap w:val="0"/>
                  <w:vAlign w:val="center"/>
                </w:tcPr>
                <w:p w14:paraId="5D0CE228">
                  <w:pPr>
                    <w:jc w:val="center"/>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高度</w:t>
                  </w:r>
                </w:p>
              </w:tc>
              <w:tc>
                <w:tcPr>
                  <w:tcW w:w="340" w:type="pct"/>
                  <w:tcBorders>
                    <w:tl2br w:val="nil"/>
                    <w:tr2bl w:val="nil"/>
                  </w:tcBorders>
                  <w:noWrap w:val="0"/>
                  <w:vAlign w:val="center"/>
                </w:tcPr>
                <w:p w14:paraId="58483DFE">
                  <w:pPr>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编号</w:t>
                  </w:r>
                </w:p>
              </w:tc>
            </w:tr>
            <w:tr w14:paraId="78E79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74" w:type="pct"/>
                  <w:tcBorders>
                    <w:tl2br w:val="nil"/>
                    <w:tr2bl w:val="nil"/>
                  </w:tcBorders>
                  <w:noWrap w:val="0"/>
                  <w:vAlign w:val="center"/>
                </w:tcPr>
                <w:p w14:paraId="6CF52FD2">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bidi="ar"/>
                    </w:rPr>
                    <w:t>粉碎、筛分、制粒、包装</w:t>
                  </w:r>
                </w:p>
              </w:tc>
              <w:tc>
                <w:tcPr>
                  <w:tcW w:w="274" w:type="pct"/>
                  <w:tcBorders>
                    <w:tl2br w:val="nil"/>
                    <w:tr2bl w:val="nil"/>
                  </w:tcBorders>
                  <w:noWrap w:val="0"/>
                  <w:vAlign w:val="center"/>
                </w:tcPr>
                <w:p w14:paraId="18A940BF">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10000</w:t>
                  </w:r>
                </w:p>
              </w:tc>
              <w:tc>
                <w:tcPr>
                  <w:tcW w:w="618" w:type="pct"/>
                  <w:tcBorders>
                    <w:tl2br w:val="nil"/>
                    <w:tr2bl w:val="nil"/>
                  </w:tcBorders>
                  <w:noWrap w:val="0"/>
                  <w:vAlign w:val="center"/>
                </w:tcPr>
                <w:p w14:paraId="64313030">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集气罩+布袋除尘器</w:t>
                  </w:r>
                </w:p>
              </w:tc>
              <w:tc>
                <w:tcPr>
                  <w:tcW w:w="374" w:type="pct"/>
                  <w:tcBorders>
                    <w:tl2br w:val="nil"/>
                    <w:tr2bl w:val="nil"/>
                  </w:tcBorders>
                  <w:noWrap w:val="0"/>
                  <w:vAlign w:val="center"/>
                </w:tcPr>
                <w:p w14:paraId="289F272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ar"/>
                    </w:rPr>
                    <w:t>颗粒物</w:t>
                  </w:r>
                </w:p>
              </w:tc>
              <w:tc>
                <w:tcPr>
                  <w:tcW w:w="470" w:type="pct"/>
                  <w:tcBorders>
                    <w:tl2br w:val="nil"/>
                    <w:tr2bl w:val="nil"/>
                  </w:tcBorders>
                  <w:noWrap w:val="0"/>
                  <w:vAlign w:val="center"/>
                </w:tcPr>
                <w:p w14:paraId="2A6F161A">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3700</w:t>
                  </w:r>
                </w:p>
              </w:tc>
              <w:tc>
                <w:tcPr>
                  <w:tcW w:w="478" w:type="pct"/>
                  <w:tcBorders>
                    <w:tl2br w:val="nil"/>
                    <w:tr2bl w:val="nil"/>
                  </w:tcBorders>
                  <w:noWrap w:val="0"/>
                  <w:vAlign w:val="center"/>
                </w:tcPr>
                <w:p w14:paraId="11E29D6C">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37</w:t>
                  </w:r>
                </w:p>
              </w:tc>
              <w:tc>
                <w:tcPr>
                  <w:tcW w:w="383" w:type="pct"/>
                  <w:tcBorders>
                    <w:tl2br w:val="nil"/>
                    <w:tr2bl w:val="nil"/>
                  </w:tcBorders>
                  <w:noWrap w:val="0"/>
                  <w:vAlign w:val="center"/>
                </w:tcPr>
                <w:p w14:paraId="4AE912F7">
                  <w:pPr>
                    <w:jc w:val="center"/>
                    <w:rPr>
                      <w:rFonts w:hint="default" w:ascii="Times New Roman" w:hAnsi="Times New Roman" w:eastAsia="宋体" w:cs="Times New Roman"/>
                      <w:color w:val="auto"/>
                      <w:szCs w:val="21"/>
                      <w:highlight w:val="none"/>
                      <w:lang w:val="en-US" w:eastAsia="zh-CN" w:bidi="ar"/>
                    </w:rPr>
                  </w:pPr>
                  <w:r>
                    <w:rPr>
                      <w:rFonts w:hint="eastAsia" w:cs="Times New Roman"/>
                      <w:color w:val="auto"/>
                      <w:szCs w:val="21"/>
                      <w:highlight w:val="none"/>
                      <w:lang w:val="en-US" w:eastAsia="zh-CN" w:bidi="ar"/>
                    </w:rPr>
                    <w:t>99</w:t>
                  </w:r>
                  <w:r>
                    <w:rPr>
                      <w:rFonts w:hint="default" w:ascii="Times New Roman" w:hAnsi="Times New Roman" w:cs="Times New Roman"/>
                      <w:color w:val="auto"/>
                      <w:szCs w:val="21"/>
                      <w:highlight w:val="none"/>
                      <w:lang w:bidi="ar"/>
                    </w:rPr>
                    <w:t>%</w:t>
                  </w:r>
                </w:p>
              </w:tc>
              <w:tc>
                <w:tcPr>
                  <w:tcW w:w="426" w:type="pct"/>
                  <w:tcBorders>
                    <w:tl2br w:val="nil"/>
                    <w:tr2bl w:val="nil"/>
                  </w:tcBorders>
                  <w:noWrap w:val="0"/>
                  <w:vAlign w:val="center"/>
                </w:tcPr>
                <w:p w14:paraId="570275F9">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37</w:t>
                  </w:r>
                </w:p>
              </w:tc>
              <w:tc>
                <w:tcPr>
                  <w:tcW w:w="383" w:type="pct"/>
                  <w:tcBorders>
                    <w:tl2br w:val="nil"/>
                    <w:tr2bl w:val="nil"/>
                  </w:tcBorders>
                  <w:noWrap w:val="0"/>
                  <w:vAlign w:val="center"/>
                </w:tcPr>
                <w:p w14:paraId="03038844">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0.37</w:t>
                  </w:r>
                </w:p>
              </w:tc>
              <w:tc>
                <w:tcPr>
                  <w:tcW w:w="415" w:type="pct"/>
                  <w:tcBorders>
                    <w:tl2br w:val="nil"/>
                    <w:tr2bl w:val="nil"/>
                  </w:tcBorders>
                  <w:noWrap w:val="0"/>
                  <w:vAlign w:val="center"/>
                </w:tcPr>
                <w:p w14:paraId="601142FD">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0.888</w:t>
                  </w:r>
                </w:p>
              </w:tc>
              <w:tc>
                <w:tcPr>
                  <w:tcW w:w="359" w:type="pct"/>
                  <w:tcBorders>
                    <w:tl2br w:val="nil"/>
                    <w:tr2bl w:val="nil"/>
                  </w:tcBorders>
                  <w:noWrap w:val="0"/>
                  <w:vAlign w:val="center"/>
                </w:tcPr>
                <w:p w14:paraId="1DBB8F2E">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H=15m</w:t>
                  </w:r>
                </w:p>
              </w:tc>
              <w:tc>
                <w:tcPr>
                  <w:tcW w:w="340" w:type="pct"/>
                  <w:tcBorders>
                    <w:tl2br w:val="nil"/>
                    <w:tr2bl w:val="nil"/>
                  </w:tcBorders>
                  <w:noWrap w:val="0"/>
                  <w:vAlign w:val="center"/>
                </w:tcPr>
                <w:p w14:paraId="3EFEF356">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#1</w:t>
                  </w:r>
                </w:p>
              </w:tc>
            </w:tr>
          </w:tbl>
          <w:p w14:paraId="685A3E3F">
            <w:pPr>
              <w:pStyle w:val="103"/>
              <w:keepNext w:val="0"/>
              <w:keepLines w:val="0"/>
              <w:pageBreakBefore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（2）一期工程发酵、熟化恶臭气体（有组织）</w:t>
            </w:r>
          </w:p>
          <w:p w14:paraId="4510CF06">
            <w:pPr>
              <w:pStyle w:val="103"/>
              <w:keepNext w:val="0"/>
              <w:keepLines w:val="0"/>
              <w:pageBreakBefore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本项目基础有机肥（一期工程）生产过程中</w:t>
            </w:r>
            <w:r>
              <w:rPr>
                <w:rFonts w:hint="default" w:ascii="Times New Roman" w:hAnsi="Times New Roman" w:eastAsia="宋体" w:cs="Times New Roman"/>
                <w:color w:val="auto"/>
                <w:szCs w:val="21"/>
                <w:highlight w:val="none"/>
              </w:rPr>
              <w:t>物料</w:t>
            </w:r>
            <w:r>
              <w:rPr>
                <w:rFonts w:hint="eastAsia" w:ascii="Times New Roman" w:hAnsi="Times New Roman" w:eastAsia="宋体" w:cs="Times New Roman"/>
                <w:color w:val="auto"/>
                <w:szCs w:val="21"/>
                <w:highlight w:val="none"/>
                <w:lang w:val="en-US" w:eastAsia="zh-CN"/>
              </w:rPr>
              <w:t>发酵、熟化</w:t>
            </w:r>
            <w:r>
              <w:rPr>
                <w:rFonts w:hint="default" w:ascii="Times New Roman" w:hAnsi="Times New Roman" w:eastAsia="宋体" w:cs="Times New Roman"/>
                <w:color w:val="auto"/>
                <w:szCs w:val="21"/>
                <w:highlight w:val="none"/>
              </w:rPr>
              <w:t>过程会产生</w:t>
            </w:r>
            <w:r>
              <w:rPr>
                <w:rFonts w:hint="eastAsia" w:ascii="Times New Roman" w:hAnsi="Times New Roman" w:eastAsia="宋体" w:cs="Times New Roman"/>
                <w:color w:val="auto"/>
                <w:szCs w:val="21"/>
                <w:highlight w:val="none"/>
                <w:lang w:val="en-US" w:eastAsia="zh-CN"/>
              </w:rPr>
              <w:t>恶臭气体</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设置</w:t>
            </w:r>
            <w:r>
              <w:rPr>
                <w:rFonts w:hint="default" w:ascii="Times New Roman" w:hAnsi="Times New Roman" w:eastAsia="宋体" w:cs="Times New Roman"/>
                <w:color w:val="auto"/>
                <w:szCs w:val="21"/>
                <w:highlight w:val="none"/>
              </w:rPr>
              <w:t>根据《恶臭的评价与分析》</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沈培明等所著， 化学工业出版社</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 2005.7</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 中的有关资料，NH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S 主要来自牲畜粪便，粪便中N元素含量约0.32%、S元素含量约为0.15一0.20%，粪便以恶臭气体形式排出的N、S分别约为粪便的8%和1%。</w:t>
            </w:r>
          </w:p>
          <w:p w14:paraId="5DA9F6FE">
            <w:pPr>
              <w:pStyle w:val="103"/>
              <w:keepNext w:val="0"/>
              <w:keepLines w:val="0"/>
              <w:pageBreakBefore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w:t>
            </w:r>
            <w:r>
              <w:rPr>
                <w:rFonts w:hint="eastAsia" w:ascii="Times New Roman" w:hAnsi="Times New Roman" w:eastAsia="宋体" w:cs="Times New Roman"/>
                <w:color w:val="auto"/>
                <w:szCs w:val="21"/>
                <w:highlight w:val="none"/>
                <w:lang w:val="en-US" w:eastAsia="zh-CN"/>
              </w:rPr>
              <w:t>一期发酵、熟化过程中</w:t>
            </w:r>
            <w:r>
              <w:rPr>
                <w:rFonts w:hint="default" w:ascii="Times New Roman" w:hAnsi="Times New Roman" w:eastAsia="宋体" w:cs="Times New Roman"/>
                <w:color w:val="auto"/>
                <w:szCs w:val="21"/>
                <w:highlight w:val="none"/>
              </w:rPr>
              <w:t>共有粪便</w:t>
            </w:r>
            <w:r>
              <w:rPr>
                <w:rFonts w:hint="eastAsia" w:ascii="Times New Roman" w:hAnsi="Times New Roman" w:eastAsia="宋体" w:cs="Times New Roman"/>
                <w:color w:val="auto"/>
                <w:szCs w:val="21"/>
                <w:highlight w:val="none"/>
                <w:lang w:val="en-US" w:eastAsia="zh-CN"/>
              </w:rPr>
              <w:t>56.576万</w:t>
            </w:r>
            <w:r>
              <w:rPr>
                <w:rFonts w:hint="default" w:ascii="Times New Roman" w:hAnsi="Times New Roman" w:eastAsia="宋体" w:cs="Times New Roman"/>
                <w:color w:val="auto"/>
                <w:szCs w:val="21"/>
                <w:highlight w:val="none"/>
              </w:rPr>
              <w:t>t/a</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年发酵时间4800h），</w:t>
            </w:r>
            <w:r>
              <w:rPr>
                <w:rFonts w:hint="default" w:ascii="Times New Roman" w:hAnsi="Times New Roman" w:eastAsia="宋体" w:cs="Times New Roman"/>
                <w:color w:val="auto"/>
                <w:szCs w:val="21"/>
                <w:highlight w:val="none"/>
              </w:rPr>
              <w:t>据此估算得本项目粪便中N、S元素含量分别为</w:t>
            </w:r>
            <w:r>
              <w:rPr>
                <w:rFonts w:hint="eastAsia" w:ascii="Times New Roman" w:hAnsi="Times New Roman" w:eastAsia="宋体" w:cs="Times New Roman"/>
                <w:color w:val="auto"/>
                <w:szCs w:val="21"/>
                <w:highlight w:val="none"/>
                <w:lang w:val="en-US" w:eastAsia="zh-CN"/>
              </w:rPr>
              <w:t>1810.432</w:t>
            </w:r>
            <w:r>
              <w:rPr>
                <w:rFonts w:hint="default" w:ascii="Times New Roman" w:hAnsi="Times New Roman" w:eastAsia="宋体" w:cs="Times New Roman"/>
                <w:color w:val="auto"/>
                <w:szCs w:val="21"/>
                <w:highlight w:val="none"/>
              </w:rPr>
              <w:t>t/a、</w:t>
            </w:r>
            <w:r>
              <w:rPr>
                <w:rFonts w:hint="eastAsia" w:ascii="Times New Roman" w:hAnsi="Times New Roman" w:eastAsia="宋体" w:cs="Times New Roman"/>
                <w:color w:val="auto"/>
                <w:szCs w:val="21"/>
                <w:highlight w:val="none"/>
                <w:lang w:val="en-US" w:eastAsia="zh-CN"/>
              </w:rPr>
              <w:t>1018.368</w:t>
            </w:r>
            <w:r>
              <w:rPr>
                <w:rFonts w:hint="default" w:ascii="Times New Roman" w:hAnsi="Times New Roman" w:eastAsia="宋体" w:cs="Times New Roman"/>
                <w:color w:val="auto"/>
                <w:szCs w:val="21"/>
                <w:highlight w:val="none"/>
              </w:rPr>
              <w:t>t/a</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粪便以恶臭气体形式排出的N、S分别约为</w:t>
            </w:r>
            <w:r>
              <w:rPr>
                <w:rFonts w:hint="eastAsia" w:ascii="Times New Roman" w:hAnsi="Times New Roman" w:eastAsia="宋体" w:cs="Times New Roman"/>
                <w:color w:val="auto"/>
                <w:szCs w:val="21"/>
                <w:highlight w:val="none"/>
                <w:lang w:val="en-US" w:eastAsia="zh-CN"/>
              </w:rPr>
              <w:t>144.83</w:t>
            </w:r>
            <w:r>
              <w:rPr>
                <w:rFonts w:hint="default" w:ascii="Times New Roman" w:hAnsi="Times New Roman" w:eastAsia="宋体" w:cs="Times New Roman"/>
                <w:color w:val="auto"/>
                <w:szCs w:val="21"/>
                <w:highlight w:val="none"/>
              </w:rPr>
              <w:t>t/a、</w:t>
            </w:r>
            <w:r>
              <w:rPr>
                <w:rFonts w:hint="eastAsia" w:ascii="Times New Roman" w:hAnsi="Times New Roman" w:eastAsia="宋体" w:cs="Times New Roman"/>
                <w:color w:val="auto"/>
                <w:szCs w:val="21"/>
                <w:highlight w:val="none"/>
                <w:lang w:val="en-US" w:eastAsia="zh-CN"/>
              </w:rPr>
              <w:t>10.18</w:t>
            </w:r>
            <w:r>
              <w:rPr>
                <w:rFonts w:hint="default" w:ascii="Times New Roman" w:hAnsi="Times New Roman" w:eastAsia="宋体" w:cs="Times New Roman"/>
                <w:color w:val="auto"/>
                <w:szCs w:val="21"/>
                <w:highlight w:val="none"/>
              </w:rPr>
              <w:t>/a，折合成NH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S产生量约为</w:t>
            </w:r>
            <w:r>
              <w:rPr>
                <w:rFonts w:hint="eastAsia" w:ascii="Times New Roman" w:hAnsi="Times New Roman" w:eastAsia="宋体" w:cs="Times New Roman"/>
                <w:color w:val="auto"/>
                <w:szCs w:val="21"/>
                <w:highlight w:val="none"/>
                <w:lang w:val="en-US" w:eastAsia="zh-CN"/>
              </w:rPr>
              <w:t>144.83</w:t>
            </w:r>
            <w:r>
              <w:rPr>
                <w:rFonts w:hint="default" w:ascii="Times New Roman" w:hAnsi="Times New Roman" w:eastAsia="宋体" w:cs="Times New Roman"/>
                <w:color w:val="auto"/>
                <w:szCs w:val="21"/>
                <w:highlight w:val="none"/>
                <w:lang w:val="en-US" w:eastAsia="zh-CN"/>
              </w:rPr>
              <w:t>t</w:t>
            </w:r>
            <w:r>
              <w:rPr>
                <w:rFonts w:hint="default" w:ascii="Times New Roman" w:hAnsi="Times New Roman" w:eastAsia="宋体" w:cs="Times New Roman"/>
                <w:color w:val="auto"/>
                <w:szCs w:val="21"/>
                <w:highlight w:val="none"/>
              </w:rPr>
              <w:t>/a和</w:t>
            </w:r>
            <w:r>
              <w:rPr>
                <w:rFonts w:hint="eastAsia" w:ascii="Times New Roman" w:hAnsi="Times New Roman" w:eastAsia="宋体" w:cs="Times New Roman"/>
                <w:color w:val="auto"/>
                <w:szCs w:val="21"/>
                <w:highlight w:val="none"/>
                <w:lang w:val="en-US" w:eastAsia="zh-CN"/>
              </w:rPr>
              <w:t>10.18</w:t>
            </w:r>
            <w:r>
              <w:rPr>
                <w:rFonts w:hint="default" w:ascii="Times New Roman" w:hAnsi="Times New Roman" w:eastAsia="宋体" w:cs="Times New Roman"/>
                <w:color w:val="auto"/>
                <w:szCs w:val="21"/>
                <w:highlight w:val="none"/>
              </w:rPr>
              <w:t>t/a。本</w:t>
            </w:r>
            <w:r>
              <w:rPr>
                <w:rFonts w:hint="default" w:ascii="Times New Roman" w:hAnsi="Times New Roman" w:eastAsia="宋体" w:cs="Times New Roman"/>
                <w:color w:val="auto"/>
                <w:szCs w:val="21"/>
                <w:highlight w:val="none"/>
                <w:lang w:val="en-US" w:eastAsia="zh-CN"/>
              </w:rPr>
              <w:t>项目</w:t>
            </w:r>
            <w:r>
              <w:rPr>
                <w:rFonts w:hint="default" w:ascii="Times New Roman" w:hAnsi="Times New Roman" w:eastAsia="宋体" w:cs="Times New Roman"/>
                <w:color w:val="auto"/>
                <w:szCs w:val="21"/>
                <w:highlight w:val="none"/>
              </w:rPr>
              <w:t>物料</w:t>
            </w:r>
            <w:r>
              <w:rPr>
                <w:rFonts w:hint="eastAsia" w:ascii="Times New Roman" w:hAnsi="Times New Roman" w:eastAsia="宋体" w:cs="Times New Roman"/>
                <w:color w:val="auto"/>
                <w:szCs w:val="21"/>
                <w:highlight w:val="none"/>
                <w:lang w:val="en-US" w:eastAsia="zh-CN"/>
              </w:rPr>
              <w:t>发酵、熟化</w:t>
            </w:r>
            <w:r>
              <w:rPr>
                <w:rFonts w:hint="default" w:ascii="Times New Roman" w:hAnsi="Times New Roman" w:eastAsia="宋体" w:cs="Times New Roman"/>
                <w:color w:val="auto"/>
                <w:szCs w:val="21"/>
                <w:highlight w:val="none"/>
              </w:rPr>
              <w:t>过程会恶臭污染物产生总源强为：NH</w:t>
            </w:r>
            <w:r>
              <w:rPr>
                <w:rFonts w:hint="default" w:ascii="Times New Roman" w:hAnsi="Times New Roman" w:eastAsia="宋体" w:cs="Times New Roman"/>
                <w:color w:val="auto"/>
                <w:szCs w:val="21"/>
                <w:highlight w:val="none"/>
                <w:vertAlign w:val="subscript"/>
              </w:rPr>
              <w:t>3</w:t>
            </w:r>
            <w:r>
              <w:rPr>
                <w:rFonts w:hint="eastAsia" w:ascii="Times New Roman" w:hAnsi="Times New Roman" w:eastAsia="宋体" w:cs="Times New Roman"/>
                <w:color w:val="auto"/>
                <w:szCs w:val="21"/>
                <w:highlight w:val="none"/>
                <w:lang w:val="en-US" w:eastAsia="zh-CN"/>
              </w:rPr>
              <w:t>144.83</w:t>
            </w:r>
            <w:r>
              <w:rPr>
                <w:rFonts w:hint="default" w:ascii="Times New Roman" w:hAnsi="Times New Roman" w:eastAsia="宋体" w:cs="Times New Roman"/>
                <w:color w:val="auto"/>
                <w:szCs w:val="21"/>
                <w:highlight w:val="none"/>
                <w:lang w:val="en-US" w:eastAsia="zh-CN"/>
              </w:rPr>
              <w:t>t</w:t>
            </w:r>
            <w:r>
              <w:rPr>
                <w:rFonts w:hint="default"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（30.17kg/h）</w:t>
            </w: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10.18</w:t>
            </w:r>
            <w:r>
              <w:rPr>
                <w:rFonts w:hint="default" w:ascii="Times New Roman" w:hAnsi="Times New Roman" w:eastAsia="宋体" w:cs="Times New Roman"/>
                <w:color w:val="auto"/>
                <w:szCs w:val="21"/>
                <w:highlight w:val="none"/>
              </w:rPr>
              <w:t>t/a（</w:t>
            </w:r>
            <w:r>
              <w:rPr>
                <w:rFonts w:hint="eastAsia" w:ascii="Times New Roman" w:hAnsi="Times New Roman" w:eastAsia="宋体" w:cs="Times New Roman"/>
                <w:color w:val="auto"/>
                <w:szCs w:val="21"/>
                <w:highlight w:val="none"/>
                <w:lang w:val="en-US" w:eastAsia="zh-CN"/>
              </w:rPr>
              <w:t>2.42kg/h</w:t>
            </w:r>
            <w:r>
              <w:rPr>
                <w:rFonts w:hint="default" w:ascii="Times New Roman" w:hAnsi="Times New Roman" w:eastAsia="宋体" w:cs="Times New Roman"/>
                <w:color w:val="auto"/>
                <w:szCs w:val="21"/>
                <w:highlight w:val="none"/>
              </w:rPr>
              <w:t>）。</w:t>
            </w:r>
          </w:p>
          <w:p w14:paraId="4D237E9A">
            <w:pPr>
              <w:pStyle w:val="103"/>
              <w:keepNext w:val="0"/>
              <w:keepLines w:val="0"/>
              <w:pageBreakBefore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Cs w:val="21"/>
                <w:highlight w:val="none"/>
                <w:lang w:val="en-US" w:eastAsia="zh-CN"/>
              </w:rPr>
              <w:t>发酵、</w:t>
            </w:r>
            <w:r>
              <w:rPr>
                <w:rFonts w:hint="eastAsia" w:ascii="Times New Roman" w:hAnsi="Times New Roman" w:eastAsia="宋体" w:cs="Times New Roman"/>
                <w:color w:val="auto"/>
                <w:kern w:val="0"/>
                <w:szCs w:val="21"/>
                <w:highlight w:val="none"/>
                <w:lang w:val="en-US" w:eastAsia="zh-CN"/>
              </w:rPr>
              <w:t>熟化</w:t>
            </w:r>
            <w:r>
              <w:rPr>
                <w:rFonts w:hint="default" w:ascii="Times New Roman" w:hAnsi="Times New Roman" w:eastAsia="宋体" w:cs="Times New Roman"/>
                <w:color w:val="auto"/>
                <w:kern w:val="0"/>
                <w:szCs w:val="21"/>
                <w:highlight w:val="none"/>
                <w:lang w:val="en-US" w:eastAsia="zh-CN"/>
              </w:rPr>
              <w:t>均在</w:t>
            </w:r>
            <w:r>
              <w:rPr>
                <w:rFonts w:hint="eastAsia" w:ascii="Times New Roman" w:hAnsi="Times New Roman" w:eastAsia="宋体" w:cs="Times New Roman"/>
                <w:color w:val="auto"/>
                <w:kern w:val="0"/>
                <w:szCs w:val="21"/>
                <w:highlight w:val="none"/>
                <w:lang w:val="en-US" w:eastAsia="zh-CN"/>
              </w:rPr>
              <w:t>生产车间隔出的</w:t>
            </w:r>
            <w:r>
              <w:rPr>
                <w:rFonts w:hint="default" w:ascii="Times New Roman" w:hAnsi="Times New Roman" w:eastAsia="宋体" w:cs="Times New Roman"/>
                <w:color w:val="auto"/>
                <w:kern w:val="0"/>
                <w:szCs w:val="21"/>
                <w:highlight w:val="none"/>
                <w:lang w:val="en-US" w:eastAsia="zh-CN"/>
              </w:rPr>
              <w:t>封闭的发酵</w:t>
            </w:r>
            <w:r>
              <w:rPr>
                <w:rFonts w:hint="eastAsia" w:ascii="Times New Roman" w:hAnsi="Times New Roman" w:eastAsia="宋体" w:cs="Times New Roman"/>
                <w:color w:val="auto"/>
                <w:kern w:val="0"/>
                <w:szCs w:val="21"/>
                <w:highlight w:val="none"/>
                <w:lang w:val="en-US" w:eastAsia="zh-CN"/>
              </w:rPr>
              <w:t>间</w:t>
            </w:r>
            <w:r>
              <w:rPr>
                <w:rFonts w:hint="default" w:ascii="Times New Roman" w:hAnsi="Times New Roman" w:eastAsia="宋体" w:cs="Times New Roman"/>
                <w:color w:val="auto"/>
                <w:kern w:val="0"/>
                <w:szCs w:val="21"/>
                <w:highlight w:val="none"/>
                <w:lang w:val="en-US" w:eastAsia="zh-CN"/>
              </w:rPr>
              <w:t>完成，过程中产生的臭气通过</w:t>
            </w:r>
            <w:r>
              <w:rPr>
                <w:rFonts w:hint="eastAsia" w:ascii="Times New Roman" w:hAnsi="Times New Roman" w:eastAsia="宋体" w:cs="Times New Roman"/>
                <w:color w:val="auto"/>
                <w:kern w:val="0"/>
                <w:szCs w:val="21"/>
                <w:highlight w:val="none"/>
                <w:lang w:val="en-US" w:eastAsia="zh-CN"/>
              </w:rPr>
              <w:t>生产车间内间隔出的</w:t>
            </w:r>
            <w:r>
              <w:rPr>
                <w:rFonts w:hint="default" w:ascii="Times New Roman" w:hAnsi="Times New Roman" w:eastAsia="宋体" w:cs="Times New Roman"/>
                <w:color w:val="auto"/>
                <w:kern w:val="0"/>
                <w:szCs w:val="21"/>
                <w:highlight w:val="none"/>
                <w:lang w:val="en-US" w:eastAsia="zh-CN"/>
              </w:rPr>
              <w:t>发酵</w:t>
            </w:r>
            <w:r>
              <w:rPr>
                <w:rFonts w:hint="eastAsia" w:ascii="Times New Roman" w:hAnsi="Times New Roman" w:eastAsia="宋体" w:cs="Times New Roman"/>
                <w:color w:val="auto"/>
                <w:kern w:val="0"/>
                <w:szCs w:val="21"/>
                <w:highlight w:val="none"/>
                <w:lang w:val="en-US" w:eastAsia="zh-CN"/>
              </w:rPr>
              <w:t>间内设置负压收集，集气效率为90%，</w:t>
            </w:r>
            <w:r>
              <w:rPr>
                <w:rFonts w:hint="default" w:ascii="Times New Roman" w:hAnsi="Times New Roman" w:eastAsia="宋体" w:cs="Times New Roman"/>
                <w:color w:val="auto"/>
                <w:kern w:val="0"/>
                <w:szCs w:val="21"/>
                <w:highlight w:val="none"/>
                <w:lang w:val="en-US" w:eastAsia="zh-CN"/>
              </w:rPr>
              <w:t>收集后通过管道进入</w:t>
            </w:r>
            <w:r>
              <w:rPr>
                <w:rFonts w:hint="eastAsia" w:ascii="Times New Roman" w:hAnsi="Times New Roman" w:eastAsia="宋体" w:cs="Times New Roman"/>
                <w:color w:val="auto"/>
                <w:kern w:val="0"/>
                <w:szCs w:val="21"/>
                <w:highlight w:val="none"/>
                <w:lang w:val="en-US" w:eastAsia="zh-CN"/>
              </w:rPr>
              <w:t>二级活性炭吸附+水洗塔</w:t>
            </w:r>
            <w:r>
              <w:rPr>
                <w:rFonts w:hint="default" w:ascii="Times New Roman" w:hAnsi="Times New Roman" w:eastAsia="宋体" w:cs="Times New Roman"/>
                <w:color w:val="auto"/>
                <w:kern w:val="0"/>
                <w:szCs w:val="21"/>
                <w:highlight w:val="none"/>
                <w:lang w:val="en-US" w:eastAsia="zh-CN"/>
              </w:rPr>
              <w:t>组合</w:t>
            </w:r>
            <w:r>
              <w:rPr>
                <w:rFonts w:hint="eastAsia" w:ascii="Times New Roman" w:hAnsi="Times New Roman" w:eastAsia="宋体" w:cs="Times New Roman"/>
                <w:color w:val="auto"/>
                <w:kern w:val="0"/>
                <w:szCs w:val="21"/>
                <w:highlight w:val="none"/>
                <w:lang w:val="en-US" w:eastAsia="zh-CN"/>
              </w:rPr>
              <w:t>除臭</w:t>
            </w:r>
            <w:r>
              <w:rPr>
                <w:rFonts w:hint="default" w:ascii="Times New Roman" w:hAnsi="Times New Roman" w:eastAsia="宋体" w:cs="Times New Roman"/>
                <w:color w:val="auto"/>
                <w:kern w:val="0"/>
                <w:szCs w:val="21"/>
                <w:highlight w:val="none"/>
                <w:lang w:val="en-US" w:eastAsia="zh-CN"/>
              </w:rPr>
              <w:t>装置处理后经高15m，</w:t>
            </w:r>
            <w:r>
              <w:rPr>
                <w:rFonts w:hint="eastAsia" w:ascii="Times New Roman" w:hAnsi="Times New Roman" w:eastAsia="宋体" w:cs="Times New Roman"/>
                <w:color w:val="auto"/>
                <w:kern w:val="0"/>
                <w:szCs w:val="21"/>
                <w:highlight w:val="none"/>
                <w:lang w:val="en-US" w:eastAsia="zh-CN"/>
              </w:rPr>
              <w:t>内径0.5m</w:t>
            </w:r>
            <w:r>
              <w:rPr>
                <w:rFonts w:hint="default" w:ascii="Times New Roman" w:hAnsi="Times New Roman" w:eastAsia="宋体" w:cs="Times New Roman"/>
                <w:color w:val="auto"/>
                <w:kern w:val="0"/>
                <w:szCs w:val="21"/>
                <w:highlight w:val="none"/>
                <w:lang w:val="en-US" w:eastAsia="zh-CN"/>
              </w:rPr>
              <w:t>的排气筒（#2）排放</w:t>
            </w:r>
            <w:r>
              <w:rPr>
                <w:rFonts w:hint="eastAsia" w:ascii="Times New Roman" w:hAnsi="Times New Roman" w:eastAsia="宋体" w:cs="Times New Roman"/>
                <w:color w:val="auto"/>
                <w:szCs w:val="21"/>
                <w:highlight w:val="none"/>
                <w:lang w:val="en-US" w:eastAsia="zh-CN"/>
              </w:rPr>
              <w:t>。</w:t>
            </w:r>
          </w:p>
          <w:p w14:paraId="603C167E">
            <w:pPr>
              <w:pStyle w:val="103"/>
              <w:keepNext w:val="0"/>
              <w:keepLines w:val="0"/>
              <w:pageBreakBefore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本项目发酵、熟化过程中</w:t>
            </w:r>
            <w:r>
              <w:rPr>
                <w:rFonts w:hint="default" w:ascii="Times New Roman" w:hAnsi="Times New Roman" w:eastAsia="宋体" w:cs="Times New Roman"/>
                <w:color w:val="auto"/>
                <w:szCs w:val="21"/>
                <w:highlight w:val="none"/>
              </w:rPr>
              <w:t>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总</w:t>
            </w:r>
            <w:r>
              <w:rPr>
                <w:rFonts w:hint="default" w:ascii="Times New Roman" w:hAnsi="Times New Roman" w:eastAsia="宋体" w:cs="Times New Roman"/>
                <w:color w:val="auto"/>
                <w:szCs w:val="21"/>
                <w:highlight w:val="none"/>
              </w:rPr>
              <w:t>产生量</w:t>
            </w:r>
            <w:r>
              <w:rPr>
                <w:rFonts w:hint="eastAsia" w:ascii="Times New Roman" w:hAnsi="Times New Roman" w:eastAsia="宋体" w:cs="Times New Roman"/>
                <w:color w:val="auto"/>
                <w:szCs w:val="21"/>
                <w:highlight w:val="none"/>
                <w:lang w:val="en-US" w:eastAsia="zh-CN"/>
              </w:rPr>
              <w:t>分别</w:t>
            </w:r>
            <w:r>
              <w:rPr>
                <w:rFonts w:hint="default" w:ascii="Times New Roman" w:hAnsi="Times New Roman" w:eastAsia="宋体" w:cs="Times New Roman"/>
                <w:color w:val="auto"/>
                <w:szCs w:val="21"/>
                <w:highlight w:val="none"/>
              </w:rPr>
              <w:t>为</w:t>
            </w:r>
            <w:r>
              <w:rPr>
                <w:rFonts w:hint="eastAsia" w:ascii="Times New Roman" w:hAnsi="Times New Roman" w:eastAsia="宋体" w:cs="Times New Roman"/>
                <w:color w:val="auto"/>
                <w:szCs w:val="21"/>
                <w:highlight w:val="none"/>
                <w:lang w:val="en-US" w:eastAsia="zh-CN"/>
              </w:rPr>
              <w:t>144.83</w:t>
            </w:r>
            <w:r>
              <w:rPr>
                <w:rFonts w:hint="default" w:ascii="Times New Roman" w:hAnsi="Times New Roman" w:eastAsia="宋体" w:cs="Times New Roman"/>
                <w:color w:val="auto"/>
                <w:szCs w:val="21"/>
                <w:highlight w:val="none"/>
                <w:lang w:val="en-US" w:eastAsia="zh-CN"/>
              </w:rPr>
              <w:t>t</w:t>
            </w:r>
            <w:r>
              <w:rPr>
                <w:rFonts w:hint="default" w:ascii="Times New Roman" w:hAnsi="Times New Roman" w:eastAsia="宋体" w:cs="Times New Roman"/>
                <w:color w:val="auto"/>
                <w:szCs w:val="21"/>
                <w:highlight w:val="none"/>
              </w:rPr>
              <w:t>/a和</w:t>
            </w:r>
            <w:r>
              <w:rPr>
                <w:rFonts w:hint="eastAsia" w:ascii="Times New Roman" w:hAnsi="Times New Roman" w:eastAsia="宋体" w:cs="Times New Roman"/>
                <w:color w:val="auto"/>
                <w:szCs w:val="21"/>
                <w:highlight w:val="none"/>
                <w:lang w:val="en-US" w:eastAsia="zh-CN"/>
              </w:rPr>
              <w:t>10.18</w:t>
            </w:r>
            <w:r>
              <w:rPr>
                <w:rFonts w:hint="default" w:ascii="Times New Roman" w:hAnsi="Times New Roman" w:eastAsia="宋体" w:cs="Times New Roman"/>
                <w:color w:val="auto"/>
                <w:szCs w:val="21"/>
                <w:highlight w:val="none"/>
              </w:rPr>
              <w:t>t/a</w:t>
            </w:r>
            <w:r>
              <w:rPr>
                <w:rFonts w:hint="eastAsia" w:ascii="Times New Roman" w:hAnsi="Times New Roman" w:eastAsia="宋体" w:cs="Times New Roman"/>
                <w:color w:val="auto"/>
                <w:szCs w:val="21"/>
                <w:highlight w:val="none"/>
                <w:lang w:val="en-US" w:eastAsia="zh-CN"/>
              </w:rPr>
              <w:t>，被收集的</w:t>
            </w:r>
            <w:r>
              <w:rPr>
                <w:rFonts w:hint="default" w:ascii="Times New Roman" w:hAnsi="Times New Roman" w:eastAsia="宋体" w:cs="Times New Roman"/>
                <w:color w:val="auto"/>
                <w:szCs w:val="21"/>
                <w:highlight w:val="none"/>
              </w:rPr>
              <w:t>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量分别为130.35t/a、9.16t/a，产生速率分别为27.16kg/h、1.91kg/h，产生浓度分别2716</w:t>
            </w:r>
            <w:r>
              <w:rPr>
                <w:rFonts w:hint="eastAsia" w:ascii="Times New Roman" w:hAnsi="Times New Roman" w:eastAsia="宋体" w:cs="Times New Roman"/>
                <w:color w:val="auto"/>
                <w:kern w:val="0"/>
                <w:sz w:val="24"/>
                <w:szCs w:val="24"/>
                <w:highlight w:val="none"/>
                <w:lang w:val="en-US" w:eastAsia="zh-CN" w:bidi="ar-SA"/>
              </w:rPr>
              <w:t>mg/m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szCs w:val="21"/>
                <w:highlight w:val="none"/>
                <w:lang w:val="en-US" w:eastAsia="zh-CN"/>
              </w:rPr>
              <w:t>、191</w:t>
            </w:r>
            <w:r>
              <w:rPr>
                <w:rFonts w:hint="eastAsia" w:ascii="Times New Roman" w:hAnsi="Times New Roman" w:eastAsia="宋体" w:cs="Times New Roman"/>
                <w:color w:val="auto"/>
                <w:kern w:val="0"/>
                <w:sz w:val="24"/>
                <w:szCs w:val="24"/>
                <w:highlight w:val="none"/>
                <w:lang w:val="en-US" w:eastAsia="zh-CN" w:bidi="ar-SA"/>
              </w:rPr>
              <w:t>mg/m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vertAlign w:val="baseline"/>
                <w:lang w:val="en-US" w:eastAsia="zh-CN" w:bidi="ar-SA"/>
              </w:rPr>
              <w:t>；</w:t>
            </w:r>
            <w:r>
              <w:rPr>
                <w:rFonts w:hint="eastAsia" w:ascii="Times New Roman" w:hAnsi="Times New Roman" w:eastAsia="宋体" w:cs="Times New Roman"/>
                <w:color w:val="auto"/>
                <w:szCs w:val="21"/>
                <w:highlight w:val="none"/>
                <w:lang w:val="en-US" w:eastAsia="zh-CN"/>
              </w:rPr>
              <w:t>风机风量为10000m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/h，根据《吸附法工业有机废气治理工程技术规范》（HJ 2026-2013）中6.1.3“活性炭吸附装置的净化能力不的低于90%”本项目二级活性炭吸附+水洗塔组合除臭装置对氨、硫化氢的去除效率按90%计（类比同类型《连城县畜禽粪污资源化利用整县推进（第三方有机肥厂）项目竣工环境保护验收监测报告表》该项目发酵车间臭气污染防治措施为二级活性炭吸附与本项目有组织恶臭气体防止措施相同，该项目验收监测期间发酵车间氨气、硫化氢进口浓度分别为28.5~32.1mg/m3、8.6~9.7mg/m3，出口浓度分别为2.1~2.8mg/m3、0.4~0.6mg/m3，二级活性炭活对有机肥发酵臭气去除率稳定在 90% 以上，故本项目活性炭吸附装置对氨、硫化氢去除效率取90%），</w:t>
            </w:r>
            <w:r>
              <w:rPr>
                <w:rFonts w:hint="eastAsia" w:ascii="Times New Roman" w:hAnsi="Times New Roman" w:eastAsia="宋体" w:cs="Times New Roman"/>
                <w:color w:val="auto"/>
                <w:kern w:val="0"/>
                <w:sz w:val="24"/>
                <w:szCs w:val="24"/>
                <w:highlight w:val="none"/>
                <w:vertAlign w:val="baseline"/>
                <w:lang w:val="en-US" w:eastAsia="zh-CN" w:bidi="ar-SA"/>
              </w:rPr>
              <w:t>则排放量为</w:t>
            </w:r>
            <w:r>
              <w:rPr>
                <w:rFonts w:hint="default" w:ascii="Times New Roman" w:hAnsi="Times New Roman" w:eastAsia="宋体" w:cs="Times New Roman"/>
                <w:color w:val="auto"/>
                <w:szCs w:val="21"/>
                <w:highlight w:val="none"/>
              </w:rPr>
              <w:t>NH</w:t>
            </w:r>
            <w:r>
              <w:rPr>
                <w:rFonts w:hint="default" w:ascii="Times New Roman" w:hAnsi="Times New Roman" w:eastAsia="宋体" w:cs="Times New Roman"/>
                <w:color w:val="auto"/>
                <w:szCs w:val="21"/>
                <w:highlight w:val="none"/>
                <w:vertAlign w:val="subscript"/>
              </w:rPr>
              <w:t>3</w:t>
            </w:r>
            <w:r>
              <w:rPr>
                <w:rFonts w:hint="eastAsia" w:ascii="Times New Roman" w:hAnsi="Times New Roman" w:eastAsia="宋体" w:cs="Times New Roman"/>
                <w:color w:val="auto"/>
                <w:szCs w:val="21"/>
                <w:highlight w:val="none"/>
                <w:vertAlign w:val="baseline"/>
                <w:lang w:eastAsia="zh-CN"/>
              </w:rPr>
              <w:t>：</w:t>
            </w:r>
            <w:r>
              <w:rPr>
                <w:rFonts w:hint="eastAsia" w:ascii="Times New Roman" w:hAnsi="Times New Roman" w:eastAsia="宋体" w:cs="Times New Roman"/>
                <w:color w:val="auto"/>
                <w:kern w:val="0"/>
                <w:sz w:val="24"/>
                <w:szCs w:val="24"/>
                <w:highlight w:val="none"/>
                <w:vertAlign w:val="baseline"/>
                <w:lang w:val="en-US" w:eastAsia="zh-CN" w:bidi="ar-SA"/>
              </w:rPr>
              <w:t>13.04t/a（2.72kg/h，272mg/m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vertAlign w:val="baseline"/>
                <w:lang w:val="en-US" w:eastAsia="zh-CN" w:bidi="ar-SA"/>
              </w:rPr>
              <w:t>）、</w:t>
            </w: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kern w:val="0"/>
                <w:sz w:val="24"/>
                <w:szCs w:val="24"/>
                <w:highlight w:val="none"/>
                <w:vertAlign w:val="baseline"/>
                <w:lang w:val="en-US" w:eastAsia="zh-CN" w:bidi="ar-SA"/>
              </w:rPr>
              <w:t>0.92t/a（0.91kg/h，19mg/m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vertAlign w:val="baseline"/>
                <w:lang w:val="en-US" w:eastAsia="zh-CN" w:bidi="ar-SA"/>
              </w:rPr>
              <w:t>）。</w:t>
            </w:r>
          </w:p>
          <w:p w14:paraId="6AAA5F37">
            <w:pPr>
              <w:keepNext w:val="0"/>
              <w:keepLines w:val="0"/>
              <w:pageBreakBefore w:val="0"/>
              <w:widowControl w:val="0"/>
              <w:kinsoku/>
              <w:wordWrap/>
              <w:overflowPunct/>
              <w:topLinePunct w:val="0"/>
              <w:autoSpaceDE/>
              <w:autoSpaceDN/>
              <w:bidi w:val="0"/>
              <w:adjustRightInd/>
              <w:snapToGrid/>
              <w:spacing w:line="440" w:lineRule="exact"/>
              <w:ind w:firstLine="240" w:firstLineChars="1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排气筒废气产排情况见下表4-</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p>
          <w:p w14:paraId="7307108E">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center"/>
              <w:textAlignment w:val="auto"/>
              <w:rPr>
                <w:rFonts w:hint="eastAsia"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rPr>
              <w:t>表4</w:t>
            </w:r>
            <w:r>
              <w:rPr>
                <w:rFonts w:hint="eastAsia" w:cs="Times New Roman"/>
                <w:b/>
                <w:bCs/>
                <w:color w:val="auto"/>
                <w:kern w:val="0"/>
                <w:sz w:val="24"/>
                <w:highlight w:val="none"/>
                <w:lang w:val="en-US" w:eastAsia="zh-CN"/>
              </w:rPr>
              <w:t>-3</w:t>
            </w:r>
            <w:r>
              <w:rPr>
                <w:rFonts w:hint="eastAsia" w:ascii="Times New Roman" w:hAnsi="Times New Roman" w:eastAsia="宋体" w:cs="Times New Roman"/>
                <w:b/>
                <w:bCs/>
                <w:color w:val="auto"/>
                <w:kern w:val="0"/>
                <w:sz w:val="24"/>
                <w:highlight w:val="none"/>
                <w:lang w:val="en-US" w:eastAsia="zh-CN"/>
              </w:rPr>
              <w:t xml:space="preserve">  #2排气筒废气产排情况</w:t>
            </w:r>
            <w:r>
              <w:rPr>
                <w:rFonts w:hint="default" w:ascii="Times New Roman" w:hAnsi="Times New Roman" w:cs="Times New Roman"/>
                <w:color w:val="auto"/>
                <w:kern w:val="0"/>
                <w:sz w:val="24"/>
                <w:highlight w:val="none"/>
              </w:rPr>
              <w:t xml:space="preserve"> </w:t>
            </w:r>
          </w:p>
          <w:tbl>
            <w:tblPr>
              <w:tblStyle w:val="32"/>
              <w:tblW w:w="8555"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832"/>
              <w:gridCol w:w="1349"/>
              <w:gridCol w:w="575"/>
              <w:gridCol w:w="862"/>
              <w:gridCol w:w="803"/>
              <w:gridCol w:w="650"/>
              <w:gridCol w:w="803"/>
              <w:gridCol w:w="680"/>
              <w:gridCol w:w="698"/>
              <w:gridCol w:w="662"/>
            </w:tblGrid>
            <w:tr w14:paraId="3F3D6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374" w:type="pct"/>
                  <w:vMerge w:val="restart"/>
                  <w:tcBorders>
                    <w:tl2br w:val="nil"/>
                    <w:tr2bl w:val="nil"/>
                  </w:tcBorders>
                  <w:noWrap w:val="0"/>
                  <w:vAlign w:val="center"/>
                </w:tcPr>
                <w:p w14:paraId="2034A487">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污染源</w:t>
                  </w:r>
                </w:p>
              </w:tc>
              <w:tc>
                <w:tcPr>
                  <w:tcW w:w="486" w:type="pct"/>
                  <w:vMerge w:val="restart"/>
                  <w:tcBorders>
                    <w:tl2br w:val="nil"/>
                    <w:tr2bl w:val="nil"/>
                  </w:tcBorders>
                  <w:noWrap w:val="0"/>
                  <w:vAlign w:val="center"/>
                </w:tcPr>
                <w:p w14:paraId="27824272">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废气量</w:t>
                  </w:r>
                </w:p>
                <w:p w14:paraId="651FB922">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m</w:t>
                  </w:r>
                  <w:r>
                    <w:rPr>
                      <w:rFonts w:hint="default" w:ascii="Times New Roman" w:hAnsi="Times New Roman" w:cs="Times New Roman"/>
                      <w:b/>
                      <w:bCs/>
                      <w:color w:val="auto"/>
                      <w:szCs w:val="21"/>
                      <w:highlight w:val="none"/>
                      <w:vertAlign w:val="superscript"/>
                      <w:lang w:bidi="ar"/>
                    </w:rPr>
                    <w:t>3</w:t>
                  </w:r>
                  <w:r>
                    <w:rPr>
                      <w:rFonts w:hint="default" w:ascii="Times New Roman" w:hAnsi="Times New Roman" w:cs="Times New Roman"/>
                      <w:b/>
                      <w:bCs/>
                      <w:color w:val="auto"/>
                      <w:szCs w:val="21"/>
                      <w:highlight w:val="none"/>
                      <w:lang w:bidi="ar"/>
                    </w:rPr>
                    <w:t>/h</w:t>
                  </w:r>
                </w:p>
              </w:tc>
              <w:tc>
                <w:tcPr>
                  <w:tcW w:w="788" w:type="pct"/>
                  <w:vMerge w:val="restart"/>
                  <w:tcBorders>
                    <w:tl2br w:val="nil"/>
                    <w:tr2bl w:val="nil"/>
                  </w:tcBorders>
                  <w:noWrap w:val="0"/>
                  <w:vAlign w:val="center"/>
                </w:tcPr>
                <w:p w14:paraId="0D61B3F9">
                  <w:pPr>
                    <w:jc w:val="center"/>
                    <w:rPr>
                      <w:rFonts w:hint="default" w:ascii="Times New Roman" w:hAnsi="Times New Roman" w:cs="Times New Roman"/>
                      <w:b/>
                      <w:bCs/>
                      <w:color w:val="auto"/>
                      <w:spacing w:val="-12"/>
                      <w:szCs w:val="21"/>
                      <w:highlight w:val="none"/>
                    </w:rPr>
                  </w:pPr>
                  <w:r>
                    <w:rPr>
                      <w:rFonts w:hint="default" w:ascii="Times New Roman" w:hAnsi="Times New Roman" w:cs="Times New Roman"/>
                      <w:b/>
                      <w:bCs/>
                      <w:color w:val="auto"/>
                      <w:szCs w:val="21"/>
                      <w:highlight w:val="none"/>
                      <w:lang w:bidi="ar"/>
                    </w:rPr>
                    <w:t>治理措施</w:t>
                  </w:r>
                </w:p>
              </w:tc>
              <w:tc>
                <w:tcPr>
                  <w:tcW w:w="336" w:type="pct"/>
                  <w:vMerge w:val="restart"/>
                  <w:tcBorders>
                    <w:tl2br w:val="nil"/>
                    <w:tr2bl w:val="nil"/>
                  </w:tcBorders>
                  <w:noWrap w:val="0"/>
                  <w:vAlign w:val="center"/>
                </w:tcPr>
                <w:p w14:paraId="7BBCC6B6">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污染物</w:t>
                  </w:r>
                </w:p>
              </w:tc>
              <w:tc>
                <w:tcPr>
                  <w:tcW w:w="503" w:type="pct"/>
                  <w:vMerge w:val="restart"/>
                  <w:tcBorders>
                    <w:tl2br w:val="nil"/>
                    <w:tr2bl w:val="nil"/>
                  </w:tcBorders>
                  <w:noWrap w:val="0"/>
                  <w:vAlign w:val="center"/>
                </w:tcPr>
                <w:p w14:paraId="1C2581DA">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产生</w:t>
                  </w:r>
                </w:p>
                <w:p w14:paraId="5A79FF3F">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浓度mg/m</w:t>
                  </w:r>
                  <w:r>
                    <w:rPr>
                      <w:rFonts w:hint="default" w:ascii="Times New Roman" w:hAnsi="Times New Roman" w:cs="Times New Roman"/>
                      <w:b/>
                      <w:bCs/>
                      <w:color w:val="auto"/>
                      <w:szCs w:val="21"/>
                      <w:highlight w:val="none"/>
                      <w:vertAlign w:val="superscript"/>
                      <w:lang w:bidi="ar"/>
                    </w:rPr>
                    <w:t>3</w:t>
                  </w:r>
                </w:p>
              </w:tc>
              <w:tc>
                <w:tcPr>
                  <w:tcW w:w="469" w:type="pct"/>
                  <w:vMerge w:val="restart"/>
                  <w:tcBorders>
                    <w:tl2br w:val="nil"/>
                    <w:tr2bl w:val="nil"/>
                  </w:tcBorders>
                  <w:noWrap w:val="0"/>
                  <w:vAlign w:val="center"/>
                </w:tcPr>
                <w:p w14:paraId="768D8005">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产生速率kg/h</w:t>
                  </w:r>
                </w:p>
              </w:tc>
              <w:tc>
                <w:tcPr>
                  <w:tcW w:w="379" w:type="pct"/>
                  <w:vMerge w:val="restart"/>
                  <w:tcBorders>
                    <w:tl2br w:val="nil"/>
                    <w:tr2bl w:val="nil"/>
                  </w:tcBorders>
                  <w:noWrap w:val="0"/>
                  <w:vAlign w:val="center"/>
                </w:tcPr>
                <w:p w14:paraId="33A19499">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处理</w:t>
                  </w:r>
                </w:p>
                <w:p w14:paraId="0387EA6A">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效率</w:t>
                  </w:r>
                </w:p>
              </w:tc>
              <w:tc>
                <w:tcPr>
                  <w:tcW w:w="469" w:type="pct"/>
                  <w:vMerge w:val="restart"/>
                  <w:tcBorders>
                    <w:tl2br w:val="nil"/>
                    <w:tr2bl w:val="nil"/>
                  </w:tcBorders>
                  <w:noWrap w:val="0"/>
                  <w:vAlign w:val="center"/>
                </w:tcPr>
                <w:p w14:paraId="4935A2F5">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排放</w:t>
                  </w:r>
                </w:p>
                <w:p w14:paraId="2A88DE2A">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浓度mg/m</w:t>
                  </w:r>
                  <w:r>
                    <w:rPr>
                      <w:rFonts w:hint="default" w:ascii="Times New Roman" w:hAnsi="Times New Roman" w:cs="Times New Roman"/>
                      <w:b/>
                      <w:bCs/>
                      <w:color w:val="auto"/>
                      <w:szCs w:val="21"/>
                      <w:highlight w:val="none"/>
                      <w:vertAlign w:val="superscript"/>
                      <w:lang w:bidi="ar"/>
                    </w:rPr>
                    <w:t>3</w:t>
                  </w:r>
                </w:p>
              </w:tc>
              <w:tc>
                <w:tcPr>
                  <w:tcW w:w="397" w:type="pct"/>
                  <w:vMerge w:val="restart"/>
                  <w:tcBorders>
                    <w:tl2br w:val="nil"/>
                    <w:tr2bl w:val="nil"/>
                  </w:tcBorders>
                  <w:noWrap w:val="0"/>
                  <w:vAlign w:val="center"/>
                </w:tcPr>
                <w:p w14:paraId="14BAB7DD">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排放</w:t>
                  </w:r>
                </w:p>
                <w:p w14:paraId="61A6DA19">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速率kg/h</w:t>
                  </w:r>
                </w:p>
              </w:tc>
              <w:tc>
                <w:tcPr>
                  <w:tcW w:w="794" w:type="pct"/>
                  <w:gridSpan w:val="2"/>
                  <w:tcBorders>
                    <w:tl2br w:val="nil"/>
                    <w:tr2bl w:val="nil"/>
                  </w:tcBorders>
                  <w:noWrap w:val="0"/>
                  <w:vAlign w:val="center"/>
                </w:tcPr>
                <w:p w14:paraId="65C1D7E7">
                  <w:pPr>
                    <w:jc w:val="center"/>
                    <w:rPr>
                      <w:rFonts w:hint="default" w:ascii="Times New Roman" w:hAnsi="Times New Roman" w:cs="Times New Roman"/>
                      <w:b/>
                      <w:bCs/>
                      <w:color w:val="auto"/>
                      <w:szCs w:val="21"/>
                      <w:highlight w:val="none"/>
                      <w:lang w:bidi="ar"/>
                    </w:rPr>
                  </w:pPr>
                  <w:r>
                    <w:rPr>
                      <w:rFonts w:hint="eastAsia" w:cs="Times New Roman"/>
                      <w:b/>
                      <w:bCs/>
                      <w:color w:val="auto"/>
                      <w:szCs w:val="21"/>
                      <w:highlight w:val="none"/>
                      <w:lang w:val="en-US" w:eastAsia="zh-CN" w:bidi="ar"/>
                    </w:rPr>
                    <w:t>排放参数</w:t>
                  </w:r>
                </w:p>
              </w:tc>
            </w:tr>
            <w:tr w14:paraId="5BED2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74" w:type="pct"/>
                  <w:vMerge w:val="continue"/>
                  <w:tcBorders>
                    <w:tl2br w:val="nil"/>
                    <w:tr2bl w:val="nil"/>
                  </w:tcBorders>
                  <w:noWrap w:val="0"/>
                  <w:vAlign w:val="center"/>
                </w:tcPr>
                <w:p w14:paraId="37B39C95">
                  <w:pPr>
                    <w:jc w:val="center"/>
                    <w:rPr>
                      <w:rFonts w:hint="default" w:ascii="Times New Roman" w:hAnsi="Times New Roman" w:cs="Times New Roman"/>
                      <w:b/>
                      <w:bCs/>
                      <w:color w:val="auto"/>
                      <w:szCs w:val="21"/>
                      <w:highlight w:val="none"/>
                    </w:rPr>
                  </w:pPr>
                </w:p>
              </w:tc>
              <w:tc>
                <w:tcPr>
                  <w:tcW w:w="486" w:type="pct"/>
                  <w:vMerge w:val="continue"/>
                  <w:tcBorders>
                    <w:tl2br w:val="nil"/>
                    <w:tr2bl w:val="nil"/>
                  </w:tcBorders>
                  <w:noWrap w:val="0"/>
                  <w:vAlign w:val="center"/>
                </w:tcPr>
                <w:p w14:paraId="25BBA162">
                  <w:pPr>
                    <w:jc w:val="center"/>
                    <w:rPr>
                      <w:rFonts w:hint="default" w:ascii="Times New Roman" w:hAnsi="Times New Roman" w:cs="Times New Roman"/>
                      <w:b/>
                      <w:bCs/>
                      <w:color w:val="auto"/>
                      <w:szCs w:val="21"/>
                      <w:highlight w:val="none"/>
                    </w:rPr>
                  </w:pPr>
                </w:p>
              </w:tc>
              <w:tc>
                <w:tcPr>
                  <w:tcW w:w="788" w:type="pct"/>
                  <w:vMerge w:val="continue"/>
                  <w:tcBorders>
                    <w:tl2br w:val="nil"/>
                    <w:tr2bl w:val="nil"/>
                  </w:tcBorders>
                  <w:noWrap w:val="0"/>
                  <w:vAlign w:val="center"/>
                </w:tcPr>
                <w:p w14:paraId="3CA1BDE6">
                  <w:pPr>
                    <w:jc w:val="center"/>
                    <w:rPr>
                      <w:rFonts w:hint="default" w:ascii="Times New Roman" w:hAnsi="Times New Roman" w:cs="Times New Roman"/>
                      <w:b/>
                      <w:bCs/>
                      <w:color w:val="auto"/>
                      <w:szCs w:val="21"/>
                      <w:highlight w:val="none"/>
                    </w:rPr>
                  </w:pPr>
                </w:p>
              </w:tc>
              <w:tc>
                <w:tcPr>
                  <w:tcW w:w="336" w:type="pct"/>
                  <w:vMerge w:val="continue"/>
                  <w:tcBorders>
                    <w:tl2br w:val="nil"/>
                    <w:tr2bl w:val="nil"/>
                  </w:tcBorders>
                  <w:noWrap w:val="0"/>
                  <w:vAlign w:val="center"/>
                </w:tcPr>
                <w:p w14:paraId="4AB0C9D4">
                  <w:pPr>
                    <w:jc w:val="center"/>
                    <w:rPr>
                      <w:rFonts w:hint="default" w:ascii="Times New Roman" w:hAnsi="Times New Roman" w:cs="Times New Roman"/>
                      <w:b/>
                      <w:bCs/>
                      <w:color w:val="auto"/>
                      <w:szCs w:val="21"/>
                      <w:highlight w:val="none"/>
                    </w:rPr>
                  </w:pPr>
                </w:p>
              </w:tc>
              <w:tc>
                <w:tcPr>
                  <w:tcW w:w="503" w:type="pct"/>
                  <w:vMerge w:val="continue"/>
                  <w:tcBorders>
                    <w:tl2br w:val="nil"/>
                    <w:tr2bl w:val="nil"/>
                  </w:tcBorders>
                  <w:noWrap w:val="0"/>
                  <w:vAlign w:val="center"/>
                </w:tcPr>
                <w:p w14:paraId="51D9613B">
                  <w:pPr>
                    <w:jc w:val="center"/>
                    <w:rPr>
                      <w:rFonts w:hint="default" w:ascii="Times New Roman" w:hAnsi="Times New Roman" w:cs="Times New Roman"/>
                      <w:b/>
                      <w:bCs/>
                      <w:color w:val="auto"/>
                      <w:szCs w:val="21"/>
                      <w:highlight w:val="none"/>
                    </w:rPr>
                  </w:pPr>
                </w:p>
              </w:tc>
              <w:tc>
                <w:tcPr>
                  <w:tcW w:w="469" w:type="pct"/>
                  <w:vMerge w:val="continue"/>
                  <w:tcBorders>
                    <w:tl2br w:val="nil"/>
                    <w:tr2bl w:val="nil"/>
                  </w:tcBorders>
                  <w:noWrap w:val="0"/>
                  <w:vAlign w:val="center"/>
                </w:tcPr>
                <w:p w14:paraId="2EC23794">
                  <w:pPr>
                    <w:jc w:val="center"/>
                    <w:rPr>
                      <w:rFonts w:hint="default" w:ascii="Times New Roman" w:hAnsi="Times New Roman" w:cs="Times New Roman"/>
                      <w:b/>
                      <w:bCs/>
                      <w:color w:val="auto"/>
                      <w:szCs w:val="21"/>
                      <w:highlight w:val="none"/>
                    </w:rPr>
                  </w:pPr>
                </w:p>
              </w:tc>
              <w:tc>
                <w:tcPr>
                  <w:tcW w:w="379" w:type="pct"/>
                  <w:vMerge w:val="continue"/>
                  <w:tcBorders>
                    <w:tl2br w:val="nil"/>
                    <w:tr2bl w:val="nil"/>
                  </w:tcBorders>
                  <w:noWrap w:val="0"/>
                  <w:vAlign w:val="center"/>
                </w:tcPr>
                <w:p w14:paraId="6F6E5D32">
                  <w:pPr>
                    <w:jc w:val="center"/>
                    <w:rPr>
                      <w:rFonts w:hint="default" w:ascii="Times New Roman" w:hAnsi="Times New Roman" w:cs="Times New Roman"/>
                      <w:b/>
                      <w:bCs/>
                      <w:color w:val="auto"/>
                      <w:szCs w:val="21"/>
                      <w:highlight w:val="none"/>
                    </w:rPr>
                  </w:pPr>
                </w:p>
              </w:tc>
              <w:tc>
                <w:tcPr>
                  <w:tcW w:w="469" w:type="pct"/>
                  <w:vMerge w:val="continue"/>
                  <w:tcBorders>
                    <w:tl2br w:val="nil"/>
                    <w:tr2bl w:val="nil"/>
                  </w:tcBorders>
                  <w:noWrap w:val="0"/>
                  <w:vAlign w:val="center"/>
                </w:tcPr>
                <w:p w14:paraId="62D17153">
                  <w:pPr>
                    <w:jc w:val="center"/>
                    <w:rPr>
                      <w:rFonts w:hint="default" w:ascii="Times New Roman" w:hAnsi="Times New Roman" w:cs="Times New Roman"/>
                      <w:b/>
                      <w:bCs/>
                      <w:color w:val="auto"/>
                      <w:szCs w:val="21"/>
                      <w:highlight w:val="none"/>
                      <w:lang w:bidi="ar"/>
                    </w:rPr>
                  </w:pPr>
                </w:p>
              </w:tc>
              <w:tc>
                <w:tcPr>
                  <w:tcW w:w="397" w:type="pct"/>
                  <w:vMerge w:val="continue"/>
                  <w:tcBorders>
                    <w:tl2br w:val="nil"/>
                    <w:tr2bl w:val="nil"/>
                  </w:tcBorders>
                  <w:shd w:val="clear" w:color="auto" w:fill="auto"/>
                  <w:noWrap w:val="0"/>
                  <w:vAlign w:val="center"/>
                </w:tcPr>
                <w:p w14:paraId="5300EF83">
                  <w:pPr>
                    <w:jc w:val="center"/>
                    <w:rPr>
                      <w:rFonts w:hint="default" w:ascii="Times New Roman" w:hAnsi="Times New Roman" w:eastAsia="宋体" w:cs="Times New Roman"/>
                      <w:b/>
                      <w:bCs/>
                      <w:color w:val="auto"/>
                      <w:kern w:val="2"/>
                      <w:sz w:val="21"/>
                      <w:szCs w:val="21"/>
                      <w:highlight w:val="none"/>
                      <w:lang w:val="en-US" w:eastAsia="zh-CN" w:bidi="ar"/>
                    </w:rPr>
                  </w:pPr>
                </w:p>
              </w:tc>
              <w:tc>
                <w:tcPr>
                  <w:tcW w:w="407" w:type="pct"/>
                  <w:tcBorders>
                    <w:tl2br w:val="nil"/>
                    <w:tr2bl w:val="nil"/>
                  </w:tcBorders>
                  <w:shd w:val="clear" w:color="auto" w:fill="auto"/>
                  <w:noWrap w:val="0"/>
                  <w:vAlign w:val="center"/>
                </w:tcPr>
                <w:p w14:paraId="63226F85">
                  <w:pPr>
                    <w:jc w:val="center"/>
                    <w:rPr>
                      <w:rFonts w:hint="default" w:ascii="Times New Roman" w:hAnsi="Times New Roman" w:eastAsia="宋体" w:cs="Times New Roman"/>
                      <w:b/>
                      <w:bCs/>
                      <w:color w:val="auto"/>
                      <w:kern w:val="2"/>
                      <w:sz w:val="21"/>
                      <w:szCs w:val="21"/>
                      <w:highlight w:val="none"/>
                      <w:lang w:val="en-US" w:eastAsia="zh-CN" w:bidi="ar"/>
                    </w:rPr>
                  </w:pPr>
                  <w:r>
                    <w:rPr>
                      <w:rFonts w:hint="eastAsia" w:cs="Times New Roman"/>
                      <w:b/>
                      <w:bCs/>
                      <w:color w:val="auto"/>
                      <w:szCs w:val="21"/>
                      <w:highlight w:val="none"/>
                      <w:lang w:val="en-US" w:eastAsia="zh-CN"/>
                    </w:rPr>
                    <w:t>高度</w:t>
                  </w:r>
                </w:p>
              </w:tc>
              <w:tc>
                <w:tcPr>
                  <w:tcW w:w="386" w:type="pct"/>
                  <w:tcBorders>
                    <w:tl2br w:val="nil"/>
                    <w:tr2bl w:val="nil"/>
                  </w:tcBorders>
                  <w:shd w:val="clear" w:color="auto" w:fill="auto"/>
                  <w:noWrap w:val="0"/>
                  <w:vAlign w:val="center"/>
                </w:tcPr>
                <w:p w14:paraId="1558C52A">
                  <w:pPr>
                    <w:jc w:val="center"/>
                    <w:rPr>
                      <w:rFonts w:hint="default" w:ascii="Times New Roman" w:hAnsi="Times New Roman" w:eastAsia="宋体" w:cs="Times New Roman"/>
                      <w:b/>
                      <w:bCs/>
                      <w:color w:val="auto"/>
                      <w:kern w:val="2"/>
                      <w:sz w:val="21"/>
                      <w:szCs w:val="21"/>
                      <w:highlight w:val="none"/>
                      <w:lang w:val="en-US" w:eastAsia="zh-CN" w:bidi="ar"/>
                    </w:rPr>
                  </w:pPr>
                  <w:r>
                    <w:rPr>
                      <w:rFonts w:hint="eastAsia" w:cs="Times New Roman"/>
                      <w:b/>
                      <w:bCs/>
                      <w:color w:val="auto"/>
                      <w:szCs w:val="21"/>
                      <w:highlight w:val="none"/>
                      <w:lang w:val="en-US" w:eastAsia="zh-CN"/>
                    </w:rPr>
                    <w:t>编号</w:t>
                  </w:r>
                </w:p>
              </w:tc>
            </w:tr>
            <w:tr w14:paraId="78440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7" w:hRule="atLeast"/>
              </w:trPr>
              <w:tc>
                <w:tcPr>
                  <w:tcW w:w="374" w:type="pct"/>
                  <w:vMerge w:val="restart"/>
                  <w:tcBorders>
                    <w:tl2br w:val="nil"/>
                    <w:tr2bl w:val="nil"/>
                  </w:tcBorders>
                  <w:noWrap w:val="0"/>
                  <w:vAlign w:val="center"/>
                </w:tcPr>
                <w:p w14:paraId="09FF2996">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发酵、熟化</w:t>
                  </w:r>
                </w:p>
              </w:tc>
              <w:tc>
                <w:tcPr>
                  <w:tcW w:w="486" w:type="pct"/>
                  <w:vMerge w:val="restart"/>
                  <w:tcBorders>
                    <w:tl2br w:val="nil"/>
                    <w:tr2bl w:val="nil"/>
                  </w:tcBorders>
                  <w:noWrap w:val="0"/>
                  <w:vAlign w:val="center"/>
                </w:tcPr>
                <w:p w14:paraId="094A864F">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10000</w:t>
                  </w:r>
                </w:p>
              </w:tc>
              <w:tc>
                <w:tcPr>
                  <w:tcW w:w="788" w:type="pct"/>
                  <w:vMerge w:val="restart"/>
                  <w:tcBorders>
                    <w:tl2br w:val="nil"/>
                    <w:tr2bl w:val="nil"/>
                  </w:tcBorders>
                  <w:noWrap w:val="0"/>
                  <w:vAlign w:val="center"/>
                </w:tcPr>
                <w:p w14:paraId="13EE46D5">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集气罩+二级活性炭吸附+水洗塔除臭装置</w:t>
                  </w:r>
                </w:p>
              </w:tc>
              <w:tc>
                <w:tcPr>
                  <w:tcW w:w="336" w:type="pct"/>
                  <w:tcBorders>
                    <w:tl2br w:val="nil"/>
                    <w:tr2bl w:val="nil"/>
                  </w:tcBorders>
                  <w:noWrap w:val="0"/>
                  <w:vAlign w:val="center"/>
                </w:tcPr>
                <w:p w14:paraId="4C21F0DF">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氨</w:t>
                  </w:r>
                </w:p>
              </w:tc>
              <w:tc>
                <w:tcPr>
                  <w:tcW w:w="503" w:type="pct"/>
                  <w:tcBorders>
                    <w:tl2br w:val="nil"/>
                    <w:tr2bl w:val="nil"/>
                  </w:tcBorders>
                  <w:noWrap w:val="0"/>
                  <w:vAlign w:val="center"/>
                </w:tcPr>
                <w:p w14:paraId="2C5A2521">
                  <w:pPr>
                    <w:jc w:val="center"/>
                    <w:rPr>
                      <w:rFonts w:hint="default" w:ascii="Times New Roman" w:hAnsi="Times New Roman" w:eastAsia="宋体" w:cs="Times New Roman"/>
                      <w:color w:val="auto"/>
                      <w:szCs w:val="21"/>
                      <w:highlight w:val="none"/>
                      <w:lang w:val="en-US" w:eastAsia="zh-CN" w:bidi="ar"/>
                    </w:rPr>
                  </w:pPr>
                  <w:r>
                    <w:rPr>
                      <w:rFonts w:hint="eastAsia" w:cs="Times New Roman"/>
                      <w:color w:val="auto"/>
                      <w:szCs w:val="21"/>
                      <w:highlight w:val="none"/>
                      <w:lang w:val="en-US" w:eastAsia="zh-CN" w:bidi="ar"/>
                    </w:rPr>
                    <w:t>716</w:t>
                  </w:r>
                </w:p>
              </w:tc>
              <w:tc>
                <w:tcPr>
                  <w:tcW w:w="469" w:type="pct"/>
                  <w:tcBorders>
                    <w:tl2br w:val="nil"/>
                    <w:tr2bl w:val="nil"/>
                  </w:tcBorders>
                  <w:noWrap w:val="0"/>
                  <w:vAlign w:val="center"/>
                </w:tcPr>
                <w:p w14:paraId="52AE13EF">
                  <w:pPr>
                    <w:jc w:val="center"/>
                    <w:rPr>
                      <w:rFonts w:hint="default" w:ascii="Times New Roman" w:hAnsi="Times New Roman" w:eastAsia="宋体" w:cs="Times New Roman"/>
                      <w:color w:val="auto"/>
                      <w:szCs w:val="21"/>
                      <w:highlight w:val="none"/>
                      <w:lang w:val="en-US" w:eastAsia="zh-CN" w:bidi="ar"/>
                    </w:rPr>
                  </w:pPr>
                  <w:r>
                    <w:rPr>
                      <w:rFonts w:hint="eastAsia" w:cs="Times New Roman"/>
                      <w:color w:val="auto"/>
                      <w:szCs w:val="21"/>
                      <w:highlight w:val="none"/>
                      <w:lang w:val="en-US" w:eastAsia="zh-CN" w:bidi="ar"/>
                    </w:rPr>
                    <w:t>27.16</w:t>
                  </w:r>
                </w:p>
              </w:tc>
              <w:tc>
                <w:tcPr>
                  <w:tcW w:w="379" w:type="pct"/>
                  <w:vMerge w:val="restart"/>
                  <w:tcBorders>
                    <w:tl2br w:val="nil"/>
                    <w:tr2bl w:val="nil"/>
                  </w:tcBorders>
                  <w:noWrap w:val="0"/>
                  <w:vAlign w:val="center"/>
                </w:tcPr>
                <w:p w14:paraId="12B9E1DA">
                  <w:pPr>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bidi="ar"/>
                    </w:rPr>
                    <w:t>90</w:t>
                  </w:r>
                  <w:r>
                    <w:rPr>
                      <w:rFonts w:hint="default" w:ascii="Times New Roman" w:hAnsi="Times New Roman" w:cs="Times New Roman"/>
                      <w:color w:val="auto"/>
                      <w:szCs w:val="21"/>
                      <w:highlight w:val="none"/>
                      <w:lang w:bidi="ar"/>
                    </w:rPr>
                    <w:t>%</w:t>
                  </w:r>
                </w:p>
              </w:tc>
              <w:tc>
                <w:tcPr>
                  <w:tcW w:w="469" w:type="pct"/>
                  <w:tcBorders>
                    <w:tl2br w:val="nil"/>
                    <w:tr2bl w:val="nil"/>
                  </w:tcBorders>
                  <w:noWrap w:val="0"/>
                  <w:vAlign w:val="center"/>
                </w:tcPr>
                <w:p w14:paraId="0009E629">
                  <w:pPr>
                    <w:jc w:val="center"/>
                    <w:rPr>
                      <w:rFonts w:hint="default" w:ascii="Times New Roman" w:hAnsi="Times New Roman" w:eastAsia="宋体" w:cs="Times New Roman"/>
                      <w:color w:val="auto"/>
                      <w:spacing w:val="-20"/>
                      <w:szCs w:val="21"/>
                      <w:highlight w:val="none"/>
                      <w:lang w:val="en-US" w:eastAsia="zh-CN" w:bidi="ar"/>
                    </w:rPr>
                  </w:pPr>
                  <w:r>
                    <w:rPr>
                      <w:rFonts w:hint="eastAsia" w:cs="Times New Roman"/>
                      <w:color w:val="auto"/>
                      <w:spacing w:val="-20"/>
                      <w:szCs w:val="21"/>
                      <w:highlight w:val="none"/>
                      <w:lang w:val="en-US" w:eastAsia="zh-CN" w:bidi="ar"/>
                    </w:rPr>
                    <w:t>272</w:t>
                  </w:r>
                </w:p>
              </w:tc>
              <w:tc>
                <w:tcPr>
                  <w:tcW w:w="397" w:type="pct"/>
                  <w:tcBorders>
                    <w:tl2br w:val="nil"/>
                    <w:tr2bl w:val="nil"/>
                  </w:tcBorders>
                  <w:noWrap w:val="0"/>
                  <w:vAlign w:val="center"/>
                </w:tcPr>
                <w:p w14:paraId="0CF8802D">
                  <w:pPr>
                    <w:jc w:val="center"/>
                    <w:rPr>
                      <w:rFonts w:hint="default" w:ascii="Times New Roman" w:hAnsi="Times New Roman" w:cs="Times New Roman"/>
                      <w:color w:val="auto"/>
                      <w:spacing w:val="-20"/>
                      <w:szCs w:val="21"/>
                      <w:highlight w:val="none"/>
                      <w:lang w:val="en-US" w:bidi="ar"/>
                    </w:rPr>
                  </w:pPr>
                  <w:r>
                    <w:rPr>
                      <w:rFonts w:hint="eastAsia" w:cs="Times New Roman"/>
                      <w:color w:val="auto"/>
                      <w:szCs w:val="21"/>
                      <w:highlight w:val="none"/>
                      <w:lang w:val="en-US" w:eastAsia="zh-CN" w:bidi="ar"/>
                    </w:rPr>
                    <w:t>2.72</w:t>
                  </w:r>
                </w:p>
              </w:tc>
              <w:tc>
                <w:tcPr>
                  <w:tcW w:w="407" w:type="pct"/>
                  <w:vMerge w:val="restart"/>
                  <w:tcBorders>
                    <w:tl2br w:val="nil"/>
                    <w:tr2bl w:val="nil"/>
                  </w:tcBorders>
                  <w:noWrap w:val="0"/>
                  <w:vAlign w:val="center"/>
                </w:tcPr>
                <w:p w14:paraId="67AB1B7D">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bidi="ar"/>
                    </w:rPr>
                    <w:t>H=15m</w:t>
                  </w:r>
                </w:p>
              </w:tc>
              <w:tc>
                <w:tcPr>
                  <w:tcW w:w="386" w:type="pct"/>
                  <w:vMerge w:val="restart"/>
                  <w:tcBorders>
                    <w:tl2br w:val="nil"/>
                    <w:tr2bl w:val="nil"/>
                  </w:tcBorders>
                  <w:noWrap w:val="0"/>
                  <w:vAlign w:val="center"/>
                </w:tcPr>
                <w:p w14:paraId="2DB91FC4">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bidi="ar"/>
                    </w:rPr>
                    <w:t>#2</w:t>
                  </w:r>
                </w:p>
              </w:tc>
            </w:tr>
            <w:tr w14:paraId="6D5AB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374" w:type="pct"/>
                  <w:vMerge w:val="continue"/>
                  <w:tcBorders>
                    <w:tl2br w:val="nil"/>
                    <w:tr2bl w:val="nil"/>
                  </w:tcBorders>
                  <w:noWrap w:val="0"/>
                  <w:vAlign w:val="center"/>
                </w:tcPr>
                <w:p w14:paraId="7FA9258B">
                  <w:pPr>
                    <w:jc w:val="center"/>
                    <w:rPr>
                      <w:rFonts w:hint="eastAsia" w:cs="Times New Roman"/>
                      <w:color w:val="auto"/>
                      <w:szCs w:val="21"/>
                      <w:highlight w:val="none"/>
                      <w:lang w:val="en-US" w:eastAsia="zh-CN"/>
                    </w:rPr>
                  </w:pPr>
                </w:p>
              </w:tc>
              <w:tc>
                <w:tcPr>
                  <w:tcW w:w="486" w:type="pct"/>
                  <w:vMerge w:val="continue"/>
                  <w:tcBorders>
                    <w:tl2br w:val="nil"/>
                    <w:tr2bl w:val="nil"/>
                  </w:tcBorders>
                  <w:noWrap w:val="0"/>
                  <w:vAlign w:val="center"/>
                </w:tcPr>
                <w:p w14:paraId="454E4E9F">
                  <w:pPr>
                    <w:jc w:val="center"/>
                    <w:rPr>
                      <w:rFonts w:hint="eastAsia" w:cs="Times New Roman"/>
                      <w:color w:val="auto"/>
                      <w:szCs w:val="21"/>
                      <w:highlight w:val="none"/>
                      <w:lang w:val="en-US" w:eastAsia="zh-CN"/>
                    </w:rPr>
                  </w:pPr>
                </w:p>
              </w:tc>
              <w:tc>
                <w:tcPr>
                  <w:tcW w:w="788" w:type="pct"/>
                  <w:vMerge w:val="continue"/>
                  <w:tcBorders>
                    <w:tl2br w:val="nil"/>
                    <w:tr2bl w:val="nil"/>
                  </w:tcBorders>
                  <w:noWrap w:val="0"/>
                  <w:vAlign w:val="center"/>
                </w:tcPr>
                <w:p w14:paraId="04B7C79D">
                  <w:pPr>
                    <w:jc w:val="center"/>
                    <w:rPr>
                      <w:rFonts w:hint="eastAsia" w:cs="Times New Roman"/>
                      <w:color w:val="auto"/>
                      <w:szCs w:val="21"/>
                      <w:highlight w:val="none"/>
                      <w:lang w:val="en-US" w:eastAsia="zh-CN"/>
                    </w:rPr>
                  </w:pPr>
                </w:p>
              </w:tc>
              <w:tc>
                <w:tcPr>
                  <w:tcW w:w="336" w:type="pct"/>
                  <w:tcBorders>
                    <w:tl2br w:val="nil"/>
                    <w:tr2bl w:val="nil"/>
                  </w:tcBorders>
                  <w:noWrap w:val="0"/>
                  <w:vAlign w:val="center"/>
                </w:tcPr>
                <w:p w14:paraId="45B54A70">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硫化氢</w:t>
                  </w:r>
                </w:p>
              </w:tc>
              <w:tc>
                <w:tcPr>
                  <w:tcW w:w="503" w:type="pct"/>
                  <w:tcBorders>
                    <w:tl2br w:val="nil"/>
                    <w:tr2bl w:val="nil"/>
                  </w:tcBorders>
                  <w:noWrap w:val="0"/>
                  <w:vAlign w:val="center"/>
                </w:tcPr>
                <w:p w14:paraId="2DF4AAE3">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191</w:t>
                  </w:r>
                </w:p>
              </w:tc>
              <w:tc>
                <w:tcPr>
                  <w:tcW w:w="469" w:type="pct"/>
                  <w:tcBorders>
                    <w:tl2br w:val="nil"/>
                    <w:tr2bl w:val="nil"/>
                  </w:tcBorders>
                  <w:noWrap w:val="0"/>
                  <w:vAlign w:val="center"/>
                </w:tcPr>
                <w:p w14:paraId="03C274F8">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1.91</w:t>
                  </w:r>
                </w:p>
              </w:tc>
              <w:tc>
                <w:tcPr>
                  <w:tcW w:w="379" w:type="pct"/>
                  <w:vMerge w:val="continue"/>
                  <w:tcBorders>
                    <w:tl2br w:val="nil"/>
                    <w:tr2bl w:val="nil"/>
                  </w:tcBorders>
                  <w:noWrap w:val="0"/>
                  <w:vAlign w:val="center"/>
                </w:tcPr>
                <w:p w14:paraId="2B3A3B19">
                  <w:pPr>
                    <w:jc w:val="center"/>
                    <w:rPr>
                      <w:rFonts w:hint="eastAsia" w:cs="Times New Roman"/>
                      <w:color w:val="auto"/>
                      <w:szCs w:val="21"/>
                      <w:highlight w:val="none"/>
                      <w:lang w:val="en-US" w:eastAsia="zh-CN" w:bidi="ar"/>
                    </w:rPr>
                  </w:pPr>
                </w:p>
              </w:tc>
              <w:tc>
                <w:tcPr>
                  <w:tcW w:w="469" w:type="pct"/>
                  <w:tcBorders>
                    <w:tl2br w:val="nil"/>
                    <w:tr2bl w:val="nil"/>
                  </w:tcBorders>
                  <w:noWrap w:val="0"/>
                  <w:vAlign w:val="center"/>
                </w:tcPr>
                <w:p w14:paraId="536AC57E">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19</w:t>
                  </w:r>
                </w:p>
              </w:tc>
              <w:tc>
                <w:tcPr>
                  <w:tcW w:w="397" w:type="pct"/>
                  <w:tcBorders>
                    <w:tl2br w:val="nil"/>
                    <w:tr2bl w:val="nil"/>
                  </w:tcBorders>
                  <w:noWrap w:val="0"/>
                  <w:vAlign w:val="center"/>
                </w:tcPr>
                <w:p w14:paraId="2E8EF9FA">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0.19</w:t>
                  </w:r>
                </w:p>
              </w:tc>
              <w:tc>
                <w:tcPr>
                  <w:tcW w:w="407" w:type="pct"/>
                  <w:vMerge w:val="continue"/>
                  <w:tcBorders>
                    <w:tl2br w:val="nil"/>
                    <w:tr2bl w:val="nil"/>
                  </w:tcBorders>
                  <w:noWrap w:val="0"/>
                  <w:vAlign w:val="center"/>
                </w:tcPr>
                <w:p w14:paraId="67D624A5">
                  <w:pPr>
                    <w:jc w:val="center"/>
                    <w:rPr>
                      <w:rFonts w:hint="eastAsia" w:cs="Times New Roman"/>
                      <w:color w:val="auto"/>
                      <w:szCs w:val="21"/>
                      <w:highlight w:val="none"/>
                      <w:lang w:val="en-US" w:eastAsia="zh-CN" w:bidi="ar"/>
                    </w:rPr>
                  </w:pPr>
                </w:p>
              </w:tc>
              <w:tc>
                <w:tcPr>
                  <w:tcW w:w="386" w:type="pct"/>
                  <w:vMerge w:val="continue"/>
                  <w:tcBorders>
                    <w:tl2br w:val="nil"/>
                    <w:tr2bl w:val="nil"/>
                  </w:tcBorders>
                  <w:noWrap w:val="0"/>
                  <w:vAlign w:val="center"/>
                </w:tcPr>
                <w:p w14:paraId="35AB4118">
                  <w:pPr>
                    <w:jc w:val="center"/>
                    <w:rPr>
                      <w:rFonts w:hint="eastAsia" w:cs="Times New Roman"/>
                      <w:color w:val="auto"/>
                      <w:szCs w:val="21"/>
                      <w:highlight w:val="none"/>
                      <w:lang w:val="en-US" w:eastAsia="zh-CN" w:bidi="ar"/>
                    </w:rPr>
                  </w:pPr>
                </w:p>
              </w:tc>
            </w:tr>
          </w:tbl>
          <w:p w14:paraId="5CE36C3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color w:val="auto"/>
                <w:sz w:val="24"/>
                <w:szCs w:val="21"/>
                <w:highlight w:val="none"/>
                <w:lang w:eastAsia="zh-CN"/>
              </w:rPr>
            </w:pPr>
            <w:r>
              <w:rPr>
                <w:rFonts w:hint="eastAsia" w:cs="Times New Roman"/>
                <w:b/>
                <w:bCs/>
                <w:color w:val="auto"/>
                <w:sz w:val="24"/>
                <w:szCs w:val="21"/>
                <w:highlight w:val="none"/>
                <w:lang w:val="en-US" w:eastAsia="zh-CN"/>
              </w:rPr>
              <w:t>（3）原材料储存库</w:t>
            </w:r>
            <w:r>
              <w:rPr>
                <w:rFonts w:hint="default" w:ascii="Times New Roman" w:hAnsi="Times New Roman" w:cs="Times New Roman"/>
                <w:b/>
                <w:bCs/>
                <w:color w:val="auto"/>
                <w:sz w:val="24"/>
                <w:szCs w:val="21"/>
                <w:highlight w:val="none"/>
              </w:rPr>
              <w:t>粉尘</w:t>
            </w:r>
            <w:r>
              <w:rPr>
                <w:rFonts w:hint="eastAsia" w:cs="Times New Roman"/>
                <w:b/>
                <w:bCs/>
                <w:color w:val="auto"/>
                <w:sz w:val="24"/>
                <w:szCs w:val="21"/>
                <w:highlight w:val="none"/>
                <w:lang w:eastAsia="zh-CN"/>
              </w:rPr>
              <w:t>（</w:t>
            </w:r>
            <w:r>
              <w:rPr>
                <w:rFonts w:hint="eastAsia" w:cs="Times New Roman"/>
                <w:b/>
                <w:bCs/>
                <w:color w:val="auto"/>
                <w:sz w:val="24"/>
                <w:szCs w:val="21"/>
                <w:highlight w:val="none"/>
                <w:lang w:val="en-US" w:eastAsia="zh-CN"/>
              </w:rPr>
              <w:t>无组织</w:t>
            </w:r>
            <w:r>
              <w:rPr>
                <w:rFonts w:hint="eastAsia" w:cs="Times New Roman"/>
                <w:b/>
                <w:bCs/>
                <w:color w:val="auto"/>
                <w:sz w:val="24"/>
                <w:szCs w:val="21"/>
                <w:highlight w:val="none"/>
                <w:lang w:eastAsia="zh-CN"/>
              </w:rPr>
              <w:t>）</w:t>
            </w:r>
          </w:p>
          <w:p w14:paraId="4CE787A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1"/>
                <w:highlight w:val="none"/>
                <w:lang w:val="en-US" w:eastAsia="zh-CN"/>
              </w:rPr>
            </w:pPr>
            <w:r>
              <w:rPr>
                <w:rFonts w:hint="default" w:ascii="Times New Roman" w:hAnsi="Times New Roman" w:cs="Times New Roman"/>
                <w:color w:val="auto"/>
                <w:sz w:val="24"/>
                <w:szCs w:val="21"/>
                <w:highlight w:val="none"/>
              </w:rPr>
              <w:t>项目</w:t>
            </w:r>
            <w:r>
              <w:rPr>
                <w:rFonts w:hint="eastAsia" w:cs="Times New Roman"/>
                <w:color w:val="auto"/>
                <w:sz w:val="24"/>
                <w:szCs w:val="21"/>
                <w:highlight w:val="none"/>
                <w:lang w:val="en-US" w:eastAsia="zh-CN"/>
              </w:rPr>
              <w:t>原材料储存库</w:t>
            </w:r>
            <w:r>
              <w:rPr>
                <w:rFonts w:hint="default" w:ascii="Times New Roman" w:hAnsi="Times New Roman" w:cs="Times New Roman"/>
                <w:color w:val="auto"/>
                <w:sz w:val="24"/>
                <w:szCs w:val="21"/>
                <w:highlight w:val="none"/>
              </w:rPr>
              <w:t>主要堆存原料</w:t>
            </w:r>
            <w:r>
              <w:rPr>
                <w:rFonts w:hint="eastAsia" w:cs="Times New Roman"/>
                <w:color w:val="auto"/>
                <w:sz w:val="24"/>
                <w:szCs w:val="21"/>
                <w:highlight w:val="none"/>
                <w:lang w:val="en-US" w:eastAsia="zh-CN"/>
              </w:rPr>
              <w:t>农作物秸秆</w:t>
            </w:r>
            <w:r>
              <w:rPr>
                <w:rFonts w:hint="default" w:ascii="Times New Roman" w:hAnsi="Times New Roman" w:cs="Times New Roman"/>
                <w:color w:val="auto"/>
                <w:sz w:val="24"/>
                <w:szCs w:val="21"/>
                <w:highlight w:val="none"/>
              </w:rPr>
              <w:t>，</w:t>
            </w:r>
            <w:r>
              <w:rPr>
                <w:rFonts w:hint="eastAsia" w:cs="Times New Roman"/>
                <w:color w:val="auto"/>
                <w:sz w:val="24"/>
                <w:szCs w:val="21"/>
                <w:highlight w:val="none"/>
                <w:lang w:val="en-US" w:eastAsia="zh-CN"/>
              </w:rPr>
              <w:t>根据建设单位提供的资料本项目回收的秸秆含水率30%，</w:t>
            </w:r>
            <w:r>
              <w:rPr>
                <w:rFonts w:hint="default" w:ascii="Times New Roman" w:hAnsi="Times New Roman" w:cs="Times New Roman"/>
                <w:color w:val="auto"/>
                <w:sz w:val="24"/>
                <w:szCs w:val="21"/>
                <w:highlight w:val="none"/>
              </w:rPr>
              <w:t>遇干旱季节，物料堆表面失去水分会产生少量的粉尘</w:t>
            </w: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原料</w:t>
            </w:r>
            <w:r>
              <w:rPr>
                <w:rFonts w:hint="default" w:ascii="Times New Roman" w:hAnsi="Times New Roman" w:cs="Times New Roman"/>
                <w:color w:val="auto"/>
                <w:sz w:val="24"/>
                <w:szCs w:val="21"/>
                <w:highlight w:val="none"/>
              </w:rPr>
              <w:t>均外购，但不大量囤积，及时采购。</w:t>
            </w:r>
            <w:r>
              <w:rPr>
                <w:rFonts w:hint="default" w:ascii="Times New Roman" w:hAnsi="Times New Roman" w:cs="Times New Roman"/>
                <w:color w:val="auto"/>
                <w:sz w:val="24"/>
                <w:szCs w:val="21"/>
                <w:highlight w:val="none"/>
                <w:lang w:val="en-US" w:eastAsia="zh-CN"/>
              </w:rPr>
              <w:t>由于原料含水率较大且运输过程使用全封闭车辆，运输、装卸过程中无粉尘产生；全封闭设置，由于原料含水率较大，产生粉尘量较少，无组织排放</w:t>
            </w:r>
            <w:r>
              <w:rPr>
                <w:rFonts w:hint="eastAsia" w:cs="Times New Roman"/>
                <w:color w:val="auto"/>
                <w:sz w:val="24"/>
                <w:szCs w:val="21"/>
                <w:highlight w:val="none"/>
                <w:lang w:val="en-US" w:eastAsia="zh-CN"/>
              </w:rPr>
              <w:t>。</w:t>
            </w:r>
          </w:p>
          <w:p w14:paraId="333A2C8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cs="Times New Roman"/>
                <w:b/>
                <w:bCs/>
                <w:color w:val="auto"/>
                <w:sz w:val="24"/>
                <w:szCs w:val="21"/>
                <w:highlight w:val="none"/>
                <w:lang w:val="en-US" w:eastAsia="zh-CN"/>
              </w:rPr>
            </w:pPr>
            <w:r>
              <w:rPr>
                <w:rFonts w:hint="eastAsia" w:cs="Times New Roman"/>
                <w:b/>
                <w:bCs/>
                <w:color w:val="auto"/>
                <w:sz w:val="24"/>
                <w:szCs w:val="21"/>
                <w:highlight w:val="none"/>
                <w:lang w:val="en-US" w:eastAsia="zh-CN"/>
              </w:rPr>
              <w:t>（4）原材料预处理（一次粉碎、一次搅拌）（无组织）</w:t>
            </w:r>
          </w:p>
          <w:p w14:paraId="07F3EC3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cs="Times New Roman"/>
                <w:color w:val="auto"/>
                <w:sz w:val="24"/>
                <w:szCs w:val="21"/>
                <w:highlight w:val="none"/>
                <w:lang w:val="en-US" w:eastAsia="zh-CN"/>
              </w:rPr>
            </w:pPr>
            <w:r>
              <w:rPr>
                <w:rFonts w:hint="eastAsia" w:cs="Times New Roman"/>
                <w:b/>
                <w:bCs/>
                <w:color w:val="auto"/>
                <w:sz w:val="24"/>
                <w:szCs w:val="21"/>
                <w:highlight w:val="none"/>
                <w:lang w:val="en-US" w:eastAsia="zh-CN"/>
              </w:rPr>
              <w:t>①</w:t>
            </w:r>
            <w:r>
              <w:rPr>
                <w:rFonts w:hint="eastAsia" w:ascii="Times New Roman" w:hAnsi="Times New Roman" w:cs="Times New Roman"/>
                <w:b/>
                <w:bCs/>
                <w:color w:val="auto"/>
                <w:sz w:val="24"/>
                <w:szCs w:val="21"/>
                <w:highlight w:val="none"/>
                <w:lang w:val="en-US" w:eastAsia="zh-CN"/>
              </w:rPr>
              <w:t>恶臭</w:t>
            </w:r>
            <w:r>
              <w:rPr>
                <w:rFonts w:hint="eastAsia" w:cs="Times New Roman"/>
                <w:b/>
                <w:bCs/>
                <w:color w:val="auto"/>
                <w:sz w:val="24"/>
                <w:szCs w:val="21"/>
                <w:highlight w:val="none"/>
                <w:lang w:val="en-US" w:eastAsia="zh-CN"/>
              </w:rPr>
              <w:t>：</w:t>
            </w:r>
            <w:r>
              <w:rPr>
                <w:rFonts w:hint="default" w:ascii="Times New Roman" w:hAnsi="Times New Roman" w:cs="Times New Roman"/>
                <w:color w:val="auto"/>
                <w:sz w:val="24"/>
                <w:szCs w:val="21"/>
                <w:highlight w:val="none"/>
              </w:rPr>
              <w:t>项目</w:t>
            </w:r>
            <w:r>
              <w:rPr>
                <w:rFonts w:hint="eastAsia" w:cs="Times New Roman"/>
                <w:color w:val="auto"/>
                <w:sz w:val="24"/>
                <w:szCs w:val="21"/>
                <w:highlight w:val="none"/>
                <w:lang w:val="en-US" w:eastAsia="zh-CN"/>
              </w:rPr>
              <w:t>原材料预处理阶段</w:t>
            </w:r>
            <w:r>
              <w:rPr>
                <w:rFonts w:hint="default" w:ascii="Times New Roman" w:hAnsi="Times New Roman" w:cs="Times New Roman"/>
                <w:color w:val="auto"/>
                <w:sz w:val="24"/>
                <w:szCs w:val="21"/>
                <w:highlight w:val="none"/>
              </w:rPr>
              <w:t>主要</w:t>
            </w:r>
            <w:r>
              <w:rPr>
                <w:rFonts w:hint="eastAsia" w:cs="Times New Roman"/>
                <w:color w:val="auto"/>
                <w:sz w:val="24"/>
                <w:szCs w:val="21"/>
                <w:highlight w:val="none"/>
                <w:lang w:val="en-US" w:eastAsia="zh-CN"/>
              </w:rPr>
              <w:t>进行粉碎、搅拌</w:t>
            </w:r>
            <w:r>
              <w:rPr>
                <w:rFonts w:hint="default" w:ascii="Times New Roman" w:hAnsi="Times New Roman" w:cs="Times New Roman"/>
                <w:color w:val="auto"/>
                <w:sz w:val="24"/>
                <w:szCs w:val="21"/>
                <w:highlight w:val="none"/>
              </w:rPr>
              <w:t>，</w:t>
            </w:r>
            <w:r>
              <w:rPr>
                <w:rFonts w:hint="eastAsia" w:cs="Times New Roman"/>
                <w:color w:val="auto"/>
                <w:sz w:val="24"/>
                <w:szCs w:val="21"/>
                <w:highlight w:val="none"/>
                <w:lang w:val="en-US" w:eastAsia="zh-CN"/>
              </w:rPr>
              <w:t>根据建设单位提供的资料本项目粉碎、搅拌机运行过程中封闭设置</w:t>
            </w:r>
            <w:r>
              <w:rPr>
                <w:rFonts w:hint="eastAsia" w:ascii="Times New Roman" w:hAnsi="Times New Roman" w:cs="Times New Roman"/>
                <w:color w:val="auto"/>
                <w:sz w:val="24"/>
                <w:szCs w:val="21"/>
                <w:highlight w:val="none"/>
                <w:lang w:eastAsia="zh-CN"/>
              </w:rPr>
              <w:t>，</w:t>
            </w:r>
            <w:r>
              <w:rPr>
                <w:rFonts w:hint="eastAsia" w:cs="Times New Roman"/>
                <w:color w:val="auto"/>
                <w:sz w:val="24"/>
                <w:szCs w:val="21"/>
                <w:highlight w:val="none"/>
                <w:lang w:val="en-US" w:eastAsia="zh-CN"/>
              </w:rPr>
              <w:t>生产车间</w:t>
            </w:r>
            <w:r>
              <w:rPr>
                <w:rFonts w:hint="default" w:ascii="Times New Roman" w:hAnsi="Times New Roman" w:cs="Times New Roman"/>
                <w:color w:val="auto"/>
                <w:sz w:val="24"/>
                <w:szCs w:val="21"/>
                <w:highlight w:val="none"/>
                <w:lang w:val="en-US" w:eastAsia="zh-CN"/>
              </w:rPr>
              <w:t>全封闭，产生的恶臭气体定期喷洒生物除臭剂，无组织排放</w:t>
            </w:r>
            <w:r>
              <w:rPr>
                <w:rFonts w:hint="eastAsia" w:cs="Times New Roman"/>
                <w:color w:val="auto"/>
                <w:sz w:val="24"/>
                <w:szCs w:val="21"/>
                <w:highlight w:val="none"/>
                <w:lang w:val="en-US" w:eastAsia="zh-CN"/>
              </w:rPr>
              <w:t>。</w:t>
            </w:r>
          </w:p>
          <w:p w14:paraId="437324D5">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cs="Times New Roman"/>
                <w:color w:val="auto"/>
                <w:sz w:val="24"/>
                <w:szCs w:val="21"/>
                <w:highlight w:val="none"/>
                <w:lang w:val="en-US" w:eastAsia="zh-CN"/>
              </w:rPr>
            </w:pPr>
            <w:r>
              <w:rPr>
                <w:rFonts w:hint="eastAsia" w:cs="Times New Roman"/>
                <w:b/>
                <w:bCs/>
                <w:color w:val="auto"/>
                <w:sz w:val="24"/>
                <w:szCs w:val="21"/>
                <w:highlight w:val="none"/>
                <w:lang w:val="en-US" w:eastAsia="zh-CN"/>
              </w:rPr>
              <w:t>②颗粒物：</w:t>
            </w:r>
            <w:r>
              <w:rPr>
                <w:rFonts w:hint="eastAsia" w:cs="Times New Roman"/>
                <w:color w:val="auto"/>
                <w:sz w:val="24"/>
                <w:szCs w:val="21"/>
                <w:highlight w:val="none"/>
                <w:lang w:val="en-US" w:eastAsia="zh-CN"/>
              </w:rPr>
              <w:t>本项目一次粉碎、一次搅拌过程中无烘干设施不改变原料含水率，牛粪原料含水率70%、秸秆原料含水率30%，产尘量较少，粉尘无组织排放。</w:t>
            </w:r>
          </w:p>
          <w:p w14:paraId="5FCA7837">
            <w:pPr>
              <w:pStyle w:val="31"/>
              <w:keepNext w:val="0"/>
              <w:keepLines w:val="0"/>
              <w:pageBreakBefore w:val="0"/>
              <w:widowControl w:val="0"/>
              <w:kinsoku/>
              <w:wordWrap/>
              <w:overflowPunct/>
              <w:topLinePunct w:val="0"/>
              <w:autoSpaceDE/>
              <w:autoSpaceDN/>
              <w:bidi w:val="0"/>
              <w:adjustRightInd/>
              <w:snapToGrid/>
              <w:spacing w:after="0" w:line="440" w:lineRule="exact"/>
              <w:ind w:left="0" w:leftChars="0" w:firstLine="482" w:firstLineChars="200"/>
              <w:textAlignment w:val="auto"/>
              <w:rPr>
                <w:rFonts w:hint="default" w:ascii="Times New Roman" w:hAnsi="Times New Roman" w:cs="Times New Roman"/>
                <w:b/>
                <w:bCs/>
                <w:color w:val="auto"/>
                <w:sz w:val="24"/>
                <w:szCs w:val="21"/>
                <w:highlight w:val="none"/>
                <w:lang w:val="en-US" w:eastAsia="zh-CN"/>
              </w:rPr>
            </w:pPr>
            <w:r>
              <w:rPr>
                <w:rFonts w:hint="default" w:ascii="Times New Roman" w:hAnsi="Times New Roman" w:cs="Times New Roman"/>
                <w:b/>
                <w:bCs/>
                <w:color w:val="auto"/>
                <w:sz w:val="24"/>
                <w:szCs w:val="21"/>
                <w:highlight w:val="none"/>
                <w:lang w:val="en-US" w:eastAsia="zh-CN"/>
              </w:rPr>
              <w:t>（5）</w:t>
            </w:r>
            <w:r>
              <w:rPr>
                <w:rFonts w:hint="eastAsia" w:ascii="Times New Roman" w:hAnsi="Times New Roman" w:cs="Times New Roman"/>
                <w:b/>
                <w:bCs/>
                <w:color w:val="auto"/>
                <w:sz w:val="24"/>
                <w:szCs w:val="21"/>
                <w:highlight w:val="none"/>
                <w:lang w:val="en-US" w:eastAsia="zh-CN"/>
              </w:rPr>
              <w:t>二期工程</w:t>
            </w:r>
            <w:r>
              <w:rPr>
                <w:rFonts w:hint="eastAsia" w:ascii="Times New Roman" w:hAnsi="Times New Roman" w:eastAsia="宋体" w:cs="Times New Roman"/>
                <w:b/>
                <w:bCs/>
                <w:color w:val="auto"/>
                <w:szCs w:val="21"/>
                <w:highlight w:val="none"/>
                <w:lang w:val="en-US" w:eastAsia="zh-CN"/>
              </w:rPr>
              <w:t>纳米膜发酵车间</w:t>
            </w:r>
            <w:r>
              <w:rPr>
                <w:rFonts w:hint="eastAsia" w:ascii="Times New Roman" w:hAnsi="Times New Roman" w:cs="Times New Roman"/>
                <w:b/>
                <w:bCs/>
                <w:color w:val="auto"/>
                <w:szCs w:val="21"/>
                <w:highlight w:val="none"/>
                <w:lang w:val="en-US" w:eastAsia="zh-CN"/>
              </w:rPr>
              <w:t>恶臭（无组织）</w:t>
            </w:r>
          </w:p>
          <w:p w14:paraId="1219E40A">
            <w:pPr>
              <w:pStyle w:val="103"/>
              <w:keepNext w:val="0"/>
              <w:keepLines w:val="0"/>
              <w:pageBreakBefore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高端有机肥（二期工程）生产发酵过程在纳米膜发酵车间完成，根据要求本项目纳米膜发酵车间全封闭设置，根据《畜禽粪便纳米膜覆盖好氧堆肥技术规程》（DB13_T5648-2022）车间内的功能膜具有选择透过性功能</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Cs w:val="21"/>
                <w:highlight w:val="none"/>
                <w:lang w:val="en-US" w:eastAsia="zh-CN"/>
              </w:rPr>
              <w:t>膜内水蒸气和二氧化碳等小分子气体可以透过排放，臭气等大分子气体被阻隔在内</w:t>
            </w:r>
            <w:r>
              <w:rPr>
                <w:rFonts w:hint="default" w:ascii="Times New Roman" w:hAnsi="Times New Roman" w:eastAsia="宋体" w:cs="Times New Roman"/>
                <w:color w:val="auto"/>
                <w:sz w:val="24"/>
                <w:szCs w:val="24"/>
                <w:highlight w:val="none"/>
                <w:lang w:val="en-US" w:eastAsia="zh-CN"/>
              </w:rPr>
              <w:t>减少臭气的排放和氨的流失保证肥效</w:t>
            </w:r>
            <w:r>
              <w:rPr>
                <w:rFonts w:hint="default" w:ascii="Times New Roman" w:hAnsi="Times New Roman" w:eastAsia="宋体" w:cs="Times New Roman"/>
                <w:color w:val="auto"/>
                <w:szCs w:val="21"/>
                <w:highlight w:val="none"/>
                <w:lang w:val="en-US" w:eastAsia="zh-CN"/>
              </w:rPr>
              <w:t>。</w:t>
            </w:r>
          </w:p>
          <w:p w14:paraId="4FA29543">
            <w:pPr>
              <w:pStyle w:val="103"/>
              <w:keepNext w:val="0"/>
              <w:keepLines w:val="0"/>
              <w:pageBreakBefore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本项目高端有机肥（二期工程）生产过程中</w:t>
            </w:r>
            <w:r>
              <w:rPr>
                <w:rFonts w:hint="default" w:ascii="Times New Roman" w:hAnsi="Times New Roman" w:eastAsia="宋体" w:cs="Times New Roman"/>
                <w:color w:val="auto"/>
                <w:szCs w:val="21"/>
                <w:highlight w:val="none"/>
              </w:rPr>
              <w:t>物料</w:t>
            </w:r>
            <w:r>
              <w:rPr>
                <w:rFonts w:hint="eastAsia" w:ascii="Times New Roman" w:hAnsi="Times New Roman" w:eastAsia="宋体" w:cs="Times New Roman"/>
                <w:color w:val="auto"/>
                <w:szCs w:val="21"/>
                <w:highlight w:val="none"/>
                <w:lang w:val="en-US" w:eastAsia="zh-CN"/>
              </w:rPr>
              <w:t>发酵</w:t>
            </w:r>
            <w:r>
              <w:rPr>
                <w:rFonts w:hint="default" w:ascii="Times New Roman" w:hAnsi="Times New Roman" w:eastAsia="宋体" w:cs="Times New Roman"/>
                <w:color w:val="auto"/>
                <w:szCs w:val="21"/>
                <w:highlight w:val="none"/>
              </w:rPr>
              <w:t>过程会产生</w:t>
            </w:r>
            <w:r>
              <w:rPr>
                <w:rFonts w:hint="eastAsia" w:ascii="Times New Roman" w:hAnsi="Times New Roman" w:eastAsia="宋体" w:cs="Times New Roman"/>
                <w:color w:val="auto"/>
                <w:szCs w:val="21"/>
                <w:highlight w:val="none"/>
                <w:lang w:val="en-US" w:eastAsia="zh-CN"/>
              </w:rPr>
              <w:t>恶臭气体</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设置</w:t>
            </w:r>
            <w:r>
              <w:rPr>
                <w:rFonts w:hint="default" w:ascii="Times New Roman" w:hAnsi="Times New Roman" w:eastAsia="宋体" w:cs="Times New Roman"/>
                <w:color w:val="auto"/>
                <w:szCs w:val="21"/>
                <w:highlight w:val="none"/>
              </w:rPr>
              <w:t>根据《恶臭的评价与分析》</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沈培明等所著， 化学工业出版社</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 2005.7</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 中的有关资料，NH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S 主要来自牲畜粪便，粪便中N元素含量约0.32%、S元素含量约为0.15一0.20%，粪便以恶臭气体形式排出的N、S分别约为粪便的8%和1%。本项目</w:t>
            </w:r>
            <w:r>
              <w:rPr>
                <w:rFonts w:hint="eastAsia" w:ascii="Times New Roman" w:hAnsi="Times New Roman" w:eastAsia="宋体" w:cs="Times New Roman"/>
                <w:color w:val="auto"/>
                <w:szCs w:val="21"/>
                <w:highlight w:val="none"/>
                <w:lang w:val="en-US" w:eastAsia="zh-CN"/>
              </w:rPr>
              <w:t>二期发酵过程中</w:t>
            </w:r>
            <w:r>
              <w:rPr>
                <w:rFonts w:hint="default" w:ascii="Times New Roman" w:hAnsi="Times New Roman" w:eastAsia="宋体" w:cs="Times New Roman"/>
                <w:color w:val="auto"/>
                <w:szCs w:val="21"/>
                <w:highlight w:val="none"/>
              </w:rPr>
              <w:t>共有粪便</w:t>
            </w:r>
            <w:r>
              <w:rPr>
                <w:rFonts w:hint="eastAsia" w:ascii="Times New Roman" w:hAnsi="Times New Roman" w:eastAsia="宋体" w:cs="Times New Roman"/>
                <w:color w:val="auto"/>
                <w:szCs w:val="21"/>
                <w:highlight w:val="none"/>
                <w:lang w:val="en-US" w:eastAsia="zh-CN"/>
              </w:rPr>
              <w:t>8.424万</w:t>
            </w:r>
            <w:r>
              <w:rPr>
                <w:rFonts w:hint="default" w:ascii="Times New Roman" w:hAnsi="Times New Roman" w:eastAsia="宋体" w:cs="Times New Roman"/>
                <w:color w:val="auto"/>
                <w:szCs w:val="21"/>
                <w:highlight w:val="none"/>
              </w:rPr>
              <w:t>t/a</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年发酵时间4800h），</w:t>
            </w:r>
            <w:r>
              <w:rPr>
                <w:rFonts w:hint="default" w:ascii="Times New Roman" w:hAnsi="Times New Roman" w:eastAsia="宋体" w:cs="Times New Roman"/>
                <w:color w:val="auto"/>
                <w:szCs w:val="21"/>
                <w:highlight w:val="none"/>
              </w:rPr>
              <w:t>据此估算得本项目粪便中N、S元素含量分别为</w:t>
            </w:r>
            <w:r>
              <w:rPr>
                <w:rFonts w:hint="eastAsia" w:ascii="Times New Roman" w:hAnsi="Times New Roman" w:eastAsia="宋体" w:cs="Times New Roman"/>
                <w:color w:val="auto"/>
                <w:szCs w:val="21"/>
                <w:highlight w:val="none"/>
                <w:lang w:val="en-US" w:eastAsia="zh-CN"/>
              </w:rPr>
              <w:t>269.57</w:t>
            </w:r>
            <w:r>
              <w:rPr>
                <w:rFonts w:hint="default" w:ascii="Times New Roman" w:hAnsi="Times New Roman" w:eastAsia="宋体" w:cs="Times New Roman"/>
                <w:color w:val="auto"/>
                <w:szCs w:val="21"/>
                <w:highlight w:val="none"/>
              </w:rPr>
              <w:t>t/a、</w:t>
            </w:r>
            <w:r>
              <w:rPr>
                <w:rFonts w:hint="eastAsia" w:ascii="Times New Roman" w:hAnsi="Times New Roman" w:eastAsia="宋体" w:cs="Times New Roman"/>
                <w:color w:val="auto"/>
                <w:szCs w:val="21"/>
                <w:highlight w:val="none"/>
                <w:lang w:val="en-US" w:eastAsia="zh-CN"/>
              </w:rPr>
              <w:t>151.63</w:t>
            </w:r>
            <w:r>
              <w:rPr>
                <w:rFonts w:hint="default" w:ascii="Times New Roman" w:hAnsi="Times New Roman" w:eastAsia="宋体" w:cs="Times New Roman"/>
                <w:color w:val="auto"/>
                <w:szCs w:val="21"/>
                <w:highlight w:val="none"/>
              </w:rPr>
              <w:t>t/a</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粪便以恶臭气体形式排出的N、S分别约为</w:t>
            </w:r>
            <w:r>
              <w:rPr>
                <w:rFonts w:hint="eastAsia" w:ascii="Times New Roman" w:hAnsi="Times New Roman" w:eastAsia="宋体" w:cs="Times New Roman"/>
                <w:color w:val="auto"/>
                <w:szCs w:val="21"/>
                <w:highlight w:val="none"/>
                <w:lang w:val="en-US" w:eastAsia="zh-CN"/>
              </w:rPr>
              <w:t>21.56</w:t>
            </w:r>
            <w:r>
              <w:rPr>
                <w:rFonts w:hint="default" w:ascii="Times New Roman" w:hAnsi="Times New Roman" w:eastAsia="宋体" w:cs="Times New Roman"/>
                <w:color w:val="auto"/>
                <w:szCs w:val="21"/>
                <w:highlight w:val="none"/>
              </w:rPr>
              <w:t>t/a、</w:t>
            </w:r>
            <w:r>
              <w:rPr>
                <w:rFonts w:hint="eastAsia" w:ascii="Times New Roman" w:hAnsi="Times New Roman" w:eastAsia="宋体" w:cs="Times New Roman"/>
                <w:color w:val="auto"/>
                <w:szCs w:val="21"/>
                <w:highlight w:val="none"/>
                <w:lang w:val="en-US" w:eastAsia="zh-CN"/>
              </w:rPr>
              <w:t>1.52</w:t>
            </w:r>
            <w:r>
              <w:rPr>
                <w:rFonts w:hint="default" w:ascii="Times New Roman" w:hAnsi="Times New Roman" w:eastAsia="宋体" w:cs="Times New Roman"/>
                <w:color w:val="auto"/>
                <w:szCs w:val="21"/>
                <w:highlight w:val="none"/>
              </w:rPr>
              <w:t>/a，折合成NH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S产生量约为</w:t>
            </w:r>
            <w:r>
              <w:rPr>
                <w:rFonts w:hint="eastAsia" w:ascii="Times New Roman" w:hAnsi="Times New Roman" w:eastAsia="宋体" w:cs="Times New Roman"/>
                <w:color w:val="auto"/>
                <w:szCs w:val="21"/>
                <w:highlight w:val="none"/>
                <w:lang w:val="en-US" w:eastAsia="zh-CN"/>
              </w:rPr>
              <w:t>21.56</w:t>
            </w:r>
            <w:r>
              <w:rPr>
                <w:rFonts w:hint="default" w:ascii="Times New Roman" w:hAnsi="Times New Roman" w:eastAsia="宋体" w:cs="Times New Roman"/>
                <w:color w:val="auto"/>
                <w:szCs w:val="21"/>
                <w:highlight w:val="none"/>
              </w:rPr>
              <w:t>t/a、</w:t>
            </w:r>
            <w:r>
              <w:rPr>
                <w:rFonts w:hint="eastAsia" w:ascii="Times New Roman" w:hAnsi="Times New Roman" w:eastAsia="宋体" w:cs="Times New Roman"/>
                <w:color w:val="auto"/>
                <w:szCs w:val="21"/>
                <w:highlight w:val="none"/>
                <w:lang w:val="en-US" w:eastAsia="zh-CN"/>
              </w:rPr>
              <w:t>1.52</w:t>
            </w:r>
            <w:r>
              <w:rPr>
                <w:rFonts w:hint="default" w:ascii="Times New Roman" w:hAnsi="Times New Roman" w:eastAsia="宋体" w:cs="Times New Roman"/>
                <w:color w:val="auto"/>
                <w:szCs w:val="21"/>
                <w:highlight w:val="none"/>
              </w:rPr>
              <w:t>/a。本</w:t>
            </w:r>
            <w:r>
              <w:rPr>
                <w:rFonts w:hint="default" w:ascii="Times New Roman" w:hAnsi="Times New Roman" w:eastAsia="宋体" w:cs="Times New Roman"/>
                <w:color w:val="auto"/>
                <w:szCs w:val="21"/>
                <w:highlight w:val="none"/>
                <w:lang w:val="en-US" w:eastAsia="zh-CN"/>
              </w:rPr>
              <w:t>项目</w:t>
            </w:r>
            <w:r>
              <w:rPr>
                <w:rFonts w:hint="default" w:ascii="Times New Roman" w:hAnsi="Times New Roman" w:eastAsia="宋体" w:cs="Times New Roman"/>
                <w:color w:val="auto"/>
                <w:szCs w:val="21"/>
                <w:highlight w:val="none"/>
              </w:rPr>
              <w:t>物料</w:t>
            </w:r>
            <w:r>
              <w:rPr>
                <w:rFonts w:hint="eastAsia" w:ascii="Times New Roman" w:hAnsi="Times New Roman" w:eastAsia="宋体" w:cs="Times New Roman"/>
                <w:color w:val="auto"/>
                <w:szCs w:val="21"/>
                <w:highlight w:val="none"/>
                <w:lang w:val="en-US" w:eastAsia="zh-CN"/>
              </w:rPr>
              <w:t>发酵、熟化</w:t>
            </w:r>
            <w:r>
              <w:rPr>
                <w:rFonts w:hint="default" w:ascii="Times New Roman" w:hAnsi="Times New Roman" w:eastAsia="宋体" w:cs="Times New Roman"/>
                <w:color w:val="auto"/>
                <w:szCs w:val="21"/>
                <w:highlight w:val="none"/>
              </w:rPr>
              <w:t>过程会恶臭污染物产生总源强为：NH</w:t>
            </w:r>
            <w:r>
              <w:rPr>
                <w:rFonts w:hint="default" w:ascii="Times New Roman" w:hAnsi="Times New Roman" w:eastAsia="宋体" w:cs="Times New Roman"/>
                <w:color w:val="auto"/>
                <w:szCs w:val="21"/>
                <w:highlight w:val="none"/>
                <w:vertAlign w:val="subscript"/>
              </w:rPr>
              <w:t>3</w:t>
            </w:r>
            <w:r>
              <w:rPr>
                <w:rFonts w:hint="eastAsia" w:ascii="Times New Roman" w:hAnsi="Times New Roman" w:eastAsia="宋体" w:cs="Times New Roman"/>
                <w:color w:val="auto"/>
                <w:szCs w:val="21"/>
                <w:highlight w:val="none"/>
                <w:lang w:val="en-US" w:eastAsia="zh-CN"/>
              </w:rPr>
              <w:t>21.56</w:t>
            </w:r>
            <w:r>
              <w:rPr>
                <w:rFonts w:hint="default" w:ascii="Times New Roman" w:hAnsi="Times New Roman" w:eastAsia="宋体" w:cs="Times New Roman"/>
                <w:color w:val="auto"/>
                <w:szCs w:val="21"/>
                <w:highlight w:val="none"/>
                <w:lang w:val="en-US" w:eastAsia="zh-CN"/>
              </w:rPr>
              <w:t>t</w:t>
            </w:r>
            <w:r>
              <w:rPr>
                <w:rFonts w:hint="default"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（4.49kg/h）</w:t>
            </w: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1.52</w:t>
            </w:r>
            <w:r>
              <w:rPr>
                <w:rFonts w:hint="default" w:ascii="Times New Roman" w:hAnsi="Times New Roman" w:eastAsia="宋体" w:cs="Times New Roman"/>
                <w:color w:val="auto"/>
                <w:szCs w:val="21"/>
                <w:highlight w:val="none"/>
              </w:rPr>
              <w:t>t/a（</w:t>
            </w:r>
            <w:r>
              <w:rPr>
                <w:rFonts w:hint="eastAsia" w:ascii="Times New Roman" w:hAnsi="Times New Roman" w:eastAsia="宋体" w:cs="Times New Roman"/>
                <w:color w:val="auto"/>
                <w:szCs w:val="21"/>
                <w:highlight w:val="none"/>
                <w:lang w:val="en-US" w:eastAsia="zh-CN"/>
              </w:rPr>
              <w:t>0.32kg/h</w:t>
            </w:r>
            <w:r>
              <w:rPr>
                <w:rFonts w:hint="default" w:ascii="Times New Roman" w:hAnsi="Times New Roman" w:eastAsia="宋体" w:cs="Times New Roman"/>
                <w:color w:val="auto"/>
                <w:szCs w:val="21"/>
                <w:highlight w:val="none"/>
              </w:rPr>
              <w:t>）。</w:t>
            </w:r>
          </w:p>
          <w:p w14:paraId="4A889F0D">
            <w:pPr>
              <w:pStyle w:val="9"/>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highlight w:val="none"/>
                <w:lang w:val="en-US" w:eastAsia="zh-CN"/>
              </w:rPr>
            </w:pPr>
            <w:r>
              <w:rPr>
                <w:rFonts w:hint="eastAsia" w:ascii="Times New Roman" w:hAnsi="Times New Roman" w:cs="Times New Roman"/>
                <w:color w:val="auto"/>
                <w:szCs w:val="21"/>
                <w:highlight w:val="none"/>
                <w:lang w:val="en-US" w:eastAsia="zh-CN"/>
              </w:rPr>
              <w:t>高端有机肥发酵过程中定期在车间内、膜外喷洒生物除臭剂，根据《生物型除臭剂的研究进展》（荣达德、杨琼、刘吉升、刑东旭、李庆荣编制），采用生物型除臭剂可使发酵场内的NH</w:t>
            </w:r>
            <w:r>
              <w:rPr>
                <w:rFonts w:hint="eastAsia" w:ascii="Times New Roman" w:hAnsi="Times New Roman" w:cs="Times New Roman"/>
                <w:color w:val="auto"/>
                <w:szCs w:val="21"/>
                <w:highlight w:val="none"/>
                <w:vertAlign w:val="subscript"/>
                <w:lang w:val="en-US" w:eastAsia="zh-CN"/>
              </w:rPr>
              <w:t>3</w:t>
            </w:r>
            <w:r>
              <w:rPr>
                <w:rFonts w:hint="eastAsia" w:ascii="Times New Roman" w:hAnsi="Times New Roman" w:cs="Times New Roman"/>
                <w:color w:val="auto"/>
                <w:szCs w:val="21"/>
                <w:highlight w:val="none"/>
                <w:lang w:val="en-US" w:eastAsia="zh-CN"/>
              </w:rPr>
              <w:t>浓度降低84.4%、H</w:t>
            </w:r>
            <w:r>
              <w:rPr>
                <w:rFonts w:hint="eastAsia" w:ascii="Times New Roman" w:hAnsi="Times New Roman" w:cs="Times New Roman"/>
                <w:color w:val="auto"/>
                <w:szCs w:val="21"/>
                <w:highlight w:val="none"/>
                <w:vertAlign w:val="subscript"/>
                <w:lang w:val="en-US" w:eastAsia="zh-CN"/>
              </w:rPr>
              <w:t>2</w:t>
            </w:r>
            <w:r>
              <w:rPr>
                <w:rFonts w:hint="eastAsia" w:ascii="Times New Roman" w:hAnsi="Times New Roman" w:cs="Times New Roman"/>
                <w:color w:val="auto"/>
                <w:szCs w:val="21"/>
                <w:highlight w:val="none"/>
                <w:lang w:val="en-US" w:eastAsia="zh-CN"/>
              </w:rPr>
              <w:t>S 浓度降低62.1%，</w:t>
            </w:r>
            <w:r>
              <w:rPr>
                <w:rFonts w:hint="default" w:ascii="Times New Roman" w:hAnsi="Times New Roman" w:cs="Times New Roman"/>
                <w:color w:val="auto"/>
                <w:sz w:val="24"/>
                <w:szCs w:val="21"/>
                <w:highlight w:val="none"/>
              </w:rPr>
              <w:t>本次环评</w:t>
            </w:r>
            <w:r>
              <w:rPr>
                <w:rFonts w:hint="eastAsia" w:cs="Times New Roman"/>
                <w:color w:val="auto"/>
                <w:sz w:val="24"/>
                <w:szCs w:val="21"/>
                <w:highlight w:val="none"/>
                <w:lang w:val="en-US" w:eastAsia="zh-CN"/>
              </w:rPr>
              <w:t>均</w:t>
            </w:r>
            <w:r>
              <w:rPr>
                <w:rFonts w:hint="default" w:ascii="Times New Roman" w:hAnsi="Times New Roman" w:cs="Times New Roman"/>
                <w:color w:val="auto"/>
                <w:sz w:val="24"/>
                <w:szCs w:val="21"/>
                <w:highlight w:val="none"/>
              </w:rPr>
              <w:t>按60%计</w:t>
            </w:r>
            <w:r>
              <w:rPr>
                <w:rFonts w:hint="eastAsia" w:ascii="Times New Roman" w:hAnsi="Times New Roman" w:cs="Times New Roman"/>
                <w:color w:val="auto"/>
                <w:szCs w:val="21"/>
                <w:highlight w:val="none"/>
                <w:lang w:val="en-US" w:eastAsia="zh-CN"/>
              </w:rPr>
              <w:t>。则纳米膜车间发酵过程中恶臭污染排放量为：NH</w:t>
            </w:r>
            <w:r>
              <w:rPr>
                <w:rFonts w:hint="eastAsia" w:ascii="Times New Roman" w:hAnsi="Times New Roman" w:cs="Times New Roman"/>
                <w:color w:val="auto"/>
                <w:szCs w:val="21"/>
                <w:highlight w:val="none"/>
                <w:vertAlign w:val="subscript"/>
                <w:lang w:val="en-US" w:eastAsia="zh-CN"/>
              </w:rPr>
              <w:t>3</w:t>
            </w:r>
            <w:r>
              <w:rPr>
                <w:rFonts w:hint="eastAsia" w:ascii="Times New Roman" w:hAnsi="Times New Roman" w:cs="Times New Roman"/>
                <w:color w:val="auto"/>
                <w:szCs w:val="21"/>
                <w:highlight w:val="none"/>
                <w:lang w:val="en-US" w:eastAsia="zh-CN"/>
              </w:rPr>
              <w:t>8.62t/a（1.796kg/h），H</w:t>
            </w:r>
            <w:r>
              <w:rPr>
                <w:rFonts w:hint="eastAsia" w:ascii="Times New Roman" w:hAnsi="Times New Roman" w:cs="Times New Roman"/>
                <w:color w:val="auto"/>
                <w:szCs w:val="21"/>
                <w:highlight w:val="none"/>
                <w:vertAlign w:val="subscript"/>
                <w:lang w:val="en-US" w:eastAsia="zh-CN"/>
              </w:rPr>
              <w:t>2</w:t>
            </w:r>
            <w:r>
              <w:rPr>
                <w:rFonts w:hint="eastAsia" w:ascii="Times New Roman" w:hAnsi="Times New Roman" w:cs="Times New Roman"/>
                <w:color w:val="auto"/>
                <w:szCs w:val="21"/>
                <w:highlight w:val="none"/>
                <w:lang w:val="en-US" w:eastAsia="zh-CN"/>
              </w:rPr>
              <w:t>S0.608t/a（0.128kg/h），无组织排放。</w:t>
            </w:r>
          </w:p>
          <w:p w14:paraId="500FBD74">
            <w:pPr>
              <w:keepNext w:val="0"/>
              <w:keepLines w:val="0"/>
              <w:pageBreakBefore w:val="0"/>
              <w:widowControl/>
              <w:kinsoku/>
              <w:wordWrap/>
              <w:overflowPunct/>
              <w:topLinePunct w:val="0"/>
              <w:autoSpaceDE/>
              <w:autoSpaceDN/>
              <w:bidi w:val="0"/>
              <w:snapToGrid/>
              <w:spacing w:line="440" w:lineRule="exact"/>
              <w:ind w:firstLine="482" w:firstLineChars="200"/>
              <w:jc w:val="left"/>
              <w:rPr>
                <w:rFonts w:hint="eastAsia" w:cs="Times New Roman"/>
                <w:b/>
                <w:bCs/>
                <w:color w:val="auto"/>
                <w:sz w:val="24"/>
                <w:highlight w:val="none"/>
                <w:lang w:val="en-US" w:eastAsia="zh-CN"/>
              </w:rPr>
            </w:pPr>
            <w:r>
              <w:rPr>
                <w:rFonts w:hint="eastAsia" w:cs="Times New Roman"/>
                <w:b/>
                <w:bCs/>
                <w:color w:val="auto"/>
                <w:sz w:val="24"/>
                <w:highlight w:val="none"/>
                <w:lang w:eastAsia="zh-CN"/>
              </w:rPr>
              <w:t>（</w:t>
            </w:r>
            <w:r>
              <w:rPr>
                <w:rFonts w:hint="eastAsia" w:cs="Times New Roman"/>
                <w:b/>
                <w:bCs/>
                <w:color w:val="auto"/>
                <w:sz w:val="24"/>
                <w:highlight w:val="none"/>
                <w:lang w:val="en-US" w:eastAsia="zh-CN"/>
              </w:rPr>
              <w:t>6</w:t>
            </w:r>
            <w:r>
              <w:rPr>
                <w:rFonts w:hint="eastAsia" w:cs="Times New Roman"/>
                <w:b/>
                <w:bCs/>
                <w:color w:val="auto"/>
                <w:sz w:val="24"/>
                <w:highlight w:val="none"/>
                <w:lang w:eastAsia="zh-CN"/>
              </w:rPr>
              <w:t>）质量检验室</w:t>
            </w:r>
            <w:r>
              <w:rPr>
                <w:rFonts w:hint="eastAsia" w:cs="Times New Roman"/>
                <w:b/>
                <w:bCs/>
                <w:color w:val="auto"/>
                <w:sz w:val="24"/>
                <w:highlight w:val="none"/>
                <w:lang w:val="en-US" w:eastAsia="zh-CN"/>
              </w:rPr>
              <w:t>颗粒物（无组织）</w:t>
            </w:r>
          </w:p>
          <w:p w14:paraId="0BBB74C0">
            <w:pPr>
              <w:keepNext w:val="0"/>
              <w:keepLines w:val="0"/>
              <w:pageBreakBefore w:val="0"/>
              <w:widowControl/>
              <w:kinsoku/>
              <w:wordWrap/>
              <w:overflowPunct/>
              <w:topLinePunct w:val="0"/>
              <w:autoSpaceDE/>
              <w:autoSpaceDN/>
              <w:bidi w:val="0"/>
              <w:snapToGrid/>
              <w:spacing w:line="440" w:lineRule="exact"/>
              <w:ind w:firstLine="480" w:firstLineChars="200"/>
              <w:jc w:val="left"/>
              <w:rPr>
                <w:rFonts w:hint="eastAsia" w:cs="Times New Roman"/>
                <w:b w:val="0"/>
                <w:bCs w:val="0"/>
                <w:color w:val="auto"/>
                <w:sz w:val="24"/>
                <w:highlight w:val="none"/>
                <w:lang w:val="en-US" w:eastAsia="zh-CN"/>
              </w:rPr>
            </w:pPr>
            <w:r>
              <w:rPr>
                <w:rFonts w:hint="default" w:cs="Times New Roman"/>
                <w:b w:val="0"/>
                <w:bCs w:val="0"/>
                <w:color w:val="auto"/>
                <w:sz w:val="24"/>
                <w:highlight w:val="none"/>
                <w:lang w:val="en-US" w:eastAsia="zh-CN"/>
              </w:rPr>
              <w:t>检验室在有机肥样品破碎、研磨、筛分过程会产生少量粉尘颗粒物</w:t>
            </w:r>
            <w:r>
              <w:rPr>
                <w:rFonts w:hint="eastAsia" w:cs="Times New Roman"/>
                <w:b w:val="0"/>
                <w:bCs w:val="0"/>
                <w:color w:val="auto"/>
                <w:sz w:val="24"/>
                <w:highlight w:val="none"/>
                <w:lang w:val="en-US" w:eastAsia="zh-CN"/>
              </w:rPr>
              <w:t>，</w:t>
            </w:r>
            <w:r>
              <w:rPr>
                <w:rFonts w:hint="default" w:cs="Times New Roman"/>
                <w:b w:val="0"/>
                <w:bCs w:val="0"/>
                <w:color w:val="auto"/>
                <w:sz w:val="24"/>
                <w:highlight w:val="none"/>
                <w:lang w:val="en-US" w:eastAsia="zh-CN"/>
              </w:rPr>
              <w:t>经室内通风排风无组织</w:t>
            </w:r>
            <w:r>
              <w:rPr>
                <w:rFonts w:hint="eastAsia" w:cs="Times New Roman"/>
                <w:b w:val="0"/>
                <w:bCs w:val="0"/>
                <w:color w:val="auto"/>
                <w:sz w:val="24"/>
                <w:highlight w:val="none"/>
                <w:lang w:val="en-US" w:eastAsia="zh-CN"/>
              </w:rPr>
              <w:t>排放。</w:t>
            </w:r>
          </w:p>
          <w:p w14:paraId="61B5FFC2">
            <w:pPr>
              <w:keepNext w:val="0"/>
              <w:keepLines w:val="0"/>
              <w:pageBreakBefore w:val="0"/>
              <w:widowControl w:val="0"/>
              <w:kinsoku/>
              <w:wordWrap/>
              <w:overflowPunct/>
              <w:topLinePunct w:val="0"/>
              <w:autoSpaceDE/>
              <w:autoSpaceDN/>
              <w:bidi w:val="0"/>
              <w:adjustRightInd/>
              <w:snapToGrid/>
              <w:spacing w:line="440" w:lineRule="exact"/>
              <w:ind w:firstLine="241" w:firstLineChars="100"/>
              <w:jc w:val="center"/>
              <w:textAlignment w:val="auto"/>
              <w:rPr>
                <w:rFonts w:hint="eastAsia"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rPr>
              <w:t>表4</w:t>
            </w:r>
            <w:r>
              <w:rPr>
                <w:rFonts w:hint="eastAsia" w:cs="Times New Roman"/>
                <w:b/>
                <w:bCs/>
                <w:color w:val="auto"/>
                <w:kern w:val="0"/>
                <w:sz w:val="24"/>
                <w:highlight w:val="none"/>
                <w:lang w:val="en-US" w:eastAsia="zh-CN"/>
              </w:rPr>
              <w:t>-4</w:t>
            </w:r>
            <w:r>
              <w:rPr>
                <w:rFonts w:hint="eastAsia" w:ascii="Times New Roman" w:hAnsi="Times New Roman" w:eastAsia="宋体" w:cs="Times New Roman"/>
                <w:b/>
                <w:bCs/>
                <w:color w:val="auto"/>
                <w:kern w:val="0"/>
                <w:sz w:val="24"/>
                <w:highlight w:val="none"/>
                <w:lang w:val="en-US" w:eastAsia="zh-CN"/>
              </w:rPr>
              <w:t xml:space="preserve">  全厂废气产排情况汇总</w:t>
            </w:r>
            <w:r>
              <w:rPr>
                <w:rFonts w:hint="default" w:ascii="Times New Roman" w:hAnsi="Times New Roman" w:eastAsia="宋体" w:cs="Times New Roman"/>
                <w:b/>
                <w:bCs w:val="0"/>
                <w:color w:val="auto"/>
                <w:sz w:val="24"/>
                <w:szCs w:val="21"/>
                <w:highlight w:val="none"/>
                <w:lang w:bidi="ar"/>
              </w:rPr>
              <w:t>表</w:t>
            </w:r>
          </w:p>
          <w:tbl>
            <w:tblPr>
              <w:tblStyle w:val="32"/>
              <w:tblW w:w="8755"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0"/>
              <w:gridCol w:w="751"/>
              <w:gridCol w:w="650"/>
              <w:gridCol w:w="1285"/>
              <w:gridCol w:w="547"/>
              <w:gridCol w:w="820"/>
              <w:gridCol w:w="765"/>
              <w:gridCol w:w="619"/>
              <w:gridCol w:w="632"/>
              <w:gridCol w:w="133"/>
              <w:gridCol w:w="647"/>
              <w:gridCol w:w="663"/>
              <w:gridCol w:w="633"/>
            </w:tblGrid>
            <w:tr w14:paraId="545D8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348" w:type="pct"/>
                  <w:vMerge w:val="restart"/>
                  <w:tcBorders>
                    <w:tl2br w:val="nil"/>
                    <w:tr2bl w:val="nil"/>
                  </w:tcBorders>
                  <w:noWrap w:val="0"/>
                  <w:vAlign w:val="center"/>
                </w:tcPr>
                <w:p w14:paraId="69640BD3">
                  <w:pPr>
                    <w:jc w:val="center"/>
                    <w:rPr>
                      <w:rFonts w:hint="default" w:ascii="Times New Roman" w:hAnsi="Times New Roman" w:eastAsia="宋体" w:cs="Times New Roman"/>
                      <w:b/>
                      <w:bCs/>
                      <w:color w:val="auto"/>
                      <w:szCs w:val="21"/>
                      <w:highlight w:val="none"/>
                      <w:lang w:val="en-US" w:eastAsia="zh-CN" w:bidi="ar"/>
                    </w:rPr>
                  </w:pPr>
                  <w:r>
                    <w:rPr>
                      <w:rFonts w:hint="eastAsia" w:ascii="Times New Roman" w:hAnsi="Times New Roman" w:cs="Times New Roman"/>
                      <w:b/>
                      <w:bCs/>
                      <w:color w:val="auto"/>
                      <w:szCs w:val="21"/>
                      <w:highlight w:val="none"/>
                      <w:lang w:val="en-US" w:eastAsia="zh-CN" w:bidi="ar"/>
                    </w:rPr>
                    <w:t>排放方式</w:t>
                  </w:r>
                </w:p>
              </w:tc>
              <w:tc>
                <w:tcPr>
                  <w:tcW w:w="428" w:type="pct"/>
                  <w:vMerge w:val="restart"/>
                  <w:tcBorders>
                    <w:tl2br w:val="nil"/>
                    <w:tr2bl w:val="nil"/>
                  </w:tcBorders>
                  <w:noWrap w:val="0"/>
                  <w:vAlign w:val="center"/>
                </w:tcPr>
                <w:p w14:paraId="264758F0">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污染源</w:t>
                  </w:r>
                </w:p>
              </w:tc>
              <w:tc>
                <w:tcPr>
                  <w:tcW w:w="371" w:type="pct"/>
                  <w:vMerge w:val="restart"/>
                  <w:tcBorders>
                    <w:tl2br w:val="nil"/>
                    <w:tr2bl w:val="nil"/>
                  </w:tcBorders>
                  <w:noWrap w:val="0"/>
                  <w:vAlign w:val="center"/>
                </w:tcPr>
                <w:p w14:paraId="038EDB4D">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废气量</w:t>
                  </w:r>
                </w:p>
                <w:p w14:paraId="6CD5ACBF">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m</w:t>
                  </w:r>
                  <w:r>
                    <w:rPr>
                      <w:rFonts w:hint="default" w:ascii="Times New Roman" w:hAnsi="Times New Roman" w:cs="Times New Roman"/>
                      <w:b/>
                      <w:bCs/>
                      <w:color w:val="auto"/>
                      <w:szCs w:val="21"/>
                      <w:highlight w:val="none"/>
                      <w:vertAlign w:val="superscript"/>
                      <w:lang w:bidi="ar"/>
                    </w:rPr>
                    <w:t>3</w:t>
                  </w:r>
                  <w:r>
                    <w:rPr>
                      <w:rFonts w:hint="default" w:ascii="Times New Roman" w:hAnsi="Times New Roman" w:cs="Times New Roman"/>
                      <w:b/>
                      <w:bCs/>
                      <w:color w:val="auto"/>
                      <w:szCs w:val="21"/>
                      <w:highlight w:val="none"/>
                      <w:lang w:bidi="ar"/>
                    </w:rPr>
                    <w:t>/h</w:t>
                  </w:r>
                </w:p>
              </w:tc>
              <w:tc>
                <w:tcPr>
                  <w:tcW w:w="733" w:type="pct"/>
                  <w:vMerge w:val="restart"/>
                  <w:tcBorders>
                    <w:tl2br w:val="nil"/>
                    <w:tr2bl w:val="nil"/>
                  </w:tcBorders>
                  <w:noWrap w:val="0"/>
                  <w:vAlign w:val="center"/>
                </w:tcPr>
                <w:p w14:paraId="3DF2940C">
                  <w:pPr>
                    <w:jc w:val="center"/>
                    <w:rPr>
                      <w:rFonts w:hint="default" w:ascii="Times New Roman" w:hAnsi="Times New Roman" w:cs="Times New Roman"/>
                      <w:b/>
                      <w:bCs/>
                      <w:color w:val="auto"/>
                      <w:spacing w:val="-12"/>
                      <w:szCs w:val="21"/>
                      <w:highlight w:val="none"/>
                    </w:rPr>
                  </w:pPr>
                  <w:r>
                    <w:rPr>
                      <w:rFonts w:hint="default" w:ascii="Times New Roman" w:hAnsi="Times New Roman" w:cs="Times New Roman"/>
                      <w:b/>
                      <w:bCs/>
                      <w:color w:val="auto"/>
                      <w:szCs w:val="21"/>
                      <w:highlight w:val="none"/>
                      <w:lang w:bidi="ar"/>
                    </w:rPr>
                    <w:t>治理措施</w:t>
                  </w:r>
                </w:p>
              </w:tc>
              <w:tc>
                <w:tcPr>
                  <w:tcW w:w="312" w:type="pct"/>
                  <w:vMerge w:val="restart"/>
                  <w:tcBorders>
                    <w:tl2br w:val="nil"/>
                    <w:tr2bl w:val="nil"/>
                  </w:tcBorders>
                  <w:noWrap w:val="0"/>
                  <w:vAlign w:val="center"/>
                </w:tcPr>
                <w:p w14:paraId="7F7B6608">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污染物</w:t>
                  </w:r>
                </w:p>
              </w:tc>
              <w:tc>
                <w:tcPr>
                  <w:tcW w:w="468" w:type="pct"/>
                  <w:vMerge w:val="restart"/>
                  <w:tcBorders>
                    <w:tl2br w:val="nil"/>
                    <w:tr2bl w:val="nil"/>
                  </w:tcBorders>
                  <w:noWrap w:val="0"/>
                  <w:vAlign w:val="center"/>
                </w:tcPr>
                <w:p w14:paraId="35C5F352">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产生</w:t>
                  </w:r>
                </w:p>
                <w:p w14:paraId="58B4D183">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浓度mg/m</w:t>
                  </w:r>
                  <w:r>
                    <w:rPr>
                      <w:rFonts w:hint="default" w:ascii="Times New Roman" w:hAnsi="Times New Roman" w:cs="Times New Roman"/>
                      <w:b/>
                      <w:bCs/>
                      <w:color w:val="auto"/>
                      <w:szCs w:val="21"/>
                      <w:highlight w:val="none"/>
                      <w:vertAlign w:val="superscript"/>
                      <w:lang w:bidi="ar"/>
                    </w:rPr>
                    <w:t>3</w:t>
                  </w:r>
                </w:p>
              </w:tc>
              <w:tc>
                <w:tcPr>
                  <w:tcW w:w="436" w:type="pct"/>
                  <w:vMerge w:val="restart"/>
                  <w:tcBorders>
                    <w:tl2br w:val="nil"/>
                    <w:tr2bl w:val="nil"/>
                  </w:tcBorders>
                  <w:noWrap w:val="0"/>
                  <w:vAlign w:val="center"/>
                </w:tcPr>
                <w:p w14:paraId="61A85849">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产生速率kg/h</w:t>
                  </w:r>
                </w:p>
              </w:tc>
              <w:tc>
                <w:tcPr>
                  <w:tcW w:w="353" w:type="pct"/>
                  <w:vMerge w:val="restart"/>
                  <w:tcBorders>
                    <w:tl2br w:val="nil"/>
                    <w:tr2bl w:val="nil"/>
                  </w:tcBorders>
                  <w:noWrap w:val="0"/>
                  <w:vAlign w:val="center"/>
                </w:tcPr>
                <w:p w14:paraId="126B3DF4">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处理</w:t>
                  </w:r>
                </w:p>
                <w:p w14:paraId="6D5D30E2">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效率</w:t>
                  </w:r>
                </w:p>
              </w:tc>
              <w:tc>
                <w:tcPr>
                  <w:tcW w:w="436" w:type="pct"/>
                  <w:gridSpan w:val="2"/>
                  <w:vMerge w:val="restart"/>
                  <w:tcBorders>
                    <w:tl2br w:val="nil"/>
                    <w:tr2bl w:val="nil"/>
                  </w:tcBorders>
                  <w:noWrap w:val="0"/>
                  <w:vAlign w:val="center"/>
                </w:tcPr>
                <w:p w14:paraId="24993712">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排放</w:t>
                  </w:r>
                </w:p>
                <w:p w14:paraId="6A419366">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浓度mg/m</w:t>
                  </w:r>
                  <w:r>
                    <w:rPr>
                      <w:rFonts w:hint="default" w:ascii="Times New Roman" w:hAnsi="Times New Roman" w:cs="Times New Roman"/>
                      <w:b/>
                      <w:bCs/>
                      <w:color w:val="auto"/>
                      <w:szCs w:val="21"/>
                      <w:highlight w:val="none"/>
                      <w:vertAlign w:val="superscript"/>
                      <w:lang w:bidi="ar"/>
                    </w:rPr>
                    <w:t>3</w:t>
                  </w:r>
                </w:p>
              </w:tc>
              <w:tc>
                <w:tcPr>
                  <w:tcW w:w="369" w:type="pct"/>
                  <w:vMerge w:val="restart"/>
                  <w:tcBorders>
                    <w:tl2br w:val="nil"/>
                    <w:tr2bl w:val="nil"/>
                  </w:tcBorders>
                  <w:noWrap w:val="0"/>
                  <w:vAlign w:val="center"/>
                </w:tcPr>
                <w:p w14:paraId="3AD68984">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排放</w:t>
                  </w:r>
                </w:p>
                <w:p w14:paraId="5B5804F7">
                  <w:pPr>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速率kg/h</w:t>
                  </w:r>
                </w:p>
              </w:tc>
              <w:tc>
                <w:tcPr>
                  <w:tcW w:w="740" w:type="pct"/>
                  <w:gridSpan w:val="2"/>
                  <w:tcBorders>
                    <w:tl2br w:val="nil"/>
                    <w:tr2bl w:val="nil"/>
                  </w:tcBorders>
                  <w:noWrap w:val="0"/>
                  <w:vAlign w:val="center"/>
                </w:tcPr>
                <w:p w14:paraId="0E2FF8A5">
                  <w:pPr>
                    <w:jc w:val="center"/>
                    <w:rPr>
                      <w:rFonts w:hint="default" w:ascii="Times New Roman" w:hAnsi="Times New Roman" w:cs="Times New Roman"/>
                      <w:b/>
                      <w:bCs/>
                      <w:color w:val="auto"/>
                      <w:szCs w:val="21"/>
                      <w:highlight w:val="none"/>
                      <w:lang w:bidi="ar"/>
                    </w:rPr>
                  </w:pPr>
                  <w:r>
                    <w:rPr>
                      <w:rFonts w:hint="eastAsia" w:cs="Times New Roman"/>
                      <w:b/>
                      <w:bCs/>
                      <w:color w:val="auto"/>
                      <w:szCs w:val="21"/>
                      <w:highlight w:val="none"/>
                      <w:lang w:val="en-US" w:eastAsia="zh-CN" w:bidi="ar"/>
                    </w:rPr>
                    <w:t>排放参数</w:t>
                  </w:r>
                </w:p>
              </w:tc>
            </w:tr>
            <w:tr w14:paraId="277D1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348" w:type="pct"/>
                  <w:vMerge w:val="continue"/>
                  <w:tcBorders>
                    <w:tl2br w:val="nil"/>
                    <w:tr2bl w:val="nil"/>
                  </w:tcBorders>
                  <w:noWrap w:val="0"/>
                  <w:vAlign w:val="center"/>
                </w:tcPr>
                <w:p w14:paraId="12ABDBB4">
                  <w:pPr>
                    <w:jc w:val="center"/>
                    <w:rPr>
                      <w:rFonts w:hint="default" w:ascii="Times New Roman" w:hAnsi="Times New Roman" w:cs="Times New Roman"/>
                      <w:b/>
                      <w:bCs/>
                      <w:color w:val="auto"/>
                      <w:szCs w:val="21"/>
                      <w:highlight w:val="none"/>
                    </w:rPr>
                  </w:pPr>
                </w:p>
              </w:tc>
              <w:tc>
                <w:tcPr>
                  <w:tcW w:w="428" w:type="pct"/>
                  <w:vMerge w:val="continue"/>
                  <w:tcBorders>
                    <w:tl2br w:val="nil"/>
                    <w:tr2bl w:val="nil"/>
                  </w:tcBorders>
                  <w:noWrap w:val="0"/>
                  <w:vAlign w:val="center"/>
                </w:tcPr>
                <w:p w14:paraId="313FCF61">
                  <w:pPr>
                    <w:jc w:val="center"/>
                    <w:rPr>
                      <w:rFonts w:hint="default" w:ascii="Times New Roman" w:hAnsi="Times New Roman" w:cs="Times New Roman"/>
                      <w:b/>
                      <w:bCs/>
                      <w:color w:val="auto"/>
                      <w:szCs w:val="21"/>
                      <w:highlight w:val="none"/>
                    </w:rPr>
                  </w:pPr>
                </w:p>
              </w:tc>
              <w:tc>
                <w:tcPr>
                  <w:tcW w:w="371" w:type="pct"/>
                  <w:vMerge w:val="continue"/>
                  <w:tcBorders>
                    <w:tl2br w:val="nil"/>
                    <w:tr2bl w:val="nil"/>
                  </w:tcBorders>
                  <w:noWrap w:val="0"/>
                  <w:vAlign w:val="center"/>
                </w:tcPr>
                <w:p w14:paraId="543C1490">
                  <w:pPr>
                    <w:jc w:val="center"/>
                    <w:rPr>
                      <w:rFonts w:hint="default" w:ascii="Times New Roman" w:hAnsi="Times New Roman" w:cs="Times New Roman"/>
                      <w:b/>
                      <w:bCs/>
                      <w:color w:val="auto"/>
                      <w:szCs w:val="21"/>
                      <w:highlight w:val="none"/>
                    </w:rPr>
                  </w:pPr>
                </w:p>
              </w:tc>
              <w:tc>
                <w:tcPr>
                  <w:tcW w:w="733" w:type="pct"/>
                  <w:vMerge w:val="continue"/>
                  <w:tcBorders>
                    <w:tl2br w:val="nil"/>
                    <w:tr2bl w:val="nil"/>
                  </w:tcBorders>
                  <w:noWrap w:val="0"/>
                  <w:vAlign w:val="center"/>
                </w:tcPr>
                <w:p w14:paraId="321404FA">
                  <w:pPr>
                    <w:jc w:val="center"/>
                    <w:rPr>
                      <w:rFonts w:hint="default" w:ascii="Times New Roman" w:hAnsi="Times New Roman" w:cs="Times New Roman"/>
                      <w:b/>
                      <w:bCs/>
                      <w:color w:val="auto"/>
                      <w:szCs w:val="21"/>
                      <w:highlight w:val="none"/>
                    </w:rPr>
                  </w:pPr>
                </w:p>
              </w:tc>
              <w:tc>
                <w:tcPr>
                  <w:tcW w:w="312" w:type="pct"/>
                  <w:vMerge w:val="continue"/>
                  <w:tcBorders>
                    <w:tl2br w:val="nil"/>
                    <w:tr2bl w:val="nil"/>
                  </w:tcBorders>
                  <w:noWrap w:val="0"/>
                  <w:vAlign w:val="center"/>
                </w:tcPr>
                <w:p w14:paraId="51F6A43D">
                  <w:pPr>
                    <w:jc w:val="center"/>
                    <w:rPr>
                      <w:rFonts w:hint="default" w:ascii="Times New Roman" w:hAnsi="Times New Roman" w:cs="Times New Roman"/>
                      <w:b/>
                      <w:bCs/>
                      <w:color w:val="auto"/>
                      <w:szCs w:val="21"/>
                      <w:highlight w:val="none"/>
                    </w:rPr>
                  </w:pPr>
                </w:p>
              </w:tc>
              <w:tc>
                <w:tcPr>
                  <w:tcW w:w="468" w:type="pct"/>
                  <w:vMerge w:val="continue"/>
                  <w:tcBorders>
                    <w:tl2br w:val="nil"/>
                    <w:tr2bl w:val="nil"/>
                  </w:tcBorders>
                  <w:noWrap w:val="0"/>
                  <w:vAlign w:val="center"/>
                </w:tcPr>
                <w:p w14:paraId="675A047F">
                  <w:pPr>
                    <w:jc w:val="center"/>
                    <w:rPr>
                      <w:rFonts w:hint="default" w:ascii="Times New Roman" w:hAnsi="Times New Roman" w:cs="Times New Roman"/>
                      <w:b/>
                      <w:bCs/>
                      <w:color w:val="auto"/>
                      <w:szCs w:val="21"/>
                      <w:highlight w:val="none"/>
                    </w:rPr>
                  </w:pPr>
                </w:p>
              </w:tc>
              <w:tc>
                <w:tcPr>
                  <w:tcW w:w="436" w:type="pct"/>
                  <w:vMerge w:val="continue"/>
                  <w:tcBorders>
                    <w:tl2br w:val="nil"/>
                    <w:tr2bl w:val="nil"/>
                  </w:tcBorders>
                  <w:noWrap w:val="0"/>
                  <w:vAlign w:val="center"/>
                </w:tcPr>
                <w:p w14:paraId="43EAF9E8">
                  <w:pPr>
                    <w:jc w:val="center"/>
                    <w:rPr>
                      <w:rFonts w:hint="default" w:ascii="Times New Roman" w:hAnsi="Times New Roman" w:cs="Times New Roman"/>
                      <w:b/>
                      <w:bCs/>
                      <w:color w:val="auto"/>
                      <w:szCs w:val="21"/>
                      <w:highlight w:val="none"/>
                    </w:rPr>
                  </w:pPr>
                </w:p>
              </w:tc>
              <w:tc>
                <w:tcPr>
                  <w:tcW w:w="353" w:type="pct"/>
                  <w:vMerge w:val="continue"/>
                  <w:tcBorders>
                    <w:tl2br w:val="nil"/>
                    <w:tr2bl w:val="nil"/>
                  </w:tcBorders>
                  <w:noWrap w:val="0"/>
                  <w:vAlign w:val="center"/>
                </w:tcPr>
                <w:p w14:paraId="4D156A44">
                  <w:pPr>
                    <w:jc w:val="center"/>
                    <w:rPr>
                      <w:rFonts w:hint="default" w:ascii="Times New Roman" w:hAnsi="Times New Roman" w:cs="Times New Roman"/>
                      <w:b/>
                      <w:bCs/>
                      <w:color w:val="auto"/>
                      <w:szCs w:val="21"/>
                      <w:highlight w:val="none"/>
                    </w:rPr>
                  </w:pPr>
                </w:p>
              </w:tc>
              <w:tc>
                <w:tcPr>
                  <w:tcW w:w="436" w:type="pct"/>
                  <w:gridSpan w:val="2"/>
                  <w:vMerge w:val="continue"/>
                  <w:tcBorders>
                    <w:tl2br w:val="nil"/>
                    <w:tr2bl w:val="nil"/>
                  </w:tcBorders>
                  <w:noWrap w:val="0"/>
                  <w:vAlign w:val="center"/>
                </w:tcPr>
                <w:p w14:paraId="17F19CEC">
                  <w:pPr>
                    <w:jc w:val="center"/>
                    <w:rPr>
                      <w:rFonts w:hint="default" w:ascii="Times New Roman" w:hAnsi="Times New Roman" w:cs="Times New Roman"/>
                      <w:b/>
                      <w:bCs/>
                      <w:color w:val="auto"/>
                      <w:szCs w:val="21"/>
                      <w:highlight w:val="none"/>
                      <w:lang w:bidi="ar"/>
                    </w:rPr>
                  </w:pPr>
                </w:p>
              </w:tc>
              <w:tc>
                <w:tcPr>
                  <w:tcW w:w="369" w:type="pct"/>
                  <w:vMerge w:val="continue"/>
                  <w:tcBorders>
                    <w:tl2br w:val="nil"/>
                    <w:tr2bl w:val="nil"/>
                  </w:tcBorders>
                  <w:shd w:val="clear" w:color="auto" w:fill="auto"/>
                  <w:noWrap w:val="0"/>
                  <w:vAlign w:val="center"/>
                </w:tcPr>
                <w:p w14:paraId="356877DD">
                  <w:pPr>
                    <w:jc w:val="center"/>
                    <w:rPr>
                      <w:rFonts w:hint="default" w:ascii="Times New Roman" w:hAnsi="Times New Roman" w:eastAsia="宋体" w:cs="Times New Roman"/>
                      <w:b/>
                      <w:bCs/>
                      <w:color w:val="auto"/>
                      <w:kern w:val="2"/>
                      <w:sz w:val="21"/>
                      <w:szCs w:val="21"/>
                      <w:highlight w:val="none"/>
                      <w:lang w:val="en-US" w:eastAsia="zh-CN" w:bidi="ar"/>
                    </w:rPr>
                  </w:pPr>
                </w:p>
              </w:tc>
              <w:tc>
                <w:tcPr>
                  <w:tcW w:w="378" w:type="pct"/>
                  <w:tcBorders>
                    <w:tl2br w:val="nil"/>
                    <w:tr2bl w:val="nil"/>
                  </w:tcBorders>
                  <w:shd w:val="clear" w:color="auto" w:fill="auto"/>
                  <w:noWrap w:val="0"/>
                  <w:vAlign w:val="center"/>
                </w:tcPr>
                <w:p w14:paraId="372DFAC9">
                  <w:pPr>
                    <w:jc w:val="center"/>
                    <w:rPr>
                      <w:rFonts w:hint="default" w:ascii="Times New Roman" w:hAnsi="Times New Roman" w:eastAsia="宋体" w:cs="Times New Roman"/>
                      <w:b/>
                      <w:bCs/>
                      <w:color w:val="auto"/>
                      <w:kern w:val="2"/>
                      <w:sz w:val="21"/>
                      <w:szCs w:val="21"/>
                      <w:highlight w:val="none"/>
                      <w:lang w:val="en-US" w:eastAsia="zh-CN" w:bidi="ar"/>
                    </w:rPr>
                  </w:pPr>
                  <w:r>
                    <w:rPr>
                      <w:rFonts w:hint="eastAsia" w:cs="Times New Roman"/>
                      <w:b/>
                      <w:bCs/>
                      <w:color w:val="auto"/>
                      <w:szCs w:val="21"/>
                      <w:highlight w:val="none"/>
                      <w:lang w:val="en-US" w:eastAsia="zh-CN"/>
                    </w:rPr>
                    <w:t>高度</w:t>
                  </w:r>
                </w:p>
              </w:tc>
              <w:tc>
                <w:tcPr>
                  <w:tcW w:w="361" w:type="pct"/>
                  <w:tcBorders>
                    <w:tl2br w:val="nil"/>
                    <w:tr2bl w:val="nil"/>
                  </w:tcBorders>
                  <w:shd w:val="clear" w:color="auto" w:fill="auto"/>
                  <w:noWrap w:val="0"/>
                  <w:vAlign w:val="center"/>
                </w:tcPr>
                <w:p w14:paraId="57FF9DA3">
                  <w:pPr>
                    <w:jc w:val="center"/>
                    <w:rPr>
                      <w:rFonts w:hint="default" w:ascii="Times New Roman" w:hAnsi="Times New Roman" w:eastAsia="宋体" w:cs="Times New Roman"/>
                      <w:b/>
                      <w:bCs/>
                      <w:color w:val="auto"/>
                      <w:kern w:val="2"/>
                      <w:sz w:val="21"/>
                      <w:szCs w:val="21"/>
                      <w:highlight w:val="none"/>
                      <w:lang w:val="en-US" w:eastAsia="zh-CN" w:bidi="ar"/>
                    </w:rPr>
                  </w:pPr>
                  <w:r>
                    <w:rPr>
                      <w:rFonts w:hint="eastAsia" w:cs="Times New Roman"/>
                      <w:b/>
                      <w:bCs/>
                      <w:color w:val="auto"/>
                      <w:szCs w:val="21"/>
                      <w:highlight w:val="none"/>
                      <w:lang w:val="en-US" w:eastAsia="zh-CN"/>
                    </w:rPr>
                    <w:t>编号</w:t>
                  </w:r>
                </w:p>
              </w:tc>
            </w:tr>
            <w:tr w14:paraId="2CEF6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48" w:type="pct"/>
                  <w:vMerge w:val="restart"/>
                  <w:tcBorders>
                    <w:tl2br w:val="nil"/>
                    <w:tr2bl w:val="nil"/>
                  </w:tcBorders>
                  <w:noWrap w:val="0"/>
                  <w:vAlign w:val="center"/>
                </w:tcPr>
                <w:p w14:paraId="438D118B">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有组织</w:t>
                  </w:r>
                </w:p>
              </w:tc>
              <w:tc>
                <w:tcPr>
                  <w:tcW w:w="428" w:type="pct"/>
                  <w:tcBorders>
                    <w:tl2br w:val="nil"/>
                    <w:tr2bl w:val="nil"/>
                  </w:tcBorders>
                  <w:noWrap w:val="0"/>
                  <w:vAlign w:val="center"/>
                </w:tcPr>
                <w:p w14:paraId="443FA71D">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bidi="ar"/>
                    </w:rPr>
                    <w:t>粉碎、筛分、制粒、包装</w:t>
                  </w:r>
                </w:p>
              </w:tc>
              <w:tc>
                <w:tcPr>
                  <w:tcW w:w="371" w:type="pct"/>
                  <w:tcBorders>
                    <w:tl2br w:val="nil"/>
                    <w:tr2bl w:val="nil"/>
                  </w:tcBorders>
                  <w:noWrap w:val="0"/>
                  <w:vAlign w:val="center"/>
                </w:tcPr>
                <w:p w14:paraId="163E381F">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10000</w:t>
                  </w:r>
                </w:p>
              </w:tc>
              <w:tc>
                <w:tcPr>
                  <w:tcW w:w="733" w:type="pct"/>
                  <w:tcBorders>
                    <w:tl2br w:val="nil"/>
                    <w:tr2bl w:val="nil"/>
                  </w:tcBorders>
                  <w:noWrap w:val="0"/>
                  <w:vAlign w:val="center"/>
                </w:tcPr>
                <w:p w14:paraId="59362A0D">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集气罩+布袋除尘器</w:t>
                  </w:r>
                </w:p>
              </w:tc>
              <w:tc>
                <w:tcPr>
                  <w:tcW w:w="312" w:type="pct"/>
                  <w:tcBorders>
                    <w:tl2br w:val="nil"/>
                    <w:tr2bl w:val="nil"/>
                  </w:tcBorders>
                  <w:noWrap w:val="0"/>
                  <w:vAlign w:val="center"/>
                </w:tcPr>
                <w:p w14:paraId="4294ADEC">
                  <w:pPr>
                    <w:jc w:val="center"/>
                    <w:rPr>
                      <w:rFonts w:hint="eastAsia" w:cs="Times New Roman"/>
                      <w:color w:val="auto"/>
                      <w:szCs w:val="21"/>
                      <w:highlight w:val="none"/>
                      <w:lang w:val="en-US" w:eastAsia="zh-CN"/>
                    </w:rPr>
                  </w:pPr>
                  <w:r>
                    <w:rPr>
                      <w:rFonts w:hint="default" w:ascii="Times New Roman" w:hAnsi="Times New Roman" w:cs="Times New Roman"/>
                      <w:color w:val="auto"/>
                      <w:szCs w:val="21"/>
                      <w:highlight w:val="none"/>
                      <w:lang w:bidi="ar"/>
                    </w:rPr>
                    <w:t>颗粒物</w:t>
                  </w:r>
                </w:p>
              </w:tc>
              <w:tc>
                <w:tcPr>
                  <w:tcW w:w="468" w:type="pct"/>
                  <w:tcBorders>
                    <w:tl2br w:val="nil"/>
                    <w:tr2bl w:val="nil"/>
                  </w:tcBorders>
                  <w:noWrap w:val="0"/>
                  <w:vAlign w:val="center"/>
                </w:tcPr>
                <w:p w14:paraId="334D5874">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bidi="ar"/>
                    </w:rPr>
                    <w:t>3700</w:t>
                  </w:r>
                </w:p>
              </w:tc>
              <w:tc>
                <w:tcPr>
                  <w:tcW w:w="436" w:type="pct"/>
                  <w:tcBorders>
                    <w:tl2br w:val="nil"/>
                    <w:tr2bl w:val="nil"/>
                  </w:tcBorders>
                  <w:noWrap w:val="0"/>
                  <w:vAlign w:val="center"/>
                </w:tcPr>
                <w:p w14:paraId="0D3E0BAE">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bidi="ar"/>
                    </w:rPr>
                    <w:t>37</w:t>
                  </w:r>
                </w:p>
              </w:tc>
              <w:tc>
                <w:tcPr>
                  <w:tcW w:w="353" w:type="pct"/>
                  <w:tcBorders>
                    <w:tl2br w:val="nil"/>
                    <w:tr2bl w:val="nil"/>
                  </w:tcBorders>
                  <w:noWrap w:val="0"/>
                  <w:vAlign w:val="center"/>
                </w:tcPr>
                <w:p w14:paraId="260ED560">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bidi="ar"/>
                    </w:rPr>
                    <w:t>99</w:t>
                  </w:r>
                  <w:r>
                    <w:rPr>
                      <w:rFonts w:hint="default" w:ascii="Times New Roman" w:hAnsi="Times New Roman" w:cs="Times New Roman"/>
                      <w:color w:val="auto"/>
                      <w:szCs w:val="21"/>
                      <w:highlight w:val="none"/>
                      <w:lang w:bidi="ar"/>
                    </w:rPr>
                    <w:t>%</w:t>
                  </w:r>
                </w:p>
              </w:tc>
              <w:tc>
                <w:tcPr>
                  <w:tcW w:w="436" w:type="pct"/>
                  <w:gridSpan w:val="2"/>
                  <w:tcBorders>
                    <w:tl2br w:val="nil"/>
                    <w:tr2bl w:val="nil"/>
                  </w:tcBorders>
                  <w:noWrap w:val="0"/>
                  <w:vAlign w:val="center"/>
                </w:tcPr>
                <w:p w14:paraId="592185A4">
                  <w:pPr>
                    <w:jc w:val="center"/>
                    <w:rPr>
                      <w:rFonts w:hint="eastAsia" w:cs="Times New Roman"/>
                      <w:color w:val="auto"/>
                      <w:spacing w:val="-20"/>
                      <w:szCs w:val="21"/>
                      <w:highlight w:val="none"/>
                      <w:lang w:val="en-US" w:eastAsia="zh-CN" w:bidi="ar"/>
                    </w:rPr>
                  </w:pPr>
                  <w:r>
                    <w:rPr>
                      <w:rFonts w:hint="eastAsia" w:cs="Times New Roman"/>
                      <w:color w:val="auto"/>
                      <w:szCs w:val="21"/>
                      <w:highlight w:val="none"/>
                      <w:lang w:val="en-US" w:eastAsia="zh-CN" w:bidi="ar"/>
                    </w:rPr>
                    <w:t>37</w:t>
                  </w:r>
                </w:p>
              </w:tc>
              <w:tc>
                <w:tcPr>
                  <w:tcW w:w="369" w:type="pct"/>
                  <w:tcBorders>
                    <w:tl2br w:val="nil"/>
                    <w:tr2bl w:val="nil"/>
                  </w:tcBorders>
                  <w:noWrap w:val="0"/>
                  <w:vAlign w:val="center"/>
                </w:tcPr>
                <w:p w14:paraId="36F1ECCA">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bidi="ar"/>
                    </w:rPr>
                    <w:t>0.37</w:t>
                  </w:r>
                </w:p>
              </w:tc>
              <w:tc>
                <w:tcPr>
                  <w:tcW w:w="378" w:type="pct"/>
                  <w:tcBorders>
                    <w:tl2br w:val="nil"/>
                    <w:tr2bl w:val="nil"/>
                  </w:tcBorders>
                  <w:noWrap w:val="0"/>
                  <w:vAlign w:val="center"/>
                </w:tcPr>
                <w:p w14:paraId="7D9B9217">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bidi="ar"/>
                    </w:rPr>
                    <w:t>0.888</w:t>
                  </w:r>
                </w:p>
              </w:tc>
              <w:tc>
                <w:tcPr>
                  <w:tcW w:w="361" w:type="pct"/>
                  <w:tcBorders>
                    <w:tl2br w:val="nil"/>
                    <w:tr2bl w:val="nil"/>
                  </w:tcBorders>
                  <w:noWrap w:val="0"/>
                  <w:vAlign w:val="center"/>
                </w:tcPr>
                <w:p w14:paraId="304A053D">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bidi="ar"/>
                    </w:rPr>
                    <w:t>H=15m</w:t>
                  </w:r>
                </w:p>
              </w:tc>
            </w:tr>
            <w:tr w14:paraId="7DA17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48" w:type="pct"/>
                  <w:vMerge w:val="continue"/>
                  <w:tcBorders>
                    <w:tl2br w:val="nil"/>
                    <w:tr2bl w:val="nil"/>
                  </w:tcBorders>
                  <w:noWrap w:val="0"/>
                  <w:vAlign w:val="center"/>
                </w:tcPr>
                <w:p w14:paraId="4A5AA835">
                  <w:pPr>
                    <w:jc w:val="center"/>
                    <w:rPr>
                      <w:rFonts w:hint="eastAsia" w:cs="Times New Roman"/>
                      <w:color w:val="auto"/>
                      <w:szCs w:val="21"/>
                      <w:highlight w:val="none"/>
                      <w:lang w:val="en-US" w:eastAsia="zh-CN"/>
                    </w:rPr>
                  </w:pPr>
                </w:p>
              </w:tc>
              <w:tc>
                <w:tcPr>
                  <w:tcW w:w="428" w:type="pct"/>
                  <w:vMerge w:val="restart"/>
                  <w:tcBorders>
                    <w:tl2br w:val="nil"/>
                    <w:tr2bl w:val="nil"/>
                  </w:tcBorders>
                  <w:noWrap w:val="0"/>
                  <w:vAlign w:val="center"/>
                </w:tcPr>
                <w:p w14:paraId="56D5C143">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发酵、熟化</w:t>
                  </w:r>
                </w:p>
              </w:tc>
              <w:tc>
                <w:tcPr>
                  <w:tcW w:w="371" w:type="pct"/>
                  <w:vMerge w:val="restart"/>
                  <w:tcBorders>
                    <w:tl2br w:val="nil"/>
                    <w:tr2bl w:val="nil"/>
                  </w:tcBorders>
                  <w:noWrap w:val="0"/>
                  <w:vAlign w:val="center"/>
                </w:tcPr>
                <w:p w14:paraId="7A7D469F">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10000</w:t>
                  </w:r>
                </w:p>
              </w:tc>
              <w:tc>
                <w:tcPr>
                  <w:tcW w:w="733" w:type="pct"/>
                  <w:vMerge w:val="restart"/>
                  <w:tcBorders>
                    <w:tl2br w:val="nil"/>
                    <w:tr2bl w:val="nil"/>
                  </w:tcBorders>
                  <w:noWrap w:val="0"/>
                  <w:vAlign w:val="center"/>
                </w:tcPr>
                <w:p w14:paraId="3A4C027B">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集气罩+二级活性炭吸附+水洗塔除臭装置</w:t>
                  </w:r>
                </w:p>
              </w:tc>
              <w:tc>
                <w:tcPr>
                  <w:tcW w:w="312" w:type="pct"/>
                  <w:tcBorders>
                    <w:tl2br w:val="nil"/>
                    <w:tr2bl w:val="nil"/>
                  </w:tcBorders>
                  <w:noWrap w:val="0"/>
                  <w:vAlign w:val="center"/>
                </w:tcPr>
                <w:p w14:paraId="5FBD58E7">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氨</w:t>
                  </w:r>
                </w:p>
              </w:tc>
              <w:tc>
                <w:tcPr>
                  <w:tcW w:w="468" w:type="pct"/>
                  <w:tcBorders>
                    <w:tl2br w:val="nil"/>
                    <w:tr2bl w:val="nil"/>
                  </w:tcBorders>
                  <w:noWrap w:val="0"/>
                  <w:vAlign w:val="center"/>
                </w:tcPr>
                <w:p w14:paraId="45F9A21A">
                  <w:pPr>
                    <w:jc w:val="center"/>
                    <w:rPr>
                      <w:rFonts w:hint="default" w:ascii="Times New Roman" w:hAnsi="Times New Roman" w:eastAsia="宋体" w:cs="Times New Roman"/>
                      <w:color w:val="auto"/>
                      <w:szCs w:val="21"/>
                      <w:highlight w:val="none"/>
                      <w:lang w:val="en-US" w:eastAsia="zh-CN" w:bidi="ar"/>
                    </w:rPr>
                  </w:pPr>
                  <w:r>
                    <w:rPr>
                      <w:rFonts w:hint="eastAsia" w:cs="Times New Roman"/>
                      <w:color w:val="auto"/>
                      <w:szCs w:val="21"/>
                      <w:highlight w:val="none"/>
                      <w:lang w:val="en-US" w:eastAsia="zh-CN" w:bidi="ar"/>
                    </w:rPr>
                    <w:t>716</w:t>
                  </w:r>
                </w:p>
              </w:tc>
              <w:tc>
                <w:tcPr>
                  <w:tcW w:w="436" w:type="pct"/>
                  <w:tcBorders>
                    <w:tl2br w:val="nil"/>
                    <w:tr2bl w:val="nil"/>
                  </w:tcBorders>
                  <w:noWrap w:val="0"/>
                  <w:vAlign w:val="center"/>
                </w:tcPr>
                <w:p w14:paraId="5ED54771">
                  <w:pPr>
                    <w:jc w:val="center"/>
                    <w:rPr>
                      <w:rFonts w:hint="default" w:ascii="Times New Roman" w:hAnsi="Times New Roman" w:eastAsia="宋体" w:cs="Times New Roman"/>
                      <w:color w:val="auto"/>
                      <w:szCs w:val="21"/>
                      <w:highlight w:val="none"/>
                      <w:lang w:val="en-US" w:eastAsia="zh-CN" w:bidi="ar"/>
                    </w:rPr>
                  </w:pPr>
                  <w:r>
                    <w:rPr>
                      <w:rFonts w:hint="eastAsia" w:cs="Times New Roman"/>
                      <w:color w:val="auto"/>
                      <w:szCs w:val="21"/>
                      <w:highlight w:val="none"/>
                      <w:lang w:val="en-US" w:eastAsia="zh-CN" w:bidi="ar"/>
                    </w:rPr>
                    <w:t>27.16</w:t>
                  </w:r>
                </w:p>
              </w:tc>
              <w:tc>
                <w:tcPr>
                  <w:tcW w:w="353" w:type="pct"/>
                  <w:vMerge w:val="restart"/>
                  <w:tcBorders>
                    <w:tl2br w:val="nil"/>
                    <w:tr2bl w:val="nil"/>
                  </w:tcBorders>
                  <w:noWrap w:val="0"/>
                  <w:vAlign w:val="center"/>
                </w:tcPr>
                <w:p w14:paraId="614AFB63">
                  <w:pPr>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bidi="ar"/>
                    </w:rPr>
                    <w:t>90</w:t>
                  </w:r>
                  <w:r>
                    <w:rPr>
                      <w:rFonts w:hint="default" w:ascii="Times New Roman" w:hAnsi="Times New Roman" w:cs="Times New Roman"/>
                      <w:color w:val="auto"/>
                      <w:szCs w:val="21"/>
                      <w:highlight w:val="none"/>
                      <w:lang w:bidi="ar"/>
                    </w:rPr>
                    <w:t>%</w:t>
                  </w:r>
                </w:p>
              </w:tc>
              <w:tc>
                <w:tcPr>
                  <w:tcW w:w="436" w:type="pct"/>
                  <w:gridSpan w:val="2"/>
                  <w:tcBorders>
                    <w:tl2br w:val="nil"/>
                    <w:tr2bl w:val="nil"/>
                  </w:tcBorders>
                  <w:noWrap w:val="0"/>
                  <w:vAlign w:val="center"/>
                </w:tcPr>
                <w:p w14:paraId="500175B8">
                  <w:pPr>
                    <w:jc w:val="center"/>
                    <w:rPr>
                      <w:rFonts w:hint="default" w:ascii="Times New Roman" w:hAnsi="Times New Roman" w:eastAsia="宋体" w:cs="Times New Roman"/>
                      <w:color w:val="auto"/>
                      <w:spacing w:val="-20"/>
                      <w:szCs w:val="21"/>
                      <w:highlight w:val="none"/>
                      <w:lang w:val="en-US" w:eastAsia="zh-CN" w:bidi="ar"/>
                    </w:rPr>
                  </w:pPr>
                  <w:r>
                    <w:rPr>
                      <w:rFonts w:hint="eastAsia" w:cs="Times New Roman"/>
                      <w:color w:val="auto"/>
                      <w:spacing w:val="-20"/>
                      <w:szCs w:val="21"/>
                      <w:highlight w:val="none"/>
                      <w:lang w:val="en-US" w:eastAsia="zh-CN" w:bidi="ar"/>
                    </w:rPr>
                    <w:t>272</w:t>
                  </w:r>
                </w:p>
              </w:tc>
              <w:tc>
                <w:tcPr>
                  <w:tcW w:w="369" w:type="pct"/>
                  <w:tcBorders>
                    <w:tl2br w:val="nil"/>
                    <w:tr2bl w:val="nil"/>
                  </w:tcBorders>
                  <w:noWrap w:val="0"/>
                  <w:vAlign w:val="center"/>
                </w:tcPr>
                <w:p w14:paraId="33040F30">
                  <w:pPr>
                    <w:jc w:val="center"/>
                    <w:rPr>
                      <w:rFonts w:hint="default" w:ascii="Times New Roman" w:hAnsi="Times New Roman" w:cs="Times New Roman"/>
                      <w:color w:val="auto"/>
                      <w:spacing w:val="-20"/>
                      <w:szCs w:val="21"/>
                      <w:highlight w:val="none"/>
                      <w:lang w:val="en-US" w:bidi="ar"/>
                    </w:rPr>
                  </w:pPr>
                  <w:r>
                    <w:rPr>
                      <w:rFonts w:hint="eastAsia" w:cs="Times New Roman"/>
                      <w:color w:val="auto"/>
                      <w:szCs w:val="21"/>
                      <w:highlight w:val="none"/>
                      <w:lang w:val="en-US" w:eastAsia="zh-CN" w:bidi="ar"/>
                    </w:rPr>
                    <w:t>2.72</w:t>
                  </w:r>
                </w:p>
              </w:tc>
              <w:tc>
                <w:tcPr>
                  <w:tcW w:w="378" w:type="pct"/>
                  <w:vMerge w:val="restart"/>
                  <w:tcBorders>
                    <w:tl2br w:val="nil"/>
                    <w:tr2bl w:val="nil"/>
                  </w:tcBorders>
                  <w:noWrap w:val="0"/>
                  <w:vAlign w:val="center"/>
                </w:tcPr>
                <w:p w14:paraId="2064A383">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bidi="ar"/>
                    </w:rPr>
                    <w:t>H=15m</w:t>
                  </w:r>
                </w:p>
              </w:tc>
              <w:tc>
                <w:tcPr>
                  <w:tcW w:w="361" w:type="pct"/>
                  <w:vMerge w:val="restart"/>
                  <w:tcBorders>
                    <w:tl2br w:val="nil"/>
                    <w:tr2bl w:val="nil"/>
                  </w:tcBorders>
                  <w:noWrap w:val="0"/>
                  <w:vAlign w:val="center"/>
                </w:tcPr>
                <w:p w14:paraId="68116C9E">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bidi="ar"/>
                    </w:rPr>
                    <w:t>#2</w:t>
                  </w:r>
                </w:p>
              </w:tc>
            </w:tr>
            <w:tr w14:paraId="700F4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348" w:type="pct"/>
                  <w:vMerge w:val="continue"/>
                  <w:tcBorders>
                    <w:tl2br w:val="nil"/>
                    <w:tr2bl w:val="nil"/>
                  </w:tcBorders>
                  <w:noWrap w:val="0"/>
                  <w:vAlign w:val="center"/>
                </w:tcPr>
                <w:p w14:paraId="5EA6B9CB">
                  <w:pPr>
                    <w:jc w:val="center"/>
                    <w:rPr>
                      <w:rFonts w:hint="eastAsia" w:cs="Times New Roman"/>
                      <w:color w:val="auto"/>
                      <w:szCs w:val="21"/>
                      <w:highlight w:val="none"/>
                      <w:lang w:val="en-US" w:eastAsia="zh-CN"/>
                    </w:rPr>
                  </w:pPr>
                </w:p>
              </w:tc>
              <w:tc>
                <w:tcPr>
                  <w:tcW w:w="428" w:type="pct"/>
                  <w:vMerge w:val="continue"/>
                  <w:tcBorders>
                    <w:tl2br w:val="nil"/>
                    <w:tr2bl w:val="nil"/>
                  </w:tcBorders>
                  <w:noWrap w:val="0"/>
                  <w:vAlign w:val="center"/>
                </w:tcPr>
                <w:p w14:paraId="7CBCA1E7">
                  <w:pPr>
                    <w:jc w:val="center"/>
                    <w:rPr>
                      <w:rFonts w:hint="eastAsia" w:cs="Times New Roman"/>
                      <w:color w:val="auto"/>
                      <w:szCs w:val="21"/>
                      <w:highlight w:val="none"/>
                      <w:lang w:val="en-US" w:eastAsia="zh-CN"/>
                    </w:rPr>
                  </w:pPr>
                </w:p>
              </w:tc>
              <w:tc>
                <w:tcPr>
                  <w:tcW w:w="371" w:type="pct"/>
                  <w:vMerge w:val="continue"/>
                  <w:tcBorders>
                    <w:tl2br w:val="nil"/>
                    <w:tr2bl w:val="nil"/>
                  </w:tcBorders>
                  <w:noWrap w:val="0"/>
                  <w:vAlign w:val="center"/>
                </w:tcPr>
                <w:p w14:paraId="3833D889">
                  <w:pPr>
                    <w:jc w:val="center"/>
                    <w:rPr>
                      <w:rFonts w:hint="eastAsia" w:cs="Times New Roman"/>
                      <w:color w:val="auto"/>
                      <w:szCs w:val="21"/>
                      <w:highlight w:val="none"/>
                      <w:lang w:val="en-US" w:eastAsia="zh-CN"/>
                    </w:rPr>
                  </w:pPr>
                </w:p>
              </w:tc>
              <w:tc>
                <w:tcPr>
                  <w:tcW w:w="733" w:type="pct"/>
                  <w:vMerge w:val="continue"/>
                  <w:tcBorders>
                    <w:tl2br w:val="nil"/>
                    <w:tr2bl w:val="nil"/>
                  </w:tcBorders>
                  <w:noWrap w:val="0"/>
                  <w:vAlign w:val="center"/>
                </w:tcPr>
                <w:p w14:paraId="792DB0DB">
                  <w:pPr>
                    <w:jc w:val="center"/>
                    <w:rPr>
                      <w:rFonts w:hint="eastAsia" w:cs="Times New Roman"/>
                      <w:color w:val="auto"/>
                      <w:szCs w:val="21"/>
                      <w:highlight w:val="none"/>
                      <w:lang w:val="en-US" w:eastAsia="zh-CN"/>
                    </w:rPr>
                  </w:pPr>
                </w:p>
              </w:tc>
              <w:tc>
                <w:tcPr>
                  <w:tcW w:w="312" w:type="pct"/>
                  <w:tcBorders>
                    <w:tl2br w:val="nil"/>
                    <w:tr2bl w:val="nil"/>
                  </w:tcBorders>
                  <w:noWrap w:val="0"/>
                  <w:vAlign w:val="center"/>
                </w:tcPr>
                <w:p w14:paraId="4E064E54">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硫化氢</w:t>
                  </w:r>
                </w:p>
              </w:tc>
              <w:tc>
                <w:tcPr>
                  <w:tcW w:w="468" w:type="pct"/>
                  <w:tcBorders>
                    <w:tl2br w:val="nil"/>
                    <w:tr2bl w:val="nil"/>
                  </w:tcBorders>
                  <w:noWrap w:val="0"/>
                  <w:vAlign w:val="center"/>
                </w:tcPr>
                <w:p w14:paraId="36A1CB14">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191</w:t>
                  </w:r>
                </w:p>
              </w:tc>
              <w:tc>
                <w:tcPr>
                  <w:tcW w:w="436" w:type="pct"/>
                  <w:tcBorders>
                    <w:tl2br w:val="nil"/>
                    <w:tr2bl w:val="nil"/>
                  </w:tcBorders>
                  <w:noWrap w:val="0"/>
                  <w:vAlign w:val="center"/>
                </w:tcPr>
                <w:p w14:paraId="52D9E021">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1.91</w:t>
                  </w:r>
                </w:p>
              </w:tc>
              <w:tc>
                <w:tcPr>
                  <w:tcW w:w="353" w:type="pct"/>
                  <w:vMerge w:val="continue"/>
                  <w:tcBorders>
                    <w:tl2br w:val="nil"/>
                    <w:tr2bl w:val="nil"/>
                  </w:tcBorders>
                  <w:noWrap w:val="0"/>
                  <w:vAlign w:val="center"/>
                </w:tcPr>
                <w:p w14:paraId="02352FB3">
                  <w:pPr>
                    <w:jc w:val="center"/>
                    <w:rPr>
                      <w:rFonts w:hint="eastAsia" w:cs="Times New Roman"/>
                      <w:color w:val="auto"/>
                      <w:szCs w:val="21"/>
                      <w:highlight w:val="none"/>
                      <w:lang w:val="en-US" w:eastAsia="zh-CN" w:bidi="ar"/>
                    </w:rPr>
                  </w:pPr>
                </w:p>
              </w:tc>
              <w:tc>
                <w:tcPr>
                  <w:tcW w:w="436" w:type="pct"/>
                  <w:gridSpan w:val="2"/>
                  <w:tcBorders>
                    <w:tl2br w:val="nil"/>
                    <w:tr2bl w:val="nil"/>
                  </w:tcBorders>
                  <w:noWrap w:val="0"/>
                  <w:vAlign w:val="center"/>
                </w:tcPr>
                <w:p w14:paraId="70AC9669">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19</w:t>
                  </w:r>
                </w:p>
              </w:tc>
              <w:tc>
                <w:tcPr>
                  <w:tcW w:w="369" w:type="pct"/>
                  <w:tcBorders>
                    <w:tl2br w:val="nil"/>
                    <w:tr2bl w:val="nil"/>
                  </w:tcBorders>
                  <w:noWrap w:val="0"/>
                  <w:vAlign w:val="center"/>
                </w:tcPr>
                <w:p w14:paraId="1B8E47B3">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0.19</w:t>
                  </w:r>
                </w:p>
              </w:tc>
              <w:tc>
                <w:tcPr>
                  <w:tcW w:w="378" w:type="pct"/>
                  <w:vMerge w:val="continue"/>
                  <w:tcBorders>
                    <w:tl2br w:val="nil"/>
                    <w:tr2bl w:val="nil"/>
                  </w:tcBorders>
                  <w:noWrap w:val="0"/>
                  <w:vAlign w:val="center"/>
                </w:tcPr>
                <w:p w14:paraId="3860E06A">
                  <w:pPr>
                    <w:jc w:val="center"/>
                    <w:rPr>
                      <w:rFonts w:hint="eastAsia" w:cs="Times New Roman"/>
                      <w:color w:val="auto"/>
                      <w:szCs w:val="21"/>
                      <w:highlight w:val="none"/>
                      <w:lang w:val="en-US" w:eastAsia="zh-CN" w:bidi="ar"/>
                    </w:rPr>
                  </w:pPr>
                </w:p>
              </w:tc>
              <w:tc>
                <w:tcPr>
                  <w:tcW w:w="361" w:type="pct"/>
                  <w:vMerge w:val="continue"/>
                  <w:tcBorders>
                    <w:tl2br w:val="nil"/>
                    <w:tr2bl w:val="nil"/>
                  </w:tcBorders>
                  <w:noWrap w:val="0"/>
                  <w:vAlign w:val="center"/>
                </w:tcPr>
                <w:p w14:paraId="3766952E">
                  <w:pPr>
                    <w:jc w:val="center"/>
                    <w:rPr>
                      <w:rFonts w:hint="eastAsia" w:cs="Times New Roman"/>
                      <w:color w:val="auto"/>
                      <w:szCs w:val="21"/>
                      <w:highlight w:val="none"/>
                      <w:lang w:val="en-US" w:eastAsia="zh-CN" w:bidi="ar"/>
                    </w:rPr>
                  </w:pPr>
                </w:p>
              </w:tc>
            </w:tr>
            <w:tr w14:paraId="49BA6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348" w:type="pct"/>
                  <w:vMerge w:val="restart"/>
                  <w:tcBorders>
                    <w:tl2br w:val="nil"/>
                    <w:tr2bl w:val="nil"/>
                  </w:tcBorders>
                  <w:noWrap w:val="0"/>
                  <w:vAlign w:val="center"/>
                </w:tcPr>
                <w:p w14:paraId="6A805594">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无组织</w:t>
                  </w:r>
                </w:p>
              </w:tc>
              <w:tc>
                <w:tcPr>
                  <w:tcW w:w="428" w:type="pct"/>
                  <w:tcBorders>
                    <w:tl2br w:val="nil"/>
                    <w:tr2bl w:val="nil"/>
                  </w:tcBorders>
                  <w:noWrap w:val="0"/>
                  <w:vAlign w:val="center"/>
                </w:tcPr>
                <w:p w14:paraId="5BE46976">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原材料储存库</w:t>
                  </w:r>
                </w:p>
              </w:tc>
              <w:tc>
                <w:tcPr>
                  <w:tcW w:w="371" w:type="pct"/>
                  <w:tcBorders>
                    <w:tl2br w:val="nil"/>
                    <w:tr2bl w:val="nil"/>
                  </w:tcBorders>
                  <w:noWrap w:val="0"/>
                  <w:vAlign w:val="center"/>
                </w:tcPr>
                <w:p w14:paraId="3CC19E40">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3111" w:type="pct"/>
                  <w:gridSpan w:val="8"/>
                  <w:tcBorders>
                    <w:tl2br w:val="nil"/>
                    <w:tr2bl w:val="nil"/>
                  </w:tcBorders>
                  <w:noWrap w:val="0"/>
                  <w:vAlign w:val="center"/>
                </w:tcPr>
                <w:p w14:paraId="23BD8E13">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rPr>
                    <w:t>原料含水率较大且运输过程使用全封闭车辆，运输、装卸过程中无粉尘产生；全封闭设置，由于原料含水率较大，产生粉尘量较少，无组织排放</w:t>
                  </w:r>
                </w:p>
              </w:tc>
              <w:tc>
                <w:tcPr>
                  <w:tcW w:w="378" w:type="pct"/>
                  <w:tcBorders>
                    <w:tl2br w:val="nil"/>
                    <w:tr2bl w:val="nil"/>
                  </w:tcBorders>
                  <w:noWrap w:val="0"/>
                  <w:vAlign w:val="center"/>
                </w:tcPr>
                <w:p w14:paraId="21AC850D">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rPr>
                    <w:t>/</w:t>
                  </w:r>
                </w:p>
              </w:tc>
              <w:tc>
                <w:tcPr>
                  <w:tcW w:w="361" w:type="pct"/>
                  <w:tcBorders>
                    <w:tl2br w:val="nil"/>
                    <w:tr2bl w:val="nil"/>
                  </w:tcBorders>
                  <w:noWrap w:val="0"/>
                  <w:vAlign w:val="center"/>
                </w:tcPr>
                <w:p w14:paraId="7CA1284A">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rPr>
                    <w:t>/</w:t>
                  </w:r>
                </w:p>
              </w:tc>
            </w:tr>
            <w:tr w14:paraId="1205C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348" w:type="pct"/>
                  <w:vMerge w:val="continue"/>
                  <w:tcBorders>
                    <w:tl2br w:val="nil"/>
                    <w:tr2bl w:val="nil"/>
                  </w:tcBorders>
                  <w:noWrap w:val="0"/>
                  <w:vAlign w:val="center"/>
                </w:tcPr>
                <w:p w14:paraId="286AA295">
                  <w:pPr>
                    <w:jc w:val="center"/>
                    <w:rPr>
                      <w:rFonts w:hint="eastAsia" w:cs="Times New Roman"/>
                      <w:color w:val="auto"/>
                      <w:szCs w:val="21"/>
                      <w:highlight w:val="none"/>
                      <w:lang w:val="en-US" w:eastAsia="zh-CN"/>
                    </w:rPr>
                  </w:pPr>
                </w:p>
              </w:tc>
              <w:tc>
                <w:tcPr>
                  <w:tcW w:w="428" w:type="pct"/>
                  <w:vMerge w:val="restart"/>
                  <w:tcBorders>
                    <w:tl2br w:val="nil"/>
                    <w:tr2bl w:val="nil"/>
                  </w:tcBorders>
                  <w:noWrap w:val="0"/>
                  <w:vAlign w:val="center"/>
                </w:tcPr>
                <w:p w14:paraId="18CF1133">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原材料预处理</w:t>
                  </w:r>
                </w:p>
              </w:tc>
              <w:tc>
                <w:tcPr>
                  <w:tcW w:w="371" w:type="pct"/>
                  <w:vMerge w:val="restart"/>
                  <w:tcBorders>
                    <w:tl2br w:val="nil"/>
                    <w:tr2bl w:val="nil"/>
                  </w:tcBorders>
                  <w:noWrap w:val="0"/>
                  <w:vAlign w:val="center"/>
                </w:tcPr>
                <w:p w14:paraId="17742915">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3111" w:type="pct"/>
                  <w:gridSpan w:val="8"/>
                  <w:tcBorders>
                    <w:tl2br w:val="nil"/>
                    <w:tr2bl w:val="nil"/>
                  </w:tcBorders>
                  <w:noWrap w:val="0"/>
                  <w:vAlign w:val="center"/>
                </w:tcPr>
                <w:p w14:paraId="051CB2F4">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rPr>
                    <w:t>无烘干设施不改变原料含水率，牛粪原料含水率70%、秸秆原料含水率30%，产尘量较少，粉尘无组织排放</w:t>
                  </w:r>
                </w:p>
              </w:tc>
              <w:tc>
                <w:tcPr>
                  <w:tcW w:w="378" w:type="pct"/>
                  <w:vMerge w:val="restart"/>
                  <w:tcBorders>
                    <w:tl2br w:val="nil"/>
                    <w:tr2bl w:val="nil"/>
                  </w:tcBorders>
                  <w:noWrap w:val="0"/>
                  <w:vAlign w:val="center"/>
                </w:tcPr>
                <w:p w14:paraId="3FD91FAA">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rPr>
                    <w:t>/</w:t>
                  </w:r>
                </w:p>
              </w:tc>
              <w:tc>
                <w:tcPr>
                  <w:tcW w:w="361" w:type="pct"/>
                  <w:vMerge w:val="restart"/>
                  <w:tcBorders>
                    <w:tl2br w:val="nil"/>
                    <w:tr2bl w:val="nil"/>
                  </w:tcBorders>
                  <w:noWrap w:val="0"/>
                  <w:vAlign w:val="center"/>
                </w:tcPr>
                <w:p w14:paraId="2FD0FEF5">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rPr>
                    <w:t>/</w:t>
                  </w:r>
                </w:p>
              </w:tc>
            </w:tr>
            <w:tr w14:paraId="056CF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348" w:type="pct"/>
                  <w:vMerge w:val="continue"/>
                  <w:tcBorders>
                    <w:tl2br w:val="nil"/>
                    <w:tr2bl w:val="nil"/>
                  </w:tcBorders>
                  <w:noWrap w:val="0"/>
                  <w:vAlign w:val="center"/>
                </w:tcPr>
                <w:p w14:paraId="0D96C79A">
                  <w:pPr>
                    <w:jc w:val="center"/>
                    <w:rPr>
                      <w:color w:val="auto"/>
                      <w:highlight w:val="none"/>
                    </w:rPr>
                  </w:pPr>
                </w:p>
              </w:tc>
              <w:tc>
                <w:tcPr>
                  <w:tcW w:w="428" w:type="pct"/>
                  <w:vMerge w:val="continue"/>
                  <w:tcBorders>
                    <w:tl2br w:val="nil"/>
                    <w:tr2bl w:val="nil"/>
                  </w:tcBorders>
                  <w:noWrap w:val="0"/>
                  <w:vAlign w:val="center"/>
                </w:tcPr>
                <w:p w14:paraId="28854941">
                  <w:pPr>
                    <w:jc w:val="center"/>
                    <w:rPr>
                      <w:color w:val="auto"/>
                      <w:highlight w:val="none"/>
                    </w:rPr>
                  </w:pPr>
                </w:p>
              </w:tc>
              <w:tc>
                <w:tcPr>
                  <w:tcW w:w="371" w:type="pct"/>
                  <w:vMerge w:val="continue"/>
                  <w:tcBorders>
                    <w:tl2br w:val="nil"/>
                    <w:tr2bl w:val="nil"/>
                  </w:tcBorders>
                  <w:noWrap w:val="0"/>
                  <w:vAlign w:val="center"/>
                </w:tcPr>
                <w:p w14:paraId="34AD6569">
                  <w:pPr>
                    <w:jc w:val="center"/>
                    <w:rPr>
                      <w:color w:val="auto"/>
                      <w:highlight w:val="none"/>
                    </w:rPr>
                  </w:pPr>
                </w:p>
              </w:tc>
              <w:tc>
                <w:tcPr>
                  <w:tcW w:w="3111" w:type="pct"/>
                  <w:gridSpan w:val="8"/>
                  <w:tcBorders>
                    <w:tl2br w:val="nil"/>
                    <w:tr2bl w:val="nil"/>
                  </w:tcBorders>
                  <w:noWrap w:val="0"/>
                  <w:vAlign w:val="center"/>
                </w:tcPr>
                <w:p w14:paraId="1F39FE90">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粉碎、搅拌机运行过程中封闭设置，生产车间全封闭，产生的恶臭气体定期喷洒生物除臭剂，无组织排放</w:t>
                  </w:r>
                </w:p>
              </w:tc>
              <w:tc>
                <w:tcPr>
                  <w:tcW w:w="378" w:type="pct"/>
                  <w:vMerge w:val="continue"/>
                  <w:tcBorders>
                    <w:tl2br w:val="nil"/>
                    <w:tr2bl w:val="nil"/>
                  </w:tcBorders>
                  <w:noWrap w:val="0"/>
                  <w:vAlign w:val="center"/>
                </w:tcPr>
                <w:p w14:paraId="349413EB">
                  <w:pPr>
                    <w:jc w:val="center"/>
                    <w:rPr>
                      <w:rFonts w:hint="eastAsia" w:cs="Times New Roman"/>
                      <w:color w:val="auto"/>
                      <w:szCs w:val="21"/>
                      <w:highlight w:val="none"/>
                      <w:lang w:val="en-US" w:eastAsia="zh-CN"/>
                    </w:rPr>
                  </w:pPr>
                </w:p>
              </w:tc>
              <w:tc>
                <w:tcPr>
                  <w:tcW w:w="361" w:type="pct"/>
                  <w:vMerge w:val="continue"/>
                  <w:tcBorders>
                    <w:tl2br w:val="nil"/>
                    <w:tr2bl w:val="nil"/>
                  </w:tcBorders>
                  <w:noWrap w:val="0"/>
                  <w:vAlign w:val="center"/>
                </w:tcPr>
                <w:p w14:paraId="3434A8B5">
                  <w:pPr>
                    <w:jc w:val="center"/>
                    <w:rPr>
                      <w:rFonts w:hint="eastAsia" w:cs="Times New Roman"/>
                      <w:color w:val="auto"/>
                      <w:szCs w:val="21"/>
                      <w:highlight w:val="none"/>
                      <w:lang w:val="en-US" w:eastAsia="zh-CN"/>
                    </w:rPr>
                  </w:pPr>
                </w:p>
              </w:tc>
            </w:tr>
            <w:tr w14:paraId="19E8C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48" w:type="pct"/>
                  <w:vMerge w:val="continue"/>
                  <w:tcBorders>
                    <w:tl2br w:val="nil"/>
                    <w:tr2bl w:val="nil"/>
                  </w:tcBorders>
                  <w:noWrap w:val="0"/>
                  <w:vAlign w:val="center"/>
                </w:tcPr>
                <w:p w14:paraId="3E330A53">
                  <w:pPr>
                    <w:jc w:val="center"/>
                    <w:rPr>
                      <w:rFonts w:hint="eastAsia" w:cs="Times New Roman"/>
                      <w:color w:val="auto"/>
                      <w:szCs w:val="21"/>
                      <w:highlight w:val="none"/>
                      <w:lang w:val="en-US" w:eastAsia="zh-CN"/>
                    </w:rPr>
                  </w:pPr>
                </w:p>
              </w:tc>
              <w:tc>
                <w:tcPr>
                  <w:tcW w:w="428" w:type="pct"/>
                  <w:vMerge w:val="restart"/>
                  <w:tcBorders>
                    <w:tl2br w:val="nil"/>
                    <w:tr2bl w:val="nil"/>
                  </w:tcBorders>
                  <w:noWrap w:val="0"/>
                  <w:vAlign w:val="center"/>
                </w:tcPr>
                <w:p w14:paraId="6C946C73">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纳米膜发酵车间恶臭</w:t>
                  </w:r>
                </w:p>
              </w:tc>
              <w:tc>
                <w:tcPr>
                  <w:tcW w:w="371" w:type="pct"/>
                  <w:vMerge w:val="restart"/>
                  <w:tcBorders>
                    <w:tl2br w:val="nil"/>
                    <w:tr2bl w:val="nil"/>
                  </w:tcBorders>
                  <w:noWrap w:val="0"/>
                  <w:vAlign w:val="center"/>
                </w:tcPr>
                <w:p w14:paraId="73E93FC6">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733" w:type="pct"/>
                  <w:vMerge w:val="restart"/>
                  <w:tcBorders>
                    <w:tl2br w:val="nil"/>
                    <w:tr2bl w:val="nil"/>
                  </w:tcBorders>
                  <w:noWrap w:val="0"/>
                  <w:vAlign w:val="center"/>
                </w:tcPr>
                <w:p w14:paraId="69704A66">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bidi="ar"/>
                    </w:rPr>
                    <w:t>车间功能膜全封闭，定期在车间内、膜外喷洒生物除臭剂</w:t>
                  </w:r>
                </w:p>
              </w:tc>
              <w:tc>
                <w:tcPr>
                  <w:tcW w:w="312" w:type="pct"/>
                  <w:tcBorders>
                    <w:tl2br w:val="nil"/>
                    <w:tr2bl w:val="nil"/>
                  </w:tcBorders>
                  <w:noWrap w:val="0"/>
                  <w:vAlign w:val="center"/>
                </w:tcPr>
                <w:p w14:paraId="4D2F23FB">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rPr>
                    <w:t>氨</w:t>
                  </w:r>
                </w:p>
              </w:tc>
              <w:tc>
                <w:tcPr>
                  <w:tcW w:w="468" w:type="pct"/>
                  <w:tcBorders>
                    <w:tl2br w:val="nil"/>
                    <w:tr2bl w:val="nil"/>
                  </w:tcBorders>
                  <w:noWrap w:val="0"/>
                  <w:vAlign w:val="center"/>
                </w:tcPr>
                <w:p w14:paraId="4E56C2A6">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w:t>
                  </w:r>
                </w:p>
              </w:tc>
              <w:tc>
                <w:tcPr>
                  <w:tcW w:w="436" w:type="pct"/>
                  <w:tcBorders>
                    <w:tl2br w:val="nil"/>
                    <w:tr2bl w:val="nil"/>
                  </w:tcBorders>
                  <w:noWrap w:val="0"/>
                  <w:vAlign w:val="center"/>
                </w:tcPr>
                <w:p w14:paraId="4C3EDC75">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4.49</w:t>
                  </w:r>
                </w:p>
              </w:tc>
              <w:tc>
                <w:tcPr>
                  <w:tcW w:w="353" w:type="pct"/>
                  <w:vMerge w:val="restart"/>
                  <w:tcBorders>
                    <w:tl2br w:val="nil"/>
                    <w:tr2bl w:val="nil"/>
                  </w:tcBorders>
                  <w:noWrap w:val="0"/>
                  <w:vAlign w:val="center"/>
                </w:tcPr>
                <w:p w14:paraId="270C9B2A">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60%</w:t>
                  </w:r>
                </w:p>
              </w:tc>
              <w:tc>
                <w:tcPr>
                  <w:tcW w:w="360" w:type="pct"/>
                  <w:tcBorders>
                    <w:tl2br w:val="nil"/>
                    <w:tr2bl w:val="nil"/>
                  </w:tcBorders>
                  <w:noWrap w:val="0"/>
                  <w:vAlign w:val="center"/>
                </w:tcPr>
                <w:p w14:paraId="6F91FFAE">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w:t>
                  </w:r>
                </w:p>
              </w:tc>
              <w:tc>
                <w:tcPr>
                  <w:tcW w:w="445" w:type="pct"/>
                  <w:gridSpan w:val="2"/>
                  <w:tcBorders>
                    <w:tl2br w:val="nil"/>
                    <w:tr2bl w:val="nil"/>
                  </w:tcBorders>
                  <w:noWrap w:val="0"/>
                  <w:vAlign w:val="center"/>
                </w:tcPr>
                <w:p w14:paraId="56399EF9">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1.796</w:t>
                  </w:r>
                </w:p>
              </w:tc>
              <w:tc>
                <w:tcPr>
                  <w:tcW w:w="378" w:type="pct"/>
                  <w:vMerge w:val="restart"/>
                  <w:tcBorders>
                    <w:tl2br w:val="nil"/>
                    <w:tr2bl w:val="nil"/>
                  </w:tcBorders>
                  <w:noWrap w:val="0"/>
                  <w:vAlign w:val="center"/>
                </w:tcPr>
                <w:p w14:paraId="015BBD69">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rPr>
                    <w:t>/</w:t>
                  </w:r>
                </w:p>
              </w:tc>
              <w:tc>
                <w:tcPr>
                  <w:tcW w:w="361" w:type="pct"/>
                  <w:vMerge w:val="restart"/>
                  <w:tcBorders>
                    <w:tl2br w:val="nil"/>
                    <w:tr2bl w:val="nil"/>
                  </w:tcBorders>
                  <w:noWrap w:val="0"/>
                  <w:vAlign w:val="center"/>
                </w:tcPr>
                <w:p w14:paraId="2EEF7045">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rPr>
                    <w:t>/</w:t>
                  </w:r>
                </w:p>
              </w:tc>
            </w:tr>
            <w:tr w14:paraId="2A577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48" w:type="pct"/>
                  <w:vMerge w:val="continue"/>
                  <w:tcBorders>
                    <w:tl2br w:val="nil"/>
                    <w:tr2bl w:val="nil"/>
                  </w:tcBorders>
                  <w:noWrap w:val="0"/>
                  <w:vAlign w:val="center"/>
                </w:tcPr>
                <w:p w14:paraId="5BBFDCAA">
                  <w:pPr>
                    <w:jc w:val="center"/>
                    <w:rPr>
                      <w:color w:val="auto"/>
                      <w:highlight w:val="none"/>
                    </w:rPr>
                  </w:pPr>
                </w:p>
              </w:tc>
              <w:tc>
                <w:tcPr>
                  <w:tcW w:w="428" w:type="pct"/>
                  <w:vMerge w:val="continue"/>
                  <w:tcBorders>
                    <w:tl2br w:val="nil"/>
                    <w:tr2bl w:val="nil"/>
                  </w:tcBorders>
                  <w:noWrap w:val="0"/>
                  <w:vAlign w:val="center"/>
                </w:tcPr>
                <w:p w14:paraId="5900DCE9">
                  <w:pPr>
                    <w:jc w:val="center"/>
                    <w:rPr>
                      <w:color w:val="auto"/>
                      <w:highlight w:val="none"/>
                    </w:rPr>
                  </w:pPr>
                </w:p>
              </w:tc>
              <w:tc>
                <w:tcPr>
                  <w:tcW w:w="371" w:type="pct"/>
                  <w:vMerge w:val="continue"/>
                  <w:tcBorders>
                    <w:tl2br w:val="nil"/>
                    <w:tr2bl w:val="nil"/>
                  </w:tcBorders>
                  <w:noWrap w:val="0"/>
                  <w:vAlign w:val="center"/>
                </w:tcPr>
                <w:p w14:paraId="33070A7B">
                  <w:pPr>
                    <w:jc w:val="center"/>
                    <w:rPr>
                      <w:color w:val="auto"/>
                      <w:highlight w:val="none"/>
                    </w:rPr>
                  </w:pPr>
                </w:p>
              </w:tc>
              <w:tc>
                <w:tcPr>
                  <w:tcW w:w="733" w:type="pct"/>
                  <w:vMerge w:val="continue"/>
                  <w:tcBorders>
                    <w:tl2br w:val="nil"/>
                    <w:tr2bl w:val="nil"/>
                  </w:tcBorders>
                  <w:noWrap w:val="0"/>
                  <w:vAlign w:val="center"/>
                </w:tcPr>
                <w:p w14:paraId="063377B4">
                  <w:pPr>
                    <w:jc w:val="center"/>
                    <w:rPr>
                      <w:rFonts w:hint="eastAsia" w:cs="Times New Roman"/>
                      <w:color w:val="auto"/>
                      <w:szCs w:val="21"/>
                      <w:highlight w:val="none"/>
                      <w:lang w:val="en-US" w:eastAsia="zh-CN" w:bidi="ar"/>
                    </w:rPr>
                  </w:pPr>
                </w:p>
              </w:tc>
              <w:tc>
                <w:tcPr>
                  <w:tcW w:w="312" w:type="pct"/>
                  <w:tcBorders>
                    <w:tl2br w:val="nil"/>
                    <w:tr2bl w:val="nil"/>
                  </w:tcBorders>
                  <w:noWrap w:val="0"/>
                  <w:vAlign w:val="center"/>
                </w:tcPr>
                <w:p w14:paraId="7D90A914">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rPr>
                    <w:t>硫化氢</w:t>
                  </w:r>
                </w:p>
              </w:tc>
              <w:tc>
                <w:tcPr>
                  <w:tcW w:w="468" w:type="pct"/>
                  <w:tcBorders>
                    <w:tl2br w:val="nil"/>
                    <w:tr2bl w:val="nil"/>
                  </w:tcBorders>
                  <w:noWrap w:val="0"/>
                  <w:vAlign w:val="center"/>
                </w:tcPr>
                <w:p w14:paraId="6F762AD8">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w:t>
                  </w:r>
                </w:p>
              </w:tc>
              <w:tc>
                <w:tcPr>
                  <w:tcW w:w="436" w:type="pct"/>
                  <w:tcBorders>
                    <w:tl2br w:val="nil"/>
                    <w:tr2bl w:val="nil"/>
                  </w:tcBorders>
                  <w:noWrap w:val="0"/>
                  <w:vAlign w:val="center"/>
                </w:tcPr>
                <w:p w14:paraId="5A248226">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0.32</w:t>
                  </w:r>
                </w:p>
              </w:tc>
              <w:tc>
                <w:tcPr>
                  <w:tcW w:w="353" w:type="pct"/>
                  <w:vMerge w:val="continue"/>
                  <w:tcBorders>
                    <w:tl2br w:val="nil"/>
                    <w:tr2bl w:val="nil"/>
                  </w:tcBorders>
                  <w:noWrap w:val="0"/>
                  <w:vAlign w:val="center"/>
                </w:tcPr>
                <w:p w14:paraId="74648A98">
                  <w:pPr>
                    <w:jc w:val="center"/>
                    <w:rPr>
                      <w:rFonts w:hint="eastAsia" w:cs="Times New Roman"/>
                      <w:color w:val="auto"/>
                      <w:szCs w:val="21"/>
                      <w:highlight w:val="none"/>
                      <w:lang w:val="en-US" w:eastAsia="zh-CN" w:bidi="ar"/>
                    </w:rPr>
                  </w:pPr>
                </w:p>
              </w:tc>
              <w:tc>
                <w:tcPr>
                  <w:tcW w:w="360" w:type="pct"/>
                  <w:tcBorders>
                    <w:tl2br w:val="nil"/>
                    <w:tr2bl w:val="nil"/>
                  </w:tcBorders>
                  <w:noWrap w:val="0"/>
                  <w:vAlign w:val="center"/>
                </w:tcPr>
                <w:p w14:paraId="180C0275">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w:t>
                  </w:r>
                </w:p>
              </w:tc>
              <w:tc>
                <w:tcPr>
                  <w:tcW w:w="445" w:type="pct"/>
                  <w:gridSpan w:val="2"/>
                  <w:tcBorders>
                    <w:tl2br w:val="nil"/>
                    <w:tr2bl w:val="nil"/>
                  </w:tcBorders>
                  <w:noWrap w:val="0"/>
                  <w:vAlign w:val="center"/>
                </w:tcPr>
                <w:p w14:paraId="5F3FBF0E">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bidi="ar"/>
                    </w:rPr>
                    <w:t>0.128</w:t>
                  </w:r>
                </w:p>
              </w:tc>
              <w:tc>
                <w:tcPr>
                  <w:tcW w:w="378" w:type="pct"/>
                  <w:vMerge w:val="continue"/>
                  <w:tcBorders>
                    <w:tl2br w:val="nil"/>
                    <w:tr2bl w:val="nil"/>
                  </w:tcBorders>
                  <w:noWrap w:val="0"/>
                  <w:vAlign w:val="center"/>
                </w:tcPr>
                <w:p w14:paraId="72F49228">
                  <w:pPr>
                    <w:jc w:val="center"/>
                    <w:rPr>
                      <w:rFonts w:hint="eastAsia" w:cs="Times New Roman"/>
                      <w:color w:val="auto"/>
                      <w:szCs w:val="21"/>
                      <w:highlight w:val="none"/>
                      <w:lang w:val="en-US" w:eastAsia="zh-CN" w:bidi="ar"/>
                    </w:rPr>
                  </w:pPr>
                </w:p>
              </w:tc>
              <w:tc>
                <w:tcPr>
                  <w:tcW w:w="361" w:type="pct"/>
                  <w:vMerge w:val="continue"/>
                  <w:tcBorders>
                    <w:tl2br w:val="nil"/>
                    <w:tr2bl w:val="nil"/>
                  </w:tcBorders>
                  <w:noWrap w:val="0"/>
                  <w:vAlign w:val="center"/>
                </w:tcPr>
                <w:p w14:paraId="1108EFD1">
                  <w:pPr>
                    <w:jc w:val="center"/>
                    <w:rPr>
                      <w:rFonts w:hint="eastAsia" w:cs="Times New Roman"/>
                      <w:color w:val="auto"/>
                      <w:szCs w:val="21"/>
                      <w:highlight w:val="none"/>
                      <w:lang w:val="en-US" w:eastAsia="zh-CN" w:bidi="ar"/>
                    </w:rPr>
                  </w:pPr>
                </w:p>
              </w:tc>
            </w:tr>
            <w:tr w14:paraId="1CC5B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48" w:type="pct"/>
                  <w:vMerge w:val="continue"/>
                  <w:tcBorders>
                    <w:tl2br w:val="nil"/>
                    <w:tr2bl w:val="nil"/>
                  </w:tcBorders>
                  <w:noWrap w:val="0"/>
                  <w:vAlign w:val="center"/>
                </w:tcPr>
                <w:p w14:paraId="06C1E50C">
                  <w:pPr>
                    <w:jc w:val="center"/>
                    <w:rPr>
                      <w:rFonts w:hint="eastAsia" w:cs="Times New Roman"/>
                      <w:color w:val="auto"/>
                      <w:szCs w:val="21"/>
                      <w:highlight w:val="none"/>
                      <w:lang w:val="en-US" w:eastAsia="zh-CN"/>
                    </w:rPr>
                  </w:pPr>
                </w:p>
              </w:tc>
              <w:tc>
                <w:tcPr>
                  <w:tcW w:w="428" w:type="pct"/>
                  <w:tcBorders>
                    <w:tl2br w:val="nil"/>
                    <w:tr2bl w:val="nil"/>
                  </w:tcBorders>
                  <w:noWrap w:val="0"/>
                  <w:vAlign w:val="center"/>
                </w:tcPr>
                <w:p w14:paraId="6E4C5117">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质量检验室颗粒物</w:t>
                  </w:r>
                </w:p>
              </w:tc>
              <w:tc>
                <w:tcPr>
                  <w:tcW w:w="371" w:type="pct"/>
                  <w:tcBorders>
                    <w:tl2br w:val="nil"/>
                    <w:tr2bl w:val="nil"/>
                  </w:tcBorders>
                  <w:noWrap w:val="0"/>
                  <w:vAlign w:val="center"/>
                </w:tcPr>
                <w:p w14:paraId="0BA2134C">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3111" w:type="pct"/>
                  <w:gridSpan w:val="8"/>
                  <w:tcBorders>
                    <w:tl2br w:val="nil"/>
                    <w:tr2bl w:val="nil"/>
                  </w:tcBorders>
                  <w:noWrap w:val="0"/>
                  <w:vAlign w:val="center"/>
                </w:tcPr>
                <w:p w14:paraId="17AD6AE6">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rPr>
                    <w:t>检验室在有机肥样品破碎、研磨、筛分过程会产生少量粉尘颗粒物，经室内通风排风无组织排放</w:t>
                  </w:r>
                </w:p>
              </w:tc>
              <w:tc>
                <w:tcPr>
                  <w:tcW w:w="378" w:type="pct"/>
                  <w:tcBorders>
                    <w:tl2br w:val="nil"/>
                    <w:tr2bl w:val="nil"/>
                  </w:tcBorders>
                  <w:noWrap w:val="0"/>
                  <w:vAlign w:val="center"/>
                </w:tcPr>
                <w:p w14:paraId="3494CD68">
                  <w:pPr>
                    <w:jc w:val="center"/>
                    <w:rPr>
                      <w:rFonts w:hint="default" w:cs="Times New Roman"/>
                      <w:color w:val="auto"/>
                      <w:szCs w:val="21"/>
                      <w:highlight w:val="none"/>
                      <w:lang w:val="en-US" w:eastAsia="zh-CN" w:bidi="ar"/>
                    </w:rPr>
                  </w:pPr>
                  <w:r>
                    <w:rPr>
                      <w:rFonts w:hint="eastAsia" w:cs="Times New Roman"/>
                      <w:color w:val="auto"/>
                      <w:szCs w:val="21"/>
                      <w:highlight w:val="none"/>
                      <w:lang w:val="en-US" w:eastAsia="zh-CN"/>
                    </w:rPr>
                    <w:t>/</w:t>
                  </w:r>
                </w:p>
              </w:tc>
              <w:tc>
                <w:tcPr>
                  <w:tcW w:w="361" w:type="pct"/>
                  <w:tcBorders>
                    <w:tl2br w:val="nil"/>
                    <w:tr2bl w:val="nil"/>
                  </w:tcBorders>
                  <w:noWrap w:val="0"/>
                  <w:vAlign w:val="center"/>
                </w:tcPr>
                <w:p w14:paraId="2104DD9C">
                  <w:pPr>
                    <w:jc w:val="center"/>
                    <w:rPr>
                      <w:rFonts w:hint="eastAsia" w:cs="Times New Roman"/>
                      <w:color w:val="auto"/>
                      <w:szCs w:val="21"/>
                      <w:highlight w:val="none"/>
                      <w:lang w:val="en-US" w:eastAsia="zh-CN" w:bidi="ar"/>
                    </w:rPr>
                  </w:pPr>
                  <w:r>
                    <w:rPr>
                      <w:rFonts w:hint="eastAsia" w:cs="Times New Roman"/>
                      <w:color w:val="auto"/>
                      <w:szCs w:val="21"/>
                      <w:highlight w:val="none"/>
                      <w:lang w:val="en-US" w:eastAsia="zh-CN"/>
                    </w:rPr>
                    <w:t>/</w:t>
                  </w:r>
                </w:p>
              </w:tc>
            </w:tr>
          </w:tbl>
          <w:p w14:paraId="148A628A">
            <w:pPr>
              <w:keepNext w:val="0"/>
              <w:keepLines w:val="0"/>
              <w:pageBreakBefore w:val="0"/>
              <w:widowControl/>
              <w:kinsoku/>
              <w:wordWrap/>
              <w:overflowPunct/>
              <w:topLinePunct w:val="0"/>
              <w:autoSpaceDE/>
              <w:autoSpaceDN/>
              <w:bidi w:val="0"/>
              <w:snapToGrid/>
              <w:spacing w:line="440" w:lineRule="exact"/>
              <w:ind w:firstLine="482" w:firstLineChars="200"/>
              <w:jc w:val="left"/>
              <w:rPr>
                <w:rFonts w:hint="default" w:ascii="Times New Roman" w:hAnsi="Times New Roman" w:cs="Times New Roman"/>
                <w:color w:val="auto"/>
                <w:kern w:val="0"/>
                <w:sz w:val="24"/>
                <w:szCs w:val="20"/>
                <w:highlight w:val="none"/>
              </w:rPr>
            </w:pPr>
            <w:r>
              <w:rPr>
                <w:rFonts w:hint="default" w:ascii="Times New Roman" w:hAnsi="Times New Roman" w:cs="Times New Roman"/>
                <w:b/>
                <w:bCs/>
                <w:color w:val="auto"/>
                <w:sz w:val="24"/>
                <w:highlight w:val="none"/>
              </w:rPr>
              <w:t>废气污染物防治措施可行性分析</w:t>
            </w:r>
          </w:p>
          <w:p w14:paraId="685036D1">
            <w:pPr>
              <w:pStyle w:val="100"/>
              <w:keepNext w:val="0"/>
              <w:keepLines w:val="0"/>
              <w:pageBreakBefore w:val="0"/>
              <w:kinsoku/>
              <w:wordWrap/>
              <w:overflowPunct/>
              <w:topLinePunct w:val="0"/>
              <w:autoSpaceDE/>
              <w:autoSpaceDN/>
              <w:bidi w:val="0"/>
              <w:snapToGrid/>
              <w:spacing w:line="440" w:lineRule="exact"/>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eastAsia" w:cs="Times New Roman"/>
                <w:color w:val="auto"/>
                <w:highlight w:val="none"/>
                <w:lang w:val="en-US" w:eastAsia="zh-CN"/>
              </w:rPr>
              <w:t>《</w:t>
            </w:r>
            <w:r>
              <w:rPr>
                <w:rFonts w:hint="default" w:ascii="Times New Roman" w:hAnsi="Times New Roman" w:cs="Times New Roman"/>
                <w:color w:val="auto"/>
                <w:highlight w:val="none"/>
              </w:rPr>
              <w:t>排污许可证申请与核发技术规范 磷肥、 钾肥 、复混钾肥 、有机肥料及微生物肥料工业</w:t>
            </w:r>
            <w:r>
              <w:rPr>
                <w:rFonts w:hint="eastAsia" w:cs="Times New Roman"/>
                <w:color w:val="auto"/>
                <w:highlight w:val="none"/>
                <w:lang w:eastAsia="zh-CN"/>
              </w:rPr>
              <w:t>》（HJ864.2-2018）</w:t>
            </w:r>
            <w:r>
              <w:rPr>
                <w:rFonts w:hint="eastAsia" w:ascii="Times New Roman" w:hAnsi="Times New Roman" w:cs="Times New Roman"/>
                <w:color w:val="auto"/>
                <w:highlight w:val="none"/>
                <w:lang w:val="en-US" w:eastAsia="zh-CN"/>
              </w:rPr>
              <w:t>表15有机肥料及微生物肥料工业排污单位生产单元或设施废气治理可行技术参照表</w:t>
            </w:r>
            <w:r>
              <w:rPr>
                <w:rFonts w:hint="eastAsia" w:cs="Times New Roman"/>
                <w:color w:val="auto"/>
                <w:highlight w:val="none"/>
                <w:lang w:eastAsia="zh-CN"/>
              </w:rPr>
              <w:t>“</w:t>
            </w:r>
            <w:r>
              <w:rPr>
                <w:rFonts w:hint="default" w:ascii="Times New Roman" w:hAnsi="Times New Roman" w:cs="Times New Roman"/>
                <w:color w:val="auto"/>
                <w:highlight w:val="none"/>
              </w:rPr>
              <w:t>袋式除尘</w:t>
            </w:r>
            <w:r>
              <w:rPr>
                <w:rFonts w:hint="eastAsia" w:cs="Times New Roman"/>
                <w:color w:val="auto"/>
                <w:highlight w:val="none"/>
                <w:lang w:eastAsia="zh-CN"/>
              </w:rPr>
              <w:t>”</w:t>
            </w:r>
            <w:r>
              <w:rPr>
                <w:rFonts w:hint="default" w:ascii="Times New Roman" w:hAnsi="Times New Roman" w:cs="Times New Roman"/>
                <w:color w:val="auto"/>
                <w:highlight w:val="none"/>
              </w:rPr>
              <w:t>，本项目</w:t>
            </w:r>
            <w:r>
              <w:rPr>
                <w:rFonts w:hint="eastAsia" w:cs="Times New Roman"/>
                <w:color w:val="auto"/>
                <w:highlight w:val="none"/>
                <w:lang w:val="en-US" w:eastAsia="zh-CN"/>
              </w:rPr>
              <w:t>粉碎、搅拌</w:t>
            </w:r>
            <w:r>
              <w:rPr>
                <w:rFonts w:hint="default" w:ascii="Times New Roman" w:hAnsi="Times New Roman" w:cs="Times New Roman"/>
                <w:color w:val="auto"/>
                <w:highlight w:val="none"/>
              </w:rPr>
              <w:t>废气采用</w:t>
            </w:r>
            <w:r>
              <w:rPr>
                <w:rFonts w:hint="eastAsia" w:cs="Times New Roman"/>
                <w:color w:val="auto"/>
                <w:highlight w:val="none"/>
                <w:lang w:eastAsia="zh-CN"/>
              </w:rPr>
              <w:t>“</w:t>
            </w:r>
            <w:r>
              <w:rPr>
                <w:rFonts w:hint="eastAsia" w:cs="Times New Roman"/>
                <w:color w:val="auto"/>
                <w:szCs w:val="21"/>
                <w:highlight w:val="none"/>
                <w:lang w:val="en-US" w:eastAsia="zh-CN"/>
              </w:rPr>
              <w:t>集气罩+布袋除尘器</w:t>
            </w:r>
            <w:r>
              <w:rPr>
                <w:rFonts w:hint="eastAsia" w:cs="Times New Roman"/>
                <w:color w:val="auto"/>
                <w:highlight w:val="none"/>
                <w:lang w:eastAsia="zh-CN"/>
              </w:rPr>
              <w:t>”</w:t>
            </w:r>
            <w:r>
              <w:rPr>
                <w:rFonts w:hint="default" w:ascii="Times New Roman" w:hAnsi="Times New Roman" w:cs="Times New Roman"/>
                <w:color w:val="auto"/>
                <w:highlight w:val="none"/>
              </w:rPr>
              <w:t>处理，该污染治理措施为可行污染治理设施</w:t>
            </w:r>
            <w:r>
              <w:rPr>
                <w:rFonts w:hint="eastAsia" w:cs="Times New Roman"/>
                <w:color w:val="auto"/>
                <w:highlight w:val="none"/>
                <w:lang w:eastAsia="zh-CN"/>
              </w:rPr>
              <w:t>；</w:t>
            </w:r>
            <w:r>
              <w:rPr>
                <w:rFonts w:hint="eastAsia" w:cs="Times New Roman"/>
                <w:color w:val="auto"/>
                <w:highlight w:val="none"/>
                <w:lang w:val="en-US" w:eastAsia="zh-CN"/>
              </w:rPr>
              <w:t>根据生态环境部2021年发布的《生物质废物堆肥污染控制技术规范》中明确</w:t>
            </w:r>
            <w:r>
              <w:rPr>
                <w:rFonts w:hint="eastAsia" w:ascii="Times New Roman" w:hAnsi="Times New Roman" w:cs="Times New Roman"/>
                <w:color w:val="auto"/>
                <w:highlight w:val="none"/>
                <w:lang w:val="en-US" w:eastAsia="zh-CN"/>
              </w:rPr>
              <w:t>“将活性炭吸附（二级）列为堆肥 / 有机肥行业恶臭末端治理推荐可行技术，适配发酵、筛分、包装等低中浓度臭气”</w:t>
            </w:r>
            <w:r>
              <w:rPr>
                <w:rFonts w:hint="eastAsia" w:cs="Times New Roman"/>
                <w:color w:val="auto"/>
                <w:highlight w:val="none"/>
                <w:lang w:val="en-US" w:eastAsia="zh-CN"/>
              </w:rPr>
              <w:t>，</w:t>
            </w:r>
            <w:r>
              <w:rPr>
                <w:rFonts w:hint="default" w:ascii="Times New Roman" w:hAnsi="Times New Roman" w:cs="Times New Roman"/>
                <w:color w:val="auto"/>
                <w:highlight w:val="none"/>
              </w:rPr>
              <w:t>本项目</w:t>
            </w:r>
            <w:r>
              <w:rPr>
                <w:rFonts w:hint="eastAsia" w:ascii="Times New Roman" w:hAnsi="Times New Roman" w:cs="Times New Roman"/>
                <w:color w:val="auto"/>
                <w:highlight w:val="none"/>
                <w:lang w:val="en-US" w:eastAsia="zh-CN"/>
              </w:rPr>
              <w:t>发酵</w:t>
            </w:r>
            <w:r>
              <w:rPr>
                <w:rFonts w:hint="eastAsia" w:cs="Times New Roman"/>
                <w:color w:val="auto"/>
                <w:highlight w:val="none"/>
                <w:lang w:val="en-US" w:eastAsia="zh-CN"/>
              </w:rPr>
              <w:t>、熟化</w:t>
            </w:r>
            <w:r>
              <w:rPr>
                <w:rFonts w:hint="eastAsia" w:ascii="Times New Roman" w:hAnsi="Times New Roman" w:cs="Times New Roman"/>
                <w:color w:val="auto"/>
                <w:highlight w:val="none"/>
                <w:lang w:val="en-US" w:eastAsia="zh-CN"/>
              </w:rPr>
              <w:t>产生</w:t>
            </w:r>
            <w:r>
              <w:rPr>
                <w:rFonts w:hint="default" w:ascii="Times New Roman" w:hAnsi="Times New Roman" w:cs="Times New Roman"/>
                <w:color w:val="auto"/>
                <w:highlight w:val="none"/>
              </w:rPr>
              <w:t>废气采用</w:t>
            </w:r>
            <w:r>
              <w:rPr>
                <w:rFonts w:hint="eastAsia" w:cs="Times New Roman"/>
                <w:color w:val="auto"/>
                <w:highlight w:val="none"/>
                <w:lang w:eastAsia="zh-CN"/>
              </w:rPr>
              <w:t>“</w:t>
            </w:r>
            <w:r>
              <w:rPr>
                <w:rFonts w:hint="eastAsia" w:cs="Times New Roman"/>
                <w:color w:val="auto"/>
                <w:szCs w:val="21"/>
                <w:highlight w:val="none"/>
                <w:lang w:val="en-US" w:eastAsia="zh-CN"/>
              </w:rPr>
              <w:t>负压集气+二级活性炭吸附+水洗塔装置</w:t>
            </w:r>
            <w:r>
              <w:rPr>
                <w:rFonts w:hint="eastAsia" w:cs="Times New Roman"/>
                <w:color w:val="auto"/>
                <w:highlight w:val="none"/>
                <w:lang w:eastAsia="zh-CN"/>
              </w:rPr>
              <w:t>”</w:t>
            </w:r>
            <w:r>
              <w:rPr>
                <w:rFonts w:hint="default" w:ascii="Times New Roman" w:hAnsi="Times New Roman" w:cs="Times New Roman"/>
                <w:color w:val="auto"/>
                <w:highlight w:val="none"/>
              </w:rPr>
              <w:t>处理，该污染治理措施为可行污染治理设施。</w:t>
            </w:r>
          </w:p>
          <w:p w14:paraId="23737B4D">
            <w:pPr>
              <w:pStyle w:val="100"/>
              <w:keepNext w:val="0"/>
              <w:keepLines w:val="0"/>
              <w:pageBreakBefore w:val="0"/>
              <w:kinsoku/>
              <w:wordWrap/>
              <w:overflowPunct/>
              <w:topLinePunct w:val="0"/>
              <w:autoSpaceDE/>
              <w:autoSpaceDN/>
              <w:bidi w:val="0"/>
              <w:snapToGrid/>
              <w:spacing w:line="440" w:lineRule="exact"/>
              <w:ind w:firstLineChar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类比同类型《连城县畜禽粪污资源化利用整县推进（第三方有机肥厂）项目竣工环境保护验收监测报告表》该项目发酵车间臭气污染防治措施为二级活性炭吸附与本项目有组织恶臭气体防止措施相同，该项目验收监测期间发酵车间氨气、硫化氢进口浓度分别为28.5~32.1mg/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、8.6~9.7mg/m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，出口浓度分别为2.1~2.8mg/m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、0.4~0.6mg/m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，二级活性炭活对有机肥发酵臭气去除率稳定在 90% 以上，故本项目活性炭吸附装置治理措施可行、达标可靠。</w:t>
            </w:r>
          </w:p>
          <w:p w14:paraId="466D7EC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 4-</w:t>
            </w:r>
            <w:r>
              <w:rPr>
                <w:rFonts w:hint="eastAsia" w:cs="Times New Roman"/>
                <w:b/>
                <w:bCs/>
                <w:color w:val="auto"/>
                <w:sz w:val="24"/>
                <w:szCs w:val="24"/>
                <w:highlight w:val="none"/>
                <w:lang w:val="en-US" w:eastAsia="zh-CN"/>
              </w:rPr>
              <w:t xml:space="preserve">5 </w:t>
            </w:r>
            <w:r>
              <w:rPr>
                <w:rFonts w:hint="default" w:ascii="Times New Roman" w:hAnsi="Times New Roman" w:cs="Times New Roman"/>
                <w:b/>
                <w:bCs/>
                <w:color w:val="auto"/>
                <w:sz w:val="24"/>
                <w:szCs w:val="24"/>
                <w:highlight w:val="none"/>
                <w:lang w:val="en-US" w:eastAsia="zh-CN"/>
              </w:rPr>
              <w:t xml:space="preserve"> </w:t>
            </w:r>
            <w:r>
              <w:rPr>
                <w:rFonts w:hint="eastAsia" w:cs="Times New Roman"/>
                <w:b/>
                <w:bCs/>
                <w:color w:val="auto"/>
                <w:sz w:val="24"/>
                <w:szCs w:val="24"/>
                <w:highlight w:val="none"/>
                <w:lang w:val="en-US" w:eastAsia="zh-CN"/>
              </w:rPr>
              <w:t>有组织废气污染物达标分析一览表</w:t>
            </w:r>
          </w:p>
          <w:tbl>
            <w:tblPr>
              <w:tblStyle w:val="33"/>
              <w:tblW w:w="85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196"/>
              <w:gridCol w:w="1494"/>
              <w:gridCol w:w="2597"/>
              <w:gridCol w:w="1497"/>
              <w:gridCol w:w="768"/>
            </w:tblGrid>
            <w:tr w14:paraId="0EFE1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025" w:type="dxa"/>
                  <w:tcBorders>
                    <w:tl2br w:val="nil"/>
                    <w:tr2bl w:val="nil"/>
                  </w:tcBorders>
                  <w:vAlign w:val="center"/>
                </w:tcPr>
                <w:p w14:paraId="718B0CFC">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kern w:val="0"/>
                      <w:sz w:val="21"/>
                      <w:szCs w:val="21"/>
                      <w:highlight w:val="none"/>
                      <w:vertAlign w:val="baseline"/>
                      <w:lang w:val="en-US" w:eastAsia="zh-CN"/>
                    </w:rPr>
                  </w:pPr>
                  <w:r>
                    <w:rPr>
                      <w:rFonts w:hint="eastAsia"/>
                      <w:b/>
                      <w:bCs/>
                      <w:color w:val="auto"/>
                      <w:kern w:val="0"/>
                      <w:sz w:val="21"/>
                      <w:szCs w:val="21"/>
                      <w:highlight w:val="none"/>
                      <w:vertAlign w:val="baseline"/>
                      <w:lang w:val="en-US" w:eastAsia="zh-CN"/>
                    </w:rPr>
                    <w:t>污染源</w:t>
                  </w:r>
                </w:p>
              </w:tc>
              <w:tc>
                <w:tcPr>
                  <w:tcW w:w="1196" w:type="dxa"/>
                  <w:tcBorders>
                    <w:tl2br w:val="nil"/>
                    <w:tr2bl w:val="nil"/>
                  </w:tcBorders>
                  <w:vAlign w:val="center"/>
                </w:tcPr>
                <w:p w14:paraId="1A77B984">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kern w:val="0"/>
                      <w:sz w:val="21"/>
                      <w:szCs w:val="21"/>
                      <w:highlight w:val="none"/>
                      <w:vertAlign w:val="baseline"/>
                      <w:lang w:val="en-US" w:eastAsia="zh-CN"/>
                    </w:rPr>
                  </w:pPr>
                  <w:r>
                    <w:rPr>
                      <w:rFonts w:hint="eastAsia"/>
                      <w:b/>
                      <w:bCs/>
                      <w:color w:val="auto"/>
                      <w:kern w:val="0"/>
                      <w:sz w:val="21"/>
                      <w:szCs w:val="21"/>
                      <w:highlight w:val="none"/>
                      <w:vertAlign w:val="baseline"/>
                      <w:lang w:val="en-US" w:eastAsia="zh-CN"/>
                    </w:rPr>
                    <w:t>污染因子</w:t>
                  </w:r>
                </w:p>
              </w:tc>
              <w:tc>
                <w:tcPr>
                  <w:tcW w:w="1494" w:type="dxa"/>
                  <w:tcBorders>
                    <w:tl2br w:val="nil"/>
                    <w:tr2bl w:val="nil"/>
                  </w:tcBorders>
                  <w:vAlign w:val="center"/>
                </w:tcPr>
                <w:p w14:paraId="1A79374C">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kern w:val="0"/>
                      <w:sz w:val="21"/>
                      <w:szCs w:val="21"/>
                      <w:highlight w:val="none"/>
                      <w:vertAlign w:val="superscript"/>
                      <w:lang w:val="en-US" w:eastAsia="zh-CN"/>
                    </w:rPr>
                  </w:pPr>
                  <w:r>
                    <w:rPr>
                      <w:rFonts w:hint="eastAsia"/>
                      <w:b/>
                      <w:bCs/>
                      <w:color w:val="auto"/>
                      <w:kern w:val="0"/>
                      <w:sz w:val="21"/>
                      <w:szCs w:val="21"/>
                      <w:highlight w:val="none"/>
                      <w:vertAlign w:val="baseline"/>
                      <w:lang w:val="en-US" w:eastAsia="zh-CN"/>
                    </w:rPr>
                    <w:t>排放浓度mg/m</w:t>
                  </w:r>
                  <w:r>
                    <w:rPr>
                      <w:rFonts w:hint="eastAsia"/>
                      <w:b/>
                      <w:bCs/>
                      <w:color w:val="auto"/>
                      <w:kern w:val="0"/>
                      <w:sz w:val="21"/>
                      <w:szCs w:val="21"/>
                      <w:highlight w:val="none"/>
                      <w:vertAlign w:val="superscript"/>
                      <w:lang w:val="en-US" w:eastAsia="zh-CN"/>
                    </w:rPr>
                    <w:t>3</w:t>
                  </w:r>
                </w:p>
                <w:p w14:paraId="161EEC9C">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kern w:val="0"/>
                      <w:sz w:val="21"/>
                      <w:szCs w:val="21"/>
                      <w:highlight w:val="none"/>
                      <w:vertAlign w:val="baseline"/>
                      <w:lang w:val="en-US" w:eastAsia="zh-CN"/>
                    </w:rPr>
                  </w:pPr>
                  <w:r>
                    <w:rPr>
                      <w:rFonts w:hint="eastAsia"/>
                      <w:b/>
                      <w:bCs/>
                      <w:color w:val="auto"/>
                      <w:kern w:val="0"/>
                      <w:sz w:val="21"/>
                      <w:szCs w:val="21"/>
                      <w:highlight w:val="none"/>
                      <w:vertAlign w:val="baseline"/>
                      <w:lang w:val="en-US" w:eastAsia="zh-CN"/>
                    </w:rPr>
                    <w:t>(排放速率kg/h)</w:t>
                  </w:r>
                </w:p>
              </w:tc>
              <w:tc>
                <w:tcPr>
                  <w:tcW w:w="2597" w:type="dxa"/>
                  <w:tcBorders>
                    <w:tl2br w:val="nil"/>
                    <w:tr2bl w:val="nil"/>
                  </w:tcBorders>
                  <w:vAlign w:val="center"/>
                </w:tcPr>
                <w:p w14:paraId="1A12283A">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kern w:val="0"/>
                      <w:sz w:val="21"/>
                      <w:szCs w:val="21"/>
                      <w:highlight w:val="none"/>
                      <w:vertAlign w:val="baseline"/>
                      <w:lang w:val="en-US" w:eastAsia="zh-CN"/>
                    </w:rPr>
                  </w:pPr>
                  <w:r>
                    <w:rPr>
                      <w:rFonts w:hint="eastAsia"/>
                      <w:b/>
                      <w:bCs/>
                      <w:color w:val="auto"/>
                      <w:kern w:val="0"/>
                      <w:sz w:val="21"/>
                      <w:szCs w:val="21"/>
                      <w:highlight w:val="none"/>
                      <w:vertAlign w:val="baseline"/>
                      <w:lang w:val="en-US" w:eastAsia="zh-CN"/>
                    </w:rPr>
                    <w:t>执行标准</w:t>
                  </w:r>
                </w:p>
              </w:tc>
              <w:tc>
                <w:tcPr>
                  <w:tcW w:w="1497" w:type="dxa"/>
                  <w:tcBorders>
                    <w:tl2br w:val="nil"/>
                    <w:tr2bl w:val="nil"/>
                  </w:tcBorders>
                  <w:vAlign w:val="center"/>
                </w:tcPr>
                <w:p w14:paraId="06304CB4">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kern w:val="0"/>
                      <w:sz w:val="21"/>
                      <w:szCs w:val="21"/>
                      <w:highlight w:val="none"/>
                      <w:vertAlign w:val="superscript"/>
                      <w:lang w:val="en-US" w:eastAsia="zh-CN"/>
                    </w:rPr>
                  </w:pPr>
                  <w:r>
                    <w:rPr>
                      <w:rFonts w:hint="eastAsia"/>
                      <w:b/>
                      <w:bCs/>
                      <w:color w:val="auto"/>
                      <w:kern w:val="0"/>
                      <w:sz w:val="21"/>
                      <w:szCs w:val="21"/>
                      <w:highlight w:val="none"/>
                      <w:vertAlign w:val="baseline"/>
                      <w:lang w:val="en-US" w:eastAsia="zh-CN"/>
                    </w:rPr>
                    <w:t>标准浓度mg/m</w:t>
                  </w:r>
                  <w:r>
                    <w:rPr>
                      <w:rFonts w:hint="eastAsia"/>
                      <w:b/>
                      <w:bCs/>
                      <w:color w:val="auto"/>
                      <w:kern w:val="0"/>
                      <w:sz w:val="21"/>
                      <w:szCs w:val="21"/>
                      <w:highlight w:val="none"/>
                      <w:vertAlign w:val="superscript"/>
                      <w:lang w:val="en-US" w:eastAsia="zh-CN"/>
                    </w:rPr>
                    <w:t>3</w:t>
                  </w:r>
                </w:p>
                <w:p w14:paraId="5BAC0AC1">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kern w:val="0"/>
                      <w:sz w:val="21"/>
                      <w:szCs w:val="21"/>
                      <w:highlight w:val="none"/>
                      <w:vertAlign w:val="baseline"/>
                      <w:lang w:val="en-US" w:eastAsia="zh-CN"/>
                    </w:rPr>
                  </w:pPr>
                  <w:r>
                    <w:rPr>
                      <w:rFonts w:hint="eastAsia"/>
                      <w:b/>
                      <w:bCs/>
                      <w:color w:val="auto"/>
                      <w:kern w:val="0"/>
                      <w:sz w:val="21"/>
                      <w:szCs w:val="21"/>
                      <w:highlight w:val="none"/>
                      <w:vertAlign w:val="baseline"/>
                      <w:lang w:val="en-US" w:eastAsia="zh-CN"/>
                    </w:rPr>
                    <w:t>(标准速率kg/h)</w:t>
                  </w:r>
                </w:p>
              </w:tc>
              <w:tc>
                <w:tcPr>
                  <w:tcW w:w="768" w:type="dxa"/>
                  <w:tcBorders>
                    <w:tl2br w:val="nil"/>
                    <w:tr2bl w:val="nil"/>
                  </w:tcBorders>
                  <w:vAlign w:val="center"/>
                </w:tcPr>
                <w:p w14:paraId="199FE80C">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kern w:val="0"/>
                      <w:sz w:val="21"/>
                      <w:szCs w:val="21"/>
                      <w:highlight w:val="none"/>
                      <w:vertAlign w:val="baseline"/>
                      <w:lang w:val="en-US" w:eastAsia="zh-CN"/>
                    </w:rPr>
                  </w:pPr>
                  <w:r>
                    <w:rPr>
                      <w:rFonts w:hint="eastAsia"/>
                      <w:b/>
                      <w:bCs/>
                      <w:color w:val="auto"/>
                      <w:kern w:val="0"/>
                      <w:sz w:val="21"/>
                      <w:szCs w:val="21"/>
                      <w:highlight w:val="none"/>
                      <w:vertAlign w:val="baseline"/>
                      <w:lang w:val="en-US" w:eastAsia="zh-CN"/>
                    </w:rPr>
                    <w:t>达标情况</w:t>
                  </w:r>
                </w:p>
              </w:tc>
            </w:tr>
            <w:tr w14:paraId="49F85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025" w:type="dxa"/>
                  <w:tcBorders>
                    <w:tl2br w:val="nil"/>
                    <w:tr2bl w:val="nil"/>
                  </w:tcBorders>
                  <w:vAlign w:val="center"/>
                </w:tcPr>
                <w:p w14:paraId="6EA544D6">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#1排气筒口</w:t>
                  </w:r>
                </w:p>
              </w:tc>
              <w:tc>
                <w:tcPr>
                  <w:tcW w:w="1196" w:type="dxa"/>
                  <w:tcBorders>
                    <w:tl2br w:val="nil"/>
                    <w:tr2bl w:val="nil"/>
                  </w:tcBorders>
                  <w:vAlign w:val="center"/>
                </w:tcPr>
                <w:p w14:paraId="11692116">
                  <w:pPr>
                    <w:spacing w:line="360" w:lineRule="exact"/>
                    <w:jc w:val="center"/>
                    <w:textAlignment w:val="baseline"/>
                    <w:rPr>
                      <w:rFonts w:hint="eastAsia"/>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szCs w:val="21"/>
                      <w:highlight w:val="none"/>
                    </w:rPr>
                    <w:t>颗粒物</w:t>
                  </w:r>
                </w:p>
              </w:tc>
              <w:tc>
                <w:tcPr>
                  <w:tcW w:w="1494" w:type="dxa"/>
                  <w:tcBorders>
                    <w:tl2br w:val="nil"/>
                    <w:tr2bl w:val="nil"/>
                  </w:tcBorders>
                  <w:vAlign w:val="center"/>
                </w:tcPr>
                <w:p w14:paraId="688FF71F">
                  <w:pPr>
                    <w:spacing w:line="360" w:lineRule="exact"/>
                    <w:jc w:val="center"/>
                    <w:textAlignment w:val="baseline"/>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37(0.37kg/h)</w:t>
                  </w:r>
                </w:p>
              </w:tc>
              <w:tc>
                <w:tcPr>
                  <w:tcW w:w="2597" w:type="dxa"/>
                  <w:tcBorders>
                    <w:tl2br w:val="nil"/>
                    <w:tr2bl w:val="nil"/>
                  </w:tcBorders>
                  <w:vAlign w:val="center"/>
                </w:tcPr>
                <w:p w14:paraId="0E47E3A3">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kern w:val="0"/>
                      <w:sz w:val="21"/>
                      <w:szCs w:val="21"/>
                      <w:highlight w:val="none"/>
                      <w:vertAlign w:val="baseline"/>
                      <w:lang w:val="en-US" w:eastAsia="zh-CN"/>
                    </w:rPr>
                  </w:pPr>
                  <w:r>
                    <w:rPr>
                      <w:rFonts w:hint="eastAsia" w:ascii="Times New Roman" w:hAnsi="Times New Roman" w:eastAsia="宋体" w:cs="Times New Roman"/>
                      <w:color w:val="auto"/>
                      <w:sz w:val="21"/>
                      <w:szCs w:val="21"/>
                      <w:highlight w:val="none"/>
                    </w:rPr>
                    <w:t>《大气污染物综合排放标准》（GB</w:t>
                  </w:r>
                  <w:r>
                    <w:rPr>
                      <w:rFonts w:ascii="Times New Roman" w:hAnsi="Times New Roman" w:eastAsia="宋体" w:cs="Times New Roman"/>
                      <w:color w:val="auto"/>
                      <w:sz w:val="21"/>
                      <w:szCs w:val="21"/>
                      <w:highlight w:val="none"/>
                    </w:rPr>
                    <w:t>16297-1996</w:t>
                  </w:r>
                  <w:r>
                    <w:rPr>
                      <w:rFonts w:hint="eastAsia" w:ascii="Times New Roman" w:hAnsi="Times New Roman" w:eastAsia="宋体" w:cs="Times New Roman"/>
                      <w:color w:val="auto"/>
                      <w:sz w:val="21"/>
                      <w:szCs w:val="21"/>
                      <w:highlight w:val="none"/>
                    </w:rPr>
                    <w:t>）表2中二级标准</w:t>
                  </w:r>
                </w:p>
              </w:tc>
              <w:tc>
                <w:tcPr>
                  <w:tcW w:w="1497" w:type="dxa"/>
                  <w:tcBorders>
                    <w:tl2br w:val="nil"/>
                    <w:tr2bl w:val="nil"/>
                  </w:tcBorders>
                  <w:vAlign w:val="center"/>
                </w:tcPr>
                <w:p w14:paraId="3EBF3458">
                  <w:pPr>
                    <w:spacing w:line="360" w:lineRule="exact"/>
                    <w:jc w:val="center"/>
                    <w:textAlignment w:val="baseline"/>
                    <w:rPr>
                      <w:rFonts w:hint="default" w:eastAsia="宋体"/>
                      <w:b w:val="0"/>
                      <w:bCs w:val="0"/>
                      <w:color w:val="auto"/>
                      <w:kern w:val="0"/>
                      <w:sz w:val="21"/>
                      <w:szCs w:val="21"/>
                      <w:highlight w:val="none"/>
                      <w:vertAlign w:val="baseline"/>
                      <w:lang w:val="en-US" w:eastAsia="zh-CN"/>
                    </w:rPr>
                  </w:pPr>
                  <w:r>
                    <w:rPr>
                      <w:rFonts w:hint="eastAsia" w:cs="Times New Roman"/>
                      <w:b w:val="0"/>
                      <w:bCs w:val="0"/>
                      <w:color w:val="auto"/>
                      <w:szCs w:val="21"/>
                      <w:highlight w:val="none"/>
                      <w:lang w:val="en-US" w:eastAsia="zh-CN"/>
                    </w:rPr>
                    <w:t>120（3.5kg/h）</w:t>
                  </w:r>
                </w:p>
              </w:tc>
              <w:tc>
                <w:tcPr>
                  <w:tcW w:w="768" w:type="dxa"/>
                  <w:tcBorders>
                    <w:tl2br w:val="nil"/>
                    <w:tr2bl w:val="nil"/>
                  </w:tcBorders>
                  <w:vAlign w:val="center"/>
                </w:tcPr>
                <w:p w14:paraId="0AE98695">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达标</w:t>
                  </w:r>
                </w:p>
              </w:tc>
            </w:tr>
            <w:tr w14:paraId="537EA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25" w:type="dxa"/>
                  <w:vMerge w:val="restart"/>
                  <w:tcBorders>
                    <w:tl2br w:val="nil"/>
                    <w:tr2bl w:val="nil"/>
                  </w:tcBorders>
                  <w:vAlign w:val="center"/>
                </w:tcPr>
                <w:p w14:paraId="67106EFF">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#2排气筒口</w:t>
                  </w:r>
                </w:p>
              </w:tc>
              <w:tc>
                <w:tcPr>
                  <w:tcW w:w="1196" w:type="dxa"/>
                  <w:tcBorders>
                    <w:tl2br w:val="nil"/>
                    <w:tr2bl w:val="nil"/>
                  </w:tcBorders>
                  <w:vAlign w:val="center"/>
                </w:tcPr>
                <w:p w14:paraId="72D1AE69">
                  <w:pPr>
                    <w:spacing w:line="360" w:lineRule="exact"/>
                    <w:jc w:val="center"/>
                    <w:textAlignment w:val="baseline"/>
                    <w:rPr>
                      <w:rFonts w:hint="eastAsia"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color w:val="auto"/>
                      <w:szCs w:val="21"/>
                      <w:highlight w:val="none"/>
                    </w:rPr>
                    <w:t>NH</w:t>
                  </w:r>
                  <w:r>
                    <w:rPr>
                      <w:rFonts w:hint="default" w:ascii="Times New Roman" w:hAnsi="Times New Roman" w:eastAsia="宋体" w:cs="Times New Roman"/>
                      <w:color w:val="auto"/>
                      <w:szCs w:val="21"/>
                      <w:highlight w:val="none"/>
                      <w:vertAlign w:val="subscript"/>
                    </w:rPr>
                    <w:t>3</w:t>
                  </w:r>
                </w:p>
              </w:tc>
              <w:tc>
                <w:tcPr>
                  <w:tcW w:w="1494" w:type="dxa"/>
                  <w:tcBorders>
                    <w:tl2br w:val="nil"/>
                    <w:tr2bl w:val="nil"/>
                  </w:tcBorders>
                  <w:vAlign w:val="center"/>
                </w:tcPr>
                <w:p w14:paraId="517D71C3">
                  <w:pPr>
                    <w:jc w:val="center"/>
                    <w:rPr>
                      <w:rFonts w:hint="default" w:cs="Times New Roman"/>
                      <w:b w:val="0"/>
                      <w:bCs w:val="0"/>
                      <w:color w:val="auto"/>
                      <w:szCs w:val="21"/>
                      <w:highlight w:val="none"/>
                      <w:lang w:val="en-US" w:eastAsia="zh-CN"/>
                    </w:rPr>
                  </w:pPr>
                  <w:r>
                    <w:rPr>
                      <w:rFonts w:hint="eastAsia" w:cs="Times New Roman"/>
                      <w:color w:val="auto"/>
                      <w:szCs w:val="21"/>
                      <w:highlight w:val="none"/>
                      <w:lang w:val="en-US" w:eastAsia="zh-CN" w:bidi="ar"/>
                    </w:rPr>
                    <w:t>2.72kg/h</w:t>
                  </w:r>
                </w:p>
              </w:tc>
              <w:tc>
                <w:tcPr>
                  <w:tcW w:w="2597" w:type="dxa"/>
                  <w:vMerge w:val="restart"/>
                  <w:tcBorders>
                    <w:tl2br w:val="nil"/>
                    <w:tr2bl w:val="nil"/>
                  </w:tcBorders>
                  <w:vAlign w:val="center"/>
                </w:tcPr>
                <w:p w14:paraId="18E013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《恶臭污染物排放标准》（GB14554-93）</w:t>
                  </w:r>
                  <w:r>
                    <w:rPr>
                      <w:rFonts w:hint="eastAsia" w:cs="Times New Roman"/>
                      <w:bCs/>
                      <w:color w:val="auto"/>
                      <w:sz w:val="21"/>
                      <w:szCs w:val="21"/>
                      <w:highlight w:val="none"/>
                      <w:lang w:val="en-US" w:eastAsia="zh-CN"/>
                    </w:rPr>
                    <w:t>二级标准</w:t>
                  </w:r>
                </w:p>
              </w:tc>
              <w:tc>
                <w:tcPr>
                  <w:tcW w:w="1497" w:type="dxa"/>
                  <w:tcBorders>
                    <w:tl2br w:val="nil"/>
                    <w:tr2bl w:val="nil"/>
                  </w:tcBorders>
                  <w:vAlign w:val="center"/>
                </w:tcPr>
                <w:p w14:paraId="6D00DFF6">
                  <w:pPr>
                    <w:spacing w:line="360" w:lineRule="exact"/>
                    <w:jc w:val="center"/>
                    <w:textAlignment w:val="baseline"/>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4.9kg/h</w:t>
                  </w:r>
                </w:p>
              </w:tc>
              <w:tc>
                <w:tcPr>
                  <w:tcW w:w="768" w:type="dxa"/>
                  <w:tcBorders>
                    <w:tl2br w:val="nil"/>
                    <w:tr2bl w:val="nil"/>
                  </w:tcBorders>
                  <w:vAlign w:val="center"/>
                </w:tcPr>
                <w:p w14:paraId="79F2E100">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达标</w:t>
                  </w:r>
                </w:p>
              </w:tc>
            </w:tr>
            <w:tr w14:paraId="28F13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025" w:type="dxa"/>
                  <w:vMerge w:val="continue"/>
                  <w:tcBorders>
                    <w:tl2br w:val="nil"/>
                    <w:tr2bl w:val="nil"/>
                  </w:tcBorders>
                  <w:vAlign w:val="center"/>
                </w:tcPr>
                <w:p w14:paraId="4CC740D4">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kern w:val="0"/>
                      <w:sz w:val="21"/>
                      <w:szCs w:val="21"/>
                      <w:highlight w:val="none"/>
                      <w:vertAlign w:val="baseline"/>
                      <w:lang w:val="en-US" w:eastAsia="zh-CN"/>
                    </w:rPr>
                  </w:pPr>
                </w:p>
              </w:tc>
              <w:tc>
                <w:tcPr>
                  <w:tcW w:w="1196" w:type="dxa"/>
                  <w:tcBorders>
                    <w:tl2br w:val="nil"/>
                    <w:tr2bl w:val="nil"/>
                  </w:tcBorders>
                  <w:vAlign w:val="center"/>
                </w:tcPr>
                <w:p w14:paraId="2F5A89D7">
                  <w:pPr>
                    <w:spacing w:line="360" w:lineRule="exact"/>
                    <w:jc w:val="center"/>
                    <w:textAlignment w:val="baseline"/>
                    <w:rPr>
                      <w:rFonts w:hint="eastAsia"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S</w:t>
                  </w:r>
                </w:p>
              </w:tc>
              <w:tc>
                <w:tcPr>
                  <w:tcW w:w="1494" w:type="dxa"/>
                  <w:tcBorders>
                    <w:tl2br w:val="nil"/>
                    <w:tr2bl w:val="nil"/>
                  </w:tcBorders>
                  <w:vAlign w:val="center"/>
                </w:tcPr>
                <w:p w14:paraId="2BF35AF9">
                  <w:pPr>
                    <w:jc w:val="center"/>
                    <w:rPr>
                      <w:rFonts w:hint="default" w:cs="Times New Roman"/>
                      <w:b w:val="0"/>
                      <w:bCs w:val="0"/>
                      <w:color w:val="auto"/>
                      <w:szCs w:val="21"/>
                      <w:highlight w:val="none"/>
                      <w:lang w:val="en-US" w:eastAsia="zh-CN"/>
                    </w:rPr>
                  </w:pPr>
                  <w:r>
                    <w:rPr>
                      <w:rFonts w:hint="eastAsia" w:cs="Times New Roman"/>
                      <w:color w:val="auto"/>
                      <w:szCs w:val="21"/>
                      <w:highlight w:val="none"/>
                      <w:lang w:val="en-US" w:eastAsia="zh-CN" w:bidi="ar"/>
                    </w:rPr>
                    <w:t>0.19kg/h</w:t>
                  </w:r>
                </w:p>
              </w:tc>
              <w:tc>
                <w:tcPr>
                  <w:tcW w:w="2597" w:type="dxa"/>
                  <w:vMerge w:val="continue"/>
                  <w:tcBorders>
                    <w:tl2br w:val="nil"/>
                    <w:tr2bl w:val="nil"/>
                  </w:tcBorders>
                  <w:shd w:val="clear" w:color="auto" w:fill="auto"/>
                  <w:vAlign w:val="center"/>
                </w:tcPr>
                <w:p w14:paraId="26D400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497" w:type="dxa"/>
                  <w:tcBorders>
                    <w:tl2br w:val="nil"/>
                    <w:tr2bl w:val="nil"/>
                  </w:tcBorders>
                  <w:shd w:val="clear" w:color="auto" w:fill="auto"/>
                  <w:vAlign w:val="center"/>
                </w:tcPr>
                <w:p w14:paraId="4EE84B90">
                  <w:pPr>
                    <w:spacing w:line="36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Cs w:val="21"/>
                      <w:highlight w:val="none"/>
                      <w:lang w:val="en-US" w:eastAsia="zh-CN"/>
                    </w:rPr>
                    <w:t>0.33kg/h</w:t>
                  </w:r>
                </w:p>
              </w:tc>
              <w:tc>
                <w:tcPr>
                  <w:tcW w:w="768" w:type="dxa"/>
                  <w:tcBorders>
                    <w:tl2br w:val="nil"/>
                    <w:tr2bl w:val="nil"/>
                  </w:tcBorders>
                  <w:vAlign w:val="center"/>
                </w:tcPr>
                <w:p w14:paraId="0679EE60">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达标</w:t>
                  </w:r>
                </w:p>
              </w:tc>
            </w:tr>
          </w:tbl>
          <w:p w14:paraId="509806A9">
            <w:pPr>
              <w:pStyle w:val="100"/>
              <w:keepNext w:val="0"/>
              <w:keepLines w:val="0"/>
              <w:pageBreakBefore w:val="0"/>
              <w:kinsoku/>
              <w:wordWrap/>
              <w:overflowPunct/>
              <w:topLinePunct w:val="0"/>
              <w:autoSpaceDE/>
              <w:autoSpaceDN/>
              <w:bidi w:val="0"/>
              <w:snapToGrid/>
              <w:spacing w:line="440" w:lineRule="exact"/>
              <w:ind w:firstLineChars="0"/>
              <w:rPr>
                <w:rFonts w:hint="default" w:ascii="Times New Roman" w:hAnsi="Times New Roman" w:cs="Times New Roman"/>
                <w:color w:val="auto"/>
                <w:highlight w:val="none"/>
              </w:rPr>
            </w:pPr>
            <w:r>
              <w:rPr>
                <w:rFonts w:hint="eastAsia" w:cs="Times New Roman"/>
                <w:color w:val="auto"/>
                <w:highlight w:val="none"/>
                <w:lang w:val="en-US" w:eastAsia="zh-CN"/>
              </w:rPr>
              <w:t>综上</w:t>
            </w:r>
            <w:r>
              <w:rPr>
                <w:rFonts w:hint="default" w:ascii="Times New Roman" w:hAnsi="Times New Roman" w:cs="Times New Roman"/>
                <w:color w:val="auto"/>
                <w:highlight w:val="none"/>
              </w:rPr>
              <w:t>分析，本项目颗粒物</w:t>
            </w:r>
            <w:r>
              <w:rPr>
                <w:rFonts w:hint="eastAsia" w:cs="Times New Roman"/>
                <w:color w:val="auto"/>
                <w:highlight w:val="none"/>
                <w:lang w:val="en-US" w:eastAsia="zh-CN"/>
              </w:rPr>
              <w:t>符合</w:t>
            </w:r>
            <w:r>
              <w:rPr>
                <w:rFonts w:hint="default" w:ascii="Times New Roman" w:hAnsi="Times New Roman" w:cs="Times New Roman"/>
                <w:color w:val="auto"/>
                <w:highlight w:val="none"/>
              </w:rPr>
              <w:t>《大气污染物综合排放标准》（GB16297-1996）表2中二级标准</w:t>
            </w:r>
            <w:r>
              <w:rPr>
                <w:rFonts w:hint="eastAsia" w:cs="Times New Roman"/>
                <w:color w:val="auto"/>
                <w:highlight w:val="none"/>
                <w:lang w:val="en-US" w:eastAsia="zh-CN"/>
              </w:rPr>
              <w:t>限值</w:t>
            </w:r>
            <w:r>
              <w:rPr>
                <w:rFonts w:hint="default" w:ascii="Times New Roman" w:hAnsi="Times New Roman" w:cs="Times New Roman"/>
                <w:color w:val="auto"/>
                <w:highlight w:val="none"/>
              </w:rPr>
              <w:t>；</w:t>
            </w:r>
            <w:r>
              <w:rPr>
                <w:rFonts w:hint="eastAsia" w:cs="Times New Roman"/>
                <w:color w:val="auto"/>
                <w:highlight w:val="none"/>
                <w:lang w:val="en-US" w:eastAsia="zh-CN"/>
              </w:rPr>
              <w:t>一期工程发酵、熟化工序</w:t>
            </w:r>
            <w:r>
              <w:rPr>
                <w:rFonts w:hint="default" w:ascii="Times New Roman" w:hAnsi="Times New Roman" w:cs="Times New Roman"/>
                <w:color w:val="auto"/>
                <w:highlight w:val="none"/>
              </w:rPr>
              <w:t>中产生的</w:t>
            </w: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S排放均能满足</w:t>
            </w:r>
            <w:r>
              <w:rPr>
                <w:rFonts w:hint="default" w:ascii="Times New Roman" w:hAnsi="Times New Roman" w:cs="Times New Roman"/>
                <w:color w:val="auto"/>
                <w:highlight w:val="none"/>
              </w:rPr>
              <w:t>《恶臭污染物排放标准》（GB14554-93）二级标准。</w:t>
            </w:r>
          </w:p>
          <w:p w14:paraId="7CF686EF">
            <w:pPr>
              <w:pStyle w:val="97"/>
              <w:keepNext w:val="0"/>
              <w:keepLines w:val="0"/>
              <w:pageBreakBefore w:val="0"/>
              <w:kinsoku/>
              <w:wordWrap/>
              <w:overflowPunct/>
              <w:topLinePunct w:val="0"/>
              <w:autoSpaceDE/>
              <w:autoSpaceDN/>
              <w:bidi w:val="0"/>
              <w:snapToGrid/>
              <w:spacing w:line="440" w:lineRule="exact"/>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非正常工况排放情况</w:t>
            </w:r>
          </w:p>
          <w:p w14:paraId="166B84A6">
            <w:pPr>
              <w:pStyle w:val="108"/>
              <w:keepNext w:val="0"/>
              <w:keepLines w:val="0"/>
              <w:pageBreakBefore w:val="0"/>
              <w:kinsoku/>
              <w:wordWrap/>
              <w:overflowPunct/>
              <w:topLinePunct w:val="0"/>
              <w:autoSpaceDE/>
              <w:autoSpaceDN/>
              <w:bidi w:val="0"/>
              <w:snapToGrid/>
              <w:spacing w:line="440" w:lineRule="exact"/>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非正常排放情况下需考虑生产设施开停炉</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机</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等非正常情况的污染源，对于同1种污染物，有多套废气处理设施，非正常排放情景仅考虑其中1套处理设施非正常排放；本项目考虑有组织废气治理设施生故障等情况下，本项目废气排放对环境的影响和措施。</w:t>
            </w:r>
          </w:p>
          <w:p w14:paraId="744E99B6">
            <w:pPr>
              <w:pStyle w:val="108"/>
              <w:keepNext w:val="0"/>
              <w:keepLines w:val="0"/>
              <w:pageBreakBefore w:val="0"/>
              <w:kinsoku/>
              <w:wordWrap/>
              <w:overflowPunct/>
              <w:topLinePunct w:val="0"/>
              <w:autoSpaceDE/>
              <w:autoSpaceDN/>
              <w:bidi w:val="0"/>
              <w:snapToGrid/>
              <w:spacing w:line="440" w:lineRule="exact"/>
              <w:ind w:firstLine="480" w:firstLineChars="200"/>
              <w:rPr>
                <w:rFonts w:hint="default" w:ascii="Times New Roman" w:hAnsi="Times New Roman" w:cs="Times New Roman"/>
                <w:bCs/>
                <w:color w:val="auto"/>
                <w:highlight w:val="none"/>
              </w:rPr>
            </w:pPr>
            <w:r>
              <w:rPr>
                <w:rFonts w:hint="default" w:ascii="Times New Roman" w:hAnsi="Times New Roman" w:cs="Times New Roman"/>
                <w:color w:val="auto"/>
                <w:szCs w:val="24"/>
                <w:highlight w:val="none"/>
              </w:rPr>
              <w:t>非正常排放原因主要是</w:t>
            </w:r>
            <w:r>
              <w:rPr>
                <w:rFonts w:hint="default" w:ascii="Times New Roman" w:hAnsi="Times New Roman" w:cs="Times New Roman"/>
                <w:bCs/>
                <w:color w:val="auto"/>
                <w:highlight w:val="none"/>
              </w:rPr>
              <w:t>污染治理设施运行异常等情况时，导致治理设施未达到正常水平，污染物没有得到有效治理，会导致短时间内的污染物排放量增加。当发生废气非正常工况排放时</w:t>
            </w:r>
            <w:r>
              <w:rPr>
                <w:rFonts w:hint="default" w:ascii="Times New Roman" w:hAnsi="Times New Roman" w:cs="Times New Roman"/>
                <w:color w:val="auto"/>
                <w:szCs w:val="24"/>
                <w:highlight w:val="none"/>
              </w:rPr>
              <w:t>，废气处理设施或风机出现故障时，立即停止生产并快速检修。</w:t>
            </w:r>
            <w:r>
              <w:rPr>
                <w:rFonts w:hint="default" w:ascii="Times New Roman" w:hAnsi="Times New Roman" w:cs="Times New Roman"/>
                <w:bCs/>
                <w:color w:val="auto"/>
                <w:highlight w:val="none"/>
              </w:rPr>
              <w:t>根据建设单位提供资料，项目每年可能出现的非正常运行次数约为</w:t>
            </w:r>
            <w:r>
              <w:rPr>
                <w:rFonts w:hint="eastAsia" w:cs="Times New Roman"/>
                <w:bCs/>
                <w:color w:val="auto"/>
                <w:highlight w:val="none"/>
                <w:lang w:val="en-US" w:eastAsia="zh-CN"/>
              </w:rPr>
              <w:t>1</w:t>
            </w:r>
            <w:r>
              <w:rPr>
                <w:rFonts w:hint="default" w:ascii="Times New Roman" w:hAnsi="Times New Roman" w:cs="Times New Roman"/>
                <w:bCs/>
                <w:color w:val="auto"/>
                <w:highlight w:val="none"/>
              </w:rPr>
              <w:t>次，每次持续时间约1小时，考虑污染防治设施完全失效，处理效率为0的情况，非正常排放情况见表4-</w:t>
            </w:r>
            <w:r>
              <w:rPr>
                <w:rFonts w:hint="eastAsia" w:cs="Times New Roman"/>
                <w:bCs/>
                <w:color w:val="auto"/>
                <w:highlight w:val="none"/>
                <w:lang w:val="en-US" w:eastAsia="zh-CN"/>
              </w:rPr>
              <w:t>6</w:t>
            </w:r>
            <w:r>
              <w:rPr>
                <w:rFonts w:hint="default" w:ascii="Times New Roman" w:hAnsi="Times New Roman" w:cs="Times New Roman"/>
                <w:bCs/>
                <w:color w:val="auto"/>
                <w:highlight w:val="none"/>
              </w:rPr>
              <w:t>。</w:t>
            </w:r>
          </w:p>
          <w:p w14:paraId="7495A286">
            <w:pPr>
              <w:pStyle w:val="108"/>
              <w:keepNext w:val="0"/>
              <w:keepLines w:val="0"/>
              <w:pageBreakBefore w:val="0"/>
              <w:kinsoku/>
              <w:wordWrap/>
              <w:overflowPunct/>
              <w:topLinePunct w:val="0"/>
              <w:autoSpaceDE/>
              <w:autoSpaceDN/>
              <w:bidi w:val="0"/>
              <w:snapToGrid/>
              <w:spacing w:line="440" w:lineRule="exact"/>
              <w:ind w:firstLine="0"/>
              <w:jc w:val="center"/>
              <w:rPr>
                <w:rFonts w:hint="default" w:ascii="Times New Roman" w:hAnsi="Times New Roman" w:cs="Times New Roman"/>
                <w:bCs/>
                <w:color w:val="auto"/>
                <w:sz w:val="24"/>
                <w:szCs w:val="24"/>
                <w:highlight w:val="none"/>
              </w:rPr>
            </w:pPr>
            <w:r>
              <w:rPr>
                <w:rFonts w:hint="default" w:ascii="Times New Roman" w:hAnsi="Times New Roman" w:cs="Times New Roman"/>
                <w:b/>
                <w:color w:val="auto"/>
                <w:sz w:val="24"/>
                <w:szCs w:val="24"/>
                <w:highlight w:val="none"/>
              </w:rPr>
              <w:t>表4-</w:t>
            </w:r>
            <w:r>
              <w:rPr>
                <w:rFonts w:hint="eastAsia"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 xml:space="preserve">  非正常情况下废气污染物排放情况</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488"/>
              <w:gridCol w:w="912"/>
              <w:gridCol w:w="1154"/>
              <w:gridCol w:w="939"/>
              <w:gridCol w:w="1131"/>
              <w:gridCol w:w="1149"/>
              <w:gridCol w:w="771"/>
            </w:tblGrid>
            <w:tr w14:paraId="7E8D4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7" w:type="dxa"/>
                  <w:tcBorders>
                    <w:tl2br w:val="nil"/>
                    <w:tr2bl w:val="nil"/>
                  </w:tcBorders>
                  <w:noWrap w:val="0"/>
                  <w:vAlign w:val="center"/>
                </w:tcPr>
                <w:p w14:paraId="0AFE3307">
                  <w:pPr>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生产</w:t>
                  </w:r>
                </w:p>
                <w:p w14:paraId="096A3063">
                  <w:pPr>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单元</w:t>
                  </w:r>
                </w:p>
              </w:tc>
              <w:tc>
                <w:tcPr>
                  <w:tcW w:w="1488" w:type="dxa"/>
                  <w:tcBorders>
                    <w:tl2br w:val="nil"/>
                    <w:tr2bl w:val="nil"/>
                  </w:tcBorders>
                  <w:noWrap w:val="0"/>
                  <w:vAlign w:val="center"/>
                </w:tcPr>
                <w:p w14:paraId="04186DBB">
                  <w:pPr>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治理设施</w:t>
                  </w:r>
                </w:p>
              </w:tc>
              <w:tc>
                <w:tcPr>
                  <w:tcW w:w="912" w:type="dxa"/>
                  <w:tcBorders>
                    <w:tl2br w:val="nil"/>
                    <w:tr2bl w:val="nil"/>
                  </w:tcBorders>
                  <w:noWrap w:val="0"/>
                  <w:vAlign w:val="center"/>
                </w:tcPr>
                <w:p w14:paraId="4EA45137">
                  <w:pPr>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频次</w:t>
                  </w:r>
                </w:p>
              </w:tc>
              <w:tc>
                <w:tcPr>
                  <w:tcW w:w="1154" w:type="dxa"/>
                  <w:tcBorders>
                    <w:tl2br w:val="nil"/>
                    <w:tr2bl w:val="nil"/>
                  </w:tcBorders>
                  <w:noWrap w:val="0"/>
                  <w:vAlign w:val="center"/>
                </w:tcPr>
                <w:p w14:paraId="73A040CB">
                  <w:pPr>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持续</w:t>
                  </w:r>
                </w:p>
                <w:p w14:paraId="4931667A">
                  <w:pPr>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时间</w:t>
                  </w:r>
                </w:p>
              </w:tc>
              <w:tc>
                <w:tcPr>
                  <w:tcW w:w="939" w:type="dxa"/>
                  <w:tcBorders>
                    <w:tl2br w:val="nil"/>
                    <w:tr2bl w:val="nil"/>
                  </w:tcBorders>
                  <w:noWrap w:val="0"/>
                  <w:vAlign w:val="center"/>
                </w:tcPr>
                <w:p w14:paraId="0EE09F49">
                  <w:pPr>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污染物</w:t>
                  </w:r>
                </w:p>
              </w:tc>
              <w:tc>
                <w:tcPr>
                  <w:tcW w:w="1131" w:type="dxa"/>
                  <w:tcBorders>
                    <w:tl2br w:val="nil"/>
                    <w:tr2bl w:val="nil"/>
                  </w:tcBorders>
                  <w:noWrap w:val="0"/>
                  <w:vAlign w:val="center"/>
                </w:tcPr>
                <w:p w14:paraId="6899C9B6">
                  <w:pPr>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排放浓度mg/m</w:t>
                  </w:r>
                  <w:r>
                    <w:rPr>
                      <w:rFonts w:hint="default" w:ascii="Times New Roman" w:hAnsi="Times New Roman" w:cs="Times New Roman"/>
                      <w:b/>
                      <w:bCs w:val="0"/>
                      <w:color w:val="auto"/>
                      <w:szCs w:val="21"/>
                      <w:highlight w:val="none"/>
                      <w:vertAlign w:val="superscript"/>
                    </w:rPr>
                    <w:t>3</w:t>
                  </w:r>
                </w:p>
              </w:tc>
              <w:tc>
                <w:tcPr>
                  <w:tcW w:w="1149" w:type="dxa"/>
                  <w:tcBorders>
                    <w:tl2br w:val="nil"/>
                    <w:tr2bl w:val="nil"/>
                  </w:tcBorders>
                  <w:noWrap w:val="0"/>
                  <w:vAlign w:val="center"/>
                </w:tcPr>
                <w:p w14:paraId="52C2C252">
                  <w:pPr>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排放量kg/60min</w:t>
                  </w:r>
                </w:p>
              </w:tc>
              <w:tc>
                <w:tcPr>
                  <w:tcW w:w="771" w:type="dxa"/>
                  <w:tcBorders>
                    <w:tl2br w:val="nil"/>
                    <w:tr2bl w:val="nil"/>
                  </w:tcBorders>
                  <w:noWrap w:val="0"/>
                  <w:vAlign w:val="center"/>
                </w:tcPr>
                <w:p w14:paraId="678F05BE">
                  <w:pPr>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处置措施</w:t>
                  </w:r>
                </w:p>
              </w:tc>
            </w:tr>
            <w:tr w14:paraId="071F1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77" w:type="dxa"/>
                  <w:tcBorders>
                    <w:tl2br w:val="nil"/>
                    <w:tr2bl w:val="nil"/>
                  </w:tcBorders>
                  <w:noWrap w:val="0"/>
                  <w:vAlign w:val="center"/>
                </w:tcPr>
                <w:p w14:paraId="2D6940C7">
                  <w:pPr>
                    <w:pStyle w:val="103"/>
                    <w:ind w:firstLine="0" w:firstLineChars="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粉碎、筛分、制粒、包装</w:t>
                  </w:r>
                </w:p>
              </w:tc>
              <w:tc>
                <w:tcPr>
                  <w:tcW w:w="1488" w:type="dxa"/>
                  <w:tcBorders>
                    <w:tl2br w:val="nil"/>
                    <w:tr2bl w:val="nil"/>
                  </w:tcBorders>
                  <w:noWrap w:val="0"/>
                  <w:vAlign w:val="center"/>
                </w:tcPr>
                <w:p w14:paraId="6DDB095D">
                  <w:pPr>
                    <w:adjustRightInd w:val="0"/>
                    <w:snapToGrid w:val="0"/>
                    <w:jc w:val="center"/>
                    <w:rPr>
                      <w:rFonts w:hint="default" w:ascii="Times New Roman" w:hAnsi="Times New Roman" w:cs="Times New Roman"/>
                      <w:bCs/>
                      <w:color w:val="auto"/>
                      <w:szCs w:val="21"/>
                      <w:highlight w:val="none"/>
                      <w:lang w:val="en-US"/>
                    </w:rPr>
                  </w:pPr>
                  <w:r>
                    <w:rPr>
                      <w:rFonts w:hint="eastAsia" w:cs="Times New Roman"/>
                      <w:color w:val="auto"/>
                      <w:szCs w:val="21"/>
                      <w:highlight w:val="none"/>
                      <w:lang w:val="en-US" w:eastAsia="zh-CN"/>
                    </w:rPr>
                    <w:t>集气罩+布袋除尘器</w:t>
                  </w:r>
                </w:p>
              </w:tc>
              <w:tc>
                <w:tcPr>
                  <w:tcW w:w="912" w:type="dxa"/>
                  <w:tcBorders>
                    <w:tl2br w:val="nil"/>
                    <w:tr2bl w:val="nil"/>
                  </w:tcBorders>
                  <w:noWrap w:val="0"/>
                  <w:vAlign w:val="center"/>
                </w:tcPr>
                <w:p w14:paraId="28D02009">
                  <w:pPr>
                    <w:jc w:val="center"/>
                    <w:rPr>
                      <w:rFonts w:hint="default" w:ascii="Times New Roman" w:hAnsi="Times New Roman" w:cs="Times New Roman"/>
                      <w:bCs/>
                      <w:color w:val="auto"/>
                      <w:szCs w:val="21"/>
                      <w:highlight w:val="none"/>
                    </w:rPr>
                  </w:pPr>
                  <w:r>
                    <w:rPr>
                      <w:rFonts w:hint="eastAsia" w:cs="Times New Roman"/>
                      <w:bCs/>
                      <w:color w:val="auto"/>
                      <w:szCs w:val="21"/>
                      <w:highlight w:val="none"/>
                      <w:lang w:val="en-US" w:eastAsia="zh-CN"/>
                    </w:rPr>
                    <w:t>1</w:t>
                  </w:r>
                  <w:r>
                    <w:rPr>
                      <w:rFonts w:hint="default" w:ascii="Times New Roman" w:hAnsi="Times New Roman" w:cs="Times New Roman"/>
                      <w:bCs/>
                      <w:color w:val="auto"/>
                      <w:szCs w:val="21"/>
                      <w:highlight w:val="none"/>
                    </w:rPr>
                    <w:t>次/年</w:t>
                  </w:r>
                </w:p>
              </w:tc>
              <w:tc>
                <w:tcPr>
                  <w:tcW w:w="1154" w:type="dxa"/>
                  <w:tcBorders>
                    <w:tl2br w:val="nil"/>
                    <w:tr2bl w:val="nil"/>
                  </w:tcBorders>
                  <w:noWrap w:val="0"/>
                  <w:vAlign w:val="center"/>
                </w:tcPr>
                <w:p w14:paraId="2D216F3F">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1h/次</w:t>
                  </w:r>
                </w:p>
              </w:tc>
              <w:tc>
                <w:tcPr>
                  <w:tcW w:w="939" w:type="dxa"/>
                  <w:tcBorders>
                    <w:tl2br w:val="nil"/>
                    <w:tr2bl w:val="nil"/>
                  </w:tcBorders>
                  <w:noWrap w:val="0"/>
                  <w:vAlign w:val="center"/>
                </w:tcPr>
                <w:p w14:paraId="4E9DFB1B">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颗粒物</w:t>
                  </w:r>
                </w:p>
              </w:tc>
              <w:tc>
                <w:tcPr>
                  <w:tcW w:w="1131" w:type="dxa"/>
                  <w:tcBorders>
                    <w:tl2br w:val="nil"/>
                    <w:tr2bl w:val="nil"/>
                  </w:tcBorders>
                  <w:noWrap w:val="0"/>
                  <w:vAlign w:val="center"/>
                </w:tcPr>
                <w:p w14:paraId="70E3BF52">
                  <w:pPr>
                    <w:jc w:val="center"/>
                    <w:rPr>
                      <w:rFonts w:hint="default" w:ascii="Times New Roman" w:hAnsi="Times New Roman" w:eastAsia="宋体" w:cs="Times New Roman"/>
                      <w:color w:val="auto"/>
                      <w:szCs w:val="21"/>
                      <w:highlight w:val="none"/>
                      <w:lang w:val="en-US" w:eastAsia="zh-CN" w:bidi="ar"/>
                    </w:rPr>
                  </w:pPr>
                  <w:r>
                    <w:rPr>
                      <w:rFonts w:hint="eastAsia" w:cs="Times New Roman"/>
                      <w:color w:val="auto"/>
                      <w:szCs w:val="21"/>
                      <w:highlight w:val="none"/>
                      <w:lang w:val="en-US" w:eastAsia="zh-CN" w:bidi="ar"/>
                    </w:rPr>
                    <w:t>3700</w:t>
                  </w:r>
                </w:p>
              </w:tc>
              <w:tc>
                <w:tcPr>
                  <w:tcW w:w="1149" w:type="dxa"/>
                  <w:tcBorders>
                    <w:tl2br w:val="nil"/>
                    <w:tr2bl w:val="nil"/>
                  </w:tcBorders>
                  <w:noWrap w:val="0"/>
                  <w:vAlign w:val="center"/>
                </w:tcPr>
                <w:p w14:paraId="2B64162F">
                  <w:pPr>
                    <w:widowControl/>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37</w:t>
                  </w:r>
                </w:p>
              </w:tc>
              <w:tc>
                <w:tcPr>
                  <w:tcW w:w="771" w:type="dxa"/>
                  <w:vMerge w:val="restart"/>
                  <w:tcBorders>
                    <w:tl2br w:val="nil"/>
                    <w:tr2bl w:val="nil"/>
                  </w:tcBorders>
                  <w:noWrap w:val="0"/>
                  <w:vAlign w:val="center"/>
                </w:tcPr>
                <w:p w14:paraId="484945F2">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立即停止生产进行检修</w:t>
                  </w:r>
                </w:p>
              </w:tc>
            </w:tr>
            <w:tr w14:paraId="3D69B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5" w:hRule="atLeast"/>
                <w:jc w:val="center"/>
              </w:trPr>
              <w:tc>
                <w:tcPr>
                  <w:tcW w:w="1077" w:type="dxa"/>
                  <w:vMerge w:val="restart"/>
                  <w:tcBorders>
                    <w:tl2br w:val="nil"/>
                    <w:tr2bl w:val="nil"/>
                  </w:tcBorders>
                  <w:noWrap w:val="0"/>
                  <w:vAlign w:val="center"/>
                </w:tcPr>
                <w:p w14:paraId="44ED64D0">
                  <w:pPr>
                    <w:pStyle w:val="103"/>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发酵、熟化</w:t>
                  </w:r>
                </w:p>
              </w:tc>
              <w:tc>
                <w:tcPr>
                  <w:tcW w:w="1488" w:type="dxa"/>
                  <w:vMerge w:val="restart"/>
                  <w:tcBorders>
                    <w:tl2br w:val="nil"/>
                    <w:tr2bl w:val="nil"/>
                  </w:tcBorders>
                  <w:noWrap w:val="0"/>
                  <w:vAlign w:val="center"/>
                </w:tcPr>
                <w:p w14:paraId="69F1208B">
                  <w:pPr>
                    <w:jc w:val="center"/>
                    <w:rPr>
                      <w:rFonts w:hint="default" w:ascii="Times New Roman" w:hAnsi="Times New Roman" w:cs="Times New Roman"/>
                      <w:color w:val="auto"/>
                      <w:kern w:val="0"/>
                      <w:szCs w:val="21"/>
                      <w:highlight w:val="none"/>
                    </w:rPr>
                  </w:pPr>
                  <w:r>
                    <w:rPr>
                      <w:rFonts w:hint="eastAsia" w:cs="Times New Roman"/>
                      <w:color w:val="auto"/>
                      <w:szCs w:val="21"/>
                      <w:highlight w:val="none"/>
                      <w:lang w:val="en-US" w:eastAsia="zh-CN"/>
                    </w:rPr>
                    <w:t>集气罩+二级活性炭吸附+水洗塔装置</w:t>
                  </w:r>
                </w:p>
              </w:tc>
              <w:tc>
                <w:tcPr>
                  <w:tcW w:w="912" w:type="dxa"/>
                  <w:tcBorders>
                    <w:tl2br w:val="nil"/>
                    <w:tr2bl w:val="nil"/>
                  </w:tcBorders>
                  <w:noWrap w:val="0"/>
                  <w:vAlign w:val="center"/>
                </w:tcPr>
                <w:p w14:paraId="03BA3601">
                  <w:pPr>
                    <w:jc w:val="center"/>
                    <w:rPr>
                      <w:rFonts w:hint="default" w:ascii="Times New Roman" w:hAnsi="Times New Roman" w:cs="Times New Roman"/>
                      <w:bCs/>
                      <w:color w:val="auto"/>
                      <w:szCs w:val="21"/>
                      <w:highlight w:val="none"/>
                    </w:rPr>
                  </w:pPr>
                  <w:r>
                    <w:rPr>
                      <w:rFonts w:hint="eastAsia" w:cs="Times New Roman"/>
                      <w:bCs/>
                      <w:color w:val="auto"/>
                      <w:szCs w:val="21"/>
                      <w:highlight w:val="none"/>
                      <w:lang w:val="en-US" w:eastAsia="zh-CN"/>
                    </w:rPr>
                    <w:t>1</w:t>
                  </w:r>
                  <w:r>
                    <w:rPr>
                      <w:rFonts w:hint="default" w:ascii="Times New Roman" w:hAnsi="Times New Roman" w:cs="Times New Roman"/>
                      <w:bCs/>
                      <w:color w:val="auto"/>
                      <w:szCs w:val="21"/>
                      <w:highlight w:val="none"/>
                    </w:rPr>
                    <w:t>次/年</w:t>
                  </w:r>
                </w:p>
              </w:tc>
              <w:tc>
                <w:tcPr>
                  <w:tcW w:w="1154" w:type="dxa"/>
                  <w:tcBorders>
                    <w:tl2br w:val="nil"/>
                    <w:tr2bl w:val="nil"/>
                  </w:tcBorders>
                  <w:noWrap w:val="0"/>
                  <w:vAlign w:val="center"/>
                </w:tcPr>
                <w:p w14:paraId="69142494">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1h/次</w:t>
                  </w:r>
                </w:p>
              </w:tc>
              <w:tc>
                <w:tcPr>
                  <w:tcW w:w="939" w:type="dxa"/>
                  <w:tcBorders>
                    <w:tl2br w:val="nil"/>
                    <w:tr2bl w:val="nil"/>
                  </w:tcBorders>
                  <w:noWrap w:val="0"/>
                  <w:vAlign w:val="center"/>
                </w:tcPr>
                <w:p w14:paraId="6FA6FF76">
                  <w:pPr>
                    <w:spacing w:line="360" w:lineRule="exact"/>
                    <w:jc w:val="center"/>
                    <w:textAlignment w:val="baseline"/>
                    <w:rPr>
                      <w:rFonts w:hint="default" w:ascii="Times New Roman" w:hAnsi="Times New Roman" w:cs="Times New Roman"/>
                      <w:bCs/>
                      <w:color w:val="auto"/>
                      <w:szCs w:val="21"/>
                      <w:highlight w:val="none"/>
                    </w:rPr>
                  </w:pPr>
                  <w:r>
                    <w:rPr>
                      <w:rFonts w:hint="default" w:ascii="Times New Roman" w:hAnsi="Times New Roman" w:eastAsia="宋体" w:cs="Times New Roman"/>
                      <w:color w:val="auto"/>
                      <w:szCs w:val="21"/>
                      <w:highlight w:val="none"/>
                    </w:rPr>
                    <w:t>NH</w:t>
                  </w:r>
                  <w:r>
                    <w:rPr>
                      <w:rFonts w:hint="default" w:ascii="Times New Roman" w:hAnsi="Times New Roman" w:eastAsia="宋体" w:cs="Times New Roman"/>
                      <w:color w:val="auto"/>
                      <w:szCs w:val="21"/>
                      <w:highlight w:val="none"/>
                      <w:vertAlign w:val="subscript"/>
                    </w:rPr>
                    <w:t>3</w:t>
                  </w:r>
                </w:p>
              </w:tc>
              <w:tc>
                <w:tcPr>
                  <w:tcW w:w="1131" w:type="dxa"/>
                  <w:tcBorders>
                    <w:tl2br w:val="nil"/>
                    <w:tr2bl w:val="nil"/>
                  </w:tcBorders>
                  <w:noWrap w:val="0"/>
                  <w:vAlign w:val="center"/>
                </w:tcPr>
                <w:p w14:paraId="1FDFB2E3">
                  <w:pPr>
                    <w:jc w:val="center"/>
                    <w:rPr>
                      <w:rFonts w:hint="default" w:ascii="Times New Roman" w:hAnsi="Times New Roman" w:eastAsia="宋体" w:cs="Times New Roman"/>
                      <w:color w:val="auto"/>
                      <w:szCs w:val="21"/>
                      <w:highlight w:val="none"/>
                      <w:lang w:val="en-US" w:eastAsia="zh-CN" w:bidi="ar"/>
                    </w:rPr>
                  </w:pPr>
                  <w:r>
                    <w:rPr>
                      <w:rFonts w:hint="eastAsia" w:cs="Times New Roman"/>
                      <w:color w:val="auto"/>
                      <w:szCs w:val="21"/>
                      <w:highlight w:val="none"/>
                      <w:lang w:val="en-US" w:eastAsia="zh-CN" w:bidi="ar"/>
                    </w:rPr>
                    <w:t>2987</w:t>
                  </w:r>
                </w:p>
              </w:tc>
              <w:tc>
                <w:tcPr>
                  <w:tcW w:w="1149" w:type="dxa"/>
                  <w:tcBorders>
                    <w:tl2br w:val="nil"/>
                    <w:tr2bl w:val="nil"/>
                  </w:tcBorders>
                  <w:noWrap w:val="0"/>
                  <w:vAlign w:val="center"/>
                </w:tcPr>
                <w:p w14:paraId="3C4D2335">
                  <w:pPr>
                    <w:jc w:val="center"/>
                    <w:rPr>
                      <w:rFonts w:hint="default" w:ascii="Times New Roman" w:hAnsi="Times New Roman" w:eastAsia="宋体" w:cs="Times New Roman"/>
                      <w:color w:val="auto"/>
                      <w:szCs w:val="21"/>
                      <w:highlight w:val="none"/>
                      <w:lang w:val="en-US" w:eastAsia="zh-CN" w:bidi="ar"/>
                    </w:rPr>
                  </w:pPr>
                  <w:r>
                    <w:rPr>
                      <w:rFonts w:hint="eastAsia" w:cs="Times New Roman"/>
                      <w:color w:val="auto"/>
                      <w:szCs w:val="21"/>
                      <w:highlight w:val="none"/>
                      <w:lang w:val="en-US" w:eastAsia="zh-CN" w:bidi="ar"/>
                    </w:rPr>
                    <w:t>29.87</w:t>
                  </w:r>
                </w:p>
              </w:tc>
              <w:tc>
                <w:tcPr>
                  <w:tcW w:w="771" w:type="dxa"/>
                  <w:vMerge w:val="continue"/>
                  <w:tcBorders>
                    <w:tl2br w:val="nil"/>
                    <w:tr2bl w:val="nil"/>
                  </w:tcBorders>
                  <w:noWrap w:val="0"/>
                  <w:vAlign w:val="center"/>
                </w:tcPr>
                <w:p w14:paraId="329AFB11">
                  <w:pPr>
                    <w:jc w:val="center"/>
                    <w:rPr>
                      <w:rFonts w:hint="default" w:ascii="Times New Roman" w:hAnsi="Times New Roman" w:cs="Times New Roman"/>
                      <w:bCs/>
                      <w:color w:val="auto"/>
                      <w:szCs w:val="21"/>
                      <w:highlight w:val="none"/>
                    </w:rPr>
                  </w:pPr>
                </w:p>
              </w:tc>
            </w:tr>
            <w:tr w14:paraId="68C35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5" w:hRule="atLeast"/>
                <w:jc w:val="center"/>
              </w:trPr>
              <w:tc>
                <w:tcPr>
                  <w:tcW w:w="1077" w:type="dxa"/>
                  <w:vMerge w:val="continue"/>
                  <w:tcBorders>
                    <w:tl2br w:val="nil"/>
                    <w:tr2bl w:val="nil"/>
                  </w:tcBorders>
                  <w:noWrap w:val="0"/>
                  <w:vAlign w:val="center"/>
                </w:tcPr>
                <w:p w14:paraId="38E93DE9">
                  <w:pPr>
                    <w:pStyle w:val="103"/>
                    <w:ind w:firstLine="0" w:firstLineChars="0"/>
                    <w:jc w:val="center"/>
                    <w:rPr>
                      <w:rFonts w:hint="eastAsia" w:ascii="Times New Roman" w:hAnsi="Times New Roman" w:eastAsia="宋体" w:cs="Times New Roman"/>
                      <w:bCs/>
                      <w:color w:val="auto"/>
                      <w:sz w:val="21"/>
                      <w:szCs w:val="21"/>
                      <w:highlight w:val="none"/>
                      <w:lang w:val="en-US" w:eastAsia="zh-CN"/>
                    </w:rPr>
                  </w:pPr>
                </w:p>
              </w:tc>
              <w:tc>
                <w:tcPr>
                  <w:tcW w:w="1488" w:type="dxa"/>
                  <w:vMerge w:val="continue"/>
                  <w:tcBorders>
                    <w:tl2br w:val="nil"/>
                    <w:tr2bl w:val="nil"/>
                  </w:tcBorders>
                  <w:noWrap w:val="0"/>
                  <w:vAlign w:val="center"/>
                </w:tcPr>
                <w:p w14:paraId="572A68DE">
                  <w:pPr>
                    <w:jc w:val="center"/>
                    <w:rPr>
                      <w:rFonts w:hint="default" w:ascii="Times New Roman" w:hAnsi="Times New Roman" w:cs="Times New Roman"/>
                      <w:color w:val="auto"/>
                      <w:kern w:val="0"/>
                      <w:szCs w:val="21"/>
                      <w:highlight w:val="none"/>
                    </w:rPr>
                  </w:pPr>
                </w:p>
              </w:tc>
              <w:tc>
                <w:tcPr>
                  <w:tcW w:w="912" w:type="dxa"/>
                  <w:tcBorders>
                    <w:tl2br w:val="nil"/>
                    <w:tr2bl w:val="nil"/>
                  </w:tcBorders>
                  <w:noWrap w:val="0"/>
                  <w:vAlign w:val="center"/>
                </w:tcPr>
                <w:p w14:paraId="678BC46D">
                  <w:pPr>
                    <w:jc w:val="center"/>
                    <w:rPr>
                      <w:rFonts w:hint="default" w:ascii="Times New Roman" w:hAnsi="Times New Roman" w:cs="Times New Roman"/>
                      <w:bCs/>
                      <w:color w:val="auto"/>
                      <w:szCs w:val="21"/>
                      <w:highlight w:val="none"/>
                    </w:rPr>
                  </w:pPr>
                  <w:r>
                    <w:rPr>
                      <w:rFonts w:hint="eastAsia" w:cs="Times New Roman"/>
                      <w:bCs/>
                      <w:color w:val="auto"/>
                      <w:szCs w:val="21"/>
                      <w:highlight w:val="none"/>
                      <w:lang w:val="en-US" w:eastAsia="zh-CN"/>
                    </w:rPr>
                    <w:t>1</w:t>
                  </w:r>
                  <w:r>
                    <w:rPr>
                      <w:rFonts w:hint="default" w:ascii="Times New Roman" w:hAnsi="Times New Roman" w:cs="Times New Roman"/>
                      <w:bCs/>
                      <w:color w:val="auto"/>
                      <w:szCs w:val="21"/>
                      <w:highlight w:val="none"/>
                    </w:rPr>
                    <w:t>次/年</w:t>
                  </w:r>
                </w:p>
              </w:tc>
              <w:tc>
                <w:tcPr>
                  <w:tcW w:w="1154" w:type="dxa"/>
                  <w:tcBorders>
                    <w:tl2br w:val="nil"/>
                    <w:tr2bl w:val="nil"/>
                  </w:tcBorders>
                  <w:noWrap w:val="0"/>
                  <w:vAlign w:val="center"/>
                </w:tcPr>
                <w:p w14:paraId="40ED67EF">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1h/次</w:t>
                  </w:r>
                </w:p>
              </w:tc>
              <w:tc>
                <w:tcPr>
                  <w:tcW w:w="939" w:type="dxa"/>
                  <w:tcBorders>
                    <w:tl2br w:val="nil"/>
                    <w:tr2bl w:val="nil"/>
                  </w:tcBorders>
                  <w:noWrap w:val="0"/>
                  <w:vAlign w:val="center"/>
                </w:tcPr>
                <w:p w14:paraId="2EF93377">
                  <w:pPr>
                    <w:spacing w:line="360" w:lineRule="exact"/>
                    <w:jc w:val="center"/>
                    <w:textAlignment w:val="baseline"/>
                    <w:rPr>
                      <w:rFonts w:hint="default" w:ascii="Times New Roman" w:hAnsi="Times New Roman" w:cs="Times New Roman"/>
                      <w:bCs/>
                      <w:color w:val="auto"/>
                      <w:szCs w:val="21"/>
                      <w:highlight w:val="none"/>
                    </w:rPr>
                  </w:pP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S</w:t>
                  </w:r>
                </w:p>
              </w:tc>
              <w:tc>
                <w:tcPr>
                  <w:tcW w:w="1131" w:type="dxa"/>
                  <w:tcBorders>
                    <w:tl2br w:val="nil"/>
                    <w:tr2bl w:val="nil"/>
                  </w:tcBorders>
                  <w:noWrap w:val="0"/>
                  <w:vAlign w:val="center"/>
                </w:tcPr>
                <w:p w14:paraId="4A799EBB">
                  <w:pPr>
                    <w:jc w:val="center"/>
                    <w:rPr>
                      <w:rFonts w:hint="default" w:ascii="Times New Roman" w:hAnsi="Times New Roman" w:eastAsia="宋体" w:cs="Times New Roman"/>
                      <w:color w:val="auto"/>
                      <w:szCs w:val="21"/>
                      <w:highlight w:val="none"/>
                      <w:lang w:val="en-US" w:eastAsia="zh-CN" w:bidi="ar"/>
                    </w:rPr>
                  </w:pPr>
                  <w:r>
                    <w:rPr>
                      <w:rFonts w:hint="eastAsia" w:cs="Times New Roman"/>
                      <w:color w:val="auto"/>
                      <w:szCs w:val="21"/>
                      <w:highlight w:val="none"/>
                      <w:lang w:val="en-US" w:eastAsia="zh-CN" w:bidi="ar"/>
                    </w:rPr>
                    <w:t>210</w:t>
                  </w:r>
                </w:p>
              </w:tc>
              <w:tc>
                <w:tcPr>
                  <w:tcW w:w="1149" w:type="dxa"/>
                  <w:tcBorders>
                    <w:tl2br w:val="nil"/>
                    <w:tr2bl w:val="nil"/>
                  </w:tcBorders>
                  <w:noWrap w:val="0"/>
                  <w:vAlign w:val="center"/>
                </w:tcPr>
                <w:p w14:paraId="3F52A2C1">
                  <w:pPr>
                    <w:jc w:val="center"/>
                    <w:rPr>
                      <w:rFonts w:hint="default" w:ascii="Times New Roman" w:hAnsi="Times New Roman" w:eastAsia="宋体" w:cs="Times New Roman"/>
                      <w:color w:val="auto"/>
                      <w:szCs w:val="21"/>
                      <w:highlight w:val="none"/>
                      <w:lang w:val="en-US" w:eastAsia="zh-CN" w:bidi="ar"/>
                    </w:rPr>
                  </w:pPr>
                  <w:r>
                    <w:rPr>
                      <w:rFonts w:hint="eastAsia" w:cs="Times New Roman"/>
                      <w:color w:val="auto"/>
                      <w:szCs w:val="21"/>
                      <w:highlight w:val="none"/>
                      <w:lang w:val="en-US" w:eastAsia="zh-CN" w:bidi="ar"/>
                    </w:rPr>
                    <w:t>2.1</w:t>
                  </w:r>
                </w:p>
              </w:tc>
              <w:tc>
                <w:tcPr>
                  <w:tcW w:w="771" w:type="dxa"/>
                  <w:vMerge w:val="continue"/>
                  <w:tcBorders>
                    <w:tl2br w:val="nil"/>
                    <w:tr2bl w:val="nil"/>
                  </w:tcBorders>
                  <w:noWrap w:val="0"/>
                  <w:vAlign w:val="center"/>
                </w:tcPr>
                <w:p w14:paraId="7D806424">
                  <w:pPr>
                    <w:jc w:val="center"/>
                    <w:rPr>
                      <w:rFonts w:hint="default" w:ascii="Times New Roman" w:hAnsi="Times New Roman" w:cs="Times New Roman"/>
                      <w:bCs/>
                      <w:color w:val="auto"/>
                      <w:szCs w:val="21"/>
                      <w:highlight w:val="none"/>
                    </w:rPr>
                  </w:pPr>
                </w:p>
              </w:tc>
            </w:tr>
          </w:tbl>
          <w:p w14:paraId="7822AAAD">
            <w:pPr>
              <w:pStyle w:val="107"/>
              <w:ind w:firstLine="48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排放标准及监测要求</w:t>
            </w:r>
          </w:p>
          <w:p w14:paraId="3D19842D">
            <w:pPr>
              <w:pStyle w:val="107"/>
              <w:ind w:firstLine="480"/>
              <w:jc w:val="left"/>
              <w:rPr>
                <w:rFonts w:hint="default" w:ascii="Times New Roman" w:hAnsi="Times New Roman" w:cs="Times New Roman"/>
                <w:color w:val="auto"/>
                <w:highlight w:val="none"/>
              </w:rPr>
            </w:pPr>
            <w:r>
              <w:rPr>
                <w:rFonts w:hint="eastAsia" w:cs="Times New Roman"/>
                <w:color w:val="auto"/>
                <w:highlight w:val="none"/>
                <w:lang w:val="en-US" w:eastAsia="zh-CN"/>
              </w:rPr>
              <w:t>根据《排污单位自行监测技术指南总则》(HJ 819-2017)、《排污单位自行监测技术指南 磷肥、钾肥、复混肥料、有机肥料和微生物肥料》（HJ1088-2020）</w:t>
            </w:r>
            <w:r>
              <w:rPr>
                <w:rFonts w:hint="default" w:ascii="Times New Roman" w:hAnsi="Times New Roman" w:cs="Times New Roman"/>
                <w:color w:val="auto"/>
                <w:highlight w:val="none"/>
              </w:rPr>
              <w:t>本项目大气污染物排放标准及监测要求情况见下表。</w:t>
            </w:r>
          </w:p>
          <w:p w14:paraId="7CB484F2">
            <w:pPr>
              <w:pStyle w:val="107"/>
              <w:spacing w:line="240" w:lineRule="auto"/>
              <w:ind w:firstLine="0" w:firstLineChars="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表4-</w:t>
            </w:r>
            <w:r>
              <w:rPr>
                <w:rFonts w:hint="eastAsia" w:cs="Times New Roman"/>
                <w:b/>
                <w:bCs/>
                <w:color w:val="auto"/>
                <w:sz w:val="24"/>
                <w:szCs w:val="24"/>
                <w:highlight w:val="none"/>
                <w:lang w:val="en-US" w:eastAsia="zh-CN"/>
              </w:rPr>
              <w:t>7</w:t>
            </w:r>
            <w:r>
              <w:rPr>
                <w:rFonts w:hint="default" w:ascii="Times New Roman" w:hAnsi="Times New Roman" w:cs="Times New Roman"/>
                <w:b/>
                <w:bCs/>
                <w:color w:val="auto"/>
                <w:sz w:val="24"/>
                <w:szCs w:val="24"/>
                <w:highlight w:val="none"/>
              </w:rPr>
              <w:t xml:space="preserve"> 本项目大气污染物排放标准及监测要求情况见下表</w:t>
            </w:r>
          </w:p>
          <w:tbl>
            <w:tblPr>
              <w:tblStyle w:val="32"/>
              <w:tblW w:w="8598"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560"/>
              <w:gridCol w:w="1170"/>
              <w:gridCol w:w="4357"/>
            </w:tblGrid>
            <w:tr w14:paraId="7986E3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511" w:type="dxa"/>
                  <w:tcBorders>
                    <w:tl2br w:val="nil"/>
                    <w:tr2bl w:val="nil"/>
                  </w:tcBorders>
                  <w:noWrap w:val="0"/>
                  <w:vAlign w:val="center"/>
                </w:tcPr>
                <w:p w14:paraId="6B375E59">
                  <w:pPr>
                    <w:pStyle w:val="107"/>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560" w:type="dxa"/>
                  <w:tcBorders>
                    <w:tl2br w:val="nil"/>
                    <w:tr2bl w:val="nil"/>
                  </w:tcBorders>
                  <w:noWrap w:val="0"/>
                  <w:vAlign w:val="center"/>
                </w:tcPr>
                <w:p w14:paraId="33AF8D32">
                  <w:pPr>
                    <w:pStyle w:val="107"/>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检测因子</w:t>
                  </w:r>
                </w:p>
              </w:tc>
              <w:tc>
                <w:tcPr>
                  <w:tcW w:w="1170" w:type="dxa"/>
                  <w:tcBorders>
                    <w:tl2br w:val="nil"/>
                    <w:tr2bl w:val="nil"/>
                  </w:tcBorders>
                  <w:noWrap w:val="0"/>
                  <w:vAlign w:val="center"/>
                </w:tcPr>
                <w:p w14:paraId="12AEE5D1">
                  <w:pPr>
                    <w:pStyle w:val="107"/>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监测频次</w:t>
                  </w:r>
                </w:p>
              </w:tc>
              <w:tc>
                <w:tcPr>
                  <w:tcW w:w="4357" w:type="dxa"/>
                  <w:tcBorders>
                    <w:tl2br w:val="nil"/>
                    <w:tr2bl w:val="nil"/>
                  </w:tcBorders>
                  <w:noWrap w:val="0"/>
                  <w:vAlign w:val="center"/>
                </w:tcPr>
                <w:p w14:paraId="76EDEA3F">
                  <w:pPr>
                    <w:pStyle w:val="107"/>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执行标准</w:t>
                  </w:r>
                </w:p>
              </w:tc>
            </w:tr>
            <w:tr w14:paraId="7ABFF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511" w:type="dxa"/>
                  <w:tcBorders>
                    <w:tl2br w:val="nil"/>
                    <w:tr2bl w:val="nil"/>
                  </w:tcBorders>
                  <w:noWrap w:val="0"/>
                  <w:vAlign w:val="center"/>
                </w:tcPr>
                <w:p w14:paraId="3B6A015C">
                  <w:pPr>
                    <w:pStyle w:val="107"/>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排气筒</w:t>
                  </w:r>
                </w:p>
              </w:tc>
              <w:tc>
                <w:tcPr>
                  <w:tcW w:w="1560" w:type="dxa"/>
                  <w:tcBorders>
                    <w:tl2br w:val="nil"/>
                    <w:tr2bl w:val="nil"/>
                  </w:tcBorders>
                  <w:noWrap w:val="0"/>
                  <w:vAlign w:val="center"/>
                </w:tcPr>
                <w:p w14:paraId="204136F3">
                  <w:pPr>
                    <w:pStyle w:val="107"/>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highlight w:val="none"/>
                    </w:rPr>
                    <w:t>颗粒物</w:t>
                  </w:r>
                </w:p>
              </w:tc>
              <w:tc>
                <w:tcPr>
                  <w:tcW w:w="1170" w:type="dxa"/>
                  <w:tcBorders>
                    <w:tl2br w:val="nil"/>
                    <w:tr2bl w:val="nil"/>
                  </w:tcBorders>
                  <w:noWrap w:val="0"/>
                  <w:vAlign w:val="center"/>
                </w:tcPr>
                <w:p w14:paraId="5651C807">
                  <w:pPr>
                    <w:pStyle w:val="107"/>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1次/半年</w:t>
                  </w:r>
                </w:p>
              </w:tc>
              <w:tc>
                <w:tcPr>
                  <w:tcW w:w="4357" w:type="dxa"/>
                  <w:tcBorders>
                    <w:tl2br w:val="nil"/>
                    <w:tr2bl w:val="nil"/>
                  </w:tcBorders>
                  <w:noWrap w:val="0"/>
                  <w:vAlign w:val="center"/>
                </w:tcPr>
                <w:p w14:paraId="5D52FCCA">
                  <w:pPr>
                    <w:pStyle w:val="107"/>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rPr>
                    <w:t>《大气污染物综合排放标准》（GB</w:t>
                  </w:r>
                  <w:r>
                    <w:rPr>
                      <w:rFonts w:ascii="Times New Roman" w:hAnsi="Times New Roman" w:eastAsia="宋体" w:cs="Times New Roman"/>
                      <w:color w:val="auto"/>
                      <w:sz w:val="21"/>
                      <w:szCs w:val="21"/>
                      <w:highlight w:val="none"/>
                    </w:rPr>
                    <w:t>16297-1996</w:t>
                  </w:r>
                  <w:r>
                    <w:rPr>
                      <w:rFonts w:hint="eastAsia" w:ascii="Times New Roman" w:hAnsi="Times New Roman" w:eastAsia="宋体" w:cs="Times New Roman"/>
                      <w:color w:val="auto"/>
                      <w:sz w:val="21"/>
                      <w:szCs w:val="21"/>
                      <w:highlight w:val="none"/>
                    </w:rPr>
                    <w:t>）表2中二级标准</w:t>
                  </w:r>
                  <w:r>
                    <w:rPr>
                      <w:rFonts w:hint="eastAsia" w:cs="Times New Roman"/>
                      <w:color w:val="auto"/>
                      <w:sz w:val="21"/>
                      <w:szCs w:val="21"/>
                      <w:highlight w:val="none"/>
                      <w:lang w:val="en-US" w:eastAsia="zh-CN"/>
                    </w:rPr>
                    <w:t>限值</w:t>
                  </w:r>
                </w:p>
              </w:tc>
            </w:tr>
            <w:tr w14:paraId="4477D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511" w:type="dxa"/>
                  <w:vMerge w:val="restart"/>
                  <w:tcBorders>
                    <w:tl2br w:val="nil"/>
                    <w:tr2bl w:val="nil"/>
                  </w:tcBorders>
                  <w:noWrap w:val="0"/>
                  <w:vAlign w:val="center"/>
                </w:tcPr>
                <w:p w14:paraId="43A3C2C6">
                  <w:pPr>
                    <w:pStyle w:val="107"/>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排气筒</w:t>
                  </w:r>
                </w:p>
              </w:tc>
              <w:tc>
                <w:tcPr>
                  <w:tcW w:w="1560" w:type="dxa"/>
                  <w:tcBorders>
                    <w:tl2br w:val="nil"/>
                    <w:tr2bl w:val="nil"/>
                  </w:tcBorders>
                  <w:noWrap w:val="0"/>
                  <w:vAlign w:val="center"/>
                </w:tcPr>
                <w:p w14:paraId="216F3FBC">
                  <w:pPr>
                    <w:spacing w:line="360" w:lineRule="exac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Cs w:val="21"/>
                      <w:highlight w:val="none"/>
                    </w:rPr>
                    <w:t>NH</w:t>
                  </w:r>
                  <w:r>
                    <w:rPr>
                      <w:rFonts w:hint="default" w:ascii="Times New Roman" w:hAnsi="Times New Roman" w:eastAsia="宋体" w:cs="Times New Roman"/>
                      <w:color w:val="auto"/>
                      <w:szCs w:val="21"/>
                      <w:highlight w:val="none"/>
                      <w:vertAlign w:val="subscript"/>
                    </w:rPr>
                    <w:t>3</w:t>
                  </w:r>
                </w:p>
              </w:tc>
              <w:tc>
                <w:tcPr>
                  <w:tcW w:w="1170" w:type="dxa"/>
                  <w:vMerge w:val="restart"/>
                  <w:tcBorders>
                    <w:tl2br w:val="nil"/>
                    <w:tr2bl w:val="nil"/>
                  </w:tcBorders>
                  <w:noWrap w:val="0"/>
                  <w:vAlign w:val="center"/>
                </w:tcPr>
                <w:p w14:paraId="4007B8E3">
                  <w:pPr>
                    <w:pStyle w:val="107"/>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1次/</w:t>
                  </w:r>
                  <w:r>
                    <w:rPr>
                      <w:rFonts w:hint="eastAsia" w:cs="Times New Roman"/>
                      <w:color w:val="auto"/>
                      <w:sz w:val="21"/>
                      <w:szCs w:val="21"/>
                      <w:highlight w:val="none"/>
                      <w:lang w:val="en-US" w:eastAsia="zh-CN"/>
                    </w:rPr>
                    <w:t>半年</w:t>
                  </w:r>
                </w:p>
              </w:tc>
              <w:tc>
                <w:tcPr>
                  <w:tcW w:w="4357" w:type="dxa"/>
                  <w:vMerge w:val="restart"/>
                  <w:tcBorders>
                    <w:tl2br w:val="nil"/>
                    <w:tr2bl w:val="nil"/>
                  </w:tcBorders>
                  <w:noWrap w:val="0"/>
                  <w:vAlign w:val="center"/>
                </w:tcPr>
                <w:p w14:paraId="67ABFC75">
                  <w:pPr>
                    <w:pStyle w:val="107"/>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《恶臭污染物排放标准》（GB14554-93）中二级标准</w:t>
                  </w:r>
                </w:p>
              </w:tc>
            </w:tr>
            <w:tr w14:paraId="6CAA4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511" w:type="dxa"/>
                  <w:vMerge w:val="continue"/>
                  <w:tcBorders>
                    <w:tl2br w:val="nil"/>
                    <w:tr2bl w:val="nil"/>
                  </w:tcBorders>
                  <w:noWrap w:val="0"/>
                  <w:vAlign w:val="center"/>
                </w:tcPr>
                <w:p w14:paraId="24F9448B">
                  <w:pPr>
                    <w:pStyle w:val="107"/>
                    <w:spacing w:line="240" w:lineRule="auto"/>
                    <w:ind w:firstLine="0" w:firstLineChars="0"/>
                    <w:jc w:val="center"/>
                    <w:rPr>
                      <w:color w:val="auto"/>
                      <w:highlight w:val="none"/>
                    </w:rPr>
                  </w:pPr>
                </w:p>
              </w:tc>
              <w:tc>
                <w:tcPr>
                  <w:tcW w:w="1560" w:type="dxa"/>
                  <w:tcBorders>
                    <w:tl2br w:val="nil"/>
                    <w:tr2bl w:val="nil"/>
                  </w:tcBorders>
                  <w:noWrap w:val="0"/>
                  <w:vAlign w:val="center"/>
                </w:tcPr>
                <w:p w14:paraId="4C51A0E9">
                  <w:pPr>
                    <w:spacing w:line="360" w:lineRule="exact"/>
                    <w:jc w:val="center"/>
                    <w:textAlignment w:val="baseline"/>
                    <w:rPr>
                      <w:rFonts w:hint="default" w:ascii="Times New Roman" w:hAnsi="Times New Roman" w:cs="Times New Roman"/>
                      <w:color w:val="auto"/>
                      <w:sz w:val="21"/>
                      <w:highlight w:val="none"/>
                    </w:rPr>
                  </w:pPr>
                  <w:r>
                    <w:rPr>
                      <w:rFonts w:hint="default" w:ascii="Times New Roman" w:hAnsi="Times New Roman" w:eastAsia="宋体" w:cs="Times New Roman"/>
                      <w:color w:val="auto"/>
                      <w:szCs w:val="21"/>
                      <w:highlight w:val="none"/>
                    </w:rPr>
                    <w:t>H</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S</w:t>
                  </w:r>
                </w:p>
              </w:tc>
              <w:tc>
                <w:tcPr>
                  <w:tcW w:w="1170" w:type="dxa"/>
                  <w:vMerge w:val="continue"/>
                  <w:tcBorders>
                    <w:tl2br w:val="nil"/>
                    <w:tr2bl w:val="nil"/>
                  </w:tcBorders>
                  <w:noWrap w:val="0"/>
                  <w:vAlign w:val="center"/>
                </w:tcPr>
                <w:p w14:paraId="7B3D5B04">
                  <w:pPr>
                    <w:pStyle w:val="107"/>
                    <w:spacing w:line="240" w:lineRule="auto"/>
                    <w:ind w:firstLine="0" w:firstLineChars="0"/>
                    <w:jc w:val="center"/>
                    <w:rPr>
                      <w:rFonts w:hint="default" w:ascii="Times New Roman" w:hAnsi="Times New Roman" w:cs="Times New Roman"/>
                      <w:color w:val="auto"/>
                      <w:sz w:val="21"/>
                      <w:highlight w:val="none"/>
                    </w:rPr>
                  </w:pPr>
                </w:p>
              </w:tc>
              <w:tc>
                <w:tcPr>
                  <w:tcW w:w="4357" w:type="dxa"/>
                  <w:vMerge w:val="continue"/>
                  <w:tcBorders>
                    <w:tl2br w:val="nil"/>
                    <w:tr2bl w:val="nil"/>
                  </w:tcBorders>
                  <w:noWrap w:val="0"/>
                  <w:vAlign w:val="center"/>
                </w:tcPr>
                <w:p w14:paraId="045A2C08">
                  <w:pPr>
                    <w:pStyle w:val="107"/>
                    <w:spacing w:line="240" w:lineRule="auto"/>
                    <w:ind w:firstLine="0" w:firstLineChars="0"/>
                    <w:jc w:val="center"/>
                    <w:rPr>
                      <w:rFonts w:hint="default" w:ascii="Times New Roman" w:hAnsi="Times New Roman" w:cs="Times New Roman"/>
                      <w:color w:val="auto"/>
                      <w:sz w:val="21"/>
                      <w:highlight w:val="none"/>
                    </w:rPr>
                  </w:pPr>
                </w:p>
              </w:tc>
            </w:tr>
            <w:tr w14:paraId="1A964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511" w:type="dxa"/>
                  <w:vMerge w:val="restart"/>
                  <w:tcBorders>
                    <w:tl2br w:val="nil"/>
                    <w:tr2bl w:val="nil"/>
                  </w:tcBorders>
                  <w:noWrap w:val="0"/>
                  <w:vAlign w:val="center"/>
                </w:tcPr>
                <w:p w14:paraId="776D0B83">
                  <w:pPr>
                    <w:pStyle w:val="107"/>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厂界无组织废气</w:t>
                  </w:r>
                </w:p>
              </w:tc>
              <w:tc>
                <w:tcPr>
                  <w:tcW w:w="1560" w:type="dxa"/>
                  <w:tcBorders>
                    <w:tl2br w:val="nil"/>
                    <w:tr2bl w:val="nil"/>
                  </w:tcBorders>
                  <w:noWrap w:val="0"/>
                  <w:vAlign w:val="center"/>
                </w:tcPr>
                <w:p w14:paraId="7527190C">
                  <w:pPr>
                    <w:pStyle w:val="107"/>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S、臭气浓度</w:t>
                  </w:r>
                </w:p>
              </w:tc>
              <w:tc>
                <w:tcPr>
                  <w:tcW w:w="1170" w:type="dxa"/>
                  <w:tcBorders>
                    <w:tl2br w:val="nil"/>
                    <w:tr2bl w:val="nil"/>
                  </w:tcBorders>
                  <w:noWrap w:val="0"/>
                  <w:vAlign w:val="center"/>
                </w:tcPr>
                <w:p w14:paraId="5943BCEA">
                  <w:pPr>
                    <w:pStyle w:val="107"/>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1次/半年</w:t>
                  </w:r>
                </w:p>
              </w:tc>
              <w:tc>
                <w:tcPr>
                  <w:tcW w:w="4357" w:type="dxa"/>
                  <w:tcBorders>
                    <w:tl2br w:val="nil"/>
                    <w:tr2bl w:val="nil"/>
                  </w:tcBorders>
                  <w:noWrap w:val="0"/>
                  <w:vAlign w:val="center"/>
                </w:tcPr>
                <w:p w14:paraId="18ACCA43">
                  <w:pPr>
                    <w:pStyle w:val="107"/>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《恶臭污染物排放标准》（GB14554-93）中二级标准</w:t>
                  </w:r>
                </w:p>
              </w:tc>
            </w:tr>
            <w:tr w14:paraId="23617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11" w:type="dxa"/>
                  <w:vMerge w:val="continue"/>
                  <w:tcBorders>
                    <w:tl2br w:val="nil"/>
                    <w:tr2bl w:val="nil"/>
                  </w:tcBorders>
                  <w:noWrap w:val="0"/>
                  <w:vAlign w:val="center"/>
                </w:tcPr>
                <w:p w14:paraId="2BFC6D61">
                  <w:pPr>
                    <w:pStyle w:val="107"/>
                    <w:spacing w:line="240" w:lineRule="auto"/>
                    <w:ind w:firstLine="0" w:firstLineChars="0"/>
                    <w:jc w:val="center"/>
                    <w:rPr>
                      <w:rFonts w:hint="default" w:ascii="Times New Roman" w:hAnsi="Times New Roman" w:cs="Times New Roman"/>
                      <w:color w:val="auto"/>
                      <w:highlight w:val="none"/>
                    </w:rPr>
                  </w:pPr>
                </w:p>
              </w:tc>
              <w:tc>
                <w:tcPr>
                  <w:tcW w:w="1560" w:type="dxa"/>
                  <w:tcBorders>
                    <w:tl2br w:val="nil"/>
                    <w:tr2bl w:val="nil"/>
                  </w:tcBorders>
                  <w:noWrap w:val="0"/>
                  <w:vAlign w:val="center"/>
                </w:tcPr>
                <w:p w14:paraId="4A0F79E1">
                  <w:pPr>
                    <w:pStyle w:val="107"/>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170" w:type="dxa"/>
                  <w:tcBorders>
                    <w:tl2br w:val="nil"/>
                    <w:tr2bl w:val="nil"/>
                  </w:tcBorders>
                  <w:noWrap w:val="0"/>
                  <w:vAlign w:val="center"/>
                </w:tcPr>
                <w:p w14:paraId="01846E84">
                  <w:pPr>
                    <w:pStyle w:val="107"/>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1次/半年</w:t>
                  </w:r>
                </w:p>
              </w:tc>
              <w:tc>
                <w:tcPr>
                  <w:tcW w:w="4357" w:type="dxa"/>
                  <w:tcBorders>
                    <w:tl2br w:val="nil"/>
                    <w:tr2bl w:val="nil"/>
                  </w:tcBorders>
                  <w:noWrap w:val="0"/>
                  <w:vAlign w:val="center"/>
                </w:tcPr>
                <w:p w14:paraId="785F04C8">
                  <w:pPr>
                    <w:pStyle w:val="107"/>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 16297—1996中新污染源二级标准</w:t>
                  </w:r>
                </w:p>
              </w:tc>
            </w:tr>
          </w:tbl>
          <w:p w14:paraId="64FCF6E5">
            <w:pPr>
              <w:keepNext w:val="0"/>
              <w:keepLines w:val="0"/>
              <w:pageBreakBefore w:val="0"/>
              <w:kinsoku/>
              <w:wordWrap/>
              <w:overflowPunct/>
              <w:topLinePunct w:val="0"/>
              <w:autoSpaceDE/>
              <w:autoSpaceDN/>
              <w:bidi w:val="0"/>
              <w:snapToGrid w:val="0"/>
              <w:spacing w:line="440" w:lineRule="exact"/>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w:t>
            </w:r>
            <w:r>
              <w:rPr>
                <w:rFonts w:hint="eastAsia" w:cs="Times New Roman"/>
                <w:b/>
                <w:color w:val="auto"/>
                <w:sz w:val="24"/>
                <w:highlight w:val="none"/>
                <w:lang w:eastAsia="zh-CN"/>
              </w:rPr>
              <w:t>、</w:t>
            </w:r>
            <w:r>
              <w:rPr>
                <w:rFonts w:hint="default" w:ascii="Times New Roman" w:hAnsi="Times New Roman" w:cs="Times New Roman"/>
                <w:b/>
                <w:color w:val="auto"/>
                <w:sz w:val="24"/>
                <w:highlight w:val="none"/>
              </w:rPr>
              <w:t>水环境影响分析</w:t>
            </w:r>
          </w:p>
          <w:p w14:paraId="5FD92B89">
            <w:pPr>
              <w:pStyle w:val="10"/>
              <w:keepNext w:val="0"/>
              <w:keepLines w:val="0"/>
              <w:pageBreakBefore w:val="0"/>
              <w:kinsoku/>
              <w:wordWrap/>
              <w:overflowPunct/>
              <w:topLinePunct w:val="0"/>
              <w:autoSpaceDE/>
              <w:autoSpaceDN/>
              <w:bidi w:val="0"/>
              <w:spacing w:after="0" w:line="440" w:lineRule="exact"/>
              <w:ind w:firstLine="480" w:firstLineChars="200"/>
              <w:textAlignment w:val="auto"/>
              <w:rPr>
                <w:rFonts w:hint="eastAsia" w:eastAsia="宋体"/>
                <w:color w:val="auto"/>
                <w:highlight w:val="none"/>
                <w:lang w:eastAsia="zh-CN"/>
              </w:rPr>
            </w:pPr>
            <w:r>
              <w:rPr>
                <w:rFonts w:hint="eastAsia" w:cs="Times New Roman"/>
                <w:color w:val="auto"/>
                <w:kern w:val="2"/>
                <w:sz w:val="24"/>
                <w:szCs w:val="21"/>
                <w:highlight w:val="none"/>
                <w:lang w:val="en-US" w:eastAsia="zh-CN"/>
              </w:rPr>
              <w:t xml:space="preserve">本项目生产用水主要用于水洗塔除臭设备，此过程喷淋用水循环使用定期排水。因此，本项目的排水为生活污水排放、水洗塔换水。 </w:t>
            </w:r>
          </w:p>
          <w:p w14:paraId="01F8FFD4">
            <w:pPr>
              <w:pStyle w:val="10"/>
              <w:keepNext w:val="0"/>
              <w:keepLines w:val="0"/>
              <w:pageBreakBefore w:val="0"/>
              <w:kinsoku/>
              <w:wordWrap/>
              <w:overflowPunct/>
              <w:topLinePunct w:val="0"/>
              <w:autoSpaceDE/>
              <w:autoSpaceDN/>
              <w:bidi w:val="0"/>
              <w:spacing w:after="0" w:line="440" w:lineRule="exact"/>
              <w:ind w:firstLine="480" w:firstLineChars="200"/>
              <w:textAlignment w:val="auto"/>
              <w:rPr>
                <w:rFonts w:hint="default" w:ascii="Times New Roman" w:hAnsi="Times New Roman" w:cs="Times New Roman"/>
                <w:color w:val="auto"/>
                <w:kern w:val="2"/>
                <w:sz w:val="24"/>
                <w:szCs w:val="21"/>
                <w:highlight w:val="none"/>
              </w:rPr>
            </w:pPr>
            <w:r>
              <w:rPr>
                <w:rFonts w:hint="default" w:ascii="Times New Roman" w:hAnsi="Times New Roman" w:cs="Times New Roman"/>
                <w:color w:val="auto"/>
                <w:kern w:val="2"/>
                <w:sz w:val="24"/>
                <w:szCs w:val="21"/>
                <w:highlight w:val="none"/>
              </w:rPr>
              <w:t>（1）生活污水</w:t>
            </w:r>
          </w:p>
          <w:p w14:paraId="31E2F6B4">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1"/>
                <w:highlight w:val="none"/>
              </w:rPr>
              <w:t>生活污水产生系数以0.8计，则生活污水量为0</w:t>
            </w:r>
            <w:r>
              <w:rPr>
                <w:rFonts w:hint="eastAsia" w:cs="Times New Roman"/>
                <w:color w:val="auto"/>
                <w:sz w:val="24"/>
                <w:szCs w:val="21"/>
                <w:highlight w:val="none"/>
                <w:lang w:val="en-US" w:eastAsia="zh-CN"/>
              </w:rPr>
              <w:t>.96</w:t>
            </w:r>
            <w:r>
              <w:rPr>
                <w:rFonts w:hint="default" w:ascii="Times New Roman" w:hAnsi="Times New Roman" w:cs="Times New Roman"/>
                <w:color w:val="auto"/>
                <w:sz w:val="24"/>
                <w:szCs w:val="21"/>
                <w:highlight w:val="none"/>
              </w:rPr>
              <w:t>m</w:t>
            </w:r>
            <w:r>
              <w:rPr>
                <w:rFonts w:hint="default" w:ascii="Times New Roman" w:hAnsi="Times New Roman" w:cs="Times New Roman"/>
                <w:color w:val="auto"/>
                <w:sz w:val="24"/>
                <w:szCs w:val="21"/>
                <w:highlight w:val="none"/>
                <w:vertAlign w:val="superscript"/>
              </w:rPr>
              <w:t>3</w:t>
            </w:r>
            <w:r>
              <w:rPr>
                <w:rFonts w:hint="default" w:ascii="Times New Roman" w:hAnsi="Times New Roman" w:cs="Times New Roman"/>
                <w:b/>
                <w:color w:val="auto"/>
                <w:sz w:val="24"/>
                <w:szCs w:val="21"/>
                <w:highlight w:val="none"/>
              </w:rPr>
              <w:t>/</w:t>
            </w:r>
            <w:r>
              <w:rPr>
                <w:rFonts w:hint="default" w:ascii="Times New Roman" w:hAnsi="Times New Roman" w:cs="Times New Roman"/>
                <w:color w:val="auto"/>
                <w:sz w:val="24"/>
                <w:szCs w:val="21"/>
                <w:highlight w:val="none"/>
              </w:rPr>
              <w:t>d（</w:t>
            </w:r>
            <w:r>
              <w:rPr>
                <w:rFonts w:hint="eastAsia" w:cs="Times New Roman"/>
                <w:color w:val="auto"/>
                <w:sz w:val="24"/>
                <w:szCs w:val="21"/>
                <w:highlight w:val="none"/>
                <w:lang w:val="en-US" w:eastAsia="zh-CN"/>
              </w:rPr>
              <w:t>288</w:t>
            </w:r>
            <w:r>
              <w:rPr>
                <w:rFonts w:hint="default" w:ascii="Times New Roman" w:hAnsi="Times New Roman" w:cs="Times New Roman"/>
                <w:color w:val="auto"/>
                <w:sz w:val="24"/>
                <w:szCs w:val="21"/>
                <w:highlight w:val="none"/>
              </w:rPr>
              <w:t>m</w:t>
            </w:r>
            <w:r>
              <w:rPr>
                <w:rFonts w:hint="default" w:ascii="Times New Roman" w:hAnsi="Times New Roman" w:cs="Times New Roman"/>
                <w:color w:val="auto"/>
                <w:sz w:val="24"/>
                <w:szCs w:val="21"/>
                <w:highlight w:val="none"/>
                <w:vertAlign w:val="superscript"/>
              </w:rPr>
              <w:t>3</w:t>
            </w:r>
            <w:r>
              <w:rPr>
                <w:rFonts w:hint="default" w:ascii="Times New Roman" w:hAnsi="Times New Roman" w:cs="Times New Roman"/>
                <w:color w:val="auto"/>
                <w:sz w:val="24"/>
                <w:szCs w:val="21"/>
                <w:highlight w:val="none"/>
              </w:rPr>
              <w:t>/a），</w:t>
            </w:r>
            <w:r>
              <w:rPr>
                <w:rFonts w:hint="default" w:ascii="Times New Roman" w:hAnsi="Times New Roman" w:cs="Times New Roman"/>
                <w:color w:val="auto"/>
                <w:kern w:val="0"/>
                <w:sz w:val="24"/>
                <w:szCs w:val="21"/>
                <w:highlight w:val="none"/>
              </w:rPr>
              <w:t>生活污水经管道收集排至厂区</w:t>
            </w:r>
            <w:r>
              <w:rPr>
                <w:rFonts w:hint="eastAsia" w:cs="Times New Roman"/>
                <w:color w:val="auto"/>
                <w:kern w:val="0"/>
                <w:sz w:val="24"/>
                <w:szCs w:val="21"/>
                <w:highlight w:val="none"/>
                <w:lang w:val="en-US" w:eastAsia="zh-CN"/>
              </w:rPr>
              <w:t>玻璃钢</w:t>
            </w:r>
            <w:r>
              <w:rPr>
                <w:rFonts w:hint="default" w:ascii="Times New Roman" w:hAnsi="Times New Roman" w:cs="Times New Roman"/>
                <w:color w:val="auto"/>
                <w:kern w:val="0"/>
                <w:sz w:val="24"/>
                <w:szCs w:val="21"/>
                <w:highlight w:val="none"/>
              </w:rPr>
              <w:t>化粪池，</w:t>
            </w:r>
            <w:r>
              <w:rPr>
                <w:rFonts w:hint="eastAsia" w:cs="Times New Roman"/>
                <w:color w:val="auto"/>
                <w:sz w:val="24"/>
                <w:szCs w:val="24"/>
                <w:highlight w:val="none"/>
                <w:lang w:val="en-US" w:eastAsia="zh-CN"/>
              </w:rPr>
              <w:t>玻璃钢化粪池内生活污水委托环卫部门定期清运处理</w:t>
            </w:r>
            <w:r>
              <w:rPr>
                <w:rFonts w:hint="default" w:ascii="Times New Roman" w:hAnsi="Times New Roman" w:cs="Times New Roman"/>
                <w:color w:val="auto"/>
                <w:sz w:val="24"/>
                <w:szCs w:val="24"/>
                <w:highlight w:val="none"/>
              </w:rPr>
              <w:t>。</w:t>
            </w:r>
          </w:p>
          <w:p w14:paraId="30F65999">
            <w:pPr>
              <w:pStyle w:val="29"/>
              <w:keepNext w:val="0"/>
              <w:keepLines w:val="0"/>
              <w:pageBreakBefore w:val="0"/>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auto"/>
              <w:rPr>
                <w:rFonts w:hint="default" w:ascii="Times New Roman" w:hAnsi="Times New Roman" w:cs="Times New Roman"/>
                <w:color w:val="auto"/>
                <w:sz w:val="24"/>
                <w:szCs w:val="21"/>
                <w:highlight w:val="none"/>
                <w:lang w:val="en-US" w:eastAsia="zh-CN"/>
              </w:rPr>
            </w:pPr>
            <w:r>
              <w:rPr>
                <w:rFonts w:hint="eastAsia" w:ascii="Times New Roman" w:hAnsi="Times New Roman" w:cs="Times New Roman"/>
                <w:color w:val="auto"/>
                <w:sz w:val="24"/>
                <w:szCs w:val="21"/>
                <w:highlight w:val="none"/>
                <w:lang w:val="en-US" w:eastAsia="zh-CN"/>
              </w:rPr>
              <w:t>（2）生产废水</w:t>
            </w:r>
          </w:p>
          <w:p w14:paraId="74A368B6">
            <w:pPr>
              <w:pStyle w:val="97"/>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cs="Times New Roman"/>
                <w:color w:val="auto"/>
                <w:sz w:val="24"/>
                <w:szCs w:val="21"/>
                <w:highlight w:val="none"/>
                <w:lang w:val="en-US" w:eastAsia="zh-CN"/>
              </w:rPr>
            </w:pPr>
            <w:r>
              <w:rPr>
                <w:rFonts w:hint="eastAsia" w:ascii="Times New Roman" w:hAnsi="Times New Roman" w:cs="Times New Roman"/>
                <w:color w:val="auto"/>
                <w:sz w:val="24"/>
                <w:szCs w:val="21"/>
                <w:highlight w:val="none"/>
                <w:lang w:val="en-US" w:eastAsia="zh-CN"/>
              </w:rPr>
              <w:t>根据建设单位提供的资料，水洗塔除臭设备加水量为2t，补水量为0.2t/月，喷淋用水在水洗塔内循环使用，每月排水0.2t；水洗塔内水质主要含COD、SS、BOD</w:t>
            </w:r>
            <w:r>
              <w:rPr>
                <w:rFonts w:hint="eastAsia" w:ascii="Times New Roman" w:hAnsi="Times New Roman" w:cs="Times New Roman"/>
                <w:color w:val="auto"/>
                <w:sz w:val="24"/>
                <w:szCs w:val="21"/>
                <w:highlight w:val="none"/>
                <w:vertAlign w:val="subscript"/>
                <w:lang w:val="en-US" w:eastAsia="zh-CN"/>
              </w:rPr>
              <w:t>5</w:t>
            </w:r>
            <w:r>
              <w:rPr>
                <w:rFonts w:hint="eastAsia" w:ascii="Times New Roman" w:hAnsi="Times New Roman" w:cs="Times New Roman"/>
                <w:color w:val="auto"/>
                <w:sz w:val="24"/>
                <w:szCs w:val="21"/>
                <w:highlight w:val="none"/>
                <w:lang w:val="en-US" w:eastAsia="zh-CN"/>
              </w:rPr>
              <w:t>、氨氮等，可用于稀释菌种，无法消纳的部分排入化粪池，由环卫部门定期清运处理；排水定期暂存于生产车间内的塑料吨桶中，供发酵稀释菌种时使用（本项目有机肥发酵周期为20~30天，因此菌种稀释用水可与水洗塔排水衔接）。</w:t>
            </w:r>
          </w:p>
          <w:p w14:paraId="756DA92D">
            <w:pPr>
              <w:pStyle w:val="97"/>
              <w:ind w:firstLine="0" w:firstLineChars="0"/>
              <w:rPr>
                <w:rFonts w:hint="default" w:ascii="Times New Roman" w:hAnsi="Times New Roman" w:cs="Times New Roman"/>
                <w:b/>
                <w:color w:val="auto"/>
                <w:kern w:val="2"/>
                <w:highlight w:val="none"/>
              </w:rPr>
            </w:pPr>
            <w:r>
              <w:rPr>
                <w:rFonts w:hint="default" w:ascii="Times New Roman" w:hAnsi="Times New Roman" w:cs="Times New Roman"/>
                <w:b/>
                <w:color w:val="auto"/>
                <w:kern w:val="2"/>
                <w:highlight w:val="none"/>
              </w:rPr>
              <w:t>3</w:t>
            </w:r>
            <w:r>
              <w:rPr>
                <w:rFonts w:hint="eastAsia" w:cs="Times New Roman"/>
                <w:b/>
                <w:color w:val="auto"/>
                <w:kern w:val="2"/>
                <w:highlight w:val="none"/>
                <w:lang w:eastAsia="zh-CN"/>
              </w:rPr>
              <w:t>、</w:t>
            </w:r>
            <w:r>
              <w:rPr>
                <w:rFonts w:hint="default" w:ascii="Times New Roman" w:hAnsi="Times New Roman" w:cs="Times New Roman"/>
                <w:b/>
                <w:color w:val="auto"/>
                <w:kern w:val="2"/>
                <w:highlight w:val="none"/>
              </w:rPr>
              <w:t>噪声</w:t>
            </w:r>
            <w:r>
              <w:rPr>
                <w:rFonts w:hint="default" w:ascii="Times New Roman" w:hAnsi="Times New Roman" w:cs="Times New Roman"/>
                <w:b/>
                <w:color w:val="auto"/>
                <w:highlight w:val="none"/>
              </w:rPr>
              <w:t>环境影响分析</w:t>
            </w:r>
          </w:p>
          <w:p w14:paraId="34324116">
            <w:pPr>
              <w:pStyle w:val="103"/>
              <w:spacing w:line="36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噪声源强</w:t>
            </w:r>
          </w:p>
          <w:p w14:paraId="762DD0DD">
            <w:pPr>
              <w:pStyle w:val="103"/>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本项目主要噪声污染源为设备噪声，包括：粉碎机、搅拌机、</w:t>
            </w:r>
            <w:r>
              <w:rPr>
                <w:rFonts w:hint="eastAsia" w:ascii="Times New Roman" w:hAnsi="Times New Roman" w:eastAsia="宋体" w:cs="Times New Roman"/>
                <w:color w:val="auto"/>
                <w:highlight w:val="none"/>
                <w:lang w:val="en-US" w:eastAsia="zh-CN"/>
              </w:rPr>
              <w:t>制粒</w:t>
            </w:r>
            <w:r>
              <w:rPr>
                <w:rFonts w:hint="default" w:ascii="Times New Roman" w:hAnsi="Times New Roman" w:eastAsia="宋体" w:cs="Times New Roman"/>
                <w:color w:val="auto"/>
                <w:highlight w:val="none"/>
              </w:rPr>
              <w:t>机及风机</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水洗塔</w:t>
            </w:r>
            <w:r>
              <w:rPr>
                <w:rFonts w:hint="default" w:ascii="Times New Roman" w:hAnsi="Times New Roman" w:eastAsia="宋体" w:cs="Times New Roman"/>
                <w:color w:val="auto"/>
                <w:highlight w:val="none"/>
              </w:rPr>
              <w:t>等设备，噪声排放源强介于</w:t>
            </w:r>
            <w:r>
              <w:rPr>
                <w:rFonts w:hint="eastAsia" w:ascii="Times New Roman" w:hAnsi="Times New Roman" w:eastAsia="宋体" w:cs="Times New Roman"/>
                <w:color w:val="auto"/>
                <w:highlight w:val="none"/>
                <w:lang w:val="en-US" w:eastAsia="zh-CN"/>
              </w:rPr>
              <w:t>60-75</w:t>
            </w:r>
            <w:r>
              <w:rPr>
                <w:rFonts w:hint="default" w:ascii="Times New Roman" w:hAnsi="Times New Roman" w:eastAsia="宋体" w:cs="Times New Roman"/>
                <w:color w:val="auto"/>
                <w:highlight w:val="none"/>
              </w:rPr>
              <w:t>dB（A）。</w:t>
            </w:r>
          </w:p>
          <w:p w14:paraId="2313ED5E">
            <w:pPr>
              <w:pStyle w:val="97"/>
              <w:ind w:firstLine="480"/>
              <w:rPr>
                <w:rFonts w:hint="default" w:ascii="Times New Roman" w:hAnsi="Times New Roman" w:cs="Times New Roman"/>
                <w:bCs/>
                <w:color w:val="auto"/>
                <w:spacing w:val="-10"/>
                <w:sz w:val="24"/>
                <w:highlight w:val="none"/>
              </w:rPr>
            </w:pPr>
            <w:r>
              <w:rPr>
                <w:rFonts w:hint="default" w:ascii="Times New Roman" w:hAnsi="Times New Roman" w:cs="Times New Roman"/>
                <w:color w:val="auto"/>
                <w:kern w:val="2"/>
                <w:highlight w:val="none"/>
              </w:rPr>
              <w:t>各产噪设备的噪声源强（距离该设备1m处）见下表：</w:t>
            </w:r>
          </w:p>
        </w:tc>
      </w:tr>
    </w:tbl>
    <w:p w14:paraId="35208EA0">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134" w:right="1418" w:bottom="1134"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0F445B9F">
      <w:pPr>
        <w:adjustRightInd w:val="0"/>
        <w:snapToGrid w:val="0"/>
        <w:spacing w:line="360" w:lineRule="auto"/>
        <w:jc w:val="center"/>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rPr>
        <w:t>表4-</w:t>
      </w:r>
      <w:r>
        <w:rPr>
          <w:rFonts w:hint="eastAsia" w:cs="Times New Roman"/>
          <w:b/>
          <w:color w:val="auto"/>
          <w:kern w:val="0"/>
          <w:sz w:val="24"/>
          <w:szCs w:val="24"/>
          <w:highlight w:val="none"/>
          <w:lang w:val="en-US" w:eastAsia="zh-CN"/>
        </w:rPr>
        <w:t xml:space="preserve">8 </w:t>
      </w:r>
      <w:r>
        <w:rPr>
          <w:rFonts w:hint="default" w:ascii="Times New Roman" w:hAnsi="Times New Roman" w:cs="Times New Roman"/>
          <w:b/>
          <w:color w:val="auto"/>
          <w:kern w:val="0"/>
          <w:sz w:val="24"/>
          <w:szCs w:val="24"/>
          <w:highlight w:val="none"/>
        </w:rPr>
        <w:t xml:space="preserve"> 项目设备噪声</w:t>
      </w:r>
      <w:r>
        <w:rPr>
          <w:rFonts w:hint="eastAsia" w:cs="Times New Roman"/>
          <w:b/>
          <w:color w:val="auto"/>
          <w:kern w:val="0"/>
          <w:sz w:val="24"/>
          <w:szCs w:val="24"/>
          <w:highlight w:val="none"/>
          <w:lang w:val="en-US" w:eastAsia="zh-CN"/>
        </w:rPr>
        <w:t>预测</w:t>
      </w:r>
      <w:r>
        <w:rPr>
          <w:rFonts w:hint="default" w:ascii="Times New Roman" w:hAnsi="Times New Roman" w:cs="Times New Roman"/>
          <w:b/>
          <w:color w:val="auto"/>
          <w:kern w:val="0"/>
          <w:sz w:val="24"/>
          <w:szCs w:val="24"/>
          <w:highlight w:val="none"/>
        </w:rPr>
        <w:t>一览表  单位：dB（A）</w:t>
      </w:r>
    </w:p>
    <w:tbl>
      <w:tblPr>
        <w:tblStyle w:val="32"/>
        <w:tblW w:w="14235"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917"/>
        <w:gridCol w:w="373"/>
        <w:gridCol w:w="531"/>
        <w:gridCol w:w="490"/>
        <w:gridCol w:w="298"/>
        <w:gridCol w:w="1165"/>
        <w:gridCol w:w="916"/>
        <w:gridCol w:w="963"/>
        <w:gridCol w:w="490"/>
        <w:gridCol w:w="490"/>
        <w:gridCol w:w="490"/>
        <w:gridCol w:w="490"/>
        <w:gridCol w:w="490"/>
        <w:gridCol w:w="490"/>
        <w:gridCol w:w="490"/>
        <w:gridCol w:w="490"/>
        <w:gridCol w:w="569"/>
        <w:gridCol w:w="771"/>
        <w:gridCol w:w="490"/>
        <w:gridCol w:w="490"/>
        <w:gridCol w:w="490"/>
        <w:gridCol w:w="490"/>
        <w:gridCol w:w="340"/>
        <w:gridCol w:w="340"/>
        <w:gridCol w:w="341"/>
        <w:gridCol w:w="341"/>
      </w:tblGrid>
      <w:tr w14:paraId="03A4E54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vMerge w:val="restart"/>
            <w:tcBorders>
              <w:tl2br w:val="nil"/>
              <w:tr2bl w:val="nil"/>
            </w:tcBorders>
            <w:shd w:val="solid" w:color="FFFFFF" w:themeColor="background1" w:fill="auto"/>
            <w:noWrap/>
            <w:vAlign w:val="center"/>
          </w:tcPr>
          <w:p w14:paraId="796B7970">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声源名称</w:t>
            </w:r>
          </w:p>
        </w:tc>
        <w:tc>
          <w:tcPr>
            <w:tcW w:w="373" w:type="dxa"/>
            <w:vMerge w:val="restart"/>
            <w:tcBorders>
              <w:tl2br w:val="nil"/>
              <w:tr2bl w:val="nil"/>
            </w:tcBorders>
            <w:shd w:val="solid" w:color="FFFFFF" w:themeColor="background1" w:fill="auto"/>
            <w:noWrap/>
            <w:vAlign w:val="center"/>
          </w:tcPr>
          <w:p w14:paraId="4180BB8C">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设备数量</w:t>
            </w:r>
          </w:p>
        </w:tc>
        <w:tc>
          <w:tcPr>
            <w:tcW w:w="1319" w:type="dxa"/>
            <w:gridSpan w:val="3"/>
            <w:vMerge w:val="restart"/>
            <w:tcBorders>
              <w:tl2br w:val="nil"/>
              <w:tr2bl w:val="nil"/>
            </w:tcBorders>
            <w:shd w:val="solid" w:color="FFFFFF" w:themeColor="background1" w:fill="auto"/>
            <w:noWrap/>
            <w:vAlign w:val="center"/>
          </w:tcPr>
          <w:p w14:paraId="42271025">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空间相对位置/m</w:t>
            </w:r>
          </w:p>
        </w:tc>
        <w:tc>
          <w:tcPr>
            <w:tcW w:w="1165" w:type="dxa"/>
            <w:vMerge w:val="restart"/>
            <w:tcBorders>
              <w:tl2br w:val="nil"/>
              <w:tr2bl w:val="nil"/>
            </w:tcBorders>
            <w:shd w:val="solid" w:color="FFFFFF" w:themeColor="background1" w:fill="auto"/>
            <w:noWrap/>
            <w:vAlign w:val="center"/>
          </w:tcPr>
          <w:p w14:paraId="7804C674">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声源控制措施</w:t>
            </w:r>
          </w:p>
        </w:tc>
        <w:tc>
          <w:tcPr>
            <w:tcW w:w="1879" w:type="dxa"/>
            <w:gridSpan w:val="2"/>
            <w:vMerge w:val="restart"/>
            <w:tcBorders>
              <w:tl2br w:val="nil"/>
              <w:tr2bl w:val="nil"/>
            </w:tcBorders>
            <w:shd w:val="solid" w:color="FFFFFF" w:themeColor="background1" w:fill="auto"/>
            <w:noWrap/>
            <w:vAlign w:val="center"/>
          </w:tcPr>
          <w:p w14:paraId="0FC7A8D3">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声源源强</w:t>
            </w:r>
          </w:p>
        </w:tc>
        <w:tc>
          <w:tcPr>
            <w:tcW w:w="1960" w:type="dxa"/>
            <w:gridSpan w:val="4"/>
            <w:vMerge w:val="restart"/>
            <w:tcBorders>
              <w:tl2br w:val="nil"/>
              <w:tr2bl w:val="nil"/>
            </w:tcBorders>
            <w:shd w:val="solid" w:color="FFFFFF" w:themeColor="background1" w:fill="auto"/>
            <w:noWrap/>
            <w:vAlign w:val="center"/>
          </w:tcPr>
          <w:p w14:paraId="3FA193D1">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距室内边界距离/m</w:t>
            </w:r>
          </w:p>
        </w:tc>
        <w:tc>
          <w:tcPr>
            <w:tcW w:w="1960" w:type="dxa"/>
            <w:gridSpan w:val="4"/>
            <w:vMerge w:val="restart"/>
            <w:tcBorders>
              <w:tl2br w:val="nil"/>
              <w:tr2bl w:val="nil"/>
            </w:tcBorders>
            <w:shd w:val="solid" w:color="FFFFFF" w:themeColor="background1" w:fill="auto"/>
            <w:noWrap/>
            <w:vAlign w:val="center"/>
          </w:tcPr>
          <w:p w14:paraId="0465F51D">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室内边界声级/dB</w:t>
            </w:r>
            <w:r>
              <w:rPr>
                <w:rFonts w:hint="eastAsia" w:cs="Times New Roman"/>
                <w:b/>
                <w:bCs w:val="0"/>
                <w:color w:val="auto"/>
                <w:kern w:val="0"/>
                <w:sz w:val="21"/>
                <w:szCs w:val="21"/>
                <w:highlight w:val="none"/>
                <w:lang w:val="en-US" w:eastAsia="zh-CN"/>
              </w:rPr>
              <w:t>（</w:t>
            </w:r>
            <w:r>
              <w:rPr>
                <w:rFonts w:hint="default" w:ascii="Times New Roman" w:hAnsi="Times New Roman" w:eastAsia="宋体" w:cs="Times New Roman"/>
                <w:b/>
                <w:bCs w:val="0"/>
                <w:color w:val="auto"/>
                <w:kern w:val="0"/>
                <w:sz w:val="21"/>
                <w:szCs w:val="21"/>
                <w:highlight w:val="none"/>
                <w:lang w:val="en-US" w:eastAsia="zh-CN"/>
              </w:rPr>
              <w:t>A</w:t>
            </w:r>
            <w:r>
              <w:rPr>
                <w:rFonts w:hint="eastAsia" w:cs="Times New Roman"/>
                <w:b/>
                <w:bCs w:val="0"/>
                <w:color w:val="auto"/>
                <w:kern w:val="0"/>
                <w:sz w:val="21"/>
                <w:szCs w:val="21"/>
                <w:highlight w:val="none"/>
                <w:lang w:val="en-US" w:eastAsia="zh-CN"/>
              </w:rPr>
              <w:t>）</w:t>
            </w:r>
          </w:p>
        </w:tc>
        <w:tc>
          <w:tcPr>
            <w:tcW w:w="569" w:type="dxa"/>
            <w:vMerge w:val="restart"/>
            <w:tcBorders>
              <w:tl2br w:val="nil"/>
              <w:tr2bl w:val="nil"/>
            </w:tcBorders>
            <w:shd w:val="solid" w:color="FFFFFF" w:themeColor="background1" w:fill="auto"/>
            <w:noWrap/>
            <w:vAlign w:val="center"/>
          </w:tcPr>
          <w:p w14:paraId="2B9BF51D">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运行时段</w:t>
            </w:r>
          </w:p>
        </w:tc>
        <w:tc>
          <w:tcPr>
            <w:tcW w:w="771" w:type="dxa"/>
            <w:vMerge w:val="restart"/>
            <w:tcBorders>
              <w:tl2br w:val="nil"/>
              <w:tr2bl w:val="nil"/>
            </w:tcBorders>
            <w:shd w:val="solid" w:color="FFFFFF" w:themeColor="background1" w:fill="auto"/>
            <w:noWrap/>
            <w:vAlign w:val="center"/>
          </w:tcPr>
          <w:p w14:paraId="0DD141EC">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建筑物插入损失/dB</w:t>
            </w:r>
            <w:r>
              <w:rPr>
                <w:rFonts w:hint="eastAsia" w:cs="Times New Roman"/>
                <w:b/>
                <w:bCs w:val="0"/>
                <w:color w:val="auto"/>
                <w:kern w:val="0"/>
                <w:sz w:val="21"/>
                <w:szCs w:val="21"/>
                <w:highlight w:val="none"/>
                <w:lang w:val="en-US" w:eastAsia="zh-CN"/>
              </w:rPr>
              <w:t>（</w:t>
            </w:r>
            <w:r>
              <w:rPr>
                <w:rFonts w:hint="default" w:ascii="Times New Roman" w:hAnsi="Times New Roman" w:eastAsia="宋体" w:cs="Times New Roman"/>
                <w:b/>
                <w:bCs w:val="0"/>
                <w:color w:val="auto"/>
                <w:kern w:val="0"/>
                <w:sz w:val="21"/>
                <w:szCs w:val="21"/>
                <w:highlight w:val="none"/>
                <w:lang w:val="en-US" w:eastAsia="zh-CN"/>
              </w:rPr>
              <w:t>A</w:t>
            </w:r>
            <w:r>
              <w:rPr>
                <w:rFonts w:hint="eastAsia" w:cs="Times New Roman"/>
                <w:b/>
                <w:bCs w:val="0"/>
                <w:color w:val="auto"/>
                <w:kern w:val="0"/>
                <w:sz w:val="21"/>
                <w:szCs w:val="21"/>
                <w:highlight w:val="none"/>
                <w:lang w:val="en-US" w:eastAsia="zh-CN"/>
              </w:rPr>
              <w:t>）</w:t>
            </w:r>
          </w:p>
        </w:tc>
        <w:tc>
          <w:tcPr>
            <w:tcW w:w="3322" w:type="dxa"/>
            <w:gridSpan w:val="8"/>
            <w:tcBorders>
              <w:tl2br w:val="nil"/>
              <w:tr2bl w:val="nil"/>
            </w:tcBorders>
            <w:shd w:val="solid" w:color="FFFFFF" w:themeColor="background1" w:fill="auto"/>
            <w:noWrap/>
            <w:vAlign w:val="center"/>
          </w:tcPr>
          <w:p w14:paraId="5DF0EDD0">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建筑物外噪音</w:t>
            </w:r>
          </w:p>
        </w:tc>
      </w:tr>
      <w:tr w14:paraId="0A99911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vMerge w:val="continue"/>
            <w:tcBorders>
              <w:tl2br w:val="nil"/>
              <w:tr2bl w:val="nil"/>
            </w:tcBorders>
            <w:shd w:val="solid" w:color="FFFFFF" w:themeColor="background1" w:fill="auto"/>
            <w:noWrap/>
            <w:vAlign w:val="center"/>
          </w:tcPr>
          <w:p w14:paraId="2B66639B">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373" w:type="dxa"/>
            <w:vMerge w:val="continue"/>
            <w:tcBorders>
              <w:tl2br w:val="nil"/>
              <w:tr2bl w:val="nil"/>
            </w:tcBorders>
            <w:shd w:val="solid" w:color="FFFFFF" w:themeColor="background1" w:fill="auto"/>
            <w:noWrap/>
            <w:vAlign w:val="center"/>
          </w:tcPr>
          <w:p w14:paraId="011EE90C">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1319" w:type="dxa"/>
            <w:gridSpan w:val="3"/>
            <w:vMerge w:val="continue"/>
            <w:tcBorders>
              <w:tl2br w:val="nil"/>
              <w:tr2bl w:val="nil"/>
            </w:tcBorders>
            <w:shd w:val="solid" w:color="FFFFFF" w:themeColor="background1" w:fill="auto"/>
            <w:noWrap/>
            <w:vAlign w:val="center"/>
          </w:tcPr>
          <w:p w14:paraId="5AF87683">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1165" w:type="dxa"/>
            <w:vMerge w:val="continue"/>
            <w:tcBorders>
              <w:tl2br w:val="nil"/>
              <w:tr2bl w:val="nil"/>
            </w:tcBorders>
            <w:shd w:val="solid" w:color="FFFFFF" w:themeColor="background1" w:fill="auto"/>
            <w:noWrap/>
            <w:vAlign w:val="center"/>
          </w:tcPr>
          <w:p w14:paraId="147BEA83">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1879" w:type="dxa"/>
            <w:gridSpan w:val="2"/>
            <w:vMerge w:val="continue"/>
            <w:tcBorders>
              <w:tl2br w:val="nil"/>
              <w:tr2bl w:val="nil"/>
            </w:tcBorders>
            <w:shd w:val="solid" w:color="FFFFFF" w:themeColor="background1" w:fill="auto"/>
            <w:noWrap/>
            <w:vAlign w:val="center"/>
          </w:tcPr>
          <w:p w14:paraId="43FFCEBA">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1960" w:type="dxa"/>
            <w:gridSpan w:val="4"/>
            <w:vMerge w:val="continue"/>
            <w:tcBorders>
              <w:tl2br w:val="nil"/>
              <w:tr2bl w:val="nil"/>
            </w:tcBorders>
            <w:shd w:val="solid" w:color="FFFFFF" w:themeColor="background1" w:fill="auto"/>
            <w:noWrap/>
            <w:vAlign w:val="center"/>
          </w:tcPr>
          <w:p w14:paraId="2D2BB21F">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1960" w:type="dxa"/>
            <w:gridSpan w:val="4"/>
            <w:vMerge w:val="continue"/>
            <w:tcBorders>
              <w:tl2br w:val="nil"/>
              <w:tr2bl w:val="nil"/>
            </w:tcBorders>
            <w:shd w:val="solid" w:color="FFFFFF" w:themeColor="background1" w:fill="auto"/>
            <w:noWrap/>
            <w:vAlign w:val="center"/>
          </w:tcPr>
          <w:p w14:paraId="2F0D8958">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569" w:type="dxa"/>
            <w:vMerge w:val="continue"/>
            <w:tcBorders>
              <w:tl2br w:val="nil"/>
              <w:tr2bl w:val="nil"/>
            </w:tcBorders>
            <w:shd w:val="solid" w:color="FFFFFF" w:themeColor="background1" w:fill="auto"/>
            <w:noWrap/>
            <w:vAlign w:val="center"/>
          </w:tcPr>
          <w:p w14:paraId="10799889">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771" w:type="dxa"/>
            <w:vMerge w:val="continue"/>
            <w:tcBorders>
              <w:tl2br w:val="nil"/>
              <w:tr2bl w:val="nil"/>
            </w:tcBorders>
            <w:shd w:val="solid" w:color="FFFFFF" w:themeColor="background1" w:fill="auto"/>
            <w:noWrap/>
            <w:vAlign w:val="center"/>
          </w:tcPr>
          <w:p w14:paraId="4C1808C4">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1960" w:type="dxa"/>
            <w:gridSpan w:val="4"/>
            <w:tcBorders>
              <w:tl2br w:val="nil"/>
              <w:tr2bl w:val="nil"/>
            </w:tcBorders>
            <w:shd w:val="solid" w:color="FFFFFF" w:themeColor="background1" w:fill="auto"/>
            <w:noWrap/>
            <w:vAlign w:val="center"/>
          </w:tcPr>
          <w:p w14:paraId="16F51B2E">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声压级/dB</w:t>
            </w:r>
            <w:r>
              <w:rPr>
                <w:rFonts w:hint="eastAsia" w:cs="Times New Roman"/>
                <w:b/>
                <w:bCs w:val="0"/>
                <w:color w:val="auto"/>
                <w:kern w:val="0"/>
                <w:sz w:val="21"/>
                <w:szCs w:val="21"/>
                <w:highlight w:val="none"/>
                <w:lang w:val="en-US" w:eastAsia="zh-CN"/>
              </w:rPr>
              <w:t>（</w:t>
            </w:r>
            <w:r>
              <w:rPr>
                <w:rFonts w:hint="default" w:ascii="Times New Roman" w:hAnsi="Times New Roman" w:eastAsia="宋体" w:cs="Times New Roman"/>
                <w:b/>
                <w:bCs w:val="0"/>
                <w:color w:val="auto"/>
                <w:kern w:val="0"/>
                <w:sz w:val="21"/>
                <w:szCs w:val="21"/>
                <w:highlight w:val="none"/>
                <w:lang w:val="en-US" w:eastAsia="zh-CN"/>
              </w:rPr>
              <w:t>A</w:t>
            </w:r>
            <w:r>
              <w:rPr>
                <w:rFonts w:hint="eastAsia" w:cs="Times New Roman"/>
                <w:b/>
                <w:bCs w:val="0"/>
                <w:color w:val="auto"/>
                <w:kern w:val="0"/>
                <w:sz w:val="21"/>
                <w:szCs w:val="21"/>
                <w:highlight w:val="none"/>
                <w:lang w:val="en-US" w:eastAsia="zh-CN"/>
              </w:rPr>
              <w:t>）</w:t>
            </w:r>
          </w:p>
        </w:tc>
        <w:tc>
          <w:tcPr>
            <w:tcW w:w="1362" w:type="dxa"/>
            <w:gridSpan w:val="4"/>
            <w:tcBorders>
              <w:tl2br w:val="nil"/>
              <w:tr2bl w:val="nil"/>
            </w:tcBorders>
            <w:shd w:val="solid" w:color="FFFFFF" w:themeColor="background1" w:fill="auto"/>
            <w:noWrap/>
            <w:vAlign w:val="center"/>
          </w:tcPr>
          <w:p w14:paraId="6D30C5DB">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建筑物外距离/m</w:t>
            </w:r>
          </w:p>
        </w:tc>
      </w:tr>
      <w:tr w14:paraId="56D06E9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vMerge w:val="continue"/>
            <w:tcBorders>
              <w:tl2br w:val="nil"/>
              <w:tr2bl w:val="nil"/>
            </w:tcBorders>
            <w:shd w:val="solid" w:color="FFFFFF" w:themeColor="background1" w:fill="auto"/>
            <w:noWrap/>
            <w:vAlign w:val="center"/>
          </w:tcPr>
          <w:p w14:paraId="5A2BAF37">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373" w:type="dxa"/>
            <w:vMerge w:val="continue"/>
            <w:tcBorders>
              <w:tl2br w:val="nil"/>
              <w:tr2bl w:val="nil"/>
            </w:tcBorders>
            <w:shd w:val="solid" w:color="FFFFFF" w:themeColor="background1" w:fill="auto"/>
            <w:noWrap/>
            <w:vAlign w:val="center"/>
          </w:tcPr>
          <w:p w14:paraId="3B7F4142">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531" w:type="dxa"/>
            <w:tcBorders>
              <w:tl2br w:val="nil"/>
              <w:tr2bl w:val="nil"/>
            </w:tcBorders>
            <w:shd w:val="solid" w:color="FFFFFF" w:themeColor="background1" w:fill="auto"/>
            <w:noWrap/>
            <w:vAlign w:val="center"/>
          </w:tcPr>
          <w:p w14:paraId="5DBF9448">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X</w:t>
            </w:r>
          </w:p>
        </w:tc>
        <w:tc>
          <w:tcPr>
            <w:tcW w:w="490" w:type="dxa"/>
            <w:tcBorders>
              <w:tl2br w:val="nil"/>
              <w:tr2bl w:val="nil"/>
            </w:tcBorders>
            <w:shd w:val="solid" w:color="FFFFFF" w:themeColor="background1" w:fill="auto"/>
            <w:noWrap/>
            <w:vAlign w:val="center"/>
          </w:tcPr>
          <w:p w14:paraId="1C2A78DD">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Y</w:t>
            </w:r>
          </w:p>
        </w:tc>
        <w:tc>
          <w:tcPr>
            <w:tcW w:w="298" w:type="dxa"/>
            <w:tcBorders>
              <w:tl2br w:val="nil"/>
              <w:tr2bl w:val="nil"/>
            </w:tcBorders>
            <w:shd w:val="solid" w:color="FFFFFF" w:themeColor="background1" w:fill="auto"/>
            <w:noWrap/>
            <w:vAlign w:val="center"/>
          </w:tcPr>
          <w:p w14:paraId="68D94DA1">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Z</w:t>
            </w:r>
          </w:p>
        </w:tc>
        <w:tc>
          <w:tcPr>
            <w:tcW w:w="1165" w:type="dxa"/>
            <w:vMerge w:val="continue"/>
            <w:tcBorders>
              <w:tl2br w:val="nil"/>
              <w:tr2bl w:val="nil"/>
            </w:tcBorders>
            <w:shd w:val="solid" w:color="FFFFFF" w:themeColor="background1" w:fill="auto"/>
            <w:noWrap/>
            <w:vAlign w:val="center"/>
          </w:tcPr>
          <w:p w14:paraId="5D772A7E">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916" w:type="dxa"/>
            <w:tcBorders>
              <w:tl2br w:val="nil"/>
              <w:tr2bl w:val="nil"/>
            </w:tcBorders>
            <w:shd w:val="solid" w:color="FFFFFF" w:themeColor="background1" w:fill="auto"/>
            <w:noWrap/>
            <w:vAlign w:val="center"/>
          </w:tcPr>
          <w:p w14:paraId="119D4619">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声压级/dB</w:t>
            </w:r>
            <w:r>
              <w:rPr>
                <w:rFonts w:hint="eastAsia" w:cs="Times New Roman"/>
                <w:b/>
                <w:bCs w:val="0"/>
                <w:color w:val="auto"/>
                <w:kern w:val="0"/>
                <w:sz w:val="21"/>
                <w:szCs w:val="21"/>
                <w:highlight w:val="none"/>
                <w:lang w:val="en-US" w:eastAsia="zh-CN"/>
              </w:rPr>
              <w:t>（</w:t>
            </w:r>
            <w:r>
              <w:rPr>
                <w:rFonts w:hint="default" w:ascii="Times New Roman" w:hAnsi="Times New Roman" w:eastAsia="宋体" w:cs="Times New Roman"/>
                <w:b/>
                <w:bCs w:val="0"/>
                <w:color w:val="auto"/>
                <w:kern w:val="0"/>
                <w:sz w:val="21"/>
                <w:szCs w:val="21"/>
                <w:highlight w:val="none"/>
                <w:lang w:val="en-US" w:eastAsia="zh-CN"/>
              </w:rPr>
              <w:t>A</w:t>
            </w:r>
            <w:r>
              <w:rPr>
                <w:rFonts w:hint="eastAsia" w:cs="Times New Roman"/>
                <w:b/>
                <w:bCs w:val="0"/>
                <w:color w:val="auto"/>
                <w:kern w:val="0"/>
                <w:sz w:val="21"/>
                <w:szCs w:val="21"/>
                <w:highlight w:val="none"/>
                <w:lang w:val="en-US" w:eastAsia="zh-CN"/>
              </w:rPr>
              <w:t>）</w:t>
            </w:r>
          </w:p>
        </w:tc>
        <w:tc>
          <w:tcPr>
            <w:tcW w:w="963" w:type="dxa"/>
            <w:tcBorders>
              <w:tl2br w:val="nil"/>
              <w:tr2bl w:val="nil"/>
            </w:tcBorders>
            <w:shd w:val="solid" w:color="FFFFFF" w:themeColor="background1" w:fill="auto"/>
            <w:noWrap/>
            <w:vAlign w:val="center"/>
          </w:tcPr>
          <w:p w14:paraId="0AB2C858">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距声源距离/m</w:t>
            </w:r>
          </w:p>
        </w:tc>
        <w:tc>
          <w:tcPr>
            <w:tcW w:w="490" w:type="dxa"/>
            <w:tcBorders>
              <w:tl2br w:val="nil"/>
              <w:tr2bl w:val="nil"/>
            </w:tcBorders>
            <w:shd w:val="solid" w:color="FFFFFF" w:themeColor="background1" w:fill="auto"/>
            <w:noWrap/>
            <w:vAlign w:val="center"/>
          </w:tcPr>
          <w:p w14:paraId="51EB40E9">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东</w:t>
            </w:r>
          </w:p>
        </w:tc>
        <w:tc>
          <w:tcPr>
            <w:tcW w:w="490" w:type="dxa"/>
            <w:tcBorders>
              <w:tl2br w:val="nil"/>
              <w:tr2bl w:val="nil"/>
            </w:tcBorders>
            <w:shd w:val="solid" w:color="FFFFFF" w:themeColor="background1" w:fill="auto"/>
            <w:noWrap/>
            <w:vAlign w:val="center"/>
          </w:tcPr>
          <w:p w14:paraId="392CD499">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南</w:t>
            </w:r>
          </w:p>
        </w:tc>
        <w:tc>
          <w:tcPr>
            <w:tcW w:w="490" w:type="dxa"/>
            <w:tcBorders>
              <w:tl2br w:val="nil"/>
              <w:tr2bl w:val="nil"/>
            </w:tcBorders>
            <w:shd w:val="solid" w:color="FFFFFF" w:themeColor="background1" w:fill="auto"/>
            <w:noWrap/>
            <w:vAlign w:val="center"/>
          </w:tcPr>
          <w:p w14:paraId="3207513B">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西</w:t>
            </w:r>
          </w:p>
        </w:tc>
        <w:tc>
          <w:tcPr>
            <w:tcW w:w="490" w:type="dxa"/>
            <w:tcBorders>
              <w:tl2br w:val="nil"/>
              <w:tr2bl w:val="nil"/>
            </w:tcBorders>
            <w:shd w:val="solid" w:color="FFFFFF" w:themeColor="background1" w:fill="auto"/>
            <w:noWrap/>
            <w:vAlign w:val="center"/>
          </w:tcPr>
          <w:p w14:paraId="085F20A4">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北</w:t>
            </w:r>
          </w:p>
        </w:tc>
        <w:tc>
          <w:tcPr>
            <w:tcW w:w="490" w:type="dxa"/>
            <w:tcBorders>
              <w:tl2br w:val="nil"/>
              <w:tr2bl w:val="nil"/>
            </w:tcBorders>
            <w:shd w:val="solid" w:color="FFFFFF" w:themeColor="background1" w:fill="auto"/>
            <w:noWrap/>
            <w:vAlign w:val="center"/>
          </w:tcPr>
          <w:p w14:paraId="6A94986C">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东</w:t>
            </w:r>
          </w:p>
        </w:tc>
        <w:tc>
          <w:tcPr>
            <w:tcW w:w="490" w:type="dxa"/>
            <w:tcBorders>
              <w:tl2br w:val="nil"/>
              <w:tr2bl w:val="nil"/>
            </w:tcBorders>
            <w:shd w:val="solid" w:color="FFFFFF" w:themeColor="background1" w:fill="auto"/>
            <w:noWrap/>
            <w:vAlign w:val="center"/>
          </w:tcPr>
          <w:p w14:paraId="103AD479">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南</w:t>
            </w:r>
          </w:p>
        </w:tc>
        <w:tc>
          <w:tcPr>
            <w:tcW w:w="490" w:type="dxa"/>
            <w:tcBorders>
              <w:tl2br w:val="nil"/>
              <w:tr2bl w:val="nil"/>
            </w:tcBorders>
            <w:shd w:val="solid" w:color="FFFFFF" w:themeColor="background1" w:fill="auto"/>
            <w:noWrap/>
            <w:vAlign w:val="center"/>
          </w:tcPr>
          <w:p w14:paraId="57080D0A">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西</w:t>
            </w:r>
          </w:p>
        </w:tc>
        <w:tc>
          <w:tcPr>
            <w:tcW w:w="490" w:type="dxa"/>
            <w:tcBorders>
              <w:tl2br w:val="nil"/>
              <w:tr2bl w:val="nil"/>
            </w:tcBorders>
            <w:shd w:val="solid" w:color="FFFFFF" w:themeColor="background1" w:fill="auto"/>
            <w:noWrap/>
            <w:vAlign w:val="center"/>
          </w:tcPr>
          <w:p w14:paraId="71CAFCE4">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北</w:t>
            </w:r>
          </w:p>
        </w:tc>
        <w:tc>
          <w:tcPr>
            <w:tcW w:w="569" w:type="dxa"/>
            <w:vMerge w:val="continue"/>
            <w:tcBorders>
              <w:tl2br w:val="nil"/>
              <w:tr2bl w:val="nil"/>
            </w:tcBorders>
            <w:shd w:val="solid" w:color="FFFFFF" w:themeColor="background1" w:fill="auto"/>
            <w:noWrap/>
            <w:vAlign w:val="center"/>
          </w:tcPr>
          <w:p w14:paraId="6CAFD997">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771" w:type="dxa"/>
            <w:vMerge w:val="continue"/>
            <w:tcBorders>
              <w:tl2br w:val="nil"/>
              <w:tr2bl w:val="nil"/>
            </w:tcBorders>
            <w:shd w:val="solid" w:color="FFFFFF" w:themeColor="background1" w:fill="auto"/>
            <w:noWrap/>
            <w:vAlign w:val="center"/>
          </w:tcPr>
          <w:p w14:paraId="4E6DEBF0">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p>
        </w:tc>
        <w:tc>
          <w:tcPr>
            <w:tcW w:w="490" w:type="dxa"/>
            <w:tcBorders>
              <w:tl2br w:val="nil"/>
              <w:tr2bl w:val="nil"/>
            </w:tcBorders>
            <w:shd w:val="solid" w:color="FFFFFF" w:themeColor="background1" w:fill="auto"/>
            <w:noWrap/>
            <w:vAlign w:val="center"/>
          </w:tcPr>
          <w:p w14:paraId="31EC23A9">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东</w:t>
            </w:r>
          </w:p>
        </w:tc>
        <w:tc>
          <w:tcPr>
            <w:tcW w:w="490" w:type="dxa"/>
            <w:tcBorders>
              <w:tl2br w:val="nil"/>
              <w:tr2bl w:val="nil"/>
            </w:tcBorders>
            <w:shd w:val="solid" w:color="FFFFFF" w:themeColor="background1" w:fill="auto"/>
            <w:noWrap/>
            <w:vAlign w:val="center"/>
          </w:tcPr>
          <w:p w14:paraId="36E4CEA0">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南</w:t>
            </w:r>
          </w:p>
        </w:tc>
        <w:tc>
          <w:tcPr>
            <w:tcW w:w="490" w:type="dxa"/>
            <w:tcBorders>
              <w:tl2br w:val="nil"/>
              <w:tr2bl w:val="nil"/>
            </w:tcBorders>
            <w:shd w:val="solid" w:color="FFFFFF" w:themeColor="background1" w:fill="auto"/>
            <w:noWrap/>
            <w:vAlign w:val="center"/>
          </w:tcPr>
          <w:p w14:paraId="3EC907DE">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西</w:t>
            </w:r>
          </w:p>
        </w:tc>
        <w:tc>
          <w:tcPr>
            <w:tcW w:w="490" w:type="dxa"/>
            <w:tcBorders>
              <w:tl2br w:val="nil"/>
              <w:tr2bl w:val="nil"/>
            </w:tcBorders>
            <w:shd w:val="solid" w:color="FFFFFF" w:themeColor="background1" w:fill="auto"/>
            <w:noWrap/>
            <w:vAlign w:val="center"/>
          </w:tcPr>
          <w:p w14:paraId="7156DA0E">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北</w:t>
            </w:r>
          </w:p>
        </w:tc>
        <w:tc>
          <w:tcPr>
            <w:tcW w:w="340" w:type="dxa"/>
            <w:tcBorders>
              <w:tl2br w:val="nil"/>
              <w:tr2bl w:val="nil"/>
            </w:tcBorders>
            <w:shd w:val="solid" w:color="FFFFFF" w:themeColor="background1" w:fill="auto"/>
            <w:noWrap/>
            <w:vAlign w:val="center"/>
          </w:tcPr>
          <w:p w14:paraId="083DC083">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东</w:t>
            </w:r>
          </w:p>
        </w:tc>
        <w:tc>
          <w:tcPr>
            <w:tcW w:w="340" w:type="dxa"/>
            <w:tcBorders>
              <w:tl2br w:val="nil"/>
              <w:tr2bl w:val="nil"/>
            </w:tcBorders>
            <w:shd w:val="solid" w:color="FFFFFF" w:themeColor="background1" w:fill="auto"/>
            <w:noWrap/>
            <w:vAlign w:val="center"/>
          </w:tcPr>
          <w:p w14:paraId="5177A55A">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南</w:t>
            </w:r>
          </w:p>
        </w:tc>
        <w:tc>
          <w:tcPr>
            <w:tcW w:w="341" w:type="dxa"/>
            <w:tcBorders>
              <w:tl2br w:val="nil"/>
              <w:tr2bl w:val="nil"/>
            </w:tcBorders>
            <w:shd w:val="solid" w:color="FFFFFF" w:themeColor="background1" w:fill="auto"/>
            <w:noWrap/>
            <w:vAlign w:val="center"/>
          </w:tcPr>
          <w:p w14:paraId="3F6FDDC1">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西</w:t>
            </w:r>
          </w:p>
        </w:tc>
        <w:tc>
          <w:tcPr>
            <w:tcW w:w="341" w:type="dxa"/>
            <w:tcBorders>
              <w:tl2br w:val="nil"/>
              <w:tr2bl w:val="nil"/>
            </w:tcBorders>
            <w:shd w:val="solid" w:color="FFFFFF" w:themeColor="background1" w:fill="auto"/>
            <w:noWrap/>
            <w:vAlign w:val="center"/>
          </w:tcPr>
          <w:p w14:paraId="35410E8F">
            <w:pPr>
              <w:adjustRightInd w:val="0"/>
              <w:snapToGrid w:val="0"/>
              <w:spacing w:line="360" w:lineRule="auto"/>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北</w:t>
            </w:r>
          </w:p>
        </w:tc>
      </w:tr>
      <w:tr w14:paraId="0F61E49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tcBorders>
              <w:tl2br w:val="nil"/>
              <w:tr2bl w:val="nil"/>
            </w:tcBorders>
            <w:shd w:val="clear" w:color="auto" w:fill="auto"/>
            <w:noWrap/>
            <w:vAlign w:val="center"/>
          </w:tcPr>
          <w:p w14:paraId="596778E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lang w:val="en-US"/>
              </w:rPr>
            </w:pPr>
            <w:r>
              <w:rPr>
                <w:rFonts w:hint="default" w:ascii="Times New Roman" w:hAnsi="Times New Roman" w:eastAsia="宋体" w:cs="Times New Roman"/>
                <w:b w:val="0"/>
                <w:bCs/>
                <w:color w:val="auto"/>
                <w:kern w:val="0"/>
                <w:sz w:val="21"/>
                <w:szCs w:val="21"/>
                <w:highlight w:val="none"/>
                <w:lang w:val="en-US" w:eastAsia="zh-CN"/>
              </w:rPr>
              <w:t>破碎机</w:t>
            </w:r>
            <w:r>
              <w:rPr>
                <w:rFonts w:hint="eastAsia" w:ascii="Times New Roman" w:hAnsi="Times New Roman" w:eastAsia="宋体" w:cs="Times New Roman"/>
                <w:b w:val="0"/>
                <w:bCs/>
                <w:color w:val="auto"/>
                <w:kern w:val="0"/>
                <w:sz w:val="21"/>
                <w:szCs w:val="21"/>
                <w:highlight w:val="none"/>
                <w:lang w:val="en-US" w:eastAsia="zh-CN"/>
              </w:rPr>
              <w:t>1</w:t>
            </w:r>
          </w:p>
        </w:tc>
        <w:tc>
          <w:tcPr>
            <w:tcW w:w="373" w:type="dxa"/>
            <w:tcBorders>
              <w:tl2br w:val="nil"/>
              <w:tr2bl w:val="nil"/>
            </w:tcBorders>
            <w:shd w:val="clear" w:color="auto" w:fill="auto"/>
            <w:noWrap/>
            <w:vAlign w:val="center"/>
          </w:tcPr>
          <w:p w14:paraId="16280F0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531" w:type="dxa"/>
            <w:tcBorders>
              <w:tl2br w:val="nil"/>
              <w:tr2bl w:val="nil"/>
            </w:tcBorders>
            <w:shd w:val="clear" w:color="auto" w:fill="auto"/>
            <w:noWrap/>
            <w:vAlign w:val="center"/>
          </w:tcPr>
          <w:p w14:paraId="5FEAA3E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-11.94</w:t>
            </w:r>
          </w:p>
        </w:tc>
        <w:tc>
          <w:tcPr>
            <w:tcW w:w="490" w:type="dxa"/>
            <w:tcBorders>
              <w:tl2br w:val="nil"/>
              <w:tr2bl w:val="nil"/>
            </w:tcBorders>
            <w:shd w:val="clear" w:color="auto" w:fill="auto"/>
            <w:noWrap/>
            <w:vAlign w:val="center"/>
          </w:tcPr>
          <w:p w14:paraId="2386698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49.32</w:t>
            </w:r>
          </w:p>
        </w:tc>
        <w:tc>
          <w:tcPr>
            <w:tcW w:w="298" w:type="dxa"/>
            <w:tcBorders>
              <w:tl2br w:val="nil"/>
              <w:tr2bl w:val="nil"/>
            </w:tcBorders>
            <w:shd w:val="clear" w:color="auto" w:fill="auto"/>
            <w:noWrap/>
            <w:vAlign w:val="center"/>
          </w:tcPr>
          <w:p w14:paraId="5B3ECB3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1165" w:type="dxa"/>
            <w:vMerge w:val="restart"/>
            <w:tcBorders>
              <w:tl2br w:val="nil"/>
              <w:tr2bl w:val="nil"/>
            </w:tcBorders>
            <w:shd w:val="clear" w:color="auto" w:fill="auto"/>
            <w:noWrap/>
            <w:vAlign w:val="center"/>
          </w:tcPr>
          <w:p w14:paraId="2E0D285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距离衰减、减震措施</w:t>
            </w:r>
            <w:r>
              <w:rPr>
                <w:rFonts w:hint="eastAsia" w:cs="Times New Roman"/>
                <w:i w:val="0"/>
                <w:iCs w:val="0"/>
                <w:color w:val="auto"/>
                <w:kern w:val="0"/>
                <w:sz w:val="21"/>
                <w:szCs w:val="21"/>
                <w:highlight w:val="none"/>
                <w:u w:val="none"/>
                <w:lang w:val="en-US" w:eastAsia="zh-CN" w:bidi="ar"/>
              </w:rPr>
              <w:t>、</w:t>
            </w:r>
            <w:r>
              <w:rPr>
                <w:rFonts w:hint="eastAsia" w:cs="Times New Roman"/>
                <w:color w:val="auto"/>
                <w:kern w:val="0"/>
                <w:sz w:val="21"/>
                <w:szCs w:val="21"/>
                <w:highlight w:val="none"/>
                <w:lang w:val="en-US" w:eastAsia="zh-CN" w:bidi="ar"/>
              </w:rPr>
              <w:t>车间封闭隔声处理</w:t>
            </w:r>
          </w:p>
        </w:tc>
        <w:tc>
          <w:tcPr>
            <w:tcW w:w="916" w:type="dxa"/>
            <w:tcBorders>
              <w:tl2br w:val="nil"/>
              <w:tr2bl w:val="nil"/>
            </w:tcBorders>
            <w:shd w:val="clear" w:color="auto" w:fill="auto"/>
            <w:noWrap/>
            <w:vAlign w:val="center"/>
          </w:tcPr>
          <w:p w14:paraId="280B31D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eastAsia" w:ascii="Times New Roman" w:hAnsi="Times New Roman" w:eastAsia="宋体" w:cs="Times New Roman"/>
                <w:b w:val="0"/>
                <w:bCs/>
                <w:color w:val="auto"/>
                <w:kern w:val="0"/>
                <w:sz w:val="21"/>
                <w:szCs w:val="21"/>
                <w:highlight w:val="none"/>
                <w:lang w:val="en-US" w:eastAsia="zh-CN"/>
              </w:rPr>
              <w:t>80</w:t>
            </w:r>
            <w:r>
              <w:rPr>
                <w:rFonts w:hint="default" w:ascii="Times New Roman" w:hAnsi="Times New Roman" w:eastAsia="宋体" w:cs="Times New Roman"/>
                <w:b w:val="0"/>
                <w:bCs/>
                <w:color w:val="auto"/>
                <w:kern w:val="0"/>
                <w:sz w:val="21"/>
                <w:szCs w:val="21"/>
                <w:highlight w:val="none"/>
                <w:lang w:val="en-US" w:eastAsia="zh-CN"/>
              </w:rPr>
              <w:t>.00</w:t>
            </w:r>
          </w:p>
        </w:tc>
        <w:tc>
          <w:tcPr>
            <w:tcW w:w="963" w:type="dxa"/>
            <w:tcBorders>
              <w:tl2br w:val="nil"/>
              <w:tr2bl w:val="nil"/>
            </w:tcBorders>
            <w:shd w:val="clear" w:color="auto" w:fill="auto"/>
            <w:noWrap/>
            <w:vAlign w:val="center"/>
          </w:tcPr>
          <w:p w14:paraId="4B356ED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490" w:type="dxa"/>
            <w:tcBorders>
              <w:tl2br w:val="nil"/>
              <w:tr2bl w:val="nil"/>
            </w:tcBorders>
            <w:shd w:val="clear" w:color="auto" w:fill="auto"/>
            <w:noWrap/>
            <w:vAlign w:val="center"/>
          </w:tcPr>
          <w:p w14:paraId="3F38C60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29.31</w:t>
            </w:r>
          </w:p>
        </w:tc>
        <w:tc>
          <w:tcPr>
            <w:tcW w:w="490" w:type="dxa"/>
            <w:tcBorders>
              <w:tl2br w:val="nil"/>
              <w:tr2bl w:val="nil"/>
            </w:tcBorders>
            <w:shd w:val="clear" w:color="auto" w:fill="auto"/>
            <w:noWrap/>
            <w:vAlign w:val="center"/>
          </w:tcPr>
          <w:p w14:paraId="07D9F79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50.48</w:t>
            </w:r>
          </w:p>
        </w:tc>
        <w:tc>
          <w:tcPr>
            <w:tcW w:w="490" w:type="dxa"/>
            <w:tcBorders>
              <w:tl2br w:val="nil"/>
              <w:tr2bl w:val="nil"/>
            </w:tcBorders>
            <w:shd w:val="clear" w:color="auto" w:fill="auto"/>
            <w:noWrap/>
            <w:vAlign w:val="center"/>
          </w:tcPr>
          <w:p w14:paraId="1D88E50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4.33</w:t>
            </w:r>
          </w:p>
        </w:tc>
        <w:tc>
          <w:tcPr>
            <w:tcW w:w="490" w:type="dxa"/>
            <w:tcBorders>
              <w:tl2br w:val="nil"/>
              <w:tr2bl w:val="nil"/>
            </w:tcBorders>
            <w:shd w:val="clear" w:color="auto" w:fill="auto"/>
            <w:noWrap/>
            <w:vAlign w:val="center"/>
          </w:tcPr>
          <w:p w14:paraId="08D398A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2.22</w:t>
            </w:r>
          </w:p>
        </w:tc>
        <w:tc>
          <w:tcPr>
            <w:tcW w:w="490" w:type="dxa"/>
            <w:tcBorders>
              <w:tl2br w:val="nil"/>
              <w:tr2bl w:val="nil"/>
            </w:tcBorders>
            <w:shd w:val="clear" w:color="auto" w:fill="auto"/>
            <w:noWrap/>
            <w:vAlign w:val="center"/>
          </w:tcPr>
          <w:p w14:paraId="7BFAD41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45.66</w:t>
            </w:r>
          </w:p>
        </w:tc>
        <w:tc>
          <w:tcPr>
            <w:tcW w:w="490" w:type="dxa"/>
            <w:tcBorders>
              <w:tl2br w:val="nil"/>
              <w:tr2bl w:val="nil"/>
            </w:tcBorders>
            <w:shd w:val="clear" w:color="auto" w:fill="auto"/>
            <w:noWrap/>
            <w:vAlign w:val="center"/>
          </w:tcPr>
          <w:p w14:paraId="68FBB59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40.94</w:t>
            </w:r>
          </w:p>
        </w:tc>
        <w:tc>
          <w:tcPr>
            <w:tcW w:w="490" w:type="dxa"/>
            <w:tcBorders>
              <w:tl2br w:val="nil"/>
              <w:tr2bl w:val="nil"/>
            </w:tcBorders>
            <w:shd w:val="clear" w:color="auto" w:fill="auto"/>
            <w:noWrap/>
            <w:vAlign w:val="center"/>
          </w:tcPr>
          <w:p w14:paraId="7A6853E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62.27</w:t>
            </w:r>
          </w:p>
        </w:tc>
        <w:tc>
          <w:tcPr>
            <w:tcW w:w="490" w:type="dxa"/>
            <w:tcBorders>
              <w:tl2br w:val="nil"/>
              <w:tr2bl w:val="nil"/>
            </w:tcBorders>
            <w:shd w:val="clear" w:color="auto" w:fill="auto"/>
            <w:noWrap/>
            <w:vAlign w:val="center"/>
          </w:tcPr>
          <w:p w14:paraId="2A82024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68.09</w:t>
            </w:r>
          </w:p>
        </w:tc>
        <w:tc>
          <w:tcPr>
            <w:tcW w:w="569" w:type="dxa"/>
            <w:vMerge w:val="restart"/>
            <w:tcBorders>
              <w:tl2br w:val="nil"/>
              <w:tr2bl w:val="nil"/>
            </w:tcBorders>
            <w:shd w:val="clear" w:color="auto" w:fill="auto"/>
            <w:noWrap/>
            <w:vAlign w:val="center"/>
          </w:tcPr>
          <w:p w14:paraId="16BED28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昼间</w:t>
            </w:r>
          </w:p>
        </w:tc>
        <w:tc>
          <w:tcPr>
            <w:tcW w:w="771" w:type="dxa"/>
            <w:tcBorders>
              <w:tl2br w:val="nil"/>
              <w:tr2bl w:val="nil"/>
            </w:tcBorders>
            <w:shd w:val="clear" w:color="auto" w:fill="auto"/>
            <w:noWrap/>
            <w:vAlign w:val="center"/>
          </w:tcPr>
          <w:p w14:paraId="60D7D83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w:t>
            </w:r>
          </w:p>
        </w:tc>
        <w:tc>
          <w:tcPr>
            <w:tcW w:w="490" w:type="dxa"/>
            <w:tcBorders>
              <w:tl2br w:val="nil"/>
              <w:tr2bl w:val="nil"/>
            </w:tcBorders>
            <w:shd w:val="clear" w:color="auto" w:fill="auto"/>
            <w:noWrap/>
            <w:vAlign w:val="center"/>
          </w:tcPr>
          <w:p w14:paraId="5B50D16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19.37</w:t>
            </w:r>
          </w:p>
        </w:tc>
        <w:tc>
          <w:tcPr>
            <w:tcW w:w="490" w:type="dxa"/>
            <w:tcBorders>
              <w:tl2br w:val="nil"/>
              <w:tr2bl w:val="nil"/>
            </w:tcBorders>
            <w:shd w:val="clear" w:color="auto" w:fill="auto"/>
            <w:noWrap/>
            <w:vAlign w:val="center"/>
          </w:tcPr>
          <w:p w14:paraId="21D37BF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14.77</w:t>
            </w:r>
          </w:p>
        </w:tc>
        <w:tc>
          <w:tcPr>
            <w:tcW w:w="490" w:type="dxa"/>
            <w:tcBorders>
              <w:tl2br w:val="nil"/>
              <w:tr2bl w:val="nil"/>
            </w:tcBorders>
            <w:shd w:val="clear" w:color="auto" w:fill="auto"/>
            <w:noWrap/>
            <w:vAlign w:val="center"/>
          </w:tcPr>
          <w:p w14:paraId="5E91060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34.47</w:t>
            </w:r>
          </w:p>
        </w:tc>
        <w:tc>
          <w:tcPr>
            <w:tcW w:w="490" w:type="dxa"/>
            <w:tcBorders>
              <w:tl2br w:val="nil"/>
              <w:tr2bl w:val="nil"/>
            </w:tcBorders>
            <w:shd w:val="clear" w:color="auto" w:fill="auto"/>
            <w:noWrap/>
            <w:vAlign w:val="center"/>
          </w:tcPr>
          <w:p w14:paraId="525A4F7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38.85</w:t>
            </w:r>
          </w:p>
        </w:tc>
        <w:tc>
          <w:tcPr>
            <w:tcW w:w="340" w:type="dxa"/>
            <w:tcBorders>
              <w:tl2br w:val="nil"/>
              <w:tr2bl w:val="nil"/>
            </w:tcBorders>
            <w:shd w:val="clear" w:color="auto" w:fill="auto"/>
            <w:noWrap/>
            <w:vAlign w:val="center"/>
          </w:tcPr>
          <w:p w14:paraId="1173D92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0" w:type="dxa"/>
            <w:tcBorders>
              <w:tl2br w:val="nil"/>
              <w:tr2bl w:val="nil"/>
            </w:tcBorders>
            <w:shd w:val="clear" w:color="auto" w:fill="auto"/>
            <w:noWrap/>
            <w:vAlign w:val="center"/>
          </w:tcPr>
          <w:p w14:paraId="633C1CF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29AEB07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5A396CA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r>
      <w:tr w14:paraId="69053C7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tcBorders>
              <w:tl2br w:val="nil"/>
              <w:tr2bl w:val="nil"/>
            </w:tcBorders>
            <w:shd w:val="clear" w:color="auto" w:fill="auto"/>
            <w:noWrap/>
            <w:vAlign w:val="center"/>
          </w:tcPr>
          <w:p w14:paraId="4EADF2F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lang w:val="en-US"/>
              </w:rPr>
            </w:pPr>
            <w:r>
              <w:rPr>
                <w:rFonts w:hint="eastAsia" w:ascii="Times New Roman" w:hAnsi="Times New Roman" w:eastAsia="宋体" w:cs="Times New Roman"/>
                <w:b w:val="0"/>
                <w:bCs/>
                <w:color w:val="auto"/>
                <w:kern w:val="0"/>
                <w:sz w:val="21"/>
                <w:szCs w:val="21"/>
                <w:highlight w:val="none"/>
                <w:lang w:val="en-US" w:eastAsia="zh-CN"/>
              </w:rPr>
              <w:t>搅拌</w:t>
            </w:r>
            <w:r>
              <w:rPr>
                <w:rFonts w:hint="default" w:ascii="Times New Roman" w:hAnsi="Times New Roman" w:eastAsia="宋体" w:cs="Times New Roman"/>
                <w:b w:val="0"/>
                <w:bCs/>
                <w:color w:val="auto"/>
                <w:kern w:val="0"/>
                <w:sz w:val="21"/>
                <w:szCs w:val="21"/>
                <w:highlight w:val="none"/>
                <w:lang w:val="en-US" w:eastAsia="zh-CN"/>
              </w:rPr>
              <w:t>机</w:t>
            </w:r>
            <w:r>
              <w:rPr>
                <w:rFonts w:hint="eastAsia" w:ascii="Times New Roman" w:hAnsi="Times New Roman" w:eastAsia="宋体" w:cs="Times New Roman"/>
                <w:b w:val="0"/>
                <w:bCs/>
                <w:color w:val="auto"/>
                <w:kern w:val="0"/>
                <w:sz w:val="21"/>
                <w:szCs w:val="21"/>
                <w:highlight w:val="none"/>
                <w:lang w:val="en-US" w:eastAsia="zh-CN"/>
              </w:rPr>
              <w:t>1</w:t>
            </w:r>
          </w:p>
        </w:tc>
        <w:tc>
          <w:tcPr>
            <w:tcW w:w="373" w:type="dxa"/>
            <w:tcBorders>
              <w:tl2br w:val="nil"/>
              <w:tr2bl w:val="nil"/>
            </w:tcBorders>
            <w:shd w:val="clear" w:color="auto" w:fill="auto"/>
            <w:noWrap/>
            <w:vAlign w:val="center"/>
          </w:tcPr>
          <w:p w14:paraId="19FBDC9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531" w:type="dxa"/>
            <w:tcBorders>
              <w:tl2br w:val="nil"/>
              <w:tr2bl w:val="nil"/>
            </w:tcBorders>
            <w:shd w:val="clear" w:color="auto" w:fill="auto"/>
            <w:noWrap/>
            <w:vAlign w:val="center"/>
          </w:tcPr>
          <w:p w14:paraId="58A0DDD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-7.64</w:t>
            </w:r>
          </w:p>
        </w:tc>
        <w:tc>
          <w:tcPr>
            <w:tcW w:w="490" w:type="dxa"/>
            <w:tcBorders>
              <w:tl2br w:val="nil"/>
              <w:tr2bl w:val="nil"/>
            </w:tcBorders>
            <w:shd w:val="clear" w:color="auto" w:fill="auto"/>
            <w:noWrap/>
            <w:vAlign w:val="center"/>
          </w:tcPr>
          <w:p w14:paraId="29E1136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44.41</w:t>
            </w:r>
          </w:p>
        </w:tc>
        <w:tc>
          <w:tcPr>
            <w:tcW w:w="298" w:type="dxa"/>
            <w:tcBorders>
              <w:tl2br w:val="nil"/>
              <w:tr2bl w:val="nil"/>
            </w:tcBorders>
            <w:shd w:val="clear" w:color="auto" w:fill="auto"/>
            <w:noWrap/>
            <w:vAlign w:val="center"/>
          </w:tcPr>
          <w:p w14:paraId="0A0FDFA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1165" w:type="dxa"/>
            <w:vMerge w:val="continue"/>
            <w:tcBorders>
              <w:tl2br w:val="nil"/>
              <w:tr2bl w:val="nil"/>
            </w:tcBorders>
            <w:shd w:val="clear" w:color="auto" w:fill="auto"/>
            <w:noWrap/>
            <w:vAlign w:val="center"/>
          </w:tcPr>
          <w:p w14:paraId="2149D9E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916" w:type="dxa"/>
            <w:tcBorders>
              <w:tl2br w:val="nil"/>
              <w:tr2bl w:val="nil"/>
            </w:tcBorders>
            <w:shd w:val="clear" w:color="auto" w:fill="auto"/>
            <w:noWrap/>
            <w:vAlign w:val="center"/>
          </w:tcPr>
          <w:p w14:paraId="43D644F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eastAsia" w:ascii="Times New Roman" w:hAnsi="Times New Roman" w:eastAsia="宋体" w:cs="Times New Roman"/>
                <w:b w:val="0"/>
                <w:bCs/>
                <w:color w:val="auto"/>
                <w:kern w:val="0"/>
                <w:sz w:val="21"/>
                <w:szCs w:val="21"/>
                <w:highlight w:val="none"/>
                <w:lang w:val="en-US" w:eastAsia="zh-CN"/>
              </w:rPr>
              <w:t>80</w:t>
            </w:r>
            <w:r>
              <w:rPr>
                <w:rFonts w:hint="default" w:ascii="Times New Roman" w:hAnsi="Times New Roman" w:eastAsia="宋体" w:cs="Times New Roman"/>
                <w:b w:val="0"/>
                <w:bCs/>
                <w:color w:val="auto"/>
                <w:kern w:val="0"/>
                <w:sz w:val="21"/>
                <w:szCs w:val="21"/>
                <w:highlight w:val="none"/>
                <w:lang w:val="en-US" w:eastAsia="zh-CN"/>
              </w:rPr>
              <w:t>.00</w:t>
            </w:r>
          </w:p>
        </w:tc>
        <w:tc>
          <w:tcPr>
            <w:tcW w:w="963" w:type="dxa"/>
            <w:tcBorders>
              <w:tl2br w:val="nil"/>
              <w:tr2bl w:val="nil"/>
            </w:tcBorders>
            <w:shd w:val="clear" w:color="auto" w:fill="auto"/>
            <w:noWrap/>
            <w:vAlign w:val="center"/>
          </w:tcPr>
          <w:p w14:paraId="5746EF3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490" w:type="dxa"/>
            <w:tcBorders>
              <w:tl2br w:val="nil"/>
              <w:tr2bl w:val="nil"/>
            </w:tcBorders>
            <w:shd w:val="clear" w:color="auto" w:fill="auto"/>
            <w:noWrap/>
            <w:vAlign w:val="center"/>
          </w:tcPr>
          <w:p w14:paraId="2A2B103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25.31</w:t>
            </w:r>
          </w:p>
        </w:tc>
        <w:tc>
          <w:tcPr>
            <w:tcW w:w="490" w:type="dxa"/>
            <w:tcBorders>
              <w:tl2br w:val="nil"/>
              <w:tr2bl w:val="nil"/>
            </w:tcBorders>
            <w:shd w:val="clear" w:color="auto" w:fill="auto"/>
            <w:noWrap/>
            <w:vAlign w:val="center"/>
          </w:tcPr>
          <w:p w14:paraId="73918AC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45.18</w:t>
            </w:r>
          </w:p>
        </w:tc>
        <w:tc>
          <w:tcPr>
            <w:tcW w:w="490" w:type="dxa"/>
            <w:tcBorders>
              <w:tl2br w:val="nil"/>
              <w:tr2bl w:val="nil"/>
            </w:tcBorders>
            <w:shd w:val="clear" w:color="auto" w:fill="auto"/>
            <w:noWrap/>
            <w:vAlign w:val="center"/>
          </w:tcPr>
          <w:p w14:paraId="1753190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8.30</w:t>
            </w:r>
          </w:p>
        </w:tc>
        <w:tc>
          <w:tcPr>
            <w:tcW w:w="490" w:type="dxa"/>
            <w:tcBorders>
              <w:tl2br w:val="nil"/>
              <w:tr2bl w:val="nil"/>
            </w:tcBorders>
            <w:shd w:val="clear" w:color="auto" w:fill="auto"/>
            <w:noWrap/>
            <w:vAlign w:val="center"/>
          </w:tcPr>
          <w:p w14:paraId="6BC960D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7.59</w:t>
            </w:r>
          </w:p>
        </w:tc>
        <w:tc>
          <w:tcPr>
            <w:tcW w:w="490" w:type="dxa"/>
            <w:tcBorders>
              <w:tl2br w:val="nil"/>
              <w:tr2bl w:val="nil"/>
            </w:tcBorders>
            <w:shd w:val="clear" w:color="auto" w:fill="auto"/>
            <w:noWrap/>
            <w:vAlign w:val="center"/>
          </w:tcPr>
          <w:p w14:paraId="0968695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46.94</w:t>
            </w:r>
          </w:p>
        </w:tc>
        <w:tc>
          <w:tcPr>
            <w:tcW w:w="490" w:type="dxa"/>
            <w:tcBorders>
              <w:tl2br w:val="nil"/>
              <w:tr2bl w:val="nil"/>
            </w:tcBorders>
            <w:shd w:val="clear" w:color="auto" w:fill="auto"/>
            <w:noWrap/>
            <w:vAlign w:val="center"/>
          </w:tcPr>
          <w:p w14:paraId="7FC6453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41.90</w:t>
            </w:r>
          </w:p>
        </w:tc>
        <w:tc>
          <w:tcPr>
            <w:tcW w:w="490" w:type="dxa"/>
            <w:tcBorders>
              <w:tl2br w:val="nil"/>
              <w:tr2bl w:val="nil"/>
            </w:tcBorders>
            <w:shd w:val="clear" w:color="auto" w:fill="auto"/>
            <w:noWrap/>
            <w:vAlign w:val="center"/>
          </w:tcPr>
          <w:p w14:paraId="53D3D72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56.62</w:t>
            </w:r>
          </w:p>
        </w:tc>
        <w:tc>
          <w:tcPr>
            <w:tcW w:w="490" w:type="dxa"/>
            <w:tcBorders>
              <w:tl2br w:val="nil"/>
              <w:tr2bl w:val="nil"/>
            </w:tcBorders>
            <w:shd w:val="clear" w:color="auto" w:fill="auto"/>
            <w:noWrap/>
            <w:vAlign w:val="center"/>
          </w:tcPr>
          <w:p w14:paraId="122F24D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57.39</w:t>
            </w:r>
          </w:p>
        </w:tc>
        <w:tc>
          <w:tcPr>
            <w:tcW w:w="569" w:type="dxa"/>
            <w:vMerge w:val="continue"/>
            <w:tcBorders>
              <w:tl2br w:val="nil"/>
              <w:tr2bl w:val="nil"/>
            </w:tcBorders>
            <w:shd w:val="clear" w:color="auto" w:fill="auto"/>
            <w:noWrap/>
            <w:vAlign w:val="center"/>
          </w:tcPr>
          <w:p w14:paraId="4A3B39A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771" w:type="dxa"/>
            <w:tcBorders>
              <w:tl2br w:val="nil"/>
              <w:tr2bl w:val="nil"/>
            </w:tcBorders>
            <w:shd w:val="clear" w:color="auto" w:fill="auto"/>
            <w:noWrap/>
            <w:vAlign w:val="center"/>
          </w:tcPr>
          <w:p w14:paraId="7C68F53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w:t>
            </w:r>
          </w:p>
        </w:tc>
        <w:tc>
          <w:tcPr>
            <w:tcW w:w="490" w:type="dxa"/>
            <w:tcBorders>
              <w:tl2br w:val="nil"/>
              <w:tr2bl w:val="nil"/>
            </w:tcBorders>
            <w:shd w:val="clear" w:color="auto" w:fill="auto"/>
            <w:noWrap/>
            <w:vAlign w:val="center"/>
          </w:tcPr>
          <w:p w14:paraId="00CF018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20.60</w:t>
            </w:r>
          </w:p>
        </w:tc>
        <w:tc>
          <w:tcPr>
            <w:tcW w:w="490" w:type="dxa"/>
            <w:tcBorders>
              <w:tl2br w:val="nil"/>
              <w:tr2bl w:val="nil"/>
            </w:tcBorders>
            <w:shd w:val="clear" w:color="auto" w:fill="auto"/>
            <w:noWrap/>
            <w:vAlign w:val="center"/>
          </w:tcPr>
          <w:p w14:paraId="5CC17CD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15.71</w:t>
            </w:r>
          </w:p>
        </w:tc>
        <w:tc>
          <w:tcPr>
            <w:tcW w:w="490" w:type="dxa"/>
            <w:tcBorders>
              <w:tl2br w:val="nil"/>
              <w:tr2bl w:val="nil"/>
            </w:tcBorders>
            <w:shd w:val="clear" w:color="auto" w:fill="auto"/>
            <w:noWrap/>
            <w:vAlign w:val="center"/>
          </w:tcPr>
          <w:p w14:paraId="798889F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29.63</w:t>
            </w:r>
          </w:p>
        </w:tc>
        <w:tc>
          <w:tcPr>
            <w:tcW w:w="490" w:type="dxa"/>
            <w:tcBorders>
              <w:tl2br w:val="nil"/>
              <w:tr2bl w:val="nil"/>
            </w:tcBorders>
            <w:shd w:val="clear" w:color="auto" w:fill="auto"/>
            <w:noWrap/>
            <w:vAlign w:val="center"/>
          </w:tcPr>
          <w:p w14:paraId="783C9BD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30.32</w:t>
            </w:r>
          </w:p>
        </w:tc>
        <w:tc>
          <w:tcPr>
            <w:tcW w:w="340" w:type="dxa"/>
            <w:tcBorders>
              <w:tl2br w:val="nil"/>
              <w:tr2bl w:val="nil"/>
            </w:tcBorders>
            <w:shd w:val="clear" w:color="auto" w:fill="auto"/>
            <w:noWrap/>
            <w:vAlign w:val="center"/>
          </w:tcPr>
          <w:p w14:paraId="4F50523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0" w:type="dxa"/>
            <w:tcBorders>
              <w:tl2br w:val="nil"/>
              <w:tr2bl w:val="nil"/>
            </w:tcBorders>
            <w:shd w:val="clear" w:color="auto" w:fill="auto"/>
            <w:noWrap/>
            <w:vAlign w:val="center"/>
          </w:tcPr>
          <w:p w14:paraId="0BE3C00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013264A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20E1F21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r>
      <w:tr w14:paraId="227A629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tcBorders>
              <w:tl2br w:val="nil"/>
              <w:tr2bl w:val="nil"/>
            </w:tcBorders>
            <w:shd w:val="clear" w:color="auto" w:fill="auto"/>
            <w:noWrap/>
            <w:vAlign w:val="center"/>
          </w:tcPr>
          <w:p w14:paraId="31A3EB4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翻抛机1</w:t>
            </w:r>
          </w:p>
        </w:tc>
        <w:tc>
          <w:tcPr>
            <w:tcW w:w="373" w:type="dxa"/>
            <w:tcBorders>
              <w:tl2br w:val="nil"/>
              <w:tr2bl w:val="nil"/>
            </w:tcBorders>
            <w:shd w:val="clear" w:color="auto" w:fill="auto"/>
            <w:noWrap/>
            <w:vAlign w:val="center"/>
          </w:tcPr>
          <w:p w14:paraId="4B20511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531" w:type="dxa"/>
            <w:tcBorders>
              <w:tl2br w:val="nil"/>
              <w:tr2bl w:val="nil"/>
            </w:tcBorders>
            <w:shd w:val="clear" w:color="auto" w:fill="auto"/>
            <w:noWrap/>
            <w:vAlign w:val="center"/>
          </w:tcPr>
          <w:p w14:paraId="5BF2DC5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7.51</w:t>
            </w:r>
          </w:p>
        </w:tc>
        <w:tc>
          <w:tcPr>
            <w:tcW w:w="490" w:type="dxa"/>
            <w:tcBorders>
              <w:tl2br w:val="nil"/>
              <w:tr2bl w:val="nil"/>
            </w:tcBorders>
            <w:shd w:val="clear" w:color="auto" w:fill="auto"/>
            <w:noWrap/>
            <w:vAlign w:val="center"/>
          </w:tcPr>
          <w:p w14:paraId="4A5D1DC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44.3</w:t>
            </w:r>
          </w:p>
        </w:tc>
        <w:tc>
          <w:tcPr>
            <w:tcW w:w="298" w:type="dxa"/>
            <w:tcBorders>
              <w:tl2br w:val="nil"/>
              <w:tr2bl w:val="nil"/>
            </w:tcBorders>
            <w:shd w:val="clear" w:color="auto" w:fill="auto"/>
            <w:noWrap/>
            <w:vAlign w:val="center"/>
          </w:tcPr>
          <w:p w14:paraId="73554C6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1165" w:type="dxa"/>
            <w:vMerge w:val="continue"/>
            <w:tcBorders>
              <w:tl2br w:val="nil"/>
              <w:tr2bl w:val="nil"/>
            </w:tcBorders>
            <w:shd w:val="clear" w:color="auto" w:fill="auto"/>
            <w:noWrap/>
            <w:vAlign w:val="center"/>
          </w:tcPr>
          <w:p w14:paraId="1D491D0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916" w:type="dxa"/>
            <w:tcBorders>
              <w:tl2br w:val="nil"/>
              <w:tr2bl w:val="nil"/>
            </w:tcBorders>
            <w:shd w:val="clear" w:color="auto" w:fill="auto"/>
            <w:noWrap/>
            <w:vAlign w:val="center"/>
          </w:tcPr>
          <w:p w14:paraId="5E3FDAA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eastAsia" w:ascii="Times New Roman" w:hAnsi="Times New Roman" w:eastAsia="宋体" w:cs="Times New Roman"/>
                <w:b w:val="0"/>
                <w:bCs/>
                <w:color w:val="auto"/>
                <w:kern w:val="0"/>
                <w:sz w:val="21"/>
                <w:szCs w:val="21"/>
                <w:highlight w:val="none"/>
                <w:lang w:val="en-US" w:eastAsia="zh-CN"/>
              </w:rPr>
              <w:t>75</w:t>
            </w:r>
            <w:r>
              <w:rPr>
                <w:rFonts w:hint="default" w:ascii="Times New Roman" w:hAnsi="Times New Roman" w:eastAsia="宋体" w:cs="Times New Roman"/>
                <w:b w:val="0"/>
                <w:bCs/>
                <w:color w:val="auto"/>
                <w:kern w:val="0"/>
                <w:sz w:val="21"/>
                <w:szCs w:val="21"/>
                <w:highlight w:val="none"/>
                <w:lang w:val="en-US" w:eastAsia="zh-CN"/>
              </w:rPr>
              <w:t>.00</w:t>
            </w:r>
          </w:p>
        </w:tc>
        <w:tc>
          <w:tcPr>
            <w:tcW w:w="963" w:type="dxa"/>
            <w:tcBorders>
              <w:tl2br w:val="nil"/>
              <w:tr2bl w:val="nil"/>
            </w:tcBorders>
            <w:shd w:val="clear" w:color="auto" w:fill="auto"/>
            <w:noWrap/>
            <w:vAlign w:val="center"/>
          </w:tcPr>
          <w:p w14:paraId="7731382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490" w:type="dxa"/>
            <w:tcBorders>
              <w:tl2br w:val="nil"/>
              <w:tr2bl w:val="nil"/>
            </w:tcBorders>
            <w:shd w:val="clear" w:color="auto" w:fill="auto"/>
            <w:noWrap/>
            <w:vAlign w:val="center"/>
          </w:tcPr>
          <w:p w14:paraId="171B43E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10.14</w:t>
            </w:r>
          </w:p>
        </w:tc>
        <w:tc>
          <w:tcPr>
            <w:tcW w:w="490" w:type="dxa"/>
            <w:tcBorders>
              <w:tl2br w:val="nil"/>
              <w:tr2bl w:val="nil"/>
            </w:tcBorders>
            <w:shd w:val="clear" w:color="auto" w:fill="auto"/>
            <w:noWrap/>
            <w:vAlign w:val="center"/>
          </w:tcPr>
          <w:p w14:paraId="07CEFE0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43.67</w:t>
            </w:r>
          </w:p>
        </w:tc>
        <w:tc>
          <w:tcPr>
            <w:tcW w:w="490" w:type="dxa"/>
            <w:tcBorders>
              <w:tl2br w:val="nil"/>
              <w:tr2bl w:val="nil"/>
            </w:tcBorders>
            <w:shd w:val="clear" w:color="auto" w:fill="auto"/>
            <w:noWrap/>
            <w:vAlign w:val="center"/>
          </w:tcPr>
          <w:p w14:paraId="2A79637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23.46</w:t>
            </w:r>
          </w:p>
        </w:tc>
        <w:tc>
          <w:tcPr>
            <w:tcW w:w="490" w:type="dxa"/>
            <w:tcBorders>
              <w:tl2br w:val="nil"/>
              <w:tr2bl w:val="nil"/>
            </w:tcBorders>
            <w:shd w:val="clear" w:color="auto" w:fill="auto"/>
            <w:noWrap/>
            <w:vAlign w:val="center"/>
          </w:tcPr>
          <w:p w14:paraId="0361D78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9.36</w:t>
            </w:r>
          </w:p>
        </w:tc>
        <w:tc>
          <w:tcPr>
            <w:tcW w:w="490" w:type="dxa"/>
            <w:tcBorders>
              <w:tl2br w:val="nil"/>
              <w:tr2bl w:val="nil"/>
            </w:tcBorders>
            <w:shd w:val="clear" w:color="auto" w:fill="auto"/>
            <w:noWrap/>
            <w:vAlign w:val="center"/>
          </w:tcPr>
          <w:p w14:paraId="749BE54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49.88</w:t>
            </w:r>
          </w:p>
        </w:tc>
        <w:tc>
          <w:tcPr>
            <w:tcW w:w="490" w:type="dxa"/>
            <w:tcBorders>
              <w:tl2br w:val="nil"/>
              <w:tr2bl w:val="nil"/>
            </w:tcBorders>
            <w:shd w:val="clear" w:color="auto" w:fill="auto"/>
            <w:noWrap/>
            <w:vAlign w:val="center"/>
          </w:tcPr>
          <w:p w14:paraId="3ECA1E8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37.20</w:t>
            </w:r>
          </w:p>
        </w:tc>
        <w:tc>
          <w:tcPr>
            <w:tcW w:w="490" w:type="dxa"/>
            <w:tcBorders>
              <w:tl2br w:val="nil"/>
              <w:tr2bl w:val="nil"/>
            </w:tcBorders>
            <w:shd w:val="clear" w:color="auto" w:fill="auto"/>
            <w:noWrap/>
            <w:vAlign w:val="center"/>
          </w:tcPr>
          <w:p w14:paraId="35AD5CC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42.59</w:t>
            </w:r>
          </w:p>
        </w:tc>
        <w:tc>
          <w:tcPr>
            <w:tcW w:w="490" w:type="dxa"/>
            <w:tcBorders>
              <w:tl2br w:val="nil"/>
              <w:tr2bl w:val="nil"/>
            </w:tcBorders>
            <w:shd w:val="clear" w:color="auto" w:fill="auto"/>
            <w:noWrap/>
            <w:vAlign w:val="center"/>
          </w:tcPr>
          <w:p w14:paraId="4313A27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50.57</w:t>
            </w:r>
          </w:p>
        </w:tc>
        <w:tc>
          <w:tcPr>
            <w:tcW w:w="569" w:type="dxa"/>
            <w:vMerge w:val="continue"/>
            <w:tcBorders>
              <w:tl2br w:val="nil"/>
              <w:tr2bl w:val="nil"/>
            </w:tcBorders>
            <w:shd w:val="clear" w:color="auto" w:fill="auto"/>
            <w:noWrap/>
            <w:vAlign w:val="center"/>
          </w:tcPr>
          <w:p w14:paraId="6A1D395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771" w:type="dxa"/>
            <w:tcBorders>
              <w:tl2br w:val="nil"/>
              <w:tr2bl w:val="nil"/>
            </w:tcBorders>
            <w:shd w:val="clear" w:color="auto" w:fill="auto"/>
            <w:noWrap/>
            <w:vAlign w:val="center"/>
          </w:tcPr>
          <w:p w14:paraId="5D73831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w:t>
            </w:r>
          </w:p>
        </w:tc>
        <w:tc>
          <w:tcPr>
            <w:tcW w:w="490" w:type="dxa"/>
            <w:tcBorders>
              <w:tl2br w:val="nil"/>
              <w:tr2bl w:val="nil"/>
            </w:tcBorders>
            <w:shd w:val="clear" w:color="auto" w:fill="auto"/>
            <w:noWrap/>
            <w:vAlign w:val="center"/>
          </w:tcPr>
          <w:p w14:paraId="2A29DD5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23.06</w:t>
            </w:r>
          </w:p>
        </w:tc>
        <w:tc>
          <w:tcPr>
            <w:tcW w:w="490" w:type="dxa"/>
            <w:tcBorders>
              <w:tl2br w:val="nil"/>
              <w:tr2bl w:val="nil"/>
            </w:tcBorders>
            <w:shd w:val="clear" w:color="auto" w:fill="auto"/>
            <w:noWrap/>
            <w:vAlign w:val="center"/>
          </w:tcPr>
          <w:p w14:paraId="3628D3F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11.00</w:t>
            </w:r>
          </w:p>
        </w:tc>
        <w:tc>
          <w:tcPr>
            <w:tcW w:w="490" w:type="dxa"/>
            <w:tcBorders>
              <w:tl2br w:val="nil"/>
              <w:tr2bl w:val="nil"/>
            </w:tcBorders>
            <w:shd w:val="clear" w:color="auto" w:fill="auto"/>
            <w:noWrap/>
            <w:vAlign w:val="center"/>
          </w:tcPr>
          <w:p w14:paraId="0B4064A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16.23</w:t>
            </w:r>
          </w:p>
        </w:tc>
        <w:tc>
          <w:tcPr>
            <w:tcW w:w="490" w:type="dxa"/>
            <w:tcBorders>
              <w:tl2br w:val="nil"/>
              <w:tr2bl w:val="nil"/>
            </w:tcBorders>
            <w:shd w:val="clear" w:color="auto" w:fill="auto"/>
            <w:noWrap/>
            <w:vAlign w:val="center"/>
          </w:tcPr>
          <w:p w14:paraId="13971D4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23.69</w:t>
            </w:r>
          </w:p>
        </w:tc>
        <w:tc>
          <w:tcPr>
            <w:tcW w:w="340" w:type="dxa"/>
            <w:tcBorders>
              <w:tl2br w:val="nil"/>
              <w:tr2bl w:val="nil"/>
            </w:tcBorders>
            <w:shd w:val="clear" w:color="auto" w:fill="auto"/>
            <w:noWrap/>
            <w:vAlign w:val="center"/>
          </w:tcPr>
          <w:p w14:paraId="2CC8236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0" w:type="dxa"/>
            <w:tcBorders>
              <w:tl2br w:val="nil"/>
              <w:tr2bl w:val="nil"/>
            </w:tcBorders>
            <w:shd w:val="clear" w:color="auto" w:fill="auto"/>
            <w:noWrap/>
            <w:vAlign w:val="center"/>
          </w:tcPr>
          <w:p w14:paraId="5C2AFFC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35A486E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7AEB967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r>
      <w:tr w14:paraId="1E68295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tcBorders>
              <w:tl2br w:val="nil"/>
              <w:tr2bl w:val="nil"/>
            </w:tcBorders>
            <w:shd w:val="clear" w:color="auto" w:fill="auto"/>
            <w:noWrap/>
            <w:vAlign w:val="center"/>
          </w:tcPr>
          <w:p w14:paraId="22D2421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lang w:val="en-US"/>
              </w:rPr>
            </w:pPr>
            <w:r>
              <w:rPr>
                <w:rFonts w:hint="eastAsia" w:ascii="Times New Roman" w:hAnsi="Times New Roman" w:eastAsia="宋体" w:cs="Times New Roman"/>
                <w:b w:val="0"/>
                <w:bCs/>
                <w:color w:val="auto"/>
                <w:kern w:val="0"/>
                <w:sz w:val="21"/>
                <w:szCs w:val="21"/>
                <w:highlight w:val="none"/>
                <w:lang w:val="en-US" w:eastAsia="zh-CN"/>
              </w:rPr>
              <w:t>一体式布料机</w:t>
            </w:r>
          </w:p>
        </w:tc>
        <w:tc>
          <w:tcPr>
            <w:tcW w:w="373" w:type="dxa"/>
            <w:tcBorders>
              <w:tl2br w:val="nil"/>
              <w:tr2bl w:val="nil"/>
            </w:tcBorders>
            <w:shd w:val="clear" w:color="auto" w:fill="auto"/>
            <w:noWrap/>
            <w:vAlign w:val="center"/>
          </w:tcPr>
          <w:p w14:paraId="633557F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531" w:type="dxa"/>
            <w:tcBorders>
              <w:tl2br w:val="nil"/>
              <w:tr2bl w:val="nil"/>
            </w:tcBorders>
            <w:shd w:val="clear" w:color="auto" w:fill="auto"/>
            <w:noWrap/>
            <w:vAlign w:val="center"/>
          </w:tcPr>
          <w:p w14:paraId="1A61261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2.91</w:t>
            </w:r>
          </w:p>
        </w:tc>
        <w:tc>
          <w:tcPr>
            <w:tcW w:w="490" w:type="dxa"/>
            <w:tcBorders>
              <w:tl2br w:val="nil"/>
              <w:tr2bl w:val="nil"/>
            </w:tcBorders>
            <w:shd w:val="clear" w:color="auto" w:fill="auto"/>
            <w:noWrap/>
            <w:vAlign w:val="center"/>
          </w:tcPr>
          <w:p w14:paraId="77C4F88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41.74</w:t>
            </w:r>
          </w:p>
        </w:tc>
        <w:tc>
          <w:tcPr>
            <w:tcW w:w="298" w:type="dxa"/>
            <w:tcBorders>
              <w:tl2br w:val="nil"/>
              <w:tr2bl w:val="nil"/>
            </w:tcBorders>
            <w:shd w:val="clear" w:color="auto" w:fill="auto"/>
            <w:noWrap/>
            <w:vAlign w:val="center"/>
          </w:tcPr>
          <w:p w14:paraId="597727C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1165" w:type="dxa"/>
            <w:vMerge w:val="continue"/>
            <w:tcBorders>
              <w:tl2br w:val="nil"/>
              <w:tr2bl w:val="nil"/>
            </w:tcBorders>
            <w:shd w:val="clear" w:color="auto" w:fill="auto"/>
            <w:noWrap/>
            <w:vAlign w:val="center"/>
          </w:tcPr>
          <w:p w14:paraId="7C75D1C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916" w:type="dxa"/>
            <w:tcBorders>
              <w:tl2br w:val="nil"/>
              <w:tr2bl w:val="nil"/>
            </w:tcBorders>
            <w:shd w:val="clear" w:color="auto" w:fill="auto"/>
            <w:noWrap/>
            <w:vAlign w:val="center"/>
          </w:tcPr>
          <w:p w14:paraId="6F8D18A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70.00</w:t>
            </w:r>
          </w:p>
        </w:tc>
        <w:tc>
          <w:tcPr>
            <w:tcW w:w="963" w:type="dxa"/>
            <w:tcBorders>
              <w:tl2br w:val="nil"/>
              <w:tr2bl w:val="nil"/>
            </w:tcBorders>
            <w:shd w:val="clear" w:color="auto" w:fill="auto"/>
            <w:noWrap/>
            <w:vAlign w:val="center"/>
          </w:tcPr>
          <w:p w14:paraId="03A27E8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490" w:type="dxa"/>
            <w:tcBorders>
              <w:tl2br w:val="nil"/>
              <w:tr2bl w:val="nil"/>
            </w:tcBorders>
            <w:shd w:val="clear" w:color="auto" w:fill="auto"/>
            <w:noWrap/>
            <w:vAlign w:val="center"/>
          </w:tcPr>
          <w:p w14:paraId="6F7BB62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14.91</w:t>
            </w:r>
          </w:p>
        </w:tc>
        <w:tc>
          <w:tcPr>
            <w:tcW w:w="490" w:type="dxa"/>
            <w:tcBorders>
              <w:tl2br w:val="nil"/>
              <w:tr2bl w:val="nil"/>
            </w:tcBorders>
            <w:shd w:val="clear" w:color="auto" w:fill="auto"/>
            <w:noWrap/>
            <w:vAlign w:val="center"/>
          </w:tcPr>
          <w:p w14:paraId="77AAEE9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41.55</w:t>
            </w:r>
          </w:p>
        </w:tc>
        <w:tc>
          <w:tcPr>
            <w:tcW w:w="490" w:type="dxa"/>
            <w:tcBorders>
              <w:tl2br w:val="nil"/>
              <w:tr2bl w:val="nil"/>
            </w:tcBorders>
            <w:shd w:val="clear" w:color="auto" w:fill="auto"/>
            <w:noWrap/>
            <w:vAlign w:val="center"/>
          </w:tcPr>
          <w:p w14:paraId="093E397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18.68</w:t>
            </w:r>
          </w:p>
        </w:tc>
        <w:tc>
          <w:tcPr>
            <w:tcW w:w="490" w:type="dxa"/>
            <w:tcBorders>
              <w:tl2br w:val="nil"/>
              <w:tr2bl w:val="nil"/>
            </w:tcBorders>
            <w:shd w:val="clear" w:color="auto" w:fill="auto"/>
            <w:noWrap/>
            <w:vAlign w:val="center"/>
          </w:tcPr>
          <w:p w14:paraId="3086194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11.41</w:t>
            </w:r>
          </w:p>
        </w:tc>
        <w:tc>
          <w:tcPr>
            <w:tcW w:w="490" w:type="dxa"/>
            <w:tcBorders>
              <w:tl2br w:val="nil"/>
              <w:tr2bl w:val="nil"/>
            </w:tcBorders>
            <w:shd w:val="clear" w:color="auto" w:fill="auto"/>
            <w:noWrap/>
            <w:vAlign w:val="center"/>
          </w:tcPr>
          <w:p w14:paraId="03AEAA1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46.53</w:t>
            </w:r>
          </w:p>
        </w:tc>
        <w:tc>
          <w:tcPr>
            <w:tcW w:w="490" w:type="dxa"/>
            <w:tcBorders>
              <w:tl2br w:val="nil"/>
              <w:tr2bl w:val="nil"/>
            </w:tcBorders>
            <w:shd w:val="clear" w:color="auto" w:fill="auto"/>
            <w:noWrap/>
            <w:vAlign w:val="center"/>
          </w:tcPr>
          <w:p w14:paraId="0556F46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37.63</w:t>
            </w:r>
          </w:p>
        </w:tc>
        <w:tc>
          <w:tcPr>
            <w:tcW w:w="490" w:type="dxa"/>
            <w:tcBorders>
              <w:tl2br w:val="nil"/>
              <w:tr2bl w:val="nil"/>
            </w:tcBorders>
            <w:shd w:val="clear" w:color="auto" w:fill="auto"/>
            <w:noWrap/>
            <w:vAlign w:val="center"/>
          </w:tcPr>
          <w:p w14:paraId="436B8A6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44.57</w:t>
            </w:r>
          </w:p>
        </w:tc>
        <w:tc>
          <w:tcPr>
            <w:tcW w:w="490" w:type="dxa"/>
            <w:tcBorders>
              <w:tl2br w:val="nil"/>
              <w:tr2bl w:val="nil"/>
            </w:tcBorders>
            <w:shd w:val="clear" w:color="auto" w:fill="auto"/>
            <w:noWrap/>
            <w:vAlign w:val="center"/>
          </w:tcPr>
          <w:p w14:paraId="0298512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48.86</w:t>
            </w:r>
          </w:p>
        </w:tc>
        <w:tc>
          <w:tcPr>
            <w:tcW w:w="569" w:type="dxa"/>
            <w:vMerge w:val="continue"/>
            <w:tcBorders>
              <w:tl2br w:val="nil"/>
              <w:tr2bl w:val="nil"/>
            </w:tcBorders>
            <w:shd w:val="clear" w:color="auto" w:fill="auto"/>
            <w:noWrap/>
            <w:vAlign w:val="center"/>
          </w:tcPr>
          <w:p w14:paraId="5527956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771" w:type="dxa"/>
            <w:tcBorders>
              <w:tl2br w:val="nil"/>
              <w:tr2bl w:val="nil"/>
            </w:tcBorders>
            <w:shd w:val="clear" w:color="auto" w:fill="auto"/>
            <w:noWrap/>
            <w:vAlign w:val="center"/>
          </w:tcPr>
          <w:p w14:paraId="29E5EFC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w:t>
            </w:r>
          </w:p>
        </w:tc>
        <w:tc>
          <w:tcPr>
            <w:tcW w:w="490" w:type="dxa"/>
            <w:tcBorders>
              <w:tl2br w:val="nil"/>
              <w:tr2bl w:val="nil"/>
            </w:tcBorders>
            <w:shd w:val="clear" w:color="auto" w:fill="auto"/>
            <w:noWrap/>
            <w:vAlign w:val="center"/>
          </w:tcPr>
          <w:p w14:paraId="3CEE37C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19.97</w:t>
            </w:r>
          </w:p>
        </w:tc>
        <w:tc>
          <w:tcPr>
            <w:tcW w:w="490" w:type="dxa"/>
            <w:tcBorders>
              <w:tl2br w:val="nil"/>
              <w:tr2bl w:val="nil"/>
            </w:tcBorders>
            <w:shd w:val="clear" w:color="auto" w:fill="auto"/>
            <w:noWrap/>
            <w:vAlign w:val="center"/>
          </w:tcPr>
          <w:p w14:paraId="1E3238B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11.42</w:t>
            </w:r>
          </w:p>
        </w:tc>
        <w:tc>
          <w:tcPr>
            <w:tcW w:w="490" w:type="dxa"/>
            <w:tcBorders>
              <w:tl2br w:val="nil"/>
              <w:tr2bl w:val="nil"/>
            </w:tcBorders>
            <w:shd w:val="clear" w:color="auto" w:fill="auto"/>
            <w:noWrap/>
            <w:vAlign w:val="center"/>
          </w:tcPr>
          <w:p w14:paraId="4FFB08A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18.12</w:t>
            </w:r>
          </w:p>
        </w:tc>
        <w:tc>
          <w:tcPr>
            <w:tcW w:w="490" w:type="dxa"/>
            <w:tcBorders>
              <w:tl2br w:val="nil"/>
              <w:tr2bl w:val="nil"/>
            </w:tcBorders>
            <w:shd w:val="clear" w:color="auto" w:fill="auto"/>
            <w:noWrap/>
            <w:vAlign w:val="center"/>
          </w:tcPr>
          <w:p w14:paraId="0F610BE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22.13</w:t>
            </w:r>
          </w:p>
        </w:tc>
        <w:tc>
          <w:tcPr>
            <w:tcW w:w="340" w:type="dxa"/>
            <w:tcBorders>
              <w:tl2br w:val="nil"/>
              <w:tr2bl w:val="nil"/>
            </w:tcBorders>
            <w:shd w:val="clear" w:color="auto" w:fill="auto"/>
            <w:noWrap/>
            <w:vAlign w:val="center"/>
          </w:tcPr>
          <w:p w14:paraId="2300FDB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0" w:type="dxa"/>
            <w:tcBorders>
              <w:tl2br w:val="nil"/>
              <w:tr2bl w:val="nil"/>
            </w:tcBorders>
            <w:shd w:val="clear" w:color="auto" w:fill="auto"/>
            <w:noWrap/>
            <w:vAlign w:val="center"/>
          </w:tcPr>
          <w:p w14:paraId="48DF2C0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7588616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0FF1D28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r>
      <w:tr w14:paraId="04DAD16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tcBorders>
              <w:tl2br w:val="nil"/>
              <w:tr2bl w:val="nil"/>
            </w:tcBorders>
            <w:shd w:val="clear" w:color="auto" w:fill="auto"/>
            <w:noWrap/>
            <w:vAlign w:val="center"/>
          </w:tcPr>
          <w:p w14:paraId="07C733A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lang w:val="en-US"/>
              </w:rPr>
            </w:pPr>
            <w:r>
              <w:rPr>
                <w:rFonts w:hint="eastAsia" w:ascii="Times New Roman" w:hAnsi="Times New Roman" w:eastAsia="宋体" w:cs="Times New Roman"/>
                <w:b w:val="0"/>
                <w:bCs/>
                <w:color w:val="auto"/>
                <w:kern w:val="0"/>
                <w:sz w:val="21"/>
                <w:szCs w:val="21"/>
                <w:highlight w:val="none"/>
                <w:lang w:val="en-US" w:eastAsia="zh-CN"/>
              </w:rPr>
              <w:t>挤压造粒机</w:t>
            </w:r>
          </w:p>
        </w:tc>
        <w:tc>
          <w:tcPr>
            <w:tcW w:w="373" w:type="dxa"/>
            <w:tcBorders>
              <w:tl2br w:val="nil"/>
              <w:tr2bl w:val="nil"/>
            </w:tcBorders>
            <w:shd w:val="clear" w:color="auto" w:fill="auto"/>
            <w:noWrap/>
            <w:vAlign w:val="center"/>
          </w:tcPr>
          <w:p w14:paraId="37935E7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531" w:type="dxa"/>
            <w:tcBorders>
              <w:tl2br w:val="nil"/>
              <w:tr2bl w:val="nil"/>
            </w:tcBorders>
            <w:shd w:val="clear" w:color="auto" w:fill="auto"/>
            <w:noWrap/>
            <w:vAlign w:val="center"/>
          </w:tcPr>
          <w:p w14:paraId="503EE63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-11.12</w:t>
            </w:r>
          </w:p>
        </w:tc>
        <w:tc>
          <w:tcPr>
            <w:tcW w:w="490" w:type="dxa"/>
            <w:tcBorders>
              <w:tl2br w:val="nil"/>
              <w:tr2bl w:val="nil"/>
            </w:tcBorders>
            <w:shd w:val="clear" w:color="auto" w:fill="auto"/>
            <w:noWrap/>
            <w:vAlign w:val="center"/>
          </w:tcPr>
          <w:p w14:paraId="3785D6C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31.82</w:t>
            </w:r>
          </w:p>
        </w:tc>
        <w:tc>
          <w:tcPr>
            <w:tcW w:w="298" w:type="dxa"/>
            <w:tcBorders>
              <w:tl2br w:val="nil"/>
              <w:tr2bl w:val="nil"/>
            </w:tcBorders>
            <w:shd w:val="clear" w:color="auto" w:fill="auto"/>
            <w:noWrap/>
            <w:vAlign w:val="center"/>
          </w:tcPr>
          <w:p w14:paraId="0528466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1165" w:type="dxa"/>
            <w:vMerge w:val="continue"/>
            <w:tcBorders>
              <w:tl2br w:val="nil"/>
              <w:tr2bl w:val="nil"/>
            </w:tcBorders>
            <w:shd w:val="clear" w:color="auto" w:fill="auto"/>
            <w:noWrap/>
            <w:vAlign w:val="center"/>
          </w:tcPr>
          <w:p w14:paraId="52B69FA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916" w:type="dxa"/>
            <w:tcBorders>
              <w:tl2br w:val="nil"/>
              <w:tr2bl w:val="nil"/>
            </w:tcBorders>
            <w:shd w:val="clear" w:color="auto" w:fill="auto"/>
            <w:noWrap/>
            <w:vAlign w:val="center"/>
          </w:tcPr>
          <w:p w14:paraId="7550B90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eastAsia" w:ascii="Times New Roman" w:hAnsi="Times New Roman" w:eastAsia="宋体" w:cs="Times New Roman"/>
                <w:b w:val="0"/>
                <w:bCs/>
                <w:color w:val="auto"/>
                <w:kern w:val="0"/>
                <w:sz w:val="21"/>
                <w:szCs w:val="21"/>
                <w:highlight w:val="none"/>
                <w:lang w:val="en-US" w:eastAsia="zh-CN"/>
              </w:rPr>
              <w:t>70</w:t>
            </w:r>
            <w:r>
              <w:rPr>
                <w:rFonts w:hint="default" w:ascii="Times New Roman" w:hAnsi="Times New Roman" w:eastAsia="宋体" w:cs="Times New Roman"/>
                <w:b w:val="0"/>
                <w:bCs/>
                <w:color w:val="auto"/>
                <w:kern w:val="0"/>
                <w:sz w:val="21"/>
                <w:szCs w:val="21"/>
                <w:highlight w:val="none"/>
                <w:lang w:val="en-US" w:eastAsia="zh-CN"/>
              </w:rPr>
              <w:t>.00</w:t>
            </w:r>
          </w:p>
        </w:tc>
        <w:tc>
          <w:tcPr>
            <w:tcW w:w="963" w:type="dxa"/>
            <w:tcBorders>
              <w:tl2br w:val="nil"/>
              <w:tr2bl w:val="nil"/>
            </w:tcBorders>
            <w:shd w:val="clear" w:color="auto" w:fill="auto"/>
            <w:noWrap/>
            <w:vAlign w:val="center"/>
          </w:tcPr>
          <w:p w14:paraId="7DF3C44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490" w:type="dxa"/>
            <w:tcBorders>
              <w:tl2br w:val="nil"/>
              <w:tr2bl w:val="nil"/>
            </w:tcBorders>
            <w:shd w:val="clear" w:color="auto" w:fill="auto"/>
            <w:noWrap/>
            <w:vAlign w:val="center"/>
          </w:tcPr>
          <w:p w14:paraId="78C8843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29.57</w:t>
            </w:r>
          </w:p>
        </w:tc>
        <w:tc>
          <w:tcPr>
            <w:tcW w:w="490" w:type="dxa"/>
            <w:tcBorders>
              <w:tl2br w:val="nil"/>
              <w:tr2bl w:val="nil"/>
            </w:tcBorders>
            <w:shd w:val="clear" w:color="auto" w:fill="auto"/>
            <w:noWrap/>
            <w:vAlign w:val="center"/>
          </w:tcPr>
          <w:p w14:paraId="61861DA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32.94</w:t>
            </w:r>
          </w:p>
        </w:tc>
        <w:tc>
          <w:tcPr>
            <w:tcW w:w="490" w:type="dxa"/>
            <w:tcBorders>
              <w:tl2br w:val="nil"/>
              <w:tr2bl w:val="nil"/>
            </w:tcBorders>
            <w:shd w:val="clear" w:color="auto" w:fill="auto"/>
            <w:noWrap/>
            <w:vAlign w:val="center"/>
          </w:tcPr>
          <w:p w14:paraId="2B6423C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3.95</w:t>
            </w:r>
          </w:p>
        </w:tc>
        <w:tc>
          <w:tcPr>
            <w:tcW w:w="490" w:type="dxa"/>
            <w:tcBorders>
              <w:tl2br w:val="nil"/>
              <w:tr2bl w:val="nil"/>
            </w:tcBorders>
            <w:shd w:val="clear" w:color="auto" w:fill="auto"/>
            <w:noWrap/>
            <w:vAlign w:val="center"/>
          </w:tcPr>
          <w:p w14:paraId="280BAD5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19.77</w:t>
            </w:r>
          </w:p>
        </w:tc>
        <w:tc>
          <w:tcPr>
            <w:tcW w:w="490" w:type="dxa"/>
            <w:tcBorders>
              <w:tl2br w:val="nil"/>
              <w:tr2bl w:val="nil"/>
            </w:tcBorders>
            <w:shd w:val="clear" w:color="auto" w:fill="auto"/>
            <w:noWrap/>
            <w:vAlign w:val="center"/>
          </w:tcPr>
          <w:p w14:paraId="109A279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35.58</w:t>
            </w:r>
          </w:p>
        </w:tc>
        <w:tc>
          <w:tcPr>
            <w:tcW w:w="490" w:type="dxa"/>
            <w:tcBorders>
              <w:tl2br w:val="nil"/>
              <w:tr2bl w:val="nil"/>
            </w:tcBorders>
            <w:shd w:val="clear" w:color="auto" w:fill="auto"/>
            <w:noWrap/>
            <w:vAlign w:val="center"/>
          </w:tcPr>
          <w:p w14:paraId="5AB29A7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34.64</w:t>
            </w:r>
          </w:p>
        </w:tc>
        <w:tc>
          <w:tcPr>
            <w:tcW w:w="490" w:type="dxa"/>
            <w:tcBorders>
              <w:tl2br w:val="nil"/>
              <w:tr2bl w:val="nil"/>
            </w:tcBorders>
            <w:shd w:val="clear" w:color="auto" w:fill="auto"/>
            <w:noWrap/>
            <w:vAlign w:val="center"/>
          </w:tcPr>
          <w:p w14:paraId="1A61EDD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53.07</w:t>
            </w:r>
          </w:p>
        </w:tc>
        <w:tc>
          <w:tcPr>
            <w:tcW w:w="490" w:type="dxa"/>
            <w:tcBorders>
              <w:tl2br w:val="nil"/>
              <w:tr2bl w:val="nil"/>
            </w:tcBorders>
            <w:shd w:val="clear" w:color="auto" w:fill="auto"/>
            <w:noWrap/>
            <w:vAlign w:val="center"/>
          </w:tcPr>
          <w:p w14:paraId="12CA7A9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39.08</w:t>
            </w:r>
          </w:p>
        </w:tc>
        <w:tc>
          <w:tcPr>
            <w:tcW w:w="569" w:type="dxa"/>
            <w:vMerge w:val="continue"/>
            <w:tcBorders>
              <w:tl2br w:val="nil"/>
              <w:tr2bl w:val="nil"/>
            </w:tcBorders>
            <w:shd w:val="clear" w:color="auto" w:fill="auto"/>
            <w:noWrap/>
            <w:vAlign w:val="center"/>
          </w:tcPr>
          <w:p w14:paraId="2686309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771" w:type="dxa"/>
            <w:tcBorders>
              <w:tl2br w:val="nil"/>
              <w:tr2bl w:val="nil"/>
            </w:tcBorders>
            <w:shd w:val="clear" w:color="auto" w:fill="auto"/>
            <w:noWrap/>
            <w:vAlign w:val="center"/>
          </w:tcPr>
          <w:p w14:paraId="70A2A0D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w:t>
            </w:r>
          </w:p>
        </w:tc>
        <w:tc>
          <w:tcPr>
            <w:tcW w:w="490" w:type="dxa"/>
            <w:tcBorders>
              <w:tl2br w:val="nil"/>
              <w:tr2bl w:val="nil"/>
            </w:tcBorders>
            <w:shd w:val="clear" w:color="auto" w:fill="auto"/>
            <w:noWrap/>
            <w:vAlign w:val="center"/>
          </w:tcPr>
          <w:p w14:paraId="756281E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9.29</w:t>
            </w:r>
          </w:p>
        </w:tc>
        <w:tc>
          <w:tcPr>
            <w:tcW w:w="490" w:type="dxa"/>
            <w:tcBorders>
              <w:tl2br w:val="nil"/>
              <w:tr2bl w:val="nil"/>
            </w:tcBorders>
            <w:shd w:val="clear" w:color="auto" w:fill="auto"/>
            <w:noWrap/>
            <w:vAlign w:val="center"/>
          </w:tcPr>
          <w:p w14:paraId="304BC6A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8.39</w:t>
            </w:r>
          </w:p>
        </w:tc>
        <w:tc>
          <w:tcPr>
            <w:tcW w:w="490" w:type="dxa"/>
            <w:tcBorders>
              <w:tl2br w:val="nil"/>
              <w:tr2bl w:val="nil"/>
            </w:tcBorders>
            <w:shd w:val="clear" w:color="auto" w:fill="auto"/>
            <w:noWrap/>
            <w:vAlign w:val="center"/>
          </w:tcPr>
          <w:p w14:paraId="5BA092F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25.11</w:t>
            </w:r>
          </w:p>
        </w:tc>
        <w:tc>
          <w:tcPr>
            <w:tcW w:w="490" w:type="dxa"/>
            <w:tcBorders>
              <w:tl2br w:val="nil"/>
              <w:tr2bl w:val="nil"/>
            </w:tcBorders>
            <w:shd w:val="clear" w:color="auto" w:fill="auto"/>
            <w:noWrap/>
            <w:vAlign w:val="center"/>
          </w:tcPr>
          <w:p w14:paraId="4F16887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12.65</w:t>
            </w:r>
          </w:p>
        </w:tc>
        <w:tc>
          <w:tcPr>
            <w:tcW w:w="340" w:type="dxa"/>
            <w:tcBorders>
              <w:tl2br w:val="nil"/>
              <w:tr2bl w:val="nil"/>
            </w:tcBorders>
            <w:shd w:val="clear" w:color="auto" w:fill="auto"/>
            <w:noWrap/>
            <w:vAlign w:val="center"/>
          </w:tcPr>
          <w:p w14:paraId="74E972B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0" w:type="dxa"/>
            <w:tcBorders>
              <w:tl2br w:val="nil"/>
              <w:tr2bl w:val="nil"/>
            </w:tcBorders>
            <w:shd w:val="clear" w:color="auto" w:fill="auto"/>
            <w:noWrap/>
            <w:vAlign w:val="center"/>
          </w:tcPr>
          <w:p w14:paraId="1251798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5684337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0617892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r>
      <w:tr w14:paraId="0CFC08B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tcBorders>
              <w:tl2br w:val="nil"/>
              <w:tr2bl w:val="nil"/>
            </w:tcBorders>
            <w:shd w:val="clear" w:color="auto" w:fill="auto"/>
            <w:noWrap/>
            <w:vAlign w:val="center"/>
          </w:tcPr>
          <w:p w14:paraId="6DD4C01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筛选机</w:t>
            </w:r>
          </w:p>
        </w:tc>
        <w:tc>
          <w:tcPr>
            <w:tcW w:w="373" w:type="dxa"/>
            <w:tcBorders>
              <w:tl2br w:val="nil"/>
              <w:tr2bl w:val="nil"/>
            </w:tcBorders>
            <w:shd w:val="clear" w:color="auto" w:fill="auto"/>
            <w:noWrap/>
            <w:vAlign w:val="center"/>
          </w:tcPr>
          <w:p w14:paraId="3F27CEE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531" w:type="dxa"/>
            <w:tcBorders>
              <w:tl2br w:val="nil"/>
              <w:tr2bl w:val="nil"/>
            </w:tcBorders>
            <w:shd w:val="clear" w:color="auto" w:fill="auto"/>
            <w:noWrap/>
            <w:vAlign w:val="center"/>
          </w:tcPr>
          <w:p w14:paraId="3B121E0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-3.03</w:t>
            </w:r>
          </w:p>
        </w:tc>
        <w:tc>
          <w:tcPr>
            <w:tcW w:w="490" w:type="dxa"/>
            <w:tcBorders>
              <w:tl2br w:val="nil"/>
              <w:tr2bl w:val="nil"/>
            </w:tcBorders>
            <w:shd w:val="clear" w:color="auto" w:fill="auto"/>
            <w:noWrap/>
            <w:vAlign w:val="center"/>
          </w:tcPr>
          <w:p w14:paraId="4DE1191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49.22</w:t>
            </w:r>
          </w:p>
        </w:tc>
        <w:tc>
          <w:tcPr>
            <w:tcW w:w="298" w:type="dxa"/>
            <w:tcBorders>
              <w:tl2br w:val="nil"/>
              <w:tr2bl w:val="nil"/>
            </w:tcBorders>
            <w:shd w:val="clear" w:color="auto" w:fill="auto"/>
            <w:noWrap/>
            <w:vAlign w:val="center"/>
          </w:tcPr>
          <w:p w14:paraId="1F94933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1165" w:type="dxa"/>
            <w:vMerge w:val="continue"/>
            <w:tcBorders>
              <w:tl2br w:val="nil"/>
              <w:tr2bl w:val="nil"/>
            </w:tcBorders>
            <w:shd w:val="clear" w:color="auto" w:fill="auto"/>
            <w:noWrap/>
            <w:vAlign w:val="center"/>
          </w:tcPr>
          <w:p w14:paraId="6749C6E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916" w:type="dxa"/>
            <w:tcBorders>
              <w:tl2br w:val="nil"/>
              <w:tr2bl w:val="nil"/>
            </w:tcBorders>
            <w:shd w:val="clear" w:color="auto" w:fill="auto"/>
            <w:noWrap/>
            <w:vAlign w:val="center"/>
          </w:tcPr>
          <w:p w14:paraId="6D5E1C5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60.00</w:t>
            </w:r>
          </w:p>
        </w:tc>
        <w:tc>
          <w:tcPr>
            <w:tcW w:w="963" w:type="dxa"/>
            <w:tcBorders>
              <w:tl2br w:val="nil"/>
              <w:tr2bl w:val="nil"/>
            </w:tcBorders>
            <w:shd w:val="clear" w:color="auto" w:fill="auto"/>
            <w:noWrap/>
            <w:vAlign w:val="center"/>
          </w:tcPr>
          <w:p w14:paraId="1B2DBD6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490" w:type="dxa"/>
            <w:tcBorders>
              <w:tl2br w:val="nil"/>
              <w:tr2bl w:val="nil"/>
            </w:tcBorders>
            <w:shd w:val="clear" w:color="auto" w:fill="auto"/>
            <w:noWrap/>
            <w:vAlign w:val="center"/>
          </w:tcPr>
          <w:p w14:paraId="09B9AA8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20.39</w:t>
            </w:r>
          </w:p>
        </w:tc>
        <w:tc>
          <w:tcPr>
            <w:tcW w:w="490" w:type="dxa"/>
            <w:tcBorders>
              <w:tl2br w:val="nil"/>
              <w:tr2bl w:val="nil"/>
            </w:tcBorders>
            <w:shd w:val="clear" w:color="auto" w:fill="auto"/>
            <w:noWrap/>
            <w:vAlign w:val="center"/>
          </w:tcPr>
          <w:p w14:paraId="12CF817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49.55</w:t>
            </w:r>
          </w:p>
        </w:tc>
        <w:tc>
          <w:tcPr>
            <w:tcW w:w="490" w:type="dxa"/>
            <w:tcBorders>
              <w:tl2br w:val="nil"/>
              <w:tr2bl w:val="nil"/>
            </w:tcBorders>
            <w:shd w:val="clear" w:color="auto" w:fill="auto"/>
            <w:noWrap/>
            <w:vAlign w:val="center"/>
          </w:tcPr>
          <w:p w14:paraId="5C99635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13.24</w:t>
            </w:r>
          </w:p>
        </w:tc>
        <w:tc>
          <w:tcPr>
            <w:tcW w:w="490" w:type="dxa"/>
            <w:tcBorders>
              <w:tl2br w:val="nil"/>
              <w:tr2bl w:val="nil"/>
            </w:tcBorders>
            <w:shd w:val="clear" w:color="auto" w:fill="auto"/>
            <w:noWrap/>
            <w:vAlign w:val="center"/>
          </w:tcPr>
          <w:p w14:paraId="7DD67F3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3.30</w:t>
            </w:r>
          </w:p>
        </w:tc>
        <w:tc>
          <w:tcPr>
            <w:tcW w:w="490" w:type="dxa"/>
            <w:tcBorders>
              <w:tl2br w:val="nil"/>
              <w:tr2bl w:val="nil"/>
            </w:tcBorders>
            <w:shd w:val="clear" w:color="auto" w:fill="auto"/>
            <w:noWrap/>
            <w:vAlign w:val="center"/>
          </w:tcPr>
          <w:p w14:paraId="2E518D3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33.81</w:t>
            </w:r>
          </w:p>
        </w:tc>
        <w:tc>
          <w:tcPr>
            <w:tcW w:w="490" w:type="dxa"/>
            <w:tcBorders>
              <w:tl2br w:val="nil"/>
              <w:tr2bl w:val="nil"/>
            </w:tcBorders>
            <w:shd w:val="clear" w:color="auto" w:fill="auto"/>
            <w:noWrap/>
            <w:vAlign w:val="center"/>
          </w:tcPr>
          <w:p w14:paraId="458C60A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26.10</w:t>
            </w:r>
          </w:p>
        </w:tc>
        <w:tc>
          <w:tcPr>
            <w:tcW w:w="490" w:type="dxa"/>
            <w:tcBorders>
              <w:tl2br w:val="nil"/>
              <w:tr2bl w:val="nil"/>
            </w:tcBorders>
            <w:shd w:val="clear" w:color="auto" w:fill="auto"/>
            <w:noWrap/>
            <w:vAlign w:val="center"/>
          </w:tcPr>
          <w:p w14:paraId="7FF29BD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37.56</w:t>
            </w:r>
          </w:p>
        </w:tc>
        <w:tc>
          <w:tcPr>
            <w:tcW w:w="490" w:type="dxa"/>
            <w:tcBorders>
              <w:tl2br w:val="nil"/>
              <w:tr2bl w:val="nil"/>
            </w:tcBorders>
            <w:shd w:val="clear" w:color="auto" w:fill="auto"/>
            <w:noWrap/>
            <w:vAlign w:val="center"/>
          </w:tcPr>
          <w:p w14:paraId="0E9F0EB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49.63</w:t>
            </w:r>
          </w:p>
        </w:tc>
        <w:tc>
          <w:tcPr>
            <w:tcW w:w="569" w:type="dxa"/>
            <w:vMerge w:val="continue"/>
            <w:tcBorders>
              <w:tl2br w:val="nil"/>
              <w:tr2bl w:val="nil"/>
            </w:tcBorders>
            <w:shd w:val="clear" w:color="auto" w:fill="auto"/>
            <w:noWrap/>
            <w:vAlign w:val="center"/>
          </w:tcPr>
          <w:p w14:paraId="17AF783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771" w:type="dxa"/>
            <w:tcBorders>
              <w:tl2br w:val="nil"/>
              <w:tr2bl w:val="nil"/>
            </w:tcBorders>
            <w:shd w:val="clear" w:color="auto" w:fill="auto"/>
            <w:noWrap/>
            <w:vAlign w:val="center"/>
          </w:tcPr>
          <w:p w14:paraId="790F6DE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w:t>
            </w:r>
          </w:p>
        </w:tc>
        <w:tc>
          <w:tcPr>
            <w:tcW w:w="490" w:type="dxa"/>
            <w:tcBorders>
              <w:tl2br w:val="nil"/>
              <w:tr2bl w:val="nil"/>
            </w:tcBorders>
            <w:shd w:val="clear" w:color="auto" w:fill="auto"/>
            <w:noWrap/>
            <w:vAlign w:val="center"/>
          </w:tcPr>
          <w:p w14:paraId="4C0EE6D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7.39</w:t>
            </w:r>
          </w:p>
        </w:tc>
        <w:tc>
          <w:tcPr>
            <w:tcW w:w="490" w:type="dxa"/>
            <w:tcBorders>
              <w:tl2br w:val="nil"/>
              <w:tr2bl w:val="nil"/>
            </w:tcBorders>
            <w:shd w:val="clear" w:color="auto" w:fill="auto"/>
            <w:noWrap/>
            <w:vAlign w:val="center"/>
          </w:tcPr>
          <w:p w14:paraId="4B62F9D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-0.08</w:t>
            </w:r>
          </w:p>
        </w:tc>
        <w:tc>
          <w:tcPr>
            <w:tcW w:w="490" w:type="dxa"/>
            <w:tcBorders>
              <w:tl2br w:val="nil"/>
              <w:tr2bl w:val="nil"/>
            </w:tcBorders>
            <w:shd w:val="clear" w:color="auto" w:fill="auto"/>
            <w:noWrap/>
            <w:vAlign w:val="center"/>
          </w:tcPr>
          <w:p w14:paraId="139BE13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10.93</w:t>
            </w:r>
          </w:p>
        </w:tc>
        <w:tc>
          <w:tcPr>
            <w:tcW w:w="490" w:type="dxa"/>
            <w:tcBorders>
              <w:tl2br w:val="nil"/>
              <w:tr2bl w:val="nil"/>
            </w:tcBorders>
            <w:shd w:val="clear" w:color="auto" w:fill="auto"/>
            <w:noWrap/>
            <w:vAlign w:val="center"/>
          </w:tcPr>
          <w:p w14:paraId="49BDB2B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21.33</w:t>
            </w:r>
          </w:p>
        </w:tc>
        <w:tc>
          <w:tcPr>
            <w:tcW w:w="340" w:type="dxa"/>
            <w:tcBorders>
              <w:tl2br w:val="nil"/>
              <w:tr2bl w:val="nil"/>
            </w:tcBorders>
            <w:shd w:val="clear" w:color="auto" w:fill="auto"/>
            <w:noWrap/>
            <w:vAlign w:val="center"/>
          </w:tcPr>
          <w:p w14:paraId="3BE69DC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0" w:type="dxa"/>
            <w:tcBorders>
              <w:tl2br w:val="nil"/>
              <w:tr2bl w:val="nil"/>
            </w:tcBorders>
            <w:shd w:val="clear" w:color="auto" w:fill="auto"/>
            <w:noWrap/>
            <w:vAlign w:val="center"/>
          </w:tcPr>
          <w:p w14:paraId="5ED4743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16DC3A6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5D697D7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r>
      <w:tr w14:paraId="11506C9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tcBorders>
              <w:tl2br w:val="nil"/>
              <w:tr2bl w:val="nil"/>
            </w:tcBorders>
            <w:shd w:val="clear" w:color="auto" w:fill="auto"/>
            <w:noWrap/>
            <w:vAlign w:val="center"/>
          </w:tcPr>
          <w:p w14:paraId="51E1A33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筛选机2</w:t>
            </w:r>
          </w:p>
        </w:tc>
        <w:tc>
          <w:tcPr>
            <w:tcW w:w="373" w:type="dxa"/>
            <w:tcBorders>
              <w:tl2br w:val="nil"/>
              <w:tr2bl w:val="nil"/>
            </w:tcBorders>
            <w:shd w:val="clear" w:color="auto" w:fill="auto"/>
            <w:noWrap/>
            <w:vAlign w:val="center"/>
          </w:tcPr>
          <w:p w14:paraId="15D2DD6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531" w:type="dxa"/>
            <w:tcBorders>
              <w:tl2br w:val="nil"/>
              <w:tr2bl w:val="nil"/>
            </w:tcBorders>
            <w:shd w:val="clear" w:color="auto" w:fill="auto"/>
            <w:noWrap/>
            <w:vAlign w:val="center"/>
          </w:tcPr>
          <w:p w14:paraId="279436F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-12.35</w:t>
            </w:r>
          </w:p>
        </w:tc>
        <w:tc>
          <w:tcPr>
            <w:tcW w:w="490" w:type="dxa"/>
            <w:tcBorders>
              <w:tl2br w:val="nil"/>
              <w:tr2bl w:val="nil"/>
            </w:tcBorders>
            <w:shd w:val="clear" w:color="auto" w:fill="auto"/>
            <w:noWrap/>
            <w:vAlign w:val="center"/>
          </w:tcPr>
          <w:p w14:paraId="337C54B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40.21</w:t>
            </w:r>
          </w:p>
        </w:tc>
        <w:tc>
          <w:tcPr>
            <w:tcW w:w="298" w:type="dxa"/>
            <w:tcBorders>
              <w:tl2br w:val="nil"/>
              <w:tr2bl w:val="nil"/>
            </w:tcBorders>
            <w:shd w:val="clear" w:color="auto" w:fill="auto"/>
            <w:noWrap/>
            <w:vAlign w:val="center"/>
          </w:tcPr>
          <w:p w14:paraId="4EAA79B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1165" w:type="dxa"/>
            <w:vMerge w:val="continue"/>
            <w:tcBorders>
              <w:tl2br w:val="nil"/>
              <w:tr2bl w:val="nil"/>
            </w:tcBorders>
            <w:shd w:val="clear" w:color="auto" w:fill="auto"/>
            <w:noWrap/>
            <w:vAlign w:val="center"/>
          </w:tcPr>
          <w:p w14:paraId="34B291C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916" w:type="dxa"/>
            <w:tcBorders>
              <w:tl2br w:val="nil"/>
              <w:tr2bl w:val="nil"/>
            </w:tcBorders>
            <w:shd w:val="clear" w:color="auto" w:fill="auto"/>
            <w:noWrap/>
            <w:vAlign w:val="center"/>
          </w:tcPr>
          <w:p w14:paraId="5609AAB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60.00</w:t>
            </w:r>
          </w:p>
        </w:tc>
        <w:tc>
          <w:tcPr>
            <w:tcW w:w="963" w:type="dxa"/>
            <w:tcBorders>
              <w:tl2br w:val="nil"/>
              <w:tr2bl w:val="nil"/>
            </w:tcBorders>
            <w:shd w:val="clear" w:color="auto" w:fill="auto"/>
            <w:noWrap/>
            <w:vAlign w:val="center"/>
          </w:tcPr>
          <w:p w14:paraId="7FC463B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490" w:type="dxa"/>
            <w:tcBorders>
              <w:tl2br w:val="nil"/>
              <w:tr2bl w:val="nil"/>
            </w:tcBorders>
            <w:shd w:val="clear" w:color="auto" w:fill="auto"/>
            <w:noWrap/>
            <w:vAlign w:val="center"/>
          </w:tcPr>
          <w:p w14:paraId="6E5B615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30.28</w:t>
            </w:r>
          </w:p>
        </w:tc>
        <w:tc>
          <w:tcPr>
            <w:tcW w:w="490" w:type="dxa"/>
            <w:tcBorders>
              <w:tl2br w:val="nil"/>
              <w:tr2bl w:val="nil"/>
            </w:tcBorders>
            <w:shd w:val="clear" w:color="auto" w:fill="auto"/>
            <w:noWrap/>
            <w:vAlign w:val="center"/>
          </w:tcPr>
          <w:p w14:paraId="49AE003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41.43</w:t>
            </w:r>
          </w:p>
        </w:tc>
        <w:tc>
          <w:tcPr>
            <w:tcW w:w="490" w:type="dxa"/>
            <w:tcBorders>
              <w:tl2br w:val="nil"/>
              <w:tr2bl w:val="nil"/>
            </w:tcBorders>
            <w:shd w:val="clear" w:color="auto" w:fill="auto"/>
            <w:noWrap/>
            <w:vAlign w:val="center"/>
          </w:tcPr>
          <w:p w14:paraId="1B29903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3.30</w:t>
            </w:r>
          </w:p>
        </w:tc>
        <w:tc>
          <w:tcPr>
            <w:tcW w:w="490" w:type="dxa"/>
            <w:tcBorders>
              <w:tl2br w:val="nil"/>
              <w:tr2bl w:val="nil"/>
            </w:tcBorders>
            <w:shd w:val="clear" w:color="auto" w:fill="auto"/>
            <w:noWrap/>
            <w:vAlign w:val="center"/>
          </w:tcPr>
          <w:p w14:paraId="69DC6B6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11.26</w:t>
            </w:r>
          </w:p>
        </w:tc>
        <w:tc>
          <w:tcPr>
            <w:tcW w:w="490" w:type="dxa"/>
            <w:tcBorders>
              <w:tl2br w:val="nil"/>
              <w:tr2bl w:val="nil"/>
            </w:tcBorders>
            <w:shd w:val="clear" w:color="auto" w:fill="auto"/>
            <w:noWrap/>
            <w:vAlign w:val="center"/>
          </w:tcPr>
          <w:p w14:paraId="4993699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30.38</w:t>
            </w:r>
          </w:p>
        </w:tc>
        <w:tc>
          <w:tcPr>
            <w:tcW w:w="490" w:type="dxa"/>
            <w:tcBorders>
              <w:tl2br w:val="nil"/>
              <w:tr2bl w:val="nil"/>
            </w:tcBorders>
            <w:shd w:val="clear" w:color="auto" w:fill="auto"/>
            <w:noWrap/>
            <w:vAlign w:val="center"/>
          </w:tcPr>
          <w:p w14:paraId="48AEE11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27.65</w:t>
            </w:r>
          </w:p>
        </w:tc>
        <w:tc>
          <w:tcPr>
            <w:tcW w:w="490" w:type="dxa"/>
            <w:tcBorders>
              <w:tl2br w:val="nil"/>
              <w:tr2bl w:val="nil"/>
            </w:tcBorders>
            <w:shd w:val="clear" w:color="auto" w:fill="auto"/>
            <w:noWrap/>
            <w:vAlign w:val="center"/>
          </w:tcPr>
          <w:p w14:paraId="7A6DD8F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49.64</w:t>
            </w:r>
          </w:p>
        </w:tc>
        <w:tc>
          <w:tcPr>
            <w:tcW w:w="490" w:type="dxa"/>
            <w:tcBorders>
              <w:tl2br w:val="nil"/>
              <w:tr2bl w:val="nil"/>
            </w:tcBorders>
            <w:shd w:val="clear" w:color="auto" w:fill="auto"/>
            <w:noWrap/>
            <w:vAlign w:val="center"/>
          </w:tcPr>
          <w:p w14:paraId="5889D0C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38.97</w:t>
            </w:r>
          </w:p>
        </w:tc>
        <w:tc>
          <w:tcPr>
            <w:tcW w:w="569" w:type="dxa"/>
            <w:vMerge w:val="continue"/>
            <w:tcBorders>
              <w:tl2br w:val="nil"/>
              <w:tr2bl w:val="nil"/>
            </w:tcBorders>
            <w:shd w:val="clear" w:color="auto" w:fill="auto"/>
            <w:noWrap/>
            <w:vAlign w:val="center"/>
          </w:tcPr>
          <w:p w14:paraId="3894CD1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771" w:type="dxa"/>
            <w:tcBorders>
              <w:tl2br w:val="nil"/>
              <w:tr2bl w:val="nil"/>
            </w:tcBorders>
            <w:shd w:val="clear" w:color="auto" w:fill="auto"/>
            <w:noWrap/>
            <w:vAlign w:val="center"/>
          </w:tcPr>
          <w:p w14:paraId="3DDEF83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w:t>
            </w:r>
          </w:p>
        </w:tc>
        <w:tc>
          <w:tcPr>
            <w:tcW w:w="490" w:type="dxa"/>
            <w:tcBorders>
              <w:tl2br w:val="nil"/>
              <w:tr2bl w:val="nil"/>
            </w:tcBorders>
            <w:shd w:val="clear" w:color="auto" w:fill="auto"/>
            <w:noWrap/>
            <w:vAlign w:val="center"/>
          </w:tcPr>
          <w:p w14:paraId="06AB3D4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4.09</w:t>
            </w:r>
          </w:p>
        </w:tc>
        <w:tc>
          <w:tcPr>
            <w:tcW w:w="490" w:type="dxa"/>
            <w:tcBorders>
              <w:tl2br w:val="nil"/>
              <w:tr2bl w:val="nil"/>
            </w:tcBorders>
            <w:shd w:val="clear" w:color="auto" w:fill="auto"/>
            <w:noWrap/>
            <w:vAlign w:val="center"/>
          </w:tcPr>
          <w:p w14:paraId="0BAFC4C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1.45</w:t>
            </w:r>
          </w:p>
        </w:tc>
        <w:tc>
          <w:tcPr>
            <w:tcW w:w="490" w:type="dxa"/>
            <w:tcBorders>
              <w:tl2br w:val="nil"/>
              <w:tr2bl w:val="nil"/>
            </w:tcBorders>
            <w:shd w:val="clear" w:color="auto" w:fill="auto"/>
            <w:noWrap/>
            <w:vAlign w:val="center"/>
          </w:tcPr>
          <w:p w14:paraId="7AE974C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21.34</w:t>
            </w:r>
          </w:p>
        </w:tc>
        <w:tc>
          <w:tcPr>
            <w:tcW w:w="490" w:type="dxa"/>
            <w:tcBorders>
              <w:tl2br w:val="nil"/>
              <w:tr2bl w:val="nil"/>
            </w:tcBorders>
            <w:shd w:val="clear" w:color="auto" w:fill="auto"/>
            <w:noWrap/>
            <w:vAlign w:val="center"/>
          </w:tcPr>
          <w:p w14:paraId="347439B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12.23</w:t>
            </w:r>
          </w:p>
        </w:tc>
        <w:tc>
          <w:tcPr>
            <w:tcW w:w="340" w:type="dxa"/>
            <w:tcBorders>
              <w:tl2br w:val="nil"/>
              <w:tr2bl w:val="nil"/>
            </w:tcBorders>
            <w:shd w:val="clear" w:color="auto" w:fill="auto"/>
            <w:noWrap/>
            <w:vAlign w:val="center"/>
          </w:tcPr>
          <w:p w14:paraId="4F291D2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0" w:type="dxa"/>
            <w:tcBorders>
              <w:tl2br w:val="nil"/>
              <w:tr2bl w:val="nil"/>
            </w:tcBorders>
            <w:shd w:val="clear" w:color="auto" w:fill="auto"/>
            <w:noWrap/>
            <w:vAlign w:val="center"/>
          </w:tcPr>
          <w:p w14:paraId="0AEC5FB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3683051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11B6F10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r>
      <w:tr w14:paraId="5F23325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tcBorders>
              <w:tl2br w:val="nil"/>
              <w:tr2bl w:val="nil"/>
            </w:tcBorders>
            <w:shd w:val="clear" w:color="auto" w:fill="auto"/>
            <w:noWrap/>
            <w:vAlign w:val="center"/>
          </w:tcPr>
          <w:p w14:paraId="56445F6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引风机</w:t>
            </w:r>
          </w:p>
        </w:tc>
        <w:tc>
          <w:tcPr>
            <w:tcW w:w="373" w:type="dxa"/>
            <w:tcBorders>
              <w:tl2br w:val="nil"/>
              <w:tr2bl w:val="nil"/>
            </w:tcBorders>
            <w:shd w:val="clear" w:color="auto" w:fill="auto"/>
            <w:noWrap/>
            <w:vAlign w:val="center"/>
          </w:tcPr>
          <w:p w14:paraId="03DE22F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531" w:type="dxa"/>
            <w:tcBorders>
              <w:tl2br w:val="nil"/>
              <w:tr2bl w:val="nil"/>
            </w:tcBorders>
            <w:shd w:val="clear" w:color="auto" w:fill="auto"/>
            <w:noWrap/>
            <w:vAlign w:val="center"/>
          </w:tcPr>
          <w:p w14:paraId="1D40539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-2.62</w:t>
            </w:r>
          </w:p>
        </w:tc>
        <w:tc>
          <w:tcPr>
            <w:tcW w:w="490" w:type="dxa"/>
            <w:tcBorders>
              <w:tl2br w:val="nil"/>
              <w:tr2bl w:val="nil"/>
            </w:tcBorders>
            <w:shd w:val="clear" w:color="auto" w:fill="auto"/>
            <w:noWrap/>
            <w:vAlign w:val="center"/>
          </w:tcPr>
          <w:p w14:paraId="4CB27F5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41.03</w:t>
            </w:r>
          </w:p>
        </w:tc>
        <w:tc>
          <w:tcPr>
            <w:tcW w:w="298" w:type="dxa"/>
            <w:tcBorders>
              <w:tl2br w:val="nil"/>
              <w:tr2bl w:val="nil"/>
            </w:tcBorders>
            <w:shd w:val="clear" w:color="auto" w:fill="auto"/>
            <w:noWrap/>
            <w:vAlign w:val="center"/>
          </w:tcPr>
          <w:p w14:paraId="19239CA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1165" w:type="dxa"/>
            <w:tcBorders>
              <w:tl2br w:val="nil"/>
              <w:tr2bl w:val="nil"/>
            </w:tcBorders>
            <w:shd w:val="clear" w:color="auto" w:fill="auto"/>
            <w:noWrap/>
            <w:vAlign w:val="center"/>
          </w:tcPr>
          <w:p w14:paraId="6F18727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距离衰减、减震措施</w:t>
            </w:r>
            <w:r>
              <w:rPr>
                <w:rFonts w:hint="eastAsia" w:cs="Times New Roman"/>
                <w:i w:val="0"/>
                <w:iCs w:val="0"/>
                <w:color w:val="auto"/>
                <w:kern w:val="0"/>
                <w:sz w:val="21"/>
                <w:szCs w:val="21"/>
                <w:highlight w:val="none"/>
                <w:u w:val="none"/>
                <w:lang w:val="en-US" w:eastAsia="zh-CN" w:bidi="ar"/>
              </w:rPr>
              <w:t>、</w:t>
            </w:r>
            <w:r>
              <w:rPr>
                <w:rFonts w:hint="eastAsia" w:cs="Times New Roman"/>
                <w:color w:val="auto"/>
                <w:kern w:val="0"/>
                <w:sz w:val="21"/>
                <w:szCs w:val="21"/>
                <w:highlight w:val="none"/>
                <w:lang w:val="en-US" w:eastAsia="zh-CN" w:bidi="ar"/>
              </w:rPr>
              <w:t>车间封闭隔声处理</w:t>
            </w:r>
          </w:p>
        </w:tc>
        <w:tc>
          <w:tcPr>
            <w:tcW w:w="916" w:type="dxa"/>
            <w:tcBorders>
              <w:tl2br w:val="nil"/>
              <w:tr2bl w:val="nil"/>
            </w:tcBorders>
            <w:shd w:val="clear" w:color="auto" w:fill="auto"/>
            <w:noWrap/>
            <w:vAlign w:val="center"/>
          </w:tcPr>
          <w:p w14:paraId="1CB716E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lang w:val="en-US"/>
              </w:rPr>
            </w:pPr>
            <w:r>
              <w:rPr>
                <w:rFonts w:hint="eastAsia" w:ascii="Times New Roman" w:hAnsi="Times New Roman" w:eastAsia="宋体" w:cs="Times New Roman"/>
                <w:b w:val="0"/>
                <w:bCs/>
                <w:color w:val="auto"/>
                <w:kern w:val="0"/>
                <w:sz w:val="21"/>
                <w:szCs w:val="21"/>
                <w:highlight w:val="none"/>
                <w:lang w:val="en-US" w:eastAsia="zh-CN"/>
              </w:rPr>
              <w:t>75.00</w:t>
            </w:r>
          </w:p>
        </w:tc>
        <w:tc>
          <w:tcPr>
            <w:tcW w:w="963" w:type="dxa"/>
            <w:tcBorders>
              <w:tl2br w:val="nil"/>
              <w:tr2bl w:val="nil"/>
            </w:tcBorders>
            <w:shd w:val="clear" w:color="auto" w:fill="auto"/>
            <w:noWrap/>
            <w:vAlign w:val="center"/>
          </w:tcPr>
          <w:p w14:paraId="1497093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490" w:type="dxa"/>
            <w:tcBorders>
              <w:tl2br w:val="nil"/>
              <w:tr2bl w:val="nil"/>
            </w:tcBorders>
            <w:shd w:val="clear" w:color="auto" w:fill="auto"/>
            <w:noWrap/>
            <w:vAlign w:val="center"/>
          </w:tcPr>
          <w:p w14:paraId="783213D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20.49</w:t>
            </w:r>
          </w:p>
        </w:tc>
        <w:tc>
          <w:tcPr>
            <w:tcW w:w="490" w:type="dxa"/>
            <w:tcBorders>
              <w:tl2br w:val="nil"/>
              <w:tr2bl w:val="nil"/>
            </w:tcBorders>
            <w:shd w:val="clear" w:color="auto" w:fill="auto"/>
            <w:noWrap/>
            <w:vAlign w:val="center"/>
          </w:tcPr>
          <w:p w14:paraId="4C1B9B3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41.35</w:t>
            </w:r>
          </w:p>
        </w:tc>
        <w:tc>
          <w:tcPr>
            <w:tcW w:w="490" w:type="dxa"/>
            <w:tcBorders>
              <w:tl2br w:val="nil"/>
              <w:tr2bl w:val="nil"/>
            </w:tcBorders>
            <w:shd w:val="clear" w:color="auto" w:fill="auto"/>
            <w:noWrap/>
            <w:vAlign w:val="center"/>
          </w:tcPr>
          <w:p w14:paraId="7D2ED6A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13.09</w:t>
            </w:r>
          </w:p>
        </w:tc>
        <w:tc>
          <w:tcPr>
            <w:tcW w:w="490" w:type="dxa"/>
            <w:tcBorders>
              <w:tl2br w:val="nil"/>
              <w:tr2bl w:val="nil"/>
            </w:tcBorders>
            <w:shd w:val="clear" w:color="auto" w:fill="auto"/>
            <w:noWrap/>
            <w:vAlign w:val="center"/>
          </w:tcPr>
          <w:p w14:paraId="2A6F9A7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11.51</w:t>
            </w:r>
          </w:p>
        </w:tc>
        <w:tc>
          <w:tcPr>
            <w:tcW w:w="490" w:type="dxa"/>
            <w:tcBorders>
              <w:tl2br w:val="nil"/>
              <w:tr2bl w:val="nil"/>
            </w:tcBorders>
            <w:shd w:val="clear" w:color="auto" w:fill="auto"/>
            <w:noWrap/>
            <w:vAlign w:val="center"/>
          </w:tcPr>
          <w:p w14:paraId="2FF0600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33.77</w:t>
            </w:r>
          </w:p>
        </w:tc>
        <w:tc>
          <w:tcPr>
            <w:tcW w:w="490" w:type="dxa"/>
            <w:tcBorders>
              <w:tl2br w:val="nil"/>
              <w:tr2bl w:val="nil"/>
            </w:tcBorders>
            <w:shd w:val="clear" w:color="auto" w:fill="auto"/>
            <w:noWrap/>
            <w:vAlign w:val="center"/>
          </w:tcPr>
          <w:p w14:paraId="7CA9A12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27.67</w:t>
            </w:r>
          </w:p>
        </w:tc>
        <w:tc>
          <w:tcPr>
            <w:tcW w:w="490" w:type="dxa"/>
            <w:tcBorders>
              <w:tl2br w:val="nil"/>
              <w:tr2bl w:val="nil"/>
            </w:tcBorders>
            <w:shd w:val="clear" w:color="auto" w:fill="auto"/>
            <w:noWrap/>
            <w:vAlign w:val="center"/>
          </w:tcPr>
          <w:p w14:paraId="2D5D26E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37.66</w:t>
            </w:r>
          </w:p>
        </w:tc>
        <w:tc>
          <w:tcPr>
            <w:tcW w:w="490" w:type="dxa"/>
            <w:tcBorders>
              <w:tl2br w:val="nil"/>
              <w:tr2bl w:val="nil"/>
            </w:tcBorders>
            <w:shd w:val="clear" w:color="auto" w:fill="auto"/>
            <w:noWrap/>
            <w:vAlign w:val="center"/>
          </w:tcPr>
          <w:p w14:paraId="35304D8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38.78</w:t>
            </w:r>
          </w:p>
        </w:tc>
        <w:tc>
          <w:tcPr>
            <w:tcW w:w="569" w:type="dxa"/>
            <w:tcBorders>
              <w:tl2br w:val="nil"/>
              <w:tr2bl w:val="nil"/>
            </w:tcBorders>
            <w:shd w:val="clear" w:color="auto" w:fill="auto"/>
            <w:noWrap/>
            <w:vAlign w:val="center"/>
          </w:tcPr>
          <w:p w14:paraId="60E650E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昼间</w:t>
            </w:r>
          </w:p>
        </w:tc>
        <w:tc>
          <w:tcPr>
            <w:tcW w:w="771" w:type="dxa"/>
            <w:tcBorders>
              <w:tl2br w:val="nil"/>
              <w:tr2bl w:val="nil"/>
            </w:tcBorders>
            <w:shd w:val="clear" w:color="auto" w:fill="auto"/>
            <w:noWrap/>
            <w:vAlign w:val="center"/>
          </w:tcPr>
          <w:p w14:paraId="16C7664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w:t>
            </w:r>
          </w:p>
        </w:tc>
        <w:tc>
          <w:tcPr>
            <w:tcW w:w="490" w:type="dxa"/>
            <w:tcBorders>
              <w:tl2br w:val="nil"/>
              <w:tr2bl w:val="nil"/>
            </w:tcBorders>
            <w:shd w:val="clear" w:color="auto" w:fill="auto"/>
            <w:noWrap/>
            <w:vAlign w:val="center"/>
          </w:tcPr>
          <w:p w14:paraId="09D6C29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7.35</w:t>
            </w:r>
          </w:p>
        </w:tc>
        <w:tc>
          <w:tcPr>
            <w:tcW w:w="490" w:type="dxa"/>
            <w:tcBorders>
              <w:tl2br w:val="nil"/>
              <w:tr2bl w:val="nil"/>
            </w:tcBorders>
            <w:shd w:val="clear" w:color="auto" w:fill="auto"/>
            <w:noWrap/>
            <w:vAlign w:val="center"/>
          </w:tcPr>
          <w:p w14:paraId="64C85AD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1.46</w:t>
            </w:r>
          </w:p>
        </w:tc>
        <w:tc>
          <w:tcPr>
            <w:tcW w:w="490" w:type="dxa"/>
            <w:tcBorders>
              <w:tl2br w:val="nil"/>
              <w:tr2bl w:val="nil"/>
            </w:tcBorders>
            <w:shd w:val="clear" w:color="auto" w:fill="auto"/>
            <w:noWrap/>
            <w:vAlign w:val="center"/>
          </w:tcPr>
          <w:p w14:paraId="5D216EF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11.02</w:t>
            </w:r>
          </w:p>
        </w:tc>
        <w:tc>
          <w:tcPr>
            <w:tcW w:w="490" w:type="dxa"/>
            <w:tcBorders>
              <w:tl2br w:val="nil"/>
              <w:tr2bl w:val="nil"/>
            </w:tcBorders>
            <w:shd w:val="clear" w:color="auto" w:fill="auto"/>
            <w:noWrap/>
            <w:vAlign w:val="center"/>
          </w:tcPr>
          <w:p w14:paraId="3B6A566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12.05</w:t>
            </w:r>
          </w:p>
        </w:tc>
        <w:tc>
          <w:tcPr>
            <w:tcW w:w="340" w:type="dxa"/>
            <w:tcBorders>
              <w:tl2br w:val="nil"/>
              <w:tr2bl w:val="nil"/>
            </w:tcBorders>
            <w:shd w:val="clear" w:color="auto" w:fill="auto"/>
            <w:noWrap/>
            <w:vAlign w:val="center"/>
          </w:tcPr>
          <w:p w14:paraId="1AA25A0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0" w:type="dxa"/>
            <w:tcBorders>
              <w:tl2br w:val="nil"/>
              <w:tr2bl w:val="nil"/>
            </w:tcBorders>
            <w:shd w:val="clear" w:color="auto" w:fill="auto"/>
            <w:noWrap/>
            <w:vAlign w:val="center"/>
          </w:tcPr>
          <w:p w14:paraId="41E4DB8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2CA17B7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5611620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r>
      <w:tr w14:paraId="14A9197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tcBorders>
              <w:tl2br w:val="nil"/>
              <w:tr2bl w:val="nil"/>
            </w:tcBorders>
            <w:shd w:val="clear" w:color="auto" w:fill="auto"/>
            <w:noWrap/>
            <w:vAlign w:val="center"/>
          </w:tcPr>
          <w:p w14:paraId="1AA28B6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链式回料机</w:t>
            </w:r>
          </w:p>
        </w:tc>
        <w:tc>
          <w:tcPr>
            <w:tcW w:w="373" w:type="dxa"/>
            <w:tcBorders>
              <w:tl2br w:val="nil"/>
              <w:tr2bl w:val="nil"/>
            </w:tcBorders>
            <w:shd w:val="clear" w:color="auto" w:fill="auto"/>
            <w:noWrap/>
            <w:vAlign w:val="center"/>
          </w:tcPr>
          <w:p w14:paraId="1C13F66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531" w:type="dxa"/>
            <w:tcBorders>
              <w:tl2br w:val="nil"/>
              <w:tr2bl w:val="nil"/>
            </w:tcBorders>
            <w:shd w:val="clear" w:color="auto" w:fill="auto"/>
            <w:noWrap/>
            <w:vAlign w:val="center"/>
          </w:tcPr>
          <w:p w14:paraId="0D333E2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1.47</w:t>
            </w:r>
          </w:p>
        </w:tc>
        <w:tc>
          <w:tcPr>
            <w:tcW w:w="490" w:type="dxa"/>
            <w:tcBorders>
              <w:tl2br w:val="nil"/>
              <w:tr2bl w:val="nil"/>
            </w:tcBorders>
            <w:shd w:val="clear" w:color="auto" w:fill="auto"/>
            <w:noWrap/>
            <w:vAlign w:val="center"/>
          </w:tcPr>
          <w:p w14:paraId="10D3712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23.52</w:t>
            </w:r>
          </w:p>
        </w:tc>
        <w:tc>
          <w:tcPr>
            <w:tcW w:w="298" w:type="dxa"/>
            <w:tcBorders>
              <w:tl2br w:val="nil"/>
              <w:tr2bl w:val="nil"/>
            </w:tcBorders>
            <w:shd w:val="clear" w:color="auto" w:fill="auto"/>
            <w:noWrap/>
            <w:vAlign w:val="center"/>
          </w:tcPr>
          <w:p w14:paraId="5A03016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1165" w:type="dxa"/>
            <w:vMerge w:val="restart"/>
            <w:tcBorders>
              <w:tl2br w:val="nil"/>
              <w:tr2bl w:val="nil"/>
            </w:tcBorders>
            <w:shd w:val="clear" w:color="auto" w:fill="auto"/>
            <w:noWrap/>
            <w:vAlign w:val="center"/>
          </w:tcPr>
          <w:p w14:paraId="085905F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距离衰减、减震措施</w:t>
            </w:r>
            <w:r>
              <w:rPr>
                <w:rFonts w:hint="eastAsia" w:cs="Times New Roman"/>
                <w:i w:val="0"/>
                <w:iCs w:val="0"/>
                <w:color w:val="auto"/>
                <w:kern w:val="0"/>
                <w:sz w:val="21"/>
                <w:szCs w:val="21"/>
                <w:highlight w:val="none"/>
                <w:u w:val="none"/>
                <w:lang w:val="en-US" w:eastAsia="zh-CN" w:bidi="ar"/>
              </w:rPr>
              <w:t>、</w:t>
            </w:r>
            <w:r>
              <w:rPr>
                <w:rFonts w:hint="eastAsia" w:cs="Times New Roman"/>
                <w:color w:val="auto"/>
                <w:kern w:val="0"/>
                <w:sz w:val="21"/>
                <w:szCs w:val="21"/>
                <w:highlight w:val="none"/>
                <w:lang w:val="en-US" w:eastAsia="zh-CN" w:bidi="ar"/>
              </w:rPr>
              <w:t>车间封闭隔声处理</w:t>
            </w:r>
          </w:p>
        </w:tc>
        <w:tc>
          <w:tcPr>
            <w:tcW w:w="916" w:type="dxa"/>
            <w:tcBorders>
              <w:tl2br w:val="nil"/>
              <w:tr2bl w:val="nil"/>
            </w:tcBorders>
            <w:shd w:val="clear" w:color="auto" w:fill="auto"/>
            <w:noWrap/>
            <w:vAlign w:val="center"/>
          </w:tcPr>
          <w:p w14:paraId="3BD2AE1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eastAsia" w:ascii="Times New Roman" w:hAnsi="Times New Roman" w:eastAsia="宋体" w:cs="Times New Roman"/>
                <w:b w:val="0"/>
                <w:bCs/>
                <w:color w:val="auto"/>
                <w:kern w:val="0"/>
                <w:sz w:val="21"/>
                <w:szCs w:val="21"/>
                <w:highlight w:val="none"/>
                <w:lang w:val="en-US" w:eastAsia="zh-CN"/>
              </w:rPr>
              <w:t>60</w:t>
            </w:r>
            <w:r>
              <w:rPr>
                <w:rFonts w:hint="default" w:ascii="Times New Roman" w:hAnsi="Times New Roman" w:eastAsia="宋体" w:cs="Times New Roman"/>
                <w:b w:val="0"/>
                <w:bCs/>
                <w:color w:val="auto"/>
                <w:kern w:val="0"/>
                <w:sz w:val="21"/>
                <w:szCs w:val="21"/>
                <w:highlight w:val="none"/>
                <w:lang w:val="en-US" w:eastAsia="zh-CN"/>
              </w:rPr>
              <w:t>.00</w:t>
            </w:r>
          </w:p>
        </w:tc>
        <w:tc>
          <w:tcPr>
            <w:tcW w:w="963" w:type="dxa"/>
            <w:tcBorders>
              <w:tl2br w:val="nil"/>
              <w:tr2bl w:val="nil"/>
            </w:tcBorders>
            <w:shd w:val="clear" w:color="auto" w:fill="auto"/>
            <w:noWrap/>
            <w:vAlign w:val="center"/>
          </w:tcPr>
          <w:p w14:paraId="66504E7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490" w:type="dxa"/>
            <w:tcBorders>
              <w:tl2br w:val="nil"/>
              <w:tr2bl w:val="nil"/>
            </w:tcBorders>
            <w:shd w:val="clear" w:color="auto" w:fill="auto"/>
            <w:noWrap/>
            <w:vAlign w:val="center"/>
          </w:tcPr>
          <w:p w14:paraId="786B981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17.47</w:t>
            </w:r>
          </w:p>
        </w:tc>
        <w:tc>
          <w:tcPr>
            <w:tcW w:w="490" w:type="dxa"/>
            <w:tcBorders>
              <w:tl2br w:val="nil"/>
              <w:tr2bl w:val="nil"/>
            </w:tcBorders>
            <w:shd w:val="clear" w:color="auto" w:fill="auto"/>
            <w:noWrap/>
            <w:vAlign w:val="center"/>
          </w:tcPr>
          <w:p w14:paraId="24B630F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23.50</w:t>
            </w:r>
          </w:p>
        </w:tc>
        <w:tc>
          <w:tcPr>
            <w:tcW w:w="490" w:type="dxa"/>
            <w:tcBorders>
              <w:tl2br w:val="nil"/>
              <w:tr2bl w:val="nil"/>
            </w:tcBorders>
            <w:shd w:val="clear" w:color="auto" w:fill="auto"/>
            <w:noWrap/>
            <w:vAlign w:val="center"/>
          </w:tcPr>
          <w:p w14:paraId="439CA72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15.99</w:t>
            </w:r>
          </w:p>
        </w:tc>
        <w:tc>
          <w:tcPr>
            <w:tcW w:w="490" w:type="dxa"/>
            <w:tcBorders>
              <w:tl2br w:val="nil"/>
              <w:tr2bl w:val="nil"/>
            </w:tcBorders>
            <w:shd w:val="clear" w:color="auto" w:fill="auto"/>
            <w:noWrap/>
            <w:vAlign w:val="center"/>
          </w:tcPr>
          <w:p w14:paraId="4B7F5B0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29.43</w:t>
            </w:r>
          </w:p>
        </w:tc>
        <w:tc>
          <w:tcPr>
            <w:tcW w:w="490" w:type="dxa"/>
            <w:tcBorders>
              <w:tl2br w:val="nil"/>
              <w:tr2bl w:val="nil"/>
            </w:tcBorders>
            <w:shd w:val="clear" w:color="auto" w:fill="auto"/>
            <w:noWrap/>
            <w:vAlign w:val="center"/>
          </w:tcPr>
          <w:p w14:paraId="05C2465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50.15</w:t>
            </w:r>
          </w:p>
        </w:tc>
        <w:tc>
          <w:tcPr>
            <w:tcW w:w="490" w:type="dxa"/>
            <w:tcBorders>
              <w:tl2br w:val="nil"/>
              <w:tr2bl w:val="nil"/>
            </w:tcBorders>
            <w:shd w:val="clear" w:color="auto" w:fill="auto"/>
            <w:noWrap/>
            <w:vAlign w:val="center"/>
          </w:tcPr>
          <w:p w14:paraId="59A8859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47.58</w:t>
            </w:r>
          </w:p>
        </w:tc>
        <w:tc>
          <w:tcPr>
            <w:tcW w:w="490" w:type="dxa"/>
            <w:tcBorders>
              <w:tl2br w:val="nil"/>
              <w:tr2bl w:val="nil"/>
            </w:tcBorders>
            <w:shd w:val="clear" w:color="auto" w:fill="auto"/>
            <w:noWrap/>
            <w:vAlign w:val="center"/>
          </w:tcPr>
          <w:p w14:paraId="4A5A0D7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50.92</w:t>
            </w:r>
          </w:p>
        </w:tc>
        <w:tc>
          <w:tcPr>
            <w:tcW w:w="490" w:type="dxa"/>
            <w:tcBorders>
              <w:tl2br w:val="nil"/>
              <w:tr2bl w:val="nil"/>
            </w:tcBorders>
            <w:shd w:val="clear" w:color="auto" w:fill="auto"/>
            <w:noWrap/>
            <w:vAlign w:val="center"/>
          </w:tcPr>
          <w:p w14:paraId="08F712C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45.62</w:t>
            </w:r>
          </w:p>
        </w:tc>
        <w:tc>
          <w:tcPr>
            <w:tcW w:w="569" w:type="dxa"/>
            <w:vMerge w:val="restart"/>
            <w:tcBorders>
              <w:tl2br w:val="nil"/>
              <w:tr2bl w:val="nil"/>
            </w:tcBorders>
            <w:shd w:val="clear" w:color="auto" w:fill="auto"/>
            <w:noWrap/>
            <w:vAlign w:val="center"/>
          </w:tcPr>
          <w:p w14:paraId="7BECF09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昼间</w:t>
            </w:r>
          </w:p>
        </w:tc>
        <w:tc>
          <w:tcPr>
            <w:tcW w:w="771" w:type="dxa"/>
            <w:tcBorders>
              <w:tl2br w:val="nil"/>
              <w:tr2bl w:val="nil"/>
            </w:tcBorders>
            <w:shd w:val="clear" w:color="auto" w:fill="auto"/>
            <w:noWrap/>
            <w:vAlign w:val="center"/>
          </w:tcPr>
          <w:p w14:paraId="5ACD841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w:t>
            </w:r>
          </w:p>
        </w:tc>
        <w:tc>
          <w:tcPr>
            <w:tcW w:w="490" w:type="dxa"/>
            <w:tcBorders>
              <w:tl2br w:val="nil"/>
              <w:tr2bl w:val="nil"/>
            </w:tcBorders>
            <w:shd w:val="clear" w:color="auto" w:fill="auto"/>
            <w:noWrap/>
            <w:vAlign w:val="center"/>
          </w:tcPr>
          <w:p w14:paraId="5AB477A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23.67</w:t>
            </w:r>
          </w:p>
        </w:tc>
        <w:tc>
          <w:tcPr>
            <w:tcW w:w="490" w:type="dxa"/>
            <w:tcBorders>
              <w:tl2br w:val="nil"/>
              <w:tr2bl w:val="nil"/>
            </w:tcBorders>
            <w:shd w:val="clear" w:color="auto" w:fill="auto"/>
            <w:noWrap/>
            <w:vAlign w:val="center"/>
          </w:tcPr>
          <w:p w14:paraId="44CA980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21.22</w:t>
            </w:r>
          </w:p>
        </w:tc>
        <w:tc>
          <w:tcPr>
            <w:tcW w:w="490" w:type="dxa"/>
            <w:tcBorders>
              <w:tl2br w:val="nil"/>
              <w:tr2bl w:val="nil"/>
            </w:tcBorders>
            <w:shd w:val="clear" w:color="auto" w:fill="auto"/>
            <w:noWrap/>
            <w:vAlign w:val="center"/>
          </w:tcPr>
          <w:p w14:paraId="334EEBD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24.39</w:t>
            </w:r>
          </w:p>
        </w:tc>
        <w:tc>
          <w:tcPr>
            <w:tcW w:w="490" w:type="dxa"/>
            <w:tcBorders>
              <w:tl2br w:val="nil"/>
              <w:tr2bl w:val="nil"/>
            </w:tcBorders>
            <w:shd w:val="clear" w:color="auto" w:fill="auto"/>
            <w:noWrap/>
            <w:vAlign w:val="center"/>
          </w:tcPr>
          <w:p w14:paraId="04322DD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19.33</w:t>
            </w:r>
          </w:p>
        </w:tc>
        <w:tc>
          <w:tcPr>
            <w:tcW w:w="340" w:type="dxa"/>
            <w:tcBorders>
              <w:tl2br w:val="nil"/>
              <w:tr2bl w:val="nil"/>
            </w:tcBorders>
            <w:shd w:val="clear" w:color="auto" w:fill="auto"/>
            <w:noWrap/>
            <w:vAlign w:val="center"/>
          </w:tcPr>
          <w:p w14:paraId="63E3CE5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0" w:type="dxa"/>
            <w:tcBorders>
              <w:tl2br w:val="nil"/>
              <w:tr2bl w:val="nil"/>
            </w:tcBorders>
            <w:shd w:val="clear" w:color="auto" w:fill="auto"/>
            <w:noWrap/>
            <w:vAlign w:val="center"/>
          </w:tcPr>
          <w:p w14:paraId="4AC60F8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3D2AE60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0110A9A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r>
      <w:tr w14:paraId="341950C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tcBorders>
              <w:tl2br w:val="nil"/>
              <w:tr2bl w:val="nil"/>
            </w:tcBorders>
            <w:shd w:val="clear" w:color="auto" w:fill="auto"/>
            <w:noWrap/>
            <w:vAlign w:val="center"/>
          </w:tcPr>
          <w:p w14:paraId="28AB17D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破碎机</w:t>
            </w:r>
            <w:r>
              <w:rPr>
                <w:rFonts w:hint="eastAsia" w:ascii="Times New Roman" w:hAnsi="Times New Roman" w:eastAsia="宋体" w:cs="Times New Roman"/>
                <w:b w:val="0"/>
                <w:bCs/>
                <w:color w:val="auto"/>
                <w:kern w:val="0"/>
                <w:sz w:val="21"/>
                <w:szCs w:val="21"/>
                <w:highlight w:val="none"/>
                <w:lang w:val="en-US" w:eastAsia="zh-CN"/>
              </w:rPr>
              <w:t>2</w:t>
            </w:r>
          </w:p>
        </w:tc>
        <w:tc>
          <w:tcPr>
            <w:tcW w:w="373" w:type="dxa"/>
            <w:tcBorders>
              <w:tl2br w:val="nil"/>
              <w:tr2bl w:val="nil"/>
            </w:tcBorders>
            <w:shd w:val="clear" w:color="auto" w:fill="auto"/>
            <w:noWrap/>
            <w:vAlign w:val="center"/>
          </w:tcPr>
          <w:p w14:paraId="37D7EA8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531" w:type="dxa"/>
            <w:tcBorders>
              <w:tl2br w:val="nil"/>
              <w:tr2bl w:val="nil"/>
            </w:tcBorders>
            <w:shd w:val="clear" w:color="auto" w:fill="auto"/>
            <w:noWrap/>
            <w:vAlign w:val="center"/>
          </w:tcPr>
          <w:p w14:paraId="0EF94C3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7.21</w:t>
            </w:r>
          </w:p>
        </w:tc>
        <w:tc>
          <w:tcPr>
            <w:tcW w:w="490" w:type="dxa"/>
            <w:tcBorders>
              <w:tl2br w:val="nil"/>
              <w:tr2bl w:val="nil"/>
            </w:tcBorders>
            <w:shd w:val="clear" w:color="auto" w:fill="auto"/>
            <w:noWrap/>
            <w:vAlign w:val="center"/>
          </w:tcPr>
          <w:p w14:paraId="62ACBDB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46.04</w:t>
            </w:r>
          </w:p>
        </w:tc>
        <w:tc>
          <w:tcPr>
            <w:tcW w:w="298" w:type="dxa"/>
            <w:tcBorders>
              <w:tl2br w:val="nil"/>
              <w:tr2bl w:val="nil"/>
            </w:tcBorders>
            <w:shd w:val="clear" w:color="auto" w:fill="auto"/>
            <w:noWrap/>
            <w:vAlign w:val="center"/>
          </w:tcPr>
          <w:p w14:paraId="5C0F79B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1165" w:type="dxa"/>
            <w:vMerge w:val="continue"/>
            <w:tcBorders>
              <w:tl2br w:val="nil"/>
              <w:tr2bl w:val="nil"/>
            </w:tcBorders>
            <w:shd w:val="clear" w:color="auto" w:fill="auto"/>
            <w:noWrap/>
            <w:vAlign w:val="center"/>
          </w:tcPr>
          <w:p w14:paraId="38BAFC2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916" w:type="dxa"/>
            <w:tcBorders>
              <w:tl2br w:val="nil"/>
              <w:tr2bl w:val="nil"/>
            </w:tcBorders>
            <w:shd w:val="clear" w:color="auto" w:fill="auto"/>
            <w:noWrap/>
            <w:vAlign w:val="center"/>
          </w:tcPr>
          <w:p w14:paraId="4B93EC8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eastAsia" w:ascii="Times New Roman" w:hAnsi="Times New Roman" w:eastAsia="宋体" w:cs="Times New Roman"/>
                <w:b w:val="0"/>
                <w:bCs/>
                <w:color w:val="auto"/>
                <w:kern w:val="0"/>
                <w:sz w:val="21"/>
                <w:szCs w:val="21"/>
                <w:highlight w:val="none"/>
                <w:lang w:val="en-US" w:eastAsia="zh-CN"/>
              </w:rPr>
              <w:t>80</w:t>
            </w:r>
            <w:r>
              <w:rPr>
                <w:rFonts w:hint="default" w:ascii="Times New Roman" w:hAnsi="Times New Roman" w:eastAsia="宋体" w:cs="Times New Roman"/>
                <w:b w:val="0"/>
                <w:bCs/>
                <w:color w:val="auto"/>
                <w:kern w:val="0"/>
                <w:sz w:val="21"/>
                <w:szCs w:val="21"/>
                <w:highlight w:val="none"/>
                <w:lang w:val="en-US" w:eastAsia="zh-CN"/>
              </w:rPr>
              <w:t>.00</w:t>
            </w:r>
          </w:p>
        </w:tc>
        <w:tc>
          <w:tcPr>
            <w:tcW w:w="963" w:type="dxa"/>
            <w:tcBorders>
              <w:tl2br w:val="nil"/>
              <w:tr2bl w:val="nil"/>
            </w:tcBorders>
            <w:shd w:val="clear" w:color="auto" w:fill="auto"/>
            <w:noWrap/>
            <w:vAlign w:val="center"/>
          </w:tcPr>
          <w:p w14:paraId="1032D37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490" w:type="dxa"/>
            <w:tcBorders>
              <w:tl2br w:val="nil"/>
              <w:tr2bl w:val="nil"/>
            </w:tcBorders>
            <w:shd w:val="clear" w:color="auto" w:fill="auto"/>
            <w:noWrap/>
            <w:vAlign w:val="center"/>
          </w:tcPr>
          <w:p w14:paraId="1E1E3ED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10.34</w:t>
            </w:r>
          </w:p>
        </w:tc>
        <w:tc>
          <w:tcPr>
            <w:tcW w:w="490" w:type="dxa"/>
            <w:tcBorders>
              <w:tl2br w:val="nil"/>
              <w:tr2bl w:val="nil"/>
            </w:tcBorders>
            <w:shd w:val="clear" w:color="auto" w:fill="auto"/>
            <w:noWrap/>
            <w:vAlign w:val="center"/>
          </w:tcPr>
          <w:p w14:paraId="146D3A7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45.44</w:t>
            </w:r>
          </w:p>
        </w:tc>
        <w:tc>
          <w:tcPr>
            <w:tcW w:w="490" w:type="dxa"/>
            <w:tcBorders>
              <w:tl2br w:val="nil"/>
              <w:tr2bl w:val="nil"/>
            </w:tcBorders>
            <w:shd w:val="clear" w:color="auto" w:fill="auto"/>
            <w:noWrap/>
            <w:vAlign w:val="center"/>
          </w:tcPr>
          <w:p w14:paraId="398033C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23.28</w:t>
            </w:r>
          </w:p>
        </w:tc>
        <w:tc>
          <w:tcPr>
            <w:tcW w:w="490" w:type="dxa"/>
            <w:tcBorders>
              <w:tl2br w:val="nil"/>
              <w:tr2bl w:val="nil"/>
            </w:tcBorders>
            <w:shd w:val="clear" w:color="auto" w:fill="auto"/>
            <w:noWrap/>
            <w:vAlign w:val="center"/>
          </w:tcPr>
          <w:p w14:paraId="23BE21E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7.59</w:t>
            </w:r>
          </w:p>
        </w:tc>
        <w:tc>
          <w:tcPr>
            <w:tcW w:w="490" w:type="dxa"/>
            <w:tcBorders>
              <w:tl2br w:val="nil"/>
              <w:tr2bl w:val="nil"/>
            </w:tcBorders>
            <w:shd w:val="clear" w:color="auto" w:fill="auto"/>
            <w:noWrap/>
            <w:vAlign w:val="center"/>
          </w:tcPr>
          <w:p w14:paraId="1EE39FE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49.71</w:t>
            </w:r>
          </w:p>
        </w:tc>
        <w:tc>
          <w:tcPr>
            <w:tcW w:w="490" w:type="dxa"/>
            <w:tcBorders>
              <w:tl2br w:val="nil"/>
              <w:tr2bl w:val="nil"/>
            </w:tcBorders>
            <w:shd w:val="clear" w:color="auto" w:fill="auto"/>
            <w:noWrap/>
            <w:vAlign w:val="center"/>
          </w:tcPr>
          <w:p w14:paraId="7AD6922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36.85</w:t>
            </w:r>
          </w:p>
        </w:tc>
        <w:tc>
          <w:tcPr>
            <w:tcW w:w="490" w:type="dxa"/>
            <w:tcBorders>
              <w:tl2br w:val="nil"/>
              <w:tr2bl w:val="nil"/>
            </w:tcBorders>
            <w:shd w:val="clear" w:color="auto" w:fill="auto"/>
            <w:noWrap/>
            <w:vAlign w:val="center"/>
          </w:tcPr>
          <w:p w14:paraId="1A143B0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42.66</w:t>
            </w:r>
          </w:p>
        </w:tc>
        <w:tc>
          <w:tcPr>
            <w:tcW w:w="490" w:type="dxa"/>
            <w:tcBorders>
              <w:tl2br w:val="nil"/>
              <w:tr2bl w:val="nil"/>
            </w:tcBorders>
            <w:shd w:val="clear" w:color="auto" w:fill="auto"/>
            <w:noWrap/>
            <w:vAlign w:val="center"/>
          </w:tcPr>
          <w:p w14:paraId="7848677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52.39</w:t>
            </w:r>
          </w:p>
        </w:tc>
        <w:tc>
          <w:tcPr>
            <w:tcW w:w="569" w:type="dxa"/>
            <w:vMerge w:val="continue"/>
            <w:tcBorders>
              <w:tl2br w:val="nil"/>
              <w:tr2bl w:val="nil"/>
            </w:tcBorders>
            <w:shd w:val="clear" w:color="auto" w:fill="auto"/>
            <w:noWrap/>
            <w:vAlign w:val="center"/>
          </w:tcPr>
          <w:p w14:paraId="14286A2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771" w:type="dxa"/>
            <w:tcBorders>
              <w:tl2br w:val="nil"/>
              <w:tr2bl w:val="nil"/>
            </w:tcBorders>
            <w:shd w:val="clear" w:color="auto" w:fill="auto"/>
            <w:noWrap/>
            <w:vAlign w:val="center"/>
          </w:tcPr>
          <w:p w14:paraId="5F2F507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w:t>
            </w:r>
          </w:p>
        </w:tc>
        <w:tc>
          <w:tcPr>
            <w:tcW w:w="490" w:type="dxa"/>
            <w:tcBorders>
              <w:tl2br w:val="nil"/>
              <w:tr2bl w:val="nil"/>
            </w:tcBorders>
            <w:shd w:val="clear" w:color="auto" w:fill="auto"/>
            <w:noWrap/>
            <w:vAlign w:val="center"/>
          </w:tcPr>
          <w:p w14:paraId="07FFDD6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22.91</w:t>
            </w:r>
          </w:p>
        </w:tc>
        <w:tc>
          <w:tcPr>
            <w:tcW w:w="490" w:type="dxa"/>
            <w:tcBorders>
              <w:tl2br w:val="nil"/>
              <w:tr2bl w:val="nil"/>
            </w:tcBorders>
            <w:shd w:val="clear" w:color="auto" w:fill="auto"/>
            <w:noWrap/>
            <w:vAlign w:val="center"/>
          </w:tcPr>
          <w:p w14:paraId="08C4A1C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10.66</w:t>
            </w:r>
          </w:p>
        </w:tc>
        <w:tc>
          <w:tcPr>
            <w:tcW w:w="490" w:type="dxa"/>
            <w:tcBorders>
              <w:tl2br w:val="nil"/>
              <w:tr2bl w:val="nil"/>
            </w:tcBorders>
            <w:shd w:val="clear" w:color="auto" w:fill="auto"/>
            <w:noWrap/>
            <w:vAlign w:val="center"/>
          </w:tcPr>
          <w:p w14:paraId="0E0CAE7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16.30</w:t>
            </w:r>
          </w:p>
        </w:tc>
        <w:tc>
          <w:tcPr>
            <w:tcW w:w="490" w:type="dxa"/>
            <w:tcBorders>
              <w:tl2br w:val="nil"/>
              <w:tr2bl w:val="nil"/>
            </w:tcBorders>
            <w:shd w:val="clear" w:color="auto" w:fill="auto"/>
            <w:noWrap/>
            <w:vAlign w:val="center"/>
          </w:tcPr>
          <w:p w14:paraId="2EC0E8B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25.32</w:t>
            </w:r>
          </w:p>
        </w:tc>
        <w:tc>
          <w:tcPr>
            <w:tcW w:w="340" w:type="dxa"/>
            <w:tcBorders>
              <w:tl2br w:val="nil"/>
              <w:tr2bl w:val="nil"/>
            </w:tcBorders>
            <w:shd w:val="clear" w:color="auto" w:fill="auto"/>
            <w:noWrap/>
            <w:vAlign w:val="center"/>
          </w:tcPr>
          <w:p w14:paraId="006771A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0" w:type="dxa"/>
            <w:tcBorders>
              <w:tl2br w:val="nil"/>
              <w:tr2bl w:val="nil"/>
            </w:tcBorders>
            <w:shd w:val="clear" w:color="auto" w:fill="auto"/>
            <w:noWrap/>
            <w:vAlign w:val="center"/>
          </w:tcPr>
          <w:p w14:paraId="4B90FC7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1B2E10F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34DE6D1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r>
      <w:tr w14:paraId="110F044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tcBorders>
              <w:tl2br w:val="nil"/>
              <w:tr2bl w:val="nil"/>
            </w:tcBorders>
            <w:shd w:val="clear" w:color="auto" w:fill="auto"/>
            <w:noWrap/>
            <w:vAlign w:val="center"/>
          </w:tcPr>
          <w:p w14:paraId="1B52B37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eastAsia" w:ascii="Times New Roman" w:hAnsi="Times New Roman" w:eastAsia="宋体" w:cs="Times New Roman"/>
                <w:b w:val="0"/>
                <w:bCs/>
                <w:color w:val="auto"/>
                <w:kern w:val="0"/>
                <w:sz w:val="21"/>
                <w:szCs w:val="21"/>
                <w:highlight w:val="none"/>
                <w:lang w:val="en-US" w:eastAsia="zh-CN"/>
              </w:rPr>
              <w:t>搅拌</w:t>
            </w:r>
            <w:r>
              <w:rPr>
                <w:rFonts w:hint="default" w:ascii="Times New Roman" w:hAnsi="Times New Roman" w:eastAsia="宋体" w:cs="Times New Roman"/>
                <w:b w:val="0"/>
                <w:bCs/>
                <w:color w:val="auto"/>
                <w:kern w:val="0"/>
                <w:sz w:val="21"/>
                <w:szCs w:val="21"/>
                <w:highlight w:val="none"/>
                <w:lang w:val="en-US" w:eastAsia="zh-CN"/>
              </w:rPr>
              <w:t>机</w:t>
            </w:r>
            <w:r>
              <w:rPr>
                <w:rFonts w:hint="eastAsia" w:ascii="Times New Roman" w:hAnsi="Times New Roman" w:eastAsia="宋体" w:cs="Times New Roman"/>
                <w:b w:val="0"/>
                <w:bCs/>
                <w:color w:val="auto"/>
                <w:kern w:val="0"/>
                <w:sz w:val="21"/>
                <w:szCs w:val="21"/>
                <w:highlight w:val="none"/>
                <w:lang w:val="en-US" w:eastAsia="zh-CN"/>
              </w:rPr>
              <w:t>2</w:t>
            </w:r>
          </w:p>
        </w:tc>
        <w:tc>
          <w:tcPr>
            <w:tcW w:w="373" w:type="dxa"/>
            <w:tcBorders>
              <w:tl2br w:val="nil"/>
              <w:tr2bl w:val="nil"/>
            </w:tcBorders>
            <w:shd w:val="clear" w:color="auto" w:fill="auto"/>
            <w:noWrap/>
            <w:vAlign w:val="center"/>
          </w:tcPr>
          <w:p w14:paraId="61A2679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531" w:type="dxa"/>
            <w:tcBorders>
              <w:tl2br w:val="nil"/>
              <w:tr2bl w:val="nil"/>
            </w:tcBorders>
            <w:shd w:val="clear" w:color="auto" w:fill="auto"/>
            <w:noWrap/>
            <w:vAlign w:val="center"/>
          </w:tcPr>
          <w:p w14:paraId="043DD5B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2.29</w:t>
            </w:r>
          </w:p>
        </w:tc>
        <w:tc>
          <w:tcPr>
            <w:tcW w:w="490" w:type="dxa"/>
            <w:tcBorders>
              <w:tl2br w:val="nil"/>
              <w:tr2bl w:val="nil"/>
            </w:tcBorders>
            <w:shd w:val="clear" w:color="auto" w:fill="auto"/>
            <w:noWrap/>
            <w:vAlign w:val="center"/>
          </w:tcPr>
          <w:p w14:paraId="2FDA665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43.49</w:t>
            </w:r>
          </w:p>
        </w:tc>
        <w:tc>
          <w:tcPr>
            <w:tcW w:w="298" w:type="dxa"/>
            <w:tcBorders>
              <w:tl2br w:val="nil"/>
              <w:tr2bl w:val="nil"/>
            </w:tcBorders>
            <w:shd w:val="clear" w:color="auto" w:fill="auto"/>
            <w:noWrap/>
            <w:vAlign w:val="center"/>
          </w:tcPr>
          <w:p w14:paraId="26575FF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1165" w:type="dxa"/>
            <w:vMerge w:val="continue"/>
            <w:tcBorders>
              <w:tl2br w:val="nil"/>
              <w:tr2bl w:val="nil"/>
            </w:tcBorders>
            <w:shd w:val="clear" w:color="auto" w:fill="auto"/>
            <w:noWrap/>
            <w:vAlign w:val="center"/>
          </w:tcPr>
          <w:p w14:paraId="678E6AB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916" w:type="dxa"/>
            <w:tcBorders>
              <w:tl2br w:val="nil"/>
              <w:tr2bl w:val="nil"/>
            </w:tcBorders>
            <w:shd w:val="clear" w:color="auto" w:fill="auto"/>
            <w:noWrap/>
            <w:vAlign w:val="center"/>
          </w:tcPr>
          <w:p w14:paraId="4FF1903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eastAsia" w:ascii="Times New Roman" w:hAnsi="Times New Roman" w:eastAsia="宋体" w:cs="Times New Roman"/>
                <w:b w:val="0"/>
                <w:bCs/>
                <w:color w:val="auto"/>
                <w:kern w:val="0"/>
                <w:sz w:val="21"/>
                <w:szCs w:val="21"/>
                <w:highlight w:val="none"/>
                <w:lang w:val="en-US" w:eastAsia="zh-CN"/>
              </w:rPr>
              <w:t>80</w:t>
            </w:r>
            <w:r>
              <w:rPr>
                <w:rFonts w:hint="default" w:ascii="Times New Roman" w:hAnsi="Times New Roman" w:eastAsia="宋体" w:cs="Times New Roman"/>
                <w:b w:val="0"/>
                <w:bCs/>
                <w:color w:val="auto"/>
                <w:kern w:val="0"/>
                <w:sz w:val="21"/>
                <w:szCs w:val="21"/>
                <w:highlight w:val="none"/>
                <w:lang w:val="en-US" w:eastAsia="zh-CN"/>
              </w:rPr>
              <w:t>.00</w:t>
            </w:r>
          </w:p>
        </w:tc>
        <w:tc>
          <w:tcPr>
            <w:tcW w:w="963" w:type="dxa"/>
            <w:tcBorders>
              <w:tl2br w:val="nil"/>
              <w:tr2bl w:val="nil"/>
            </w:tcBorders>
            <w:shd w:val="clear" w:color="auto" w:fill="auto"/>
            <w:noWrap/>
            <w:vAlign w:val="center"/>
          </w:tcPr>
          <w:p w14:paraId="4E4F2AC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490" w:type="dxa"/>
            <w:tcBorders>
              <w:tl2br w:val="nil"/>
              <w:tr2bl w:val="nil"/>
            </w:tcBorders>
            <w:shd w:val="clear" w:color="auto" w:fill="auto"/>
            <w:noWrap/>
            <w:vAlign w:val="center"/>
          </w:tcPr>
          <w:p w14:paraId="250FBDB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15.42</w:t>
            </w:r>
          </w:p>
        </w:tc>
        <w:tc>
          <w:tcPr>
            <w:tcW w:w="490" w:type="dxa"/>
            <w:tcBorders>
              <w:tl2br w:val="nil"/>
              <w:tr2bl w:val="nil"/>
            </w:tcBorders>
            <w:shd w:val="clear" w:color="auto" w:fill="auto"/>
            <w:noWrap/>
            <w:vAlign w:val="center"/>
          </w:tcPr>
          <w:p w14:paraId="321E9C0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43.34</w:t>
            </w:r>
          </w:p>
        </w:tc>
        <w:tc>
          <w:tcPr>
            <w:tcW w:w="490" w:type="dxa"/>
            <w:tcBorders>
              <w:tl2br w:val="nil"/>
              <w:tr2bl w:val="nil"/>
            </w:tcBorders>
            <w:shd w:val="clear" w:color="auto" w:fill="auto"/>
            <w:noWrap/>
            <w:vAlign w:val="center"/>
          </w:tcPr>
          <w:p w14:paraId="06263CF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18.18</w:t>
            </w:r>
          </w:p>
        </w:tc>
        <w:tc>
          <w:tcPr>
            <w:tcW w:w="490" w:type="dxa"/>
            <w:tcBorders>
              <w:tl2br w:val="nil"/>
              <w:tr2bl w:val="nil"/>
            </w:tcBorders>
            <w:shd w:val="clear" w:color="auto" w:fill="auto"/>
            <w:noWrap/>
            <w:vAlign w:val="center"/>
          </w:tcPr>
          <w:p w14:paraId="44D2CD5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9.60</w:t>
            </w:r>
          </w:p>
        </w:tc>
        <w:tc>
          <w:tcPr>
            <w:tcW w:w="490" w:type="dxa"/>
            <w:tcBorders>
              <w:tl2br w:val="nil"/>
              <w:tr2bl w:val="nil"/>
            </w:tcBorders>
            <w:shd w:val="clear" w:color="auto" w:fill="auto"/>
            <w:noWrap/>
            <w:vAlign w:val="center"/>
          </w:tcPr>
          <w:p w14:paraId="3DC3CBA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46.24</w:t>
            </w:r>
          </w:p>
        </w:tc>
        <w:tc>
          <w:tcPr>
            <w:tcW w:w="490" w:type="dxa"/>
            <w:tcBorders>
              <w:tl2br w:val="nil"/>
              <w:tr2bl w:val="nil"/>
            </w:tcBorders>
            <w:shd w:val="clear" w:color="auto" w:fill="auto"/>
            <w:noWrap/>
            <w:vAlign w:val="center"/>
          </w:tcPr>
          <w:p w14:paraId="4E5A1A0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37.26</w:t>
            </w:r>
          </w:p>
        </w:tc>
        <w:tc>
          <w:tcPr>
            <w:tcW w:w="490" w:type="dxa"/>
            <w:tcBorders>
              <w:tl2br w:val="nil"/>
              <w:tr2bl w:val="nil"/>
            </w:tcBorders>
            <w:shd w:val="clear" w:color="auto" w:fill="auto"/>
            <w:noWrap/>
            <w:vAlign w:val="center"/>
          </w:tcPr>
          <w:p w14:paraId="6F76340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44.81</w:t>
            </w:r>
          </w:p>
        </w:tc>
        <w:tc>
          <w:tcPr>
            <w:tcW w:w="490" w:type="dxa"/>
            <w:tcBorders>
              <w:tl2br w:val="nil"/>
              <w:tr2bl w:val="nil"/>
            </w:tcBorders>
            <w:shd w:val="clear" w:color="auto" w:fill="auto"/>
            <w:noWrap/>
            <w:vAlign w:val="center"/>
          </w:tcPr>
          <w:p w14:paraId="0AADE65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50.35</w:t>
            </w:r>
          </w:p>
        </w:tc>
        <w:tc>
          <w:tcPr>
            <w:tcW w:w="569" w:type="dxa"/>
            <w:vMerge w:val="continue"/>
            <w:tcBorders>
              <w:tl2br w:val="nil"/>
              <w:tr2bl w:val="nil"/>
            </w:tcBorders>
            <w:shd w:val="clear" w:color="auto" w:fill="auto"/>
            <w:noWrap/>
            <w:vAlign w:val="center"/>
          </w:tcPr>
          <w:p w14:paraId="044DEB8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771" w:type="dxa"/>
            <w:tcBorders>
              <w:tl2br w:val="nil"/>
              <w:tr2bl w:val="nil"/>
            </w:tcBorders>
            <w:shd w:val="clear" w:color="auto" w:fill="auto"/>
            <w:noWrap/>
            <w:vAlign w:val="center"/>
          </w:tcPr>
          <w:p w14:paraId="1FEA7E0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w:t>
            </w:r>
          </w:p>
        </w:tc>
        <w:tc>
          <w:tcPr>
            <w:tcW w:w="490" w:type="dxa"/>
            <w:tcBorders>
              <w:tl2br w:val="nil"/>
              <w:tr2bl w:val="nil"/>
            </w:tcBorders>
            <w:shd w:val="clear" w:color="auto" w:fill="auto"/>
            <w:noWrap/>
            <w:vAlign w:val="center"/>
          </w:tcPr>
          <w:p w14:paraId="51EE63E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19.69</w:t>
            </w:r>
          </w:p>
        </w:tc>
        <w:tc>
          <w:tcPr>
            <w:tcW w:w="490" w:type="dxa"/>
            <w:tcBorders>
              <w:tl2br w:val="nil"/>
              <w:tr2bl w:val="nil"/>
            </w:tcBorders>
            <w:shd w:val="clear" w:color="auto" w:fill="auto"/>
            <w:noWrap/>
            <w:vAlign w:val="center"/>
          </w:tcPr>
          <w:p w14:paraId="607AA86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11.06</w:t>
            </w:r>
          </w:p>
        </w:tc>
        <w:tc>
          <w:tcPr>
            <w:tcW w:w="490" w:type="dxa"/>
            <w:tcBorders>
              <w:tl2br w:val="nil"/>
              <w:tr2bl w:val="nil"/>
            </w:tcBorders>
            <w:shd w:val="clear" w:color="auto" w:fill="auto"/>
            <w:noWrap/>
            <w:vAlign w:val="center"/>
          </w:tcPr>
          <w:p w14:paraId="5EFB7B4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18.34</w:t>
            </w:r>
          </w:p>
        </w:tc>
        <w:tc>
          <w:tcPr>
            <w:tcW w:w="490" w:type="dxa"/>
            <w:tcBorders>
              <w:tl2br w:val="nil"/>
              <w:tr2bl w:val="nil"/>
            </w:tcBorders>
            <w:shd w:val="clear" w:color="auto" w:fill="auto"/>
            <w:noWrap/>
            <w:vAlign w:val="center"/>
          </w:tcPr>
          <w:p w14:paraId="10BE4BD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23.49</w:t>
            </w:r>
          </w:p>
        </w:tc>
        <w:tc>
          <w:tcPr>
            <w:tcW w:w="340" w:type="dxa"/>
            <w:tcBorders>
              <w:tl2br w:val="nil"/>
              <w:tr2bl w:val="nil"/>
            </w:tcBorders>
            <w:shd w:val="clear" w:color="auto" w:fill="auto"/>
            <w:noWrap/>
            <w:vAlign w:val="center"/>
          </w:tcPr>
          <w:p w14:paraId="220C9AD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0" w:type="dxa"/>
            <w:tcBorders>
              <w:tl2br w:val="nil"/>
              <w:tr2bl w:val="nil"/>
            </w:tcBorders>
            <w:shd w:val="clear" w:color="auto" w:fill="auto"/>
            <w:noWrap/>
            <w:vAlign w:val="center"/>
          </w:tcPr>
          <w:p w14:paraId="23617FE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42FBBEA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2DA7A1F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r>
      <w:tr w14:paraId="38E13DE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tcBorders>
              <w:tl2br w:val="nil"/>
              <w:tr2bl w:val="nil"/>
            </w:tcBorders>
            <w:shd w:val="clear" w:color="auto" w:fill="auto"/>
            <w:noWrap/>
            <w:vAlign w:val="center"/>
          </w:tcPr>
          <w:p w14:paraId="54F5F12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打包机</w:t>
            </w:r>
          </w:p>
        </w:tc>
        <w:tc>
          <w:tcPr>
            <w:tcW w:w="373" w:type="dxa"/>
            <w:tcBorders>
              <w:tl2br w:val="nil"/>
              <w:tr2bl w:val="nil"/>
            </w:tcBorders>
            <w:shd w:val="clear" w:color="auto" w:fill="auto"/>
            <w:noWrap/>
            <w:vAlign w:val="center"/>
          </w:tcPr>
          <w:p w14:paraId="2407DD3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531" w:type="dxa"/>
            <w:tcBorders>
              <w:tl2br w:val="nil"/>
              <w:tr2bl w:val="nil"/>
            </w:tcBorders>
            <w:shd w:val="clear" w:color="auto" w:fill="auto"/>
            <w:noWrap/>
            <w:vAlign w:val="center"/>
          </w:tcPr>
          <w:p w14:paraId="39FA19C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-10.61</w:t>
            </w:r>
          </w:p>
        </w:tc>
        <w:tc>
          <w:tcPr>
            <w:tcW w:w="490" w:type="dxa"/>
            <w:tcBorders>
              <w:tl2br w:val="nil"/>
              <w:tr2bl w:val="nil"/>
            </w:tcBorders>
            <w:shd w:val="clear" w:color="auto" w:fill="auto"/>
            <w:noWrap/>
            <w:vAlign w:val="center"/>
          </w:tcPr>
          <w:p w14:paraId="7356A99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24.04</w:t>
            </w:r>
          </w:p>
        </w:tc>
        <w:tc>
          <w:tcPr>
            <w:tcW w:w="298" w:type="dxa"/>
            <w:tcBorders>
              <w:tl2br w:val="nil"/>
              <w:tr2bl w:val="nil"/>
            </w:tcBorders>
            <w:shd w:val="clear" w:color="auto" w:fill="auto"/>
            <w:noWrap/>
            <w:vAlign w:val="center"/>
          </w:tcPr>
          <w:p w14:paraId="6D99CF1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1165" w:type="dxa"/>
            <w:vMerge w:val="continue"/>
            <w:tcBorders>
              <w:tl2br w:val="nil"/>
              <w:tr2bl w:val="nil"/>
            </w:tcBorders>
            <w:shd w:val="clear" w:color="auto" w:fill="auto"/>
            <w:noWrap/>
            <w:vAlign w:val="center"/>
          </w:tcPr>
          <w:p w14:paraId="131D728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916" w:type="dxa"/>
            <w:tcBorders>
              <w:tl2br w:val="nil"/>
              <w:tr2bl w:val="nil"/>
            </w:tcBorders>
            <w:shd w:val="clear" w:color="auto" w:fill="auto"/>
            <w:noWrap/>
            <w:vAlign w:val="center"/>
          </w:tcPr>
          <w:p w14:paraId="7F42AA8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75.00</w:t>
            </w:r>
          </w:p>
        </w:tc>
        <w:tc>
          <w:tcPr>
            <w:tcW w:w="963" w:type="dxa"/>
            <w:tcBorders>
              <w:tl2br w:val="nil"/>
              <w:tr2bl w:val="nil"/>
            </w:tcBorders>
            <w:shd w:val="clear" w:color="auto" w:fill="auto"/>
            <w:noWrap/>
            <w:vAlign w:val="center"/>
          </w:tcPr>
          <w:p w14:paraId="7288B474">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490" w:type="dxa"/>
            <w:tcBorders>
              <w:tl2br w:val="nil"/>
              <w:tr2bl w:val="nil"/>
            </w:tcBorders>
            <w:shd w:val="clear" w:color="auto" w:fill="auto"/>
            <w:noWrap/>
            <w:vAlign w:val="center"/>
          </w:tcPr>
          <w:p w14:paraId="75AEABB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29.54</w:t>
            </w:r>
          </w:p>
        </w:tc>
        <w:tc>
          <w:tcPr>
            <w:tcW w:w="490" w:type="dxa"/>
            <w:tcBorders>
              <w:tl2br w:val="nil"/>
              <w:tr2bl w:val="nil"/>
            </w:tcBorders>
            <w:shd w:val="clear" w:color="auto" w:fill="auto"/>
            <w:noWrap/>
            <w:vAlign w:val="center"/>
          </w:tcPr>
          <w:p w14:paraId="6EDD29E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25.13</w:t>
            </w:r>
          </w:p>
        </w:tc>
        <w:tc>
          <w:tcPr>
            <w:tcW w:w="490" w:type="dxa"/>
            <w:tcBorders>
              <w:tl2br w:val="nil"/>
              <w:tr2bl w:val="nil"/>
            </w:tcBorders>
            <w:shd w:val="clear" w:color="auto" w:fill="auto"/>
            <w:noWrap/>
            <w:vAlign w:val="center"/>
          </w:tcPr>
          <w:p w14:paraId="0533F9F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3.93</w:t>
            </w:r>
          </w:p>
        </w:tc>
        <w:tc>
          <w:tcPr>
            <w:tcW w:w="490" w:type="dxa"/>
            <w:tcBorders>
              <w:tl2br w:val="nil"/>
              <w:tr2bl w:val="nil"/>
            </w:tcBorders>
            <w:shd w:val="clear" w:color="auto" w:fill="auto"/>
            <w:noWrap/>
            <w:vAlign w:val="center"/>
          </w:tcPr>
          <w:p w14:paraId="4F247A0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27.59</w:t>
            </w:r>
          </w:p>
        </w:tc>
        <w:tc>
          <w:tcPr>
            <w:tcW w:w="490" w:type="dxa"/>
            <w:tcBorders>
              <w:tl2br w:val="nil"/>
              <w:tr2bl w:val="nil"/>
            </w:tcBorders>
            <w:shd w:val="clear" w:color="auto" w:fill="auto"/>
            <w:noWrap/>
            <w:vAlign w:val="center"/>
          </w:tcPr>
          <w:p w14:paraId="2D140B0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45.59</w:t>
            </w:r>
          </w:p>
        </w:tc>
        <w:tc>
          <w:tcPr>
            <w:tcW w:w="490" w:type="dxa"/>
            <w:tcBorders>
              <w:tl2br w:val="nil"/>
              <w:tr2bl w:val="nil"/>
            </w:tcBorders>
            <w:shd w:val="clear" w:color="auto" w:fill="auto"/>
            <w:noWrap/>
            <w:vAlign w:val="center"/>
          </w:tcPr>
          <w:p w14:paraId="1362834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46.99</w:t>
            </w:r>
          </w:p>
        </w:tc>
        <w:tc>
          <w:tcPr>
            <w:tcW w:w="490" w:type="dxa"/>
            <w:tcBorders>
              <w:tl2br w:val="nil"/>
              <w:tr2bl w:val="nil"/>
            </w:tcBorders>
            <w:shd w:val="clear" w:color="auto" w:fill="auto"/>
            <w:noWrap/>
            <w:vAlign w:val="center"/>
          </w:tcPr>
          <w:p w14:paraId="117D570B">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63.11</w:t>
            </w:r>
          </w:p>
        </w:tc>
        <w:tc>
          <w:tcPr>
            <w:tcW w:w="490" w:type="dxa"/>
            <w:tcBorders>
              <w:tl2br w:val="nil"/>
              <w:tr2bl w:val="nil"/>
            </w:tcBorders>
            <w:shd w:val="clear" w:color="auto" w:fill="auto"/>
            <w:noWrap/>
            <w:vAlign w:val="center"/>
          </w:tcPr>
          <w:p w14:paraId="3C0B86F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46.19</w:t>
            </w:r>
          </w:p>
        </w:tc>
        <w:tc>
          <w:tcPr>
            <w:tcW w:w="569" w:type="dxa"/>
            <w:vMerge w:val="continue"/>
            <w:tcBorders>
              <w:tl2br w:val="nil"/>
              <w:tr2bl w:val="nil"/>
            </w:tcBorders>
            <w:shd w:val="clear" w:color="auto" w:fill="auto"/>
            <w:noWrap/>
            <w:vAlign w:val="center"/>
          </w:tcPr>
          <w:p w14:paraId="0F91AC8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771" w:type="dxa"/>
            <w:tcBorders>
              <w:tl2br w:val="nil"/>
              <w:tr2bl w:val="nil"/>
            </w:tcBorders>
            <w:shd w:val="clear" w:color="auto" w:fill="auto"/>
            <w:noWrap/>
            <w:vAlign w:val="center"/>
          </w:tcPr>
          <w:p w14:paraId="29F4E2E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w:t>
            </w:r>
          </w:p>
        </w:tc>
        <w:tc>
          <w:tcPr>
            <w:tcW w:w="490" w:type="dxa"/>
            <w:tcBorders>
              <w:tl2br w:val="nil"/>
              <w:tr2bl w:val="nil"/>
            </w:tcBorders>
            <w:shd w:val="clear" w:color="auto" w:fill="auto"/>
            <w:noWrap/>
            <w:vAlign w:val="center"/>
          </w:tcPr>
          <w:p w14:paraId="2A211E8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19.30</w:t>
            </w:r>
          </w:p>
        </w:tc>
        <w:tc>
          <w:tcPr>
            <w:tcW w:w="490" w:type="dxa"/>
            <w:tcBorders>
              <w:tl2br w:val="nil"/>
              <w:tr2bl w:val="nil"/>
            </w:tcBorders>
            <w:shd w:val="clear" w:color="auto" w:fill="auto"/>
            <w:noWrap/>
            <w:vAlign w:val="center"/>
          </w:tcPr>
          <w:p w14:paraId="69C57FB9">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20.66</w:t>
            </w:r>
          </w:p>
        </w:tc>
        <w:tc>
          <w:tcPr>
            <w:tcW w:w="490" w:type="dxa"/>
            <w:tcBorders>
              <w:tl2br w:val="nil"/>
              <w:tr2bl w:val="nil"/>
            </w:tcBorders>
            <w:shd w:val="clear" w:color="auto" w:fill="auto"/>
            <w:noWrap/>
            <w:vAlign w:val="center"/>
          </w:tcPr>
          <w:p w14:paraId="5C70F16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35.14</w:t>
            </w:r>
          </w:p>
        </w:tc>
        <w:tc>
          <w:tcPr>
            <w:tcW w:w="490" w:type="dxa"/>
            <w:tcBorders>
              <w:tl2br w:val="nil"/>
              <w:tr2bl w:val="nil"/>
            </w:tcBorders>
            <w:shd w:val="clear" w:color="auto" w:fill="auto"/>
            <w:noWrap/>
            <w:vAlign w:val="center"/>
          </w:tcPr>
          <w:p w14:paraId="157AEF9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19.88</w:t>
            </w:r>
          </w:p>
        </w:tc>
        <w:tc>
          <w:tcPr>
            <w:tcW w:w="340" w:type="dxa"/>
            <w:tcBorders>
              <w:tl2br w:val="nil"/>
              <w:tr2bl w:val="nil"/>
            </w:tcBorders>
            <w:shd w:val="clear" w:color="auto" w:fill="auto"/>
            <w:noWrap/>
            <w:vAlign w:val="center"/>
          </w:tcPr>
          <w:p w14:paraId="57D63C4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0" w:type="dxa"/>
            <w:tcBorders>
              <w:tl2br w:val="nil"/>
              <w:tr2bl w:val="nil"/>
            </w:tcBorders>
            <w:shd w:val="clear" w:color="auto" w:fill="auto"/>
            <w:noWrap/>
            <w:vAlign w:val="center"/>
          </w:tcPr>
          <w:p w14:paraId="568F315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3B76AC0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3234F7E8">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r>
      <w:tr w14:paraId="2128FEE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917" w:type="dxa"/>
            <w:tcBorders>
              <w:tl2br w:val="nil"/>
              <w:tr2bl w:val="nil"/>
            </w:tcBorders>
            <w:shd w:val="clear" w:color="auto" w:fill="auto"/>
            <w:noWrap/>
            <w:vAlign w:val="center"/>
          </w:tcPr>
          <w:p w14:paraId="79EEED2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装载机</w:t>
            </w:r>
          </w:p>
        </w:tc>
        <w:tc>
          <w:tcPr>
            <w:tcW w:w="373" w:type="dxa"/>
            <w:tcBorders>
              <w:tl2br w:val="nil"/>
              <w:tr2bl w:val="nil"/>
            </w:tcBorders>
            <w:shd w:val="clear" w:color="auto" w:fill="auto"/>
            <w:noWrap/>
            <w:vAlign w:val="center"/>
          </w:tcPr>
          <w:p w14:paraId="0BDC540E">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531" w:type="dxa"/>
            <w:tcBorders>
              <w:tl2br w:val="nil"/>
              <w:tr2bl w:val="nil"/>
            </w:tcBorders>
            <w:shd w:val="clear" w:color="auto" w:fill="auto"/>
            <w:noWrap/>
            <w:vAlign w:val="center"/>
          </w:tcPr>
          <w:p w14:paraId="504CD4CF">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8.64</w:t>
            </w:r>
          </w:p>
        </w:tc>
        <w:tc>
          <w:tcPr>
            <w:tcW w:w="490" w:type="dxa"/>
            <w:tcBorders>
              <w:tl2br w:val="nil"/>
              <w:tr2bl w:val="nil"/>
            </w:tcBorders>
            <w:shd w:val="clear" w:color="auto" w:fill="auto"/>
            <w:noWrap/>
            <w:vAlign w:val="center"/>
          </w:tcPr>
          <w:p w14:paraId="286EFC8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24.55</w:t>
            </w:r>
          </w:p>
        </w:tc>
        <w:tc>
          <w:tcPr>
            <w:tcW w:w="298" w:type="dxa"/>
            <w:tcBorders>
              <w:tl2br w:val="nil"/>
              <w:tr2bl w:val="nil"/>
            </w:tcBorders>
            <w:shd w:val="clear" w:color="auto" w:fill="auto"/>
            <w:noWrap/>
            <w:vAlign w:val="center"/>
          </w:tcPr>
          <w:p w14:paraId="421ED60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1165" w:type="dxa"/>
            <w:vMerge w:val="continue"/>
            <w:tcBorders>
              <w:tl2br w:val="nil"/>
              <w:tr2bl w:val="nil"/>
            </w:tcBorders>
            <w:shd w:val="clear" w:color="auto" w:fill="auto"/>
            <w:noWrap/>
            <w:vAlign w:val="center"/>
          </w:tcPr>
          <w:p w14:paraId="42145456">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916" w:type="dxa"/>
            <w:tcBorders>
              <w:tl2br w:val="nil"/>
              <w:tr2bl w:val="nil"/>
            </w:tcBorders>
            <w:shd w:val="clear" w:color="auto" w:fill="auto"/>
            <w:noWrap/>
            <w:vAlign w:val="center"/>
          </w:tcPr>
          <w:p w14:paraId="269338A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65.00</w:t>
            </w:r>
          </w:p>
        </w:tc>
        <w:tc>
          <w:tcPr>
            <w:tcW w:w="963" w:type="dxa"/>
            <w:tcBorders>
              <w:tl2br w:val="nil"/>
              <w:tr2bl w:val="nil"/>
            </w:tcBorders>
            <w:shd w:val="clear" w:color="auto" w:fill="auto"/>
            <w:noWrap/>
            <w:vAlign w:val="center"/>
          </w:tcPr>
          <w:p w14:paraId="30121AA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490" w:type="dxa"/>
            <w:tcBorders>
              <w:tl2br w:val="nil"/>
              <w:tr2bl w:val="nil"/>
            </w:tcBorders>
            <w:shd w:val="clear" w:color="auto" w:fill="auto"/>
            <w:noWrap/>
            <w:vAlign w:val="center"/>
          </w:tcPr>
          <w:p w14:paraId="52F6083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10.23</w:t>
            </w:r>
          </w:p>
        </w:tc>
        <w:tc>
          <w:tcPr>
            <w:tcW w:w="490" w:type="dxa"/>
            <w:tcBorders>
              <w:tl2br w:val="nil"/>
              <w:tr2bl w:val="nil"/>
            </w:tcBorders>
            <w:shd w:val="clear" w:color="auto" w:fill="auto"/>
            <w:noWrap/>
            <w:vAlign w:val="center"/>
          </w:tcPr>
          <w:p w14:paraId="4E3A87C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23.86</w:t>
            </w:r>
          </w:p>
        </w:tc>
        <w:tc>
          <w:tcPr>
            <w:tcW w:w="490" w:type="dxa"/>
            <w:tcBorders>
              <w:tl2br w:val="nil"/>
              <w:tr2bl w:val="nil"/>
            </w:tcBorders>
            <w:shd w:val="clear" w:color="auto" w:fill="auto"/>
            <w:noWrap/>
            <w:vAlign w:val="center"/>
          </w:tcPr>
          <w:p w14:paraId="34B2085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23.24</w:t>
            </w:r>
          </w:p>
        </w:tc>
        <w:tc>
          <w:tcPr>
            <w:tcW w:w="490" w:type="dxa"/>
            <w:tcBorders>
              <w:tl2br w:val="nil"/>
              <w:tr2bl w:val="nil"/>
            </w:tcBorders>
            <w:shd w:val="clear" w:color="auto" w:fill="auto"/>
            <w:noWrap/>
            <w:vAlign w:val="center"/>
          </w:tcPr>
          <w:p w14:paraId="19EAFF2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29.20</w:t>
            </w:r>
          </w:p>
        </w:tc>
        <w:tc>
          <w:tcPr>
            <w:tcW w:w="490" w:type="dxa"/>
            <w:tcBorders>
              <w:tl2br w:val="nil"/>
              <w:tr2bl w:val="nil"/>
            </w:tcBorders>
            <w:shd w:val="clear" w:color="auto" w:fill="auto"/>
            <w:noWrap/>
            <w:vAlign w:val="center"/>
          </w:tcPr>
          <w:p w14:paraId="2CD21AF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44.80</w:t>
            </w:r>
          </w:p>
        </w:tc>
        <w:tc>
          <w:tcPr>
            <w:tcW w:w="490" w:type="dxa"/>
            <w:tcBorders>
              <w:tl2br w:val="nil"/>
              <w:tr2bl w:val="nil"/>
            </w:tcBorders>
            <w:shd w:val="clear" w:color="auto" w:fill="auto"/>
            <w:noWrap/>
            <w:vAlign w:val="center"/>
          </w:tcPr>
          <w:p w14:paraId="2060E52D">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37.45</w:t>
            </w:r>
          </w:p>
        </w:tc>
        <w:tc>
          <w:tcPr>
            <w:tcW w:w="490" w:type="dxa"/>
            <w:tcBorders>
              <w:tl2br w:val="nil"/>
              <w:tr2bl w:val="nil"/>
            </w:tcBorders>
            <w:shd w:val="clear" w:color="auto" w:fill="auto"/>
            <w:noWrap/>
            <w:vAlign w:val="center"/>
          </w:tcPr>
          <w:p w14:paraId="1CEDA6F7">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37.68</w:t>
            </w:r>
          </w:p>
        </w:tc>
        <w:tc>
          <w:tcPr>
            <w:tcW w:w="490" w:type="dxa"/>
            <w:tcBorders>
              <w:tl2br w:val="nil"/>
              <w:tr2bl w:val="nil"/>
            </w:tcBorders>
            <w:shd w:val="clear" w:color="auto" w:fill="auto"/>
            <w:noWrap/>
            <w:vAlign w:val="center"/>
          </w:tcPr>
          <w:p w14:paraId="762D058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35.69</w:t>
            </w:r>
          </w:p>
        </w:tc>
        <w:tc>
          <w:tcPr>
            <w:tcW w:w="569" w:type="dxa"/>
            <w:vMerge w:val="continue"/>
            <w:tcBorders>
              <w:tl2br w:val="nil"/>
              <w:tr2bl w:val="nil"/>
            </w:tcBorders>
            <w:shd w:val="clear" w:color="auto" w:fill="auto"/>
            <w:noWrap/>
            <w:vAlign w:val="center"/>
          </w:tcPr>
          <w:p w14:paraId="398CBFA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p>
        </w:tc>
        <w:tc>
          <w:tcPr>
            <w:tcW w:w="771" w:type="dxa"/>
            <w:tcBorders>
              <w:tl2br w:val="nil"/>
              <w:tr2bl w:val="nil"/>
            </w:tcBorders>
            <w:shd w:val="clear" w:color="auto" w:fill="auto"/>
            <w:noWrap/>
            <w:vAlign w:val="center"/>
          </w:tcPr>
          <w:p w14:paraId="4C1F7E4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20</w:t>
            </w:r>
          </w:p>
        </w:tc>
        <w:tc>
          <w:tcPr>
            <w:tcW w:w="490" w:type="dxa"/>
            <w:tcBorders>
              <w:tl2br w:val="nil"/>
              <w:tr2bl w:val="nil"/>
            </w:tcBorders>
            <w:shd w:val="clear" w:color="auto" w:fill="auto"/>
            <w:noWrap/>
            <w:vAlign w:val="center"/>
          </w:tcPr>
          <w:p w14:paraId="6A2FDA8A">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17.99</w:t>
            </w:r>
          </w:p>
        </w:tc>
        <w:tc>
          <w:tcPr>
            <w:tcW w:w="490" w:type="dxa"/>
            <w:tcBorders>
              <w:tl2br w:val="nil"/>
              <w:tr2bl w:val="nil"/>
            </w:tcBorders>
            <w:shd w:val="clear" w:color="auto" w:fill="auto"/>
            <w:noWrap/>
            <w:vAlign w:val="center"/>
          </w:tcPr>
          <w:p w14:paraId="0B243AA2">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11.09</w:t>
            </w:r>
          </w:p>
        </w:tc>
        <w:tc>
          <w:tcPr>
            <w:tcW w:w="490" w:type="dxa"/>
            <w:tcBorders>
              <w:tl2br w:val="nil"/>
              <w:tr2bl w:val="nil"/>
            </w:tcBorders>
            <w:shd w:val="clear" w:color="auto" w:fill="auto"/>
            <w:noWrap/>
            <w:vAlign w:val="center"/>
          </w:tcPr>
          <w:p w14:paraId="3181785C">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11.31</w:t>
            </w:r>
          </w:p>
        </w:tc>
        <w:tc>
          <w:tcPr>
            <w:tcW w:w="490" w:type="dxa"/>
            <w:tcBorders>
              <w:tl2br w:val="nil"/>
              <w:tr2bl w:val="nil"/>
            </w:tcBorders>
            <w:shd w:val="clear" w:color="auto" w:fill="auto"/>
            <w:noWrap/>
            <w:vAlign w:val="center"/>
          </w:tcPr>
          <w:p w14:paraId="7E374D61">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9.40</w:t>
            </w:r>
          </w:p>
        </w:tc>
        <w:tc>
          <w:tcPr>
            <w:tcW w:w="340" w:type="dxa"/>
            <w:tcBorders>
              <w:tl2br w:val="nil"/>
              <w:tr2bl w:val="nil"/>
            </w:tcBorders>
            <w:shd w:val="clear" w:color="auto" w:fill="auto"/>
            <w:noWrap/>
            <w:vAlign w:val="center"/>
          </w:tcPr>
          <w:p w14:paraId="34523330">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0" w:type="dxa"/>
            <w:tcBorders>
              <w:tl2br w:val="nil"/>
              <w:tr2bl w:val="nil"/>
            </w:tcBorders>
            <w:shd w:val="clear" w:color="auto" w:fill="auto"/>
            <w:noWrap/>
            <w:vAlign w:val="center"/>
          </w:tcPr>
          <w:p w14:paraId="50DB4865">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6EC49B7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c>
          <w:tcPr>
            <w:tcW w:w="341" w:type="dxa"/>
            <w:tcBorders>
              <w:tl2br w:val="nil"/>
              <w:tr2bl w:val="nil"/>
            </w:tcBorders>
            <w:shd w:val="clear" w:color="auto" w:fill="auto"/>
            <w:noWrap/>
            <w:vAlign w:val="center"/>
          </w:tcPr>
          <w:p w14:paraId="475A57D3">
            <w:pPr>
              <w:adjustRightInd w:val="0"/>
              <w:snapToGrid w:val="0"/>
              <w:spacing w:line="360" w:lineRule="auto"/>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1</w:t>
            </w:r>
          </w:p>
        </w:tc>
      </w:tr>
    </w:tbl>
    <w:p w14:paraId="08689F24">
      <w:pPr>
        <w:adjustRightInd w:val="0"/>
        <w:snapToGrid w:val="0"/>
        <w:spacing w:line="360" w:lineRule="auto"/>
        <w:rPr>
          <w:rFonts w:hint="default" w:ascii="Times New Roman" w:hAnsi="Times New Roman" w:cs="Times New Roman"/>
          <w:b/>
          <w:color w:val="auto"/>
          <w:kern w:val="0"/>
          <w:sz w:val="28"/>
          <w:szCs w:val="28"/>
          <w:highlight w:val="none"/>
        </w:rPr>
        <w:sectPr>
          <w:pgSz w:w="16840" w:h="11907" w:orient="landscape"/>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8591"/>
      </w:tblGrid>
      <w:tr w14:paraId="5FAE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9" w:hRule="atLeast"/>
        </w:trPr>
        <w:tc>
          <w:tcPr>
            <w:tcW w:w="696" w:type="dxa"/>
          </w:tcPr>
          <w:p w14:paraId="02866D89">
            <w:pPr>
              <w:adjustRightInd w:val="0"/>
              <w:snapToGrid w:val="0"/>
              <w:spacing w:line="360" w:lineRule="auto"/>
              <w:rPr>
                <w:rFonts w:hint="default" w:ascii="Times New Roman" w:hAnsi="Times New Roman" w:cs="Times New Roman"/>
                <w:b/>
                <w:color w:val="auto"/>
                <w:kern w:val="0"/>
                <w:sz w:val="28"/>
                <w:szCs w:val="28"/>
                <w:highlight w:val="none"/>
                <w:vertAlign w:val="baseline"/>
              </w:rPr>
            </w:pPr>
          </w:p>
        </w:tc>
        <w:tc>
          <w:tcPr>
            <w:tcW w:w="8591" w:type="dxa"/>
          </w:tcPr>
          <w:p w14:paraId="27B31197">
            <w:pPr>
              <w:pStyle w:val="103"/>
              <w:keepNext w:val="0"/>
              <w:keepLines w:val="0"/>
              <w:pageBreakBefore w:val="0"/>
              <w:kinsoku/>
              <w:wordWrap/>
              <w:overflowPunct/>
              <w:topLinePunct w:val="0"/>
              <w:bidi w:val="0"/>
              <w:spacing w:line="440" w:lineRule="exact"/>
              <w:textAlignment w:val="auto"/>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highlight w:val="none"/>
                <w:lang w:eastAsia="zh-CN"/>
              </w:rPr>
              <w:t>（</w:t>
            </w:r>
            <w:r>
              <w:rPr>
                <w:rFonts w:hint="eastAsia" w:ascii="Times New Roman" w:hAnsi="Times New Roman" w:eastAsia="宋体" w:cs="Times New Roman"/>
                <w:b w:val="0"/>
                <w:bCs w:val="0"/>
                <w:color w:val="auto"/>
                <w:highlight w:val="none"/>
                <w:lang w:val="en-US" w:eastAsia="zh-CN"/>
              </w:rPr>
              <w:t>2</w:t>
            </w:r>
            <w:r>
              <w:rPr>
                <w:rFonts w:hint="eastAsia"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噪声污染防治措施</w:t>
            </w:r>
          </w:p>
          <w:p w14:paraId="69E802DC">
            <w:pPr>
              <w:pStyle w:val="60"/>
              <w:keepNext w:val="0"/>
              <w:keepLines w:val="0"/>
              <w:pageBreakBefore w:val="0"/>
              <w:kinsoku/>
              <w:wordWrap/>
              <w:overflowPunct/>
              <w:topLinePunct w:val="0"/>
              <w:bidi w:val="0"/>
              <w:snapToGrid w:val="0"/>
              <w:spacing w:line="440" w:lineRule="exact"/>
              <w:ind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 xml:space="preserve">为降低噪声对环境的影响，建设单位在设备选型时应尽量采用低噪声设备，采取基础减振、合理布局及厂房隔声等措施，并加强设备的日常运行维护与管理，具体如下： </w:t>
            </w:r>
          </w:p>
          <w:p w14:paraId="7A398192">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①选用低噪声设备，大型设备设减振垫及减振基础；风机进出风口与通风管道采取软管连接的方式，并将风机封闭在通风机间内，大型通风设备均采用消声措施，以减轻对作业场所环境的影响；</w:t>
            </w:r>
          </w:p>
          <w:p w14:paraId="337BF98E">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②合理布置车间内各设备，尽量将设备布置在厂区中间，特别是高噪声设备；尽量增加距各厂界距离，利用距离衰减降噪；</w:t>
            </w:r>
          </w:p>
          <w:p w14:paraId="61DA803E">
            <w:pPr>
              <w:keepNext w:val="0"/>
              <w:keepLines w:val="0"/>
              <w:pageBreakBefore w:val="0"/>
              <w:widowControl/>
              <w:kinsoku/>
              <w:wordWrap/>
              <w:overflowPunct/>
              <w:topLinePunct w:val="0"/>
              <w:bidi w:val="0"/>
              <w:adjustRightInd w:val="0"/>
              <w:snapToGrid w:val="0"/>
              <w:spacing w:line="440" w:lineRule="exact"/>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③加强生产设备的维修、维护，确保生产设备处于良好的运行状态；尽量避免高噪声设备同时运行，尽量让高噪声设备错时运行；</w:t>
            </w:r>
          </w:p>
          <w:p w14:paraId="6AE477AB">
            <w:pPr>
              <w:keepNext w:val="0"/>
              <w:keepLines w:val="0"/>
              <w:pageBreakBefore w:val="0"/>
              <w:kinsoku/>
              <w:wordWrap/>
              <w:overflowPunct/>
              <w:topLinePunct w:val="0"/>
              <w:bidi w:val="0"/>
              <w:spacing w:line="440" w:lineRule="exact"/>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4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④</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对进出厂区的机动车进行严格管理，如进厂区减速、限制鸣笛等。</w:t>
            </w:r>
          </w:p>
          <w:p w14:paraId="32B60DA8">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 xml:space="preserve">噪声预测 </w:t>
            </w:r>
          </w:p>
          <w:p w14:paraId="7AFBA89C">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采用HJ2.4《环境影响评价技术导则 声环境》中推荐的工业噪声源衰减公式。对于工业企业稳态机械设备，当声源处于半自由空间且仅考虑声源的几何发散衰减，则距离点声源r处的声压级为：</w:t>
            </w:r>
          </w:p>
          <w:p w14:paraId="78F9E988">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position w:val="-12"/>
                <w:sz w:val="24"/>
                <w:highlight w:val="none"/>
              </w:rPr>
              <w:drawing>
                <wp:inline distT="0" distB="0" distL="114300" distR="114300">
                  <wp:extent cx="1762125" cy="238125"/>
                  <wp:effectExtent l="0" t="0" r="0" b="8890"/>
                  <wp:docPr id="20"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2"/>
                          <pic:cNvPicPr>
                            <a:picLocks noChangeAspect="1"/>
                          </pic:cNvPicPr>
                        </pic:nvPicPr>
                        <pic:blipFill>
                          <a:blip r:embed="rId13"/>
                          <a:stretch>
                            <a:fillRect/>
                          </a:stretch>
                        </pic:blipFill>
                        <pic:spPr>
                          <a:xfrm>
                            <a:off x="0" y="0"/>
                            <a:ext cx="1762125" cy="238125"/>
                          </a:xfrm>
                          <a:prstGeom prst="rect">
                            <a:avLst/>
                          </a:prstGeom>
                          <a:noFill/>
                          <a:ln>
                            <a:noFill/>
                          </a:ln>
                        </pic:spPr>
                      </pic:pic>
                    </a:graphicData>
                  </a:graphic>
                </wp:inline>
              </w:drawing>
            </w:r>
          </w:p>
          <w:p w14:paraId="19870107">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position w:val="-10"/>
                <w:sz w:val="24"/>
                <w:highlight w:val="none"/>
              </w:rPr>
              <w:drawing>
                <wp:inline distT="0" distB="0" distL="114300" distR="114300">
                  <wp:extent cx="171450" cy="209550"/>
                  <wp:effectExtent l="0" t="0" r="0" b="0"/>
                  <wp:docPr id="21"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3"/>
                          <pic:cNvPicPr>
                            <a:picLocks noChangeAspect="1"/>
                          </pic:cNvPicPr>
                        </pic:nvPicPr>
                        <pic:blipFill>
                          <a:blip r:embed="rId14"/>
                          <a:stretch>
                            <a:fillRect/>
                          </a:stretch>
                        </pic:blipFill>
                        <pic:spPr>
                          <a:xfrm>
                            <a:off x="0" y="0"/>
                            <a:ext cx="171450" cy="209550"/>
                          </a:xfrm>
                          <a:prstGeom prst="rect">
                            <a:avLst/>
                          </a:prstGeom>
                          <a:noFill/>
                          <a:ln>
                            <a:noFill/>
                          </a:ln>
                        </pic:spPr>
                      </pic:pic>
                    </a:graphicData>
                  </a:graphic>
                </wp:inline>
              </w:drawing>
            </w:r>
            <w:r>
              <w:rPr>
                <w:rFonts w:hint="default" w:ascii="Times New Roman" w:hAnsi="Times New Roman" w:cs="Times New Roman"/>
                <w:color w:val="auto"/>
                <w:sz w:val="24"/>
                <w:highlight w:val="none"/>
              </w:rPr>
              <w:t>——噪声受点r处的等效声级，dB；</w:t>
            </w:r>
          </w:p>
          <w:p w14:paraId="3B040A8D">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position w:val="-12"/>
                <w:sz w:val="24"/>
                <w:highlight w:val="none"/>
              </w:rPr>
              <w:drawing>
                <wp:inline distT="0" distB="0" distL="114300" distR="114300">
                  <wp:extent cx="238125" cy="238125"/>
                  <wp:effectExtent l="0" t="0" r="8890" b="8255"/>
                  <wp:docPr id="22"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4"/>
                          <pic:cNvPicPr>
                            <a:picLocks noChangeAspect="1"/>
                          </pic:cNvPicPr>
                        </pic:nvPicPr>
                        <pic:blipFill>
                          <a:blip r:embed="rId15"/>
                          <a:stretch>
                            <a:fillRect/>
                          </a:stretch>
                        </pic:blipFill>
                        <pic:spPr>
                          <a:xfrm>
                            <a:off x="0" y="0"/>
                            <a:ext cx="238125" cy="238125"/>
                          </a:xfrm>
                          <a:prstGeom prst="rect">
                            <a:avLst/>
                          </a:prstGeom>
                          <a:noFill/>
                          <a:ln>
                            <a:noFill/>
                          </a:ln>
                        </pic:spPr>
                      </pic:pic>
                    </a:graphicData>
                  </a:graphic>
                </wp:inline>
              </w:drawing>
            </w:r>
            <w:r>
              <w:rPr>
                <w:rFonts w:hint="default" w:ascii="Times New Roman" w:hAnsi="Times New Roman" w:cs="Times New Roman"/>
                <w:color w:val="auto"/>
                <w:sz w:val="24"/>
                <w:highlight w:val="none"/>
              </w:rPr>
              <w:t>——噪声受点r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处的等效声级，dB；</w:t>
            </w:r>
          </w:p>
          <w:p w14:paraId="3A00BE79">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position w:val="-4"/>
                <w:sz w:val="24"/>
                <w:highlight w:val="none"/>
              </w:rPr>
              <w:drawing>
                <wp:inline distT="0" distB="0" distL="114300" distR="114300">
                  <wp:extent cx="114300" cy="123825"/>
                  <wp:effectExtent l="0" t="0" r="0" b="5715"/>
                  <wp:docPr id="23"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5"/>
                          <pic:cNvPicPr>
                            <a:picLocks noChangeAspect="1"/>
                          </pic:cNvPicPr>
                        </pic:nvPicPr>
                        <pic:blipFill>
                          <a:blip r:embed="rId16"/>
                          <a:stretch>
                            <a:fillRect/>
                          </a:stretch>
                        </pic:blipFill>
                        <pic:spPr>
                          <a:xfrm>
                            <a:off x="0" y="0"/>
                            <a:ext cx="114300" cy="123825"/>
                          </a:xfrm>
                          <a:prstGeom prst="rect">
                            <a:avLst/>
                          </a:prstGeom>
                          <a:noFill/>
                          <a:ln>
                            <a:noFill/>
                          </a:ln>
                        </pic:spPr>
                      </pic:pic>
                    </a:graphicData>
                  </a:graphic>
                </wp:inline>
              </w:drawing>
            </w:r>
            <w:r>
              <w:rPr>
                <w:rFonts w:hint="default" w:ascii="Times New Roman" w:hAnsi="Times New Roman" w:cs="Times New Roman"/>
                <w:color w:val="auto"/>
                <w:sz w:val="24"/>
                <w:highlight w:val="none"/>
              </w:rPr>
              <w:t>——噪声受点r处与噪声源的距离，m；</w:t>
            </w:r>
          </w:p>
          <w:p w14:paraId="25AFD1E8">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position w:val="-12"/>
                <w:sz w:val="24"/>
                <w:highlight w:val="none"/>
              </w:rPr>
              <w:drawing>
                <wp:inline distT="0" distB="0" distL="114300" distR="114300">
                  <wp:extent cx="142875" cy="238125"/>
                  <wp:effectExtent l="0" t="0" r="9525" b="6350"/>
                  <wp:docPr id="24"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6"/>
                          <pic:cNvPicPr>
                            <a:picLocks noChangeAspect="1"/>
                          </pic:cNvPicPr>
                        </pic:nvPicPr>
                        <pic:blipFill>
                          <a:blip r:embed="rId17"/>
                          <a:stretch>
                            <a:fillRect/>
                          </a:stretch>
                        </pic:blipFill>
                        <pic:spPr>
                          <a:xfrm>
                            <a:off x="0" y="0"/>
                            <a:ext cx="142875" cy="238125"/>
                          </a:xfrm>
                          <a:prstGeom prst="rect">
                            <a:avLst/>
                          </a:prstGeom>
                          <a:noFill/>
                          <a:ln>
                            <a:noFill/>
                          </a:ln>
                        </pic:spPr>
                      </pic:pic>
                    </a:graphicData>
                  </a:graphic>
                </wp:inline>
              </w:drawing>
            </w:r>
            <w:r>
              <w:rPr>
                <w:rFonts w:hint="default" w:ascii="Times New Roman" w:hAnsi="Times New Roman" w:cs="Times New Roman"/>
                <w:color w:val="auto"/>
                <w:sz w:val="24"/>
                <w:highlight w:val="none"/>
              </w:rPr>
              <w:t>——噪声受点r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处与噪声源的距离，m；</w:t>
            </w:r>
          </w:p>
          <w:p w14:paraId="765F731B">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position w:val="-4"/>
                <w:sz w:val="24"/>
                <w:highlight w:val="none"/>
              </w:rPr>
              <w:drawing>
                <wp:inline distT="0" distB="0" distL="114300" distR="114300">
                  <wp:extent cx="238125" cy="152400"/>
                  <wp:effectExtent l="0" t="0" r="0" b="0"/>
                  <wp:docPr id="25"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7"/>
                          <pic:cNvPicPr>
                            <a:picLocks noChangeAspect="1"/>
                          </pic:cNvPicPr>
                        </pic:nvPicPr>
                        <pic:blipFill>
                          <a:blip r:embed="rId18"/>
                          <a:stretch>
                            <a:fillRect/>
                          </a:stretch>
                        </pic:blipFill>
                        <pic:spPr>
                          <a:xfrm>
                            <a:off x="0" y="0"/>
                            <a:ext cx="238125" cy="152400"/>
                          </a:xfrm>
                          <a:prstGeom prst="rect">
                            <a:avLst/>
                          </a:prstGeom>
                          <a:noFill/>
                          <a:ln>
                            <a:noFill/>
                          </a:ln>
                        </pic:spPr>
                      </pic:pic>
                    </a:graphicData>
                  </a:graphic>
                </wp:inline>
              </w:drawing>
            </w:r>
            <w:r>
              <w:rPr>
                <w:rFonts w:hint="default" w:ascii="Times New Roman" w:hAnsi="Times New Roman" w:cs="Times New Roman"/>
                <w:color w:val="auto"/>
                <w:sz w:val="24"/>
                <w:highlight w:val="none"/>
              </w:rPr>
              <w:t>——各种因素引起的衰减量，dB。</w:t>
            </w:r>
          </w:p>
          <w:p w14:paraId="30367808">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叠加计算式：</w:t>
            </w:r>
          </w:p>
          <w:p w14:paraId="3B4DAE90">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position w:val="-30"/>
                <w:sz w:val="24"/>
                <w:highlight w:val="none"/>
              </w:rPr>
              <w:drawing>
                <wp:inline distT="0" distB="0" distL="114300" distR="114300">
                  <wp:extent cx="1572260" cy="457200"/>
                  <wp:effectExtent l="0" t="0" r="8890" b="0"/>
                  <wp:docPr id="26"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8"/>
                          <pic:cNvPicPr>
                            <a:picLocks noChangeAspect="1"/>
                          </pic:cNvPicPr>
                        </pic:nvPicPr>
                        <pic:blipFill>
                          <a:blip r:embed="rId19"/>
                          <a:stretch>
                            <a:fillRect/>
                          </a:stretch>
                        </pic:blipFill>
                        <pic:spPr>
                          <a:xfrm>
                            <a:off x="0" y="0"/>
                            <a:ext cx="1572260" cy="457200"/>
                          </a:xfrm>
                          <a:prstGeom prst="rect">
                            <a:avLst/>
                          </a:prstGeom>
                          <a:noFill/>
                          <a:ln>
                            <a:noFill/>
                          </a:ln>
                        </pic:spPr>
                      </pic:pic>
                    </a:graphicData>
                  </a:graphic>
                </wp:inline>
              </w:drawing>
            </w:r>
          </w:p>
          <w:p w14:paraId="298E0EAE">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color w:val="auto"/>
                <w:position w:val="-14"/>
                <w:sz w:val="24"/>
                <w:highlight w:val="none"/>
              </w:rPr>
              <w:drawing>
                <wp:inline distT="0" distB="0" distL="114300" distR="114300">
                  <wp:extent cx="304800" cy="238125"/>
                  <wp:effectExtent l="0" t="0" r="0" b="7620"/>
                  <wp:docPr id="27"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9"/>
                          <pic:cNvPicPr>
                            <a:picLocks noChangeAspect="1"/>
                          </pic:cNvPicPr>
                        </pic:nvPicPr>
                        <pic:blipFill>
                          <a:blip r:embed="rId20"/>
                          <a:stretch>
                            <a:fillRect/>
                          </a:stretch>
                        </pic:blipFill>
                        <pic:spPr>
                          <a:xfrm>
                            <a:off x="0" y="0"/>
                            <a:ext cx="304800" cy="238125"/>
                          </a:xfrm>
                          <a:prstGeom prst="rect">
                            <a:avLst/>
                          </a:prstGeom>
                          <a:noFill/>
                          <a:ln>
                            <a:noFill/>
                          </a:ln>
                        </pic:spPr>
                      </pic:pic>
                    </a:graphicData>
                  </a:graphic>
                </wp:inline>
              </w:drawing>
            </w:r>
            <w:r>
              <w:rPr>
                <w:rFonts w:hint="default" w:ascii="Times New Roman" w:hAnsi="Times New Roman" w:cs="Times New Roman"/>
                <w:color w:val="auto"/>
                <w:sz w:val="24"/>
                <w:highlight w:val="none"/>
              </w:rPr>
              <w:t>——复合声压级，dB；</w:t>
            </w:r>
          </w:p>
          <w:p w14:paraId="19595CE8">
            <w:pPr>
              <w:keepNext w:val="0"/>
              <w:keepLines w:val="0"/>
              <w:pageBreakBefore w:val="0"/>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position w:val="-12"/>
                <w:sz w:val="24"/>
                <w:highlight w:val="none"/>
              </w:rPr>
              <w:drawing>
                <wp:inline distT="0" distB="0" distL="114300" distR="114300">
                  <wp:extent cx="152400" cy="238125"/>
                  <wp:effectExtent l="0" t="0" r="0" b="8255"/>
                  <wp:docPr id="28"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0"/>
                          <pic:cNvPicPr>
                            <a:picLocks noChangeAspect="1"/>
                          </pic:cNvPicPr>
                        </pic:nvPicPr>
                        <pic:blipFill>
                          <a:blip r:embed="rId21"/>
                          <a:stretch>
                            <a:fillRect/>
                          </a:stretch>
                        </pic:blipFill>
                        <pic:spPr>
                          <a:xfrm>
                            <a:off x="0" y="0"/>
                            <a:ext cx="152400" cy="238125"/>
                          </a:xfrm>
                          <a:prstGeom prst="rect">
                            <a:avLst/>
                          </a:prstGeom>
                          <a:noFill/>
                          <a:ln>
                            <a:noFill/>
                          </a:ln>
                        </pic:spPr>
                      </pic:pic>
                    </a:graphicData>
                  </a:graphic>
                </wp:inline>
              </w:drawing>
            </w:r>
            <w:r>
              <w:rPr>
                <w:rFonts w:hint="default" w:ascii="Times New Roman" w:hAnsi="Times New Roman" w:cs="Times New Roman"/>
                <w:color w:val="auto"/>
                <w:sz w:val="24"/>
                <w:highlight w:val="none"/>
              </w:rPr>
              <w:t>——背景声压级或各个噪声源的影响声压级，dB。</w:t>
            </w:r>
          </w:p>
          <w:p w14:paraId="74B7AE74">
            <w:pPr>
              <w:keepNext w:val="0"/>
              <w:keepLines w:val="0"/>
              <w:pageBreakBefore w:val="0"/>
              <w:kinsoku/>
              <w:wordWrap/>
              <w:overflowPunct/>
              <w:topLinePunct w:val="0"/>
              <w:bidi w:val="0"/>
              <w:spacing w:line="440" w:lineRule="exact"/>
              <w:ind w:firstLine="496" w:firstLineChars="200"/>
              <w:textAlignment w:val="auto"/>
              <w:rPr>
                <w:rFonts w:hint="default" w:ascii="Times New Roman" w:hAnsi="Times New Roman" w:cs="Times New Roman"/>
                <w:bCs/>
                <w:color w:val="auto"/>
                <w:spacing w:val="4"/>
                <w:sz w:val="24"/>
                <w:highlight w:val="none"/>
              </w:rPr>
            </w:pPr>
            <w:r>
              <w:rPr>
                <w:rFonts w:hint="eastAsia" w:cs="Times New Roman"/>
                <w:bCs/>
                <w:color w:val="auto"/>
                <w:spacing w:val="4"/>
                <w:sz w:val="24"/>
                <w:highlight w:val="none"/>
                <w:lang w:eastAsia="zh-CN"/>
              </w:rPr>
              <w:t>（</w:t>
            </w:r>
            <w:r>
              <w:rPr>
                <w:rFonts w:hint="eastAsia" w:cs="Times New Roman"/>
                <w:bCs/>
                <w:color w:val="auto"/>
                <w:spacing w:val="4"/>
                <w:sz w:val="24"/>
                <w:highlight w:val="none"/>
                <w:lang w:val="en-US" w:eastAsia="zh-CN"/>
              </w:rPr>
              <w:t>4</w:t>
            </w:r>
            <w:r>
              <w:rPr>
                <w:rFonts w:hint="eastAsia" w:cs="Times New Roman"/>
                <w:bCs/>
                <w:color w:val="auto"/>
                <w:spacing w:val="4"/>
                <w:sz w:val="24"/>
                <w:highlight w:val="none"/>
                <w:lang w:eastAsia="zh-CN"/>
              </w:rPr>
              <w:t>）</w:t>
            </w:r>
            <w:r>
              <w:rPr>
                <w:rFonts w:hint="default" w:ascii="Times New Roman" w:hAnsi="Times New Roman" w:cs="Times New Roman"/>
                <w:bCs/>
                <w:color w:val="auto"/>
                <w:spacing w:val="4"/>
                <w:sz w:val="24"/>
                <w:highlight w:val="none"/>
              </w:rPr>
              <w:t>预测结果及分析</w:t>
            </w:r>
          </w:p>
          <w:p w14:paraId="3E259CD8">
            <w:pPr>
              <w:keepNext w:val="0"/>
              <w:keepLines w:val="0"/>
              <w:pageBreakBefore w:val="0"/>
              <w:widowControl/>
              <w:kinsoku/>
              <w:wordWrap/>
              <w:overflowPunct/>
              <w:topLinePunct w:val="0"/>
              <w:bidi w:val="0"/>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bCs/>
                <w:color w:val="auto"/>
                <w:sz w:val="24"/>
                <w:szCs w:val="21"/>
                <w:highlight w:val="none"/>
              </w:rPr>
              <w:t>采用上述噪声预测模式进行预测计算，主要产噪设备运行过程中产生的噪声经封闭隔声和距离衰减后，对厂界的噪声影响详见下表</w:t>
            </w:r>
            <w:r>
              <w:rPr>
                <w:rFonts w:hint="default" w:ascii="Times New Roman" w:hAnsi="Times New Roman" w:cs="Times New Roman"/>
                <w:color w:val="auto"/>
                <w:sz w:val="24"/>
                <w:highlight w:val="none"/>
              </w:rPr>
              <w:t>。</w:t>
            </w:r>
          </w:p>
          <w:p w14:paraId="56173DE8">
            <w:pPr>
              <w:pStyle w:val="79"/>
              <w:keepNext w:val="0"/>
              <w:keepLines w:val="0"/>
              <w:pageBreakBefore w:val="0"/>
              <w:widowControl w:val="0"/>
              <w:kinsoku/>
              <w:wordWrap/>
              <w:overflowPunct/>
              <w:topLinePunct w:val="0"/>
              <w:bidi w:val="0"/>
              <w:spacing w:line="440" w:lineRule="exact"/>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表4-</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 xml:space="preserve">  厂界噪声预测及评价结果单位：dB</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A</w:t>
            </w:r>
            <w:r>
              <w:rPr>
                <w:rFonts w:hint="eastAsia" w:cs="Times New Roman"/>
                <w:color w:val="auto"/>
                <w:sz w:val="24"/>
                <w:szCs w:val="24"/>
                <w:highlight w:val="none"/>
                <w:lang w:eastAsia="zh-CN"/>
              </w:rPr>
              <w:t>）</w:t>
            </w:r>
          </w:p>
          <w:tbl>
            <w:tblPr>
              <w:tblStyle w:val="32"/>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2504"/>
              <w:gridCol w:w="2094"/>
              <w:gridCol w:w="2094"/>
            </w:tblGrid>
            <w:tr w14:paraId="692BE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5" w:type="dxa"/>
                  <w:tcBorders>
                    <w:tl2br w:val="nil"/>
                    <w:tr2bl w:val="nil"/>
                  </w:tcBorders>
                  <w:noWrap w:val="0"/>
                  <w:vAlign w:val="center"/>
                </w:tcPr>
                <w:p w14:paraId="638E843B">
                  <w:pPr>
                    <w:widowControl/>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rPr>
                    <w:t>序号</w:t>
                  </w:r>
                </w:p>
              </w:tc>
              <w:tc>
                <w:tcPr>
                  <w:tcW w:w="2373" w:type="dxa"/>
                  <w:tcBorders>
                    <w:tl2br w:val="nil"/>
                    <w:tr2bl w:val="nil"/>
                  </w:tcBorders>
                  <w:noWrap w:val="0"/>
                  <w:vAlign w:val="center"/>
                </w:tcPr>
                <w:p w14:paraId="115F1421">
                  <w:pPr>
                    <w:widowControl/>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rPr>
                    <w:t>预测点</w:t>
                  </w:r>
                </w:p>
              </w:tc>
              <w:tc>
                <w:tcPr>
                  <w:tcW w:w="1984" w:type="dxa"/>
                  <w:tcBorders>
                    <w:tl2br w:val="nil"/>
                    <w:tr2bl w:val="nil"/>
                  </w:tcBorders>
                  <w:noWrap w:val="0"/>
                  <w:vAlign w:val="center"/>
                </w:tcPr>
                <w:p w14:paraId="21E6C172">
                  <w:pPr>
                    <w:widowControl/>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rPr>
                    <w:t>预测值</w:t>
                  </w:r>
                </w:p>
              </w:tc>
              <w:tc>
                <w:tcPr>
                  <w:tcW w:w="1984" w:type="dxa"/>
                  <w:tcBorders>
                    <w:tl2br w:val="nil"/>
                    <w:tr2bl w:val="nil"/>
                  </w:tcBorders>
                  <w:noWrap w:val="0"/>
                  <w:vAlign w:val="center"/>
                </w:tcPr>
                <w:p w14:paraId="4C645854">
                  <w:pPr>
                    <w:widowControl/>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rPr>
                    <w:t>达标情况</w:t>
                  </w:r>
                </w:p>
              </w:tc>
            </w:tr>
            <w:tr w14:paraId="57550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5" w:type="dxa"/>
                  <w:tcBorders>
                    <w:tl2br w:val="nil"/>
                    <w:tr2bl w:val="nil"/>
                  </w:tcBorders>
                  <w:noWrap w:val="0"/>
                  <w:vAlign w:val="center"/>
                </w:tcPr>
                <w:p w14:paraId="06138124">
                  <w:pPr>
                    <w:widowControl/>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1</w:t>
                  </w:r>
                </w:p>
              </w:tc>
              <w:tc>
                <w:tcPr>
                  <w:tcW w:w="2373" w:type="dxa"/>
                  <w:tcBorders>
                    <w:tl2br w:val="nil"/>
                    <w:tr2bl w:val="nil"/>
                  </w:tcBorders>
                  <w:noWrap w:val="0"/>
                  <w:vAlign w:val="center"/>
                </w:tcPr>
                <w:p w14:paraId="481E562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东厂界</w:t>
                  </w:r>
                </w:p>
              </w:tc>
              <w:tc>
                <w:tcPr>
                  <w:tcW w:w="1984" w:type="dxa"/>
                  <w:tcBorders>
                    <w:tl2br w:val="nil"/>
                    <w:tr2bl w:val="nil"/>
                  </w:tcBorders>
                  <w:noWrap w:val="0"/>
                  <w:vAlign w:val="center"/>
                </w:tcPr>
                <w:p w14:paraId="539B6007">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eastAsia" w:ascii="Calibri" w:hAnsi="Calibri" w:cs="Calibri"/>
                      <w:i w:val="0"/>
                      <w:iCs w:val="0"/>
                      <w:color w:val="auto"/>
                      <w:kern w:val="0"/>
                      <w:sz w:val="22"/>
                      <w:szCs w:val="22"/>
                      <w:highlight w:val="none"/>
                      <w:u w:val="none"/>
                      <w:lang w:val="en-US" w:eastAsia="zh-CN" w:bidi="ar"/>
                    </w:rPr>
                    <w:t>43.32</w:t>
                  </w:r>
                </w:p>
              </w:tc>
              <w:tc>
                <w:tcPr>
                  <w:tcW w:w="1984" w:type="dxa"/>
                  <w:tcBorders>
                    <w:tl2br w:val="nil"/>
                    <w:tr2bl w:val="nil"/>
                  </w:tcBorders>
                  <w:noWrap w:val="0"/>
                  <w:vAlign w:val="center"/>
                </w:tcPr>
                <w:p w14:paraId="547DC2F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达标</w:t>
                  </w:r>
                </w:p>
              </w:tc>
            </w:tr>
            <w:tr w14:paraId="004DB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5" w:type="dxa"/>
                  <w:tcBorders>
                    <w:tl2br w:val="nil"/>
                    <w:tr2bl w:val="nil"/>
                  </w:tcBorders>
                  <w:noWrap w:val="0"/>
                  <w:vAlign w:val="center"/>
                </w:tcPr>
                <w:p w14:paraId="61CAE594">
                  <w:pPr>
                    <w:widowControl/>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2</w:t>
                  </w:r>
                </w:p>
              </w:tc>
              <w:tc>
                <w:tcPr>
                  <w:tcW w:w="2373" w:type="dxa"/>
                  <w:tcBorders>
                    <w:tl2br w:val="nil"/>
                    <w:tr2bl w:val="nil"/>
                  </w:tcBorders>
                  <w:noWrap w:val="0"/>
                  <w:vAlign w:val="center"/>
                </w:tcPr>
                <w:p w14:paraId="7E4EADE9">
                  <w:pPr>
                    <w:widowControl/>
                    <w:jc w:val="center"/>
                    <w:rPr>
                      <w:rFonts w:hint="default" w:ascii="Times New Roman" w:hAnsi="Times New Roman" w:cs="Times New Roman"/>
                      <w:color w:val="auto"/>
                      <w:szCs w:val="21"/>
                      <w:highlight w:val="none"/>
                    </w:rPr>
                  </w:pPr>
                  <w:r>
                    <w:rPr>
                      <w:rFonts w:hint="eastAsia" w:cs="Times New Roman"/>
                      <w:color w:val="auto"/>
                      <w:kern w:val="0"/>
                      <w:szCs w:val="21"/>
                      <w:highlight w:val="none"/>
                      <w:lang w:val="en-US" w:eastAsia="zh-CN"/>
                    </w:rPr>
                    <w:t>西</w:t>
                  </w:r>
                  <w:r>
                    <w:rPr>
                      <w:rFonts w:hint="default" w:ascii="Times New Roman" w:hAnsi="Times New Roman" w:cs="Times New Roman"/>
                      <w:color w:val="auto"/>
                      <w:kern w:val="0"/>
                      <w:szCs w:val="21"/>
                      <w:highlight w:val="none"/>
                    </w:rPr>
                    <w:t>厂界</w:t>
                  </w:r>
                </w:p>
              </w:tc>
              <w:tc>
                <w:tcPr>
                  <w:tcW w:w="1984" w:type="dxa"/>
                  <w:tcBorders>
                    <w:tl2br w:val="nil"/>
                    <w:tr2bl w:val="nil"/>
                  </w:tcBorders>
                  <w:noWrap w:val="0"/>
                  <w:vAlign w:val="center"/>
                </w:tcPr>
                <w:p w14:paraId="25620476">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eastAsia" w:ascii="Calibri" w:hAnsi="Calibri" w:cs="Calibri"/>
                      <w:i w:val="0"/>
                      <w:iCs w:val="0"/>
                      <w:color w:val="auto"/>
                      <w:kern w:val="0"/>
                      <w:sz w:val="22"/>
                      <w:szCs w:val="22"/>
                      <w:highlight w:val="none"/>
                      <w:u w:val="none"/>
                      <w:lang w:val="en-US" w:eastAsia="zh-CN" w:bidi="ar"/>
                    </w:rPr>
                    <w:t>37.52</w:t>
                  </w:r>
                </w:p>
              </w:tc>
              <w:tc>
                <w:tcPr>
                  <w:tcW w:w="1984" w:type="dxa"/>
                  <w:tcBorders>
                    <w:tl2br w:val="nil"/>
                    <w:tr2bl w:val="nil"/>
                  </w:tcBorders>
                  <w:noWrap w:val="0"/>
                  <w:vAlign w:val="center"/>
                </w:tcPr>
                <w:p w14:paraId="71391F8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达标</w:t>
                  </w:r>
                </w:p>
              </w:tc>
            </w:tr>
            <w:tr w14:paraId="7304C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5" w:type="dxa"/>
                  <w:tcBorders>
                    <w:tl2br w:val="nil"/>
                    <w:tr2bl w:val="nil"/>
                  </w:tcBorders>
                  <w:noWrap w:val="0"/>
                  <w:vAlign w:val="center"/>
                </w:tcPr>
                <w:p w14:paraId="0A772F0E">
                  <w:pPr>
                    <w:widowControl/>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3</w:t>
                  </w:r>
                </w:p>
              </w:tc>
              <w:tc>
                <w:tcPr>
                  <w:tcW w:w="2373" w:type="dxa"/>
                  <w:tcBorders>
                    <w:tl2br w:val="nil"/>
                    <w:tr2bl w:val="nil"/>
                  </w:tcBorders>
                  <w:noWrap w:val="0"/>
                  <w:vAlign w:val="center"/>
                </w:tcPr>
                <w:p w14:paraId="2BBE259E">
                  <w:pPr>
                    <w:widowControl/>
                    <w:jc w:val="center"/>
                    <w:rPr>
                      <w:rFonts w:hint="default" w:ascii="Times New Roman" w:hAnsi="Times New Roman" w:cs="Times New Roman"/>
                      <w:color w:val="auto"/>
                      <w:szCs w:val="21"/>
                      <w:highlight w:val="none"/>
                    </w:rPr>
                  </w:pPr>
                  <w:r>
                    <w:rPr>
                      <w:rFonts w:hint="eastAsia" w:cs="Times New Roman"/>
                      <w:color w:val="auto"/>
                      <w:kern w:val="0"/>
                      <w:szCs w:val="21"/>
                      <w:highlight w:val="none"/>
                      <w:lang w:val="en-US" w:eastAsia="zh-CN"/>
                    </w:rPr>
                    <w:t>南</w:t>
                  </w:r>
                  <w:r>
                    <w:rPr>
                      <w:rFonts w:hint="default" w:ascii="Times New Roman" w:hAnsi="Times New Roman" w:cs="Times New Roman"/>
                      <w:color w:val="auto"/>
                      <w:kern w:val="0"/>
                      <w:szCs w:val="21"/>
                      <w:highlight w:val="none"/>
                    </w:rPr>
                    <w:t>厂界</w:t>
                  </w:r>
                </w:p>
              </w:tc>
              <w:tc>
                <w:tcPr>
                  <w:tcW w:w="1984" w:type="dxa"/>
                  <w:tcBorders>
                    <w:tl2br w:val="nil"/>
                    <w:tr2bl w:val="nil"/>
                  </w:tcBorders>
                  <w:noWrap w:val="0"/>
                  <w:vAlign w:val="center"/>
                </w:tcPr>
                <w:p w14:paraId="4431ADFF">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45.33</w:t>
                  </w:r>
                </w:p>
              </w:tc>
              <w:tc>
                <w:tcPr>
                  <w:tcW w:w="1984" w:type="dxa"/>
                  <w:tcBorders>
                    <w:tl2br w:val="nil"/>
                    <w:tr2bl w:val="nil"/>
                  </w:tcBorders>
                  <w:noWrap w:val="0"/>
                  <w:vAlign w:val="center"/>
                </w:tcPr>
                <w:p w14:paraId="6578C85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达标</w:t>
                  </w:r>
                </w:p>
              </w:tc>
            </w:tr>
            <w:tr w14:paraId="7D723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5" w:type="dxa"/>
                  <w:tcBorders>
                    <w:tl2br w:val="nil"/>
                    <w:tr2bl w:val="nil"/>
                  </w:tcBorders>
                  <w:noWrap w:val="0"/>
                  <w:vAlign w:val="center"/>
                </w:tcPr>
                <w:p w14:paraId="109402B3">
                  <w:pPr>
                    <w:widowControl/>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4</w:t>
                  </w:r>
                </w:p>
              </w:tc>
              <w:tc>
                <w:tcPr>
                  <w:tcW w:w="2373" w:type="dxa"/>
                  <w:tcBorders>
                    <w:tl2br w:val="nil"/>
                    <w:tr2bl w:val="nil"/>
                  </w:tcBorders>
                  <w:noWrap w:val="0"/>
                  <w:vAlign w:val="center"/>
                </w:tcPr>
                <w:p w14:paraId="2B19BE2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北厂界</w:t>
                  </w:r>
                </w:p>
              </w:tc>
              <w:tc>
                <w:tcPr>
                  <w:tcW w:w="1984" w:type="dxa"/>
                  <w:tcBorders>
                    <w:tl2br w:val="nil"/>
                    <w:tr2bl w:val="nil"/>
                  </w:tcBorders>
                  <w:noWrap w:val="0"/>
                  <w:vAlign w:val="center"/>
                </w:tcPr>
                <w:p w14:paraId="70D0924F">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eastAsia" w:ascii="Calibri" w:hAnsi="Calibri" w:cs="Calibri"/>
                      <w:i w:val="0"/>
                      <w:iCs w:val="0"/>
                      <w:color w:val="auto"/>
                      <w:kern w:val="0"/>
                      <w:sz w:val="22"/>
                      <w:szCs w:val="22"/>
                      <w:highlight w:val="none"/>
                      <w:u w:val="none"/>
                      <w:lang w:val="en-US" w:eastAsia="zh-CN" w:bidi="ar"/>
                    </w:rPr>
                    <w:t>42.15</w:t>
                  </w:r>
                </w:p>
              </w:tc>
              <w:tc>
                <w:tcPr>
                  <w:tcW w:w="1984" w:type="dxa"/>
                  <w:tcBorders>
                    <w:tl2br w:val="nil"/>
                    <w:tr2bl w:val="nil"/>
                  </w:tcBorders>
                  <w:noWrap w:val="0"/>
                  <w:vAlign w:val="center"/>
                </w:tcPr>
                <w:p w14:paraId="4B1B6C1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达标</w:t>
                  </w:r>
                </w:p>
              </w:tc>
            </w:tr>
          </w:tbl>
          <w:p w14:paraId="5328EE15">
            <w:pPr>
              <w:keepNext w:val="0"/>
              <w:keepLines w:val="0"/>
              <w:pageBreakBefore w:val="0"/>
              <w:kinsoku/>
              <w:wordWrap/>
              <w:overflowPunct/>
              <w:topLinePunct w:val="0"/>
              <w:autoSpaceDE/>
              <w:autoSpaceDN/>
              <w:bidi w:val="0"/>
              <w:adjustRightInd/>
              <w:snapToGrid/>
              <w:spacing w:line="440" w:lineRule="exact"/>
              <w:textAlignment w:val="auto"/>
              <w:rPr>
                <w:rFonts w:hint="default" w:ascii="Times New Roman" w:hAnsi="Times New Roman" w:cs="Times New Roman"/>
                <w:b/>
                <w:color w:val="auto"/>
                <w:szCs w:val="20"/>
                <w:highlight w:val="none"/>
              </w:rPr>
            </w:pPr>
            <w:r>
              <w:rPr>
                <w:rFonts w:hint="default" w:ascii="Times New Roman" w:hAnsi="Times New Roman" w:cs="Times New Roman"/>
                <w:b/>
                <w:bCs/>
                <w:color w:val="auto"/>
                <w:szCs w:val="21"/>
                <w:highlight w:val="none"/>
              </w:rPr>
              <w:t>注：项目夜间不生产，故不对夜间噪声进行预测</w:t>
            </w:r>
            <w:r>
              <w:rPr>
                <w:rFonts w:hint="default" w:ascii="Times New Roman" w:hAnsi="Times New Roman" w:cs="Times New Roman"/>
                <w:b/>
                <w:bCs/>
                <w:color w:val="auto"/>
                <w:sz w:val="22"/>
                <w:highlight w:val="none"/>
              </w:rPr>
              <w:t>。</w:t>
            </w:r>
          </w:p>
          <w:p w14:paraId="1E1DEF77">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所在区域为声环境2类功能区，根据《工业企业厂界环境噪声排放标准》（GB12348-2008），由上表可知，据预测本项目营运期各厂界昼间噪声贡献值均可满足《工业企业厂界环境噪声排放标准》（GB12348-2008）中2类标准要求。</w:t>
            </w:r>
          </w:p>
          <w:p w14:paraId="5FAAF099">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因此，建设单位严格执行本评价提出的降噪措施，本项目生产过程不会对周围环境产生影响。</w:t>
            </w:r>
          </w:p>
          <w:p w14:paraId="6C226115">
            <w:pPr>
              <w:pStyle w:val="58"/>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imes New Roman" w:hAnsi="Times New Roman" w:cs="Times New Roman"/>
                <w:color w:val="auto"/>
                <w:sz w:val="24"/>
                <w:szCs w:val="24"/>
                <w:highlight w:val="none"/>
              </w:rPr>
            </w:pPr>
            <w:r>
              <w:rPr>
                <w:rFonts w:hint="eastAsia" w:cs="Times New Roman"/>
                <w:color w:val="auto"/>
                <w:highlight w:val="none"/>
                <w:lang w:val="en-US" w:eastAsia="zh-CN"/>
              </w:rPr>
              <w:t>（5）</w:t>
            </w:r>
            <w:r>
              <w:rPr>
                <w:rFonts w:hint="default" w:ascii="Times New Roman" w:hAnsi="Times New Roman" w:cs="Times New Roman"/>
                <w:color w:val="auto"/>
                <w:highlight w:val="none"/>
              </w:rPr>
              <w:t>噪声监测计划</w:t>
            </w:r>
          </w:p>
          <w:p w14:paraId="234D49D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表4-</w:t>
            </w:r>
            <w:r>
              <w:rPr>
                <w:rFonts w:hint="eastAsia" w:cs="Times New Roman"/>
                <w:b/>
                <w:color w:val="auto"/>
                <w:sz w:val="24"/>
                <w:szCs w:val="24"/>
                <w:highlight w:val="none"/>
                <w:lang w:val="en-US" w:eastAsia="zh-CN"/>
              </w:rPr>
              <w:t>10</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bCs/>
                <w:color w:val="auto"/>
                <w:sz w:val="24"/>
                <w:szCs w:val="24"/>
                <w:highlight w:val="none"/>
              </w:rPr>
              <w:t>噪声环境监测计划</w:t>
            </w:r>
          </w:p>
          <w:tbl>
            <w:tblPr>
              <w:tblStyle w:val="32"/>
              <w:tblW w:w="824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887"/>
              <w:gridCol w:w="941"/>
              <w:gridCol w:w="1075"/>
              <w:gridCol w:w="1109"/>
              <w:gridCol w:w="3386"/>
            </w:tblGrid>
            <w:tr w14:paraId="7BFD0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9" w:type="dxa"/>
                  <w:tcBorders>
                    <w:tl2br w:val="nil"/>
                    <w:tr2bl w:val="nil"/>
                  </w:tcBorders>
                  <w:noWrap w:val="0"/>
                  <w:vAlign w:val="center"/>
                </w:tcPr>
                <w:p w14:paraId="49E0692F">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污染源名称</w:t>
                  </w:r>
                </w:p>
              </w:tc>
              <w:tc>
                <w:tcPr>
                  <w:tcW w:w="887" w:type="dxa"/>
                  <w:tcBorders>
                    <w:tl2br w:val="nil"/>
                    <w:tr2bl w:val="nil"/>
                  </w:tcBorders>
                  <w:noWrap w:val="0"/>
                  <w:vAlign w:val="center"/>
                </w:tcPr>
                <w:p w14:paraId="08CDF580">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监测项目</w:t>
                  </w:r>
                </w:p>
              </w:tc>
              <w:tc>
                <w:tcPr>
                  <w:tcW w:w="941" w:type="dxa"/>
                  <w:tcBorders>
                    <w:tl2br w:val="nil"/>
                    <w:tr2bl w:val="nil"/>
                  </w:tcBorders>
                  <w:noWrap w:val="0"/>
                  <w:vAlign w:val="center"/>
                </w:tcPr>
                <w:p w14:paraId="13D1815E">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监测点位置</w:t>
                  </w:r>
                </w:p>
              </w:tc>
              <w:tc>
                <w:tcPr>
                  <w:tcW w:w="1075" w:type="dxa"/>
                  <w:tcBorders>
                    <w:tl2br w:val="nil"/>
                    <w:tr2bl w:val="nil"/>
                  </w:tcBorders>
                  <w:noWrap w:val="0"/>
                  <w:vAlign w:val="center"/>
                </w:tcPr>
                <w:p w14:paraId="252ECA7E">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监测点数</w:t>
                  </w:r>
                </w:p>
              </w:tc>
              <w:tc>
                <w:tcPr>
                  <w:tcW w:w="1109" w:type="dxa"/>
                  <w:tcBorders>
                    <w:tl2br w:val="nil"/>
                    <w:tr2bl w:val="nil"/>
                  </w:tcBorders>
                  <w:noWrap w:val="0"/>
                  <w:vAlign w:val="center"/>
                </w:tcPr>
                <w:p w14:paraId="568514D2">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监测频次</w:t>
                  </w:r>
                </w:p>
              </w:tc>
              <w:tc>
                <w:tcPr>
                  <w:tcW w:w="3386" w:type="dxa"/>
                  <w:tcBorders>
                    <w:tl2br w:val="nil"/>
                    <w:tr2bl w:val="nil"/>
                  </w:tcBorders>
                  <w:noWrap w:val="0"/>
                  <w:vAlign w:val="center"/>
                </w:tcPr>
                <w:p w14:paraId="7E71A9FE">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控制指标</w:t>
                  </w:r>
                </w:p>
              </w:tc>
            </w:tr>
            <w:tr w14:paraId="44637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9" w:type="dxa"/>
                  <w:tcBorders>
                    <w:tl2br w:val="nil"/>
                    <w:tr2bl w:val="nil"/>
                  </w:tcBorders>
                  <w:noWrap w:val="0"/>
                  <w:vAlign w:val="center"/>
                </w:tcPr>
                <w:p w14:paraId="44571EC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887" w:type="dxa"/>
                  <w:tcBorders>
                    <w:tl2br w:val="nil"/>
                    <w:tr2bl w:val="nil"/>
                  </w:tcBorders>
                  <w:noWrap w:val="0"/>
                  <w:vAlign w:val="center"/>
                </w:tcPr>
                <w:p w14:paraId="49A46DF3">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Leq</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A</w:t>
                  </w:r>
                  <w:r>
                    <w:rPr>
                      <w:rFonts w:hint="eastAsia" w:cs="Times New Roman"/>
                      <w:color w:val="auto"/>
                      <w:szCs w:val="21"/>
                      <w:highlight w:val="none"/>
                      <w:lang w:eastAsia="zh-CN"/>
                    </w:rPr>
                    <w:t>）</w:t>
                  </w:r>
                </w:p>
              </w:tc>
              <w:tc>
                <w:tcPr>
                  <w:tcW w:w="941" w:type="dxa"/>
                  <w:tcBorders>
                    <w:tl2br w:val="nil"/>
                    <w:tr2bl w:val="nil"/>
                  </w:tcBorders>
                  <w:noWrap w:val="0"/>
                  <w:vAlign w:val="center"/>
                </w:tcPr>
                <w:p w14:paraId="43033E5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厂界外</w:t>
                  </w:r>
                  <w:r>
                    <w:rPr>
                      <w:rFonts w:hint="eastAsia" w:cs="Times New Roman"/>
                      <w:color w:val="auto"/>
                      <w:szCs w:val="21"/>
                      <w:highlight w:val="none"/>
                      <w:lang w:val="en-US" w:eastAsia="zh-CN"/>
                    </w:rPr>
                    <w:t>四周</w:t>
                  </w:r>
                  <w:r>
                    <w:rPr>
                      <w:rFonts w:hint="default" w:ascii="Times New Roman" w:hAnsi="Times New Roman" w:cs="Times New Roman"/>
                      <w:color w:val="auto"/>
                      <w:szCs w:val="21"/>
                      <w:highlight w:val="none"/>
                    </w:rPr>
                    <w:t>1m</w:t>
                  </w:r>
                </w:p>
              </w:tc>
              <w:tc>
                <w:tcPr>
                  <w:tcW w:w="1075" w:type="dxa"/>
                  <w:tcBorders>
                    <w:tl2br w:val="nil"/>
                    <w:tr2bl w:val="nil"/>
                  </w:tcBorders>
                  <w:noWrap w:val="0"/>
                  <w:vAlign w:val="center"/>
                </w:tcPr>
                <w:p w14:paraId="654FD5D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109" w:type="dxa"/>
                  <w:tcBorders>
                    <w:tl2br w:val="nil"/>
                    <w:tr2bl w:val="nil"/>
                  </w:tcBorders>
                  <w:noWrap w:val="0"/>
                  <w:vAlign w:val="center"/>
                </w:tcPr>
                <w:p w14:paraId="29E7710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1次/半年</w:t>
                  </w:r>
                </w:p>
              </w:tc>
              <w:tc>
                <w:tcPr>
                  <w:tcW w:w="3386" w:type="dxa"/>
                  <w:tcBorders>
                    <w:tl2br w:val="nil"/>
                    <w:tr2bl w:val="nil"/>
                  </w:tcBorders>
                  <w:noWrap w:val="0"/>
                  <w:vAlign w:val="center"/>
                </w:tcPr>
                <w:p w14:paraId="721E5F7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《工业企业厂界环境噪声排放标准》（GB12348-2008）中2类标准</w:t>
                  </w:r>
                </w:p>
              </w:tc>
            </w:tr>
          </w:tbl>
          <w:p w14:paraId="7A8A7F32">
            <w:pPr>
              <w:pStyle w:val="97"/>
              <w:keepNext w:val="0"/>
              <w:keepLines w:val="0"/>
              <w:pageBreakBefore w:val="0"/>
              <w:widowControl w:val="0"/>
              <w:kinsoku/>
              <w:wordWrap/>
              <w:overflowPunct/>
              <w:topLinePunct w:val="0"/>
              <w:autoSpaceDE/>
              <w:autoSpaceDN/>
              <w:bidi w:val="0"/>
              <w:spacing w:line="440" w:lineRule="exact"/>
              <w:ind w:firstLine="0" w:firstLineChars="0"/>
              <w:textAlignment w:val="auto"/>
              <w:rPr>
                <w:rFonts w:hint="default" w:ascii="Times New Roman" w:hAnsi="Times New Roman" w:cs="Times New Roman"/>
                <w:b/>
                <w:color w:val="auto"/>
                <w:kern w:val="2"/>
                <w:sz w:val="24"/>
                <w:szCs w:val="24"/>
                <w:highlight w:val="none"/>
              </w:rPr>
            </w:pPr>
            <w:r>
              <w:rPr>
                <w:rFonts w:hint="default" w:ascii="Times New Roman" w:hAnsi="Times New Roman" w:cs="Times New Roman"/>
                <w:b/>
                <w:color w:val="auto"/>
                <w:kern w:val="2"/>
                <w:highlight w:val="none"/>
              </w:rPr>
              <w:t>4</w:t>
            </w:r>
            <w:r>
              <w:rPr>
                <w:rFonts w:hint="eastAsia" w:cs="Times New Roman"/>
                <w:b/>
                <w:color w:val="auto"/>
                <w:kern w:val="2"/>
                <w:sz w:val="24"/>
                <w:szCs w:val="24"/>
                <w:highlight w:val="none"/>
                <w:lang w:eastAsia="zh-CN"/>
              </w:rPr>
              <w:t>、</w:t>
            </w:r>
            <w:r>
              <w:rPr>
                <w:rFonts w:hint="default" w:ascii="Times New Roman" w:hAnsi="Times New Roman" w:cs="Times New Roman"/>
                <w:b/>
                <w:color w:val="auto"/>
                <w:kern w:val="2"/>
                <w:sz w:val="24"/>
                <w:szCs w:val="24"/>
                <w:highlight w:val="none"/>
              </w:rPr>
              <w:t>固体废物</w:t>
            </w:r>
            <w:r>
              <w:rPr>
                <w:rFonts w:hint="default" w:ascii="Times New Roman" w:hAnsi="Times New Roman" w:cs="Times New Roman"/>
                <w:b/>
                <w:color w:val="auto"/>
                <w:sz w:val="24"/>
                <w:szCs w:val="24"/>
                <w:highlight w:val="none"/>
              </w:rPr>
              <w:t>环境影响分析</w:t>
            </w:r>
          </w:p>
          <w:p w14:paraId="445D8BC5">
            <w:pPr>
              <w:pStyle w:val="109"/>
              <w:keepNext w:val="0"/>
              <w:keepLines w:val="0"/>
              <w:pageBreakBefore w:val="0"/>
              <w:widowControl w:val="0"/>
              <w:kinsoku/>
              <w:wordWrap/>
              <w:overflowPunct/>
              <w:topLinePunct w:val="0"/>
              <w:autoSpaceDE/>
              <w:autoSpaceDN/>
              <w:bidi w:val="0"/>
              <w:spacing w:line="440" w:lineRule="exact"/>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1、固体废物产生及处置情况</w:t>
            </w:r>
          </w:p>
          <w:p w14:paraId="21CFCE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rPr>
              <w:t>本项目的固体废物主要来自</w:t>
            </w:r>
            <w:r>
              <w:rPr>
                <w:rFonts w:hint="eastAsia" w:cs="Times New Roman"/>
                <w:color w:val="auto"/>
                <w:sz w:val="24"/>
                <w:szCs w:val="24"/>
                <w:highlight w:val="none"/>
                <w:lang w:val="en-US" w:eastAsia="zh-CN"/>
              </w:rPr>
              <w:t>各</w:t>
            </w:r>
            <w:r>
              <w:rPr>
                <w:rFonts w:hint="default" w:ascii="Times New Roman" w:hAnsi="Times New Roman" w:cs="Times New Roman"/>
                <w:color w:val="auto"/>
                <w:sz w:val="24"/>
                <w:szCs w:val="24"/>
                <w:highlight w:val="none"/>
                <w:lang w:val="en-US" w:eastAsia="zh-CN"/>
              </w:rPr>
              <w:t>菌种废包装袋</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生产车间粉尘</w:t>
            </w:r>
            <w:r>
              <w:rPr>
                <w:rFonts w:hint="default" w:ascii="Times New Roman" w:hAnsi="Times New Roman" w:cs="Times New Roman"/>
                <w:color w:val="auto"/>
                <w:sz w:val="24"/>
                <w:szCs w:val="24"/>
                <w:highlight w:val="none"/>
              </w:rPr>
              <w:t>以及职工生活垃圾。</w:t>
            </w:r>
          </w:p>
          <w:p w14:paraId="5A9EEB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（1）生活垃圾</w:t>
            </w:r>
          </w:p>
          <w:p w14:paraId="3594FF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项目劳动定员为</w:t>
            </w: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人，生活垃圾产生量以0.5kg/d人计，则生活垃圾产生量为</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t/a，垃圾桶收集后，由</w:t>
            </w:r>
            <w:r>
              <w:rPr>
                <w:rFonts w:hint="default" w:ascii="Times New Roman" w:hAnsi="Times New Roman" w:cs="Times New Roman"/>
                <w:color w:val="auto"/>
                <w:sz w:val="24"/>
                <w:szCs w:val="24"/>
                <w:highlight w:val="none"/>
                <w:lang w:val="zh-CN"/>
              </w:rPr>
              <w:t>环卫部门统一处置</w:t>
            </w:r>
            <w:r>
              <w:rPr>
                <w:rFonts w:hint="default" w:ascii="Times New Roman" w:hAnsi="Times New Roman" w:cs="Times New Roman"/>
                <w:color w:val="auto"/>
                <w:sz w:val="24"/>
                <w:szCs w:val="24"/>
                <w:highlight w:val="none"/>
              </w:rPr>
              <w:t>。</w:t>
            </w:r>
          </w:p>
          <w:p w14:paraId="2A4CB0D6">
            <w:pPr>
              <w:pStyle w:val="109"/>
              <w:keepNext w:val="0"/>
              <w:keepLines w:val="0"/>
              <w:pageBreakBefore w:val="0"/>
              <w:widowControl w:val="0"/>
              <w:kinsoku/>
              <w:wordWrap/>
              <w:overflowPunct/>
              <w:topLinePunct w:val="0"/>
              <w:autoSpaceDE/>
              <w:autoSpaceDN/>
              <w:bidi w:val="0"/>
              <w:spacing w:line="440" w:lineRule="exact"/>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（2）一般工业固体废物</w:t>
            </w:r>
          </w:p>
          <w:p w14:paraId="0BD2FEEF">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w:t>
            </w:r>
            <w:r>
              <w:rPr>
                <w:rFonts w:hint="eastAsia" w:cs="Times New Roman"/>
                <w:color w:val="auto"/>
                <w:sz w:val="24"/>
                <w:szCs w:val="24"/>
                <w:highlight w:val="none"/>
                <w:lang w:val="en-US" w:eastAsia="zh-CN"/>
              </w:rPr>
              <w:t>各</w:t>
            </w:r>
            <w:r>
              <w:rPr>
                <w:rFonts w:hint="default" w:ascii="Times New Roman" w:hAnsi="Times New Roman" w:cs="Times New Roman"/>
                <w:color w:val="auto"/>
                <w:sz w:val="24"/>
                <w:szCs w:val="24"/>
                <w:highlight w:val="none"/>
                <w:lang w:val="en-US" w:eastAsia="zh-CN"/>
              </w:rPr>
              <w:t>菌种废包装袋</w:t>
            </w:r>
          </w:p>
          <w:p w14:paraId="049E69B4">
            <w:pPr>
              <w:pStyle w:val="109"/>
              <w:keepNext w:val="0"/>
              <w:keepLines w:val="0"/>
              <w:pageBreakBefore w:val="0"/>
              <w:widowControl w:val="0"/>
              <w:kinsoku/>
              <w:wordWrap/>
              <w:overflowPunct/>
              <w:topLinePunct w:val="0"/>
              <w:autoSpaceDE/>
              <w:autoSpaceDN/>
              <w:bidi w:val="0"/>
              <w:spacing w:line="440" w:lineRule="exact"/>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w:t>
            </w:r>
            <w:r>
              <w:rPr>
                <w:rFonts w:hint="eastAsia" w:ascii="Times New Roman" w:hAnsi="Times New Roman" w:cs="Times New Roman"/>
                <w:color w:val="auto"/>
                <w:sz w:val="24"/>
                <w:szCs w:val="24"/>
                <w:highlight w:val="none"/>
                <w:lang w:val="en-US" w:eastAsia="zh-CN"/>
              </w:rPr>
              <w:t>生产</w:t>
            </w:r>
            <w:r>
              <w:rPr>
                <w:rFonts w:hint="default" w:ascii="Times New Roman" w:hAnsi="Times New Roman" w:cs="Times New Roman"/>
                <w:color w:val="auto"/>
                <w:sz w:val="24"/>
                <w:szCs w:val="24"/>
                <w:highlight w:val="none"/>
              </w:rPr>
              <w:t>过程中有少量的</w:t>
            </w:r>
            <w:r>
              <w:rPr>
                <w:rFonts w:hint="default" w:ascii="Times New Roman" w:hAnsi="Times New Roman" w:cs="Times New Roman"/>
                <w:color w:val="auto"/>
                <w:sz w:val="24"/>
                <w:szCs w:val="24"/>
                <w:highlight w:val="none"/>
                <w:lang w:val="en-US" w:eastAsia="zh-CN"/>
              </w:rPr>
              <w:t>各菌种废包装袋</w:t>
            </w:r>
            <w:r>
              <w:rPr>
                <w:rFonts w:hint="default" w:ascii="Times New Roman" w:hAnsi="Times New Roman" w:cs="Times New Roman"/>
                <w:color w:val="auto"/>
                <w:sz w:val="24"/>
                <w:szCs w:val="24"/>
                <w:highlight w:val="none"/>
              </w:rPr>
              <w:t>年生量约</w:t>
            </w:r>
            <w:r>
              <w:rPr>
                <w:rFonts w:hint="eastAsia" w:ascii="Times New Roman" w:hAnsi="Times New Roman" w:cs="Times New Roman"/>
                <w:color w:val="auto"/>
                <w:sz w:val="24"/>
                <w:szCs w:val="24"/>
                <w:highlight w:val="none"/>
                <w:lang w:val="en-US" w:eastAsia="zh-CN"/>
              </w:rPr>
              <w:t>3kg</w:t>
            </w:r>
            <w:r>
              <w:rPr>
                <w:rFonts w:hint="default" w:ascii="Times New Roman" w:hAnsi="Times New Roman" w:cs="Times New Roman"/>
                <w:color w:val="auto"/>
                <w:sz w:val="24"/>
                <w:szCs w:val="24"/>
                <w:highlight w:val="none"/>
              </w:rPr>
              <w:t>/a，集中收集</w:t>
            </w:r>
            <w:r>
              <w:rPr>
                <w:rFonts w:hint="default" w:ascii="Times New Roman" w:hAnsi="Times New Roman" w:cs="Times New Roman"/>
                <w:color w:val="auto"/>
                <w:sz w:val="24"/>
                <w:szCs w:val="24"/>
                <w:highlight w:val="none"/>
                <w:lang w:val="en-US" w:eastAsia="zh-CN"/>
              </w:rPr>
              <w:t>至一般固废间</w:t>
            </w:r>
            <w:r>
              <w:rPr>
                <w:rFonts w:hint="default" w:ascii="Times New Roman" w:hAnsi="Times New Roman" w:cs="Times New Roman"/>
                <w:color w:val="auto"/>
                <w:sz w:val="24"/>
                <w:szCs w:val="24"/>
                <w:highlight w:val="none"/>
              </w:rPr>
              <w:t>后</w:t>
            </w:r>
            <w:r>
              <w:rPr>
                <w:rFonts w:hint="eastAsia" w:ascii="Times New Roman" w:hAnsi="Times New Roman" w:cs="Times New Roman"/>
                <w:color w:val="auto"/>
                <w:sz w:val="24"/>
                <w:szCs w:val="24"/>
                <w:highlight w:val="none"/>
                <w:lang w:val="en-US" w:eastAsia="zh-CN"/>
              </w:rPr>
              <w:t>环卫部门处理</w:t>
            </w:r>
            <w:r>
              <w:rPr>
                <w:rFonts w:hint="default" w:ascii="Times New Roman" w:hAnsi="Times New Roman" w:cs="Times New Roman"/>
                <w:color w:val="auto"/>
                <w:sz w:val="24"/>
                <w:szCs w:val="24"/>
                <w:highlight w:val="none"/>
              </w:rPr>
              <w:t>。</w:t>
            </w:r>
          </w:p>
          <w:p w14:paraId="5367248D">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Times New Roman"/>
                <w:color w:val="auto"/>
                <w:kern w:val="0"/>
                <w:sz w:val="24"/>
                <w:szCs w:val="24"/>
                <w:highlight w:val="none"/>
                <w:vertAlign w:val="baseline"/>
                <w:lang w:val="en-US" w:eastAsia="zh-CN" w:bidi="ar-SA"/>
              </w:rPr>
            </w:pPr>
            <w:r>
              <w:rPr>
                <w:rFonts w:hint="eastAsia" w:cs="Times New Roman"/>
                <w:color w:val="auto"/>
                <w:sz w:val="24"/>
                <w:szCs w:val="24"/>
                <w:highlight w:val="none"/>
                <w:lang w:val="en-US" w:eastAsia="zh-CN"/>
              </w:rPr>
              <w:t>②生产车间粉尘：</w:t>
            </w:r>
            <w:r>
              <w:rPr>
                <w:rFonts w:hint="eastAsia" w:ascii="Times New Roman" w:hAnsi="Times New Roman" w:eastAsia="宋体" w:cs="Times New Roman"/>
                <w:color w:val="auto"/>
                <w:kern w:val="0"/>
                <w:sz w:val="24"/>
                <w:szCs w:val="24"/>
                <w:highlight w:val="none"/>
                <w:vertAlign w:val="baseline"/>
                <w:lang w:val="en-US" w:eastAsia="zh-CN" w:bidi="ar-SA"/>
              </w:rPr>
              <w:t>本项目生产车间未收集到的颗粒物量为</w:t>
            </w:r>
            <w:r>
              <w:rPr>
                <w:rFonts w:hint="eastAsia" w:ascii="Times New Roman" w:hAnsi="Times New Roman" w:cs="Times New Roman"/>
                <w:color w:val="auto"/>
                <w:kern w:val="0"/>
                <w:sz w:val="24"/>
                <w:szCs w:val="24"/>
                <w:highlight w:val="none"/>
                <w:vertAlign w:val="baseline"/>
                <w:lang w:val="en-US" w:eastAsia="zh-CN" w:bidi="ar-SA"/>
              </w:rPr>
              <w:t>6.66</w:t>
            </w:r>
            <w:r>
              <w:rPr>
                <w:rFonts w:hint="eastAsia" w:ascii="Times New Roman" w:hAnsi="Times New Roman" w:eastAsia="宋体" w:cs="Times New Roman"/>
                <w:color w:val="auto"/>
                <w:kern w:val="0"/>
                <w:sz w:val="24"/>
                <w:szCs w:val="24"/>
                <w:highlight w:val="none"/>
                <w:vertAlign w:val="baseline"/>
                <w:lang w:val="en-US" w:eastAsia="zh-CN" w:bidi="ar-SA"/>
              </w:rPr>
              <w:t>t/a，清扫收集返回生产系统回用</w:t>
            </w:r>
            <w:r>
              <w:rPr>
                <w:rFonts w:hint="eastAsia" w:ascii="Times New Roman" w:hAnsi="Times New Roman" w:cs="Times New Roman"/>
                <w:color w:val="auto"/>
                <w:kern w:val="0"/>
                <w:sz w:val="24"/>
                <w:szCs w:val="24"/>
                <w:highlight w:val="none"/>
                <w:vertAlign w:val="baseline"/>
                <w:lang w:val="en-US" w:eastAsia="zh-CN" w:bidi="ar-SA"/>
              </w:rPr>
              <w:t>；</w:t>
            </w:r>
          </w:p>
          <w:p w14:paraId="595F7E81">
            <w:pPr>
              <w:pStyle w:val="109"/>
              <w:keepNext w:val="0"/>
              <w:keepLines w:val="0"/>
              <w:pageBreakBefore w:val="0"/>
              <w:widowControl w:val="0"/>
              <w:kinsoku/>
              <w:wordWrap/>
              <w:overflowPunct/>
              <w:topLinePunct w:val="0"/>
              <w:autoSpaceDE/>
              <w:autoSpaceDN/>
              <w:bidi w:val="0"/>
              <w:spacing w:line="440" w:lineRule="exact"/>
              <w:ind w:firstLine="480"/>
              <w:textAlignment w:val="auto"/>
              <w:rPr>
                <w:rFonts w:hint="default"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③</w:t>
            </w:r>
            <w:r>
              <w:rPr>
                <w:rFonts w:hint="eastAsia" w:cs="Times New Roman"/>
                <w:color w:val="auto"/>
                <w:sz w:val="24"/>
                <w:szCs w:val="24"/>
                <w:highlight w:val="none"/>
                <w:lang w:val="en-US" w:eastAsia="zh-CN"/>
              </w:rPr>
              <w:t>除尘灰：</w:t>
            </w:r>
            <w:r>
              <w:rPr>
                <w:rFonts w:hint="eastAsia" w:ascii="Times New Roman" w:hAnsi="Times New Roman" w:cs="Times New Roman"/>
                <w:color w:val="auto"/>
                <w:kern w:val="0"/>
                <w:sz w:val="24"/>
                <w:szCs w:val="24"/>
                <w:highlight w:val="none"/>
                <w:vertAlign w:val="baseline"/>
                <w:lang w:val="en-US" w:eastAsia="zh-CN" w:bidi="ar-SA"/>
              </w:rPr>
              <w:t>本项目生产过程中被布袋收集的除尘灰量为88.8t/a，</w:t>
            </w:r>
            <w:r>
              <w:rPr>
                <w:rFonts w:hint="eastAsia" w:ascii="Times New Roman" w:hAnsi="Times New Roman" w:eastAsia="宋体" w:cs="Times New Roman"/>
                <w:color w:val="auto"/>
                <w:kern w:val="0"/>
                <w:sz w:val="24"/>
                <w:szCs w:val="24"/>
                <w:highlight w:val="none"/>
                <w:vertAlign w:val="baseline"/>
                <w:lang w:val="en-US" w:eastAsia="zh-CN" w:bidi="ar-SA"/>
              </w:rPr>
              <w:t>收集后返回生产系统回用</w:t>
            </w:r>
            <w:r>
              <w:rPr>
                <w:rFonts w:hint="eastAsia" w:ascii="Times New Roman" w:hAnsi="Times New Roman" w:cs="Times New Roman"/>
                <w:color w:val="auto"/>
                <w:kern w:val="0"/>
                <w:sz w:val="24"/>
                <w:szCs w:val="24"/>
                <w:highlight w:val="none"/>
                <w:vertAlign w:val="baseline"/>
                <w:lang w:val="en-US" w:eastAsia="zh-CN" w:bidi="ar-SA"/>
              </w:rPr>
              <w:t>；</w:t>
            </w:r>
          </w:p>
          <w:p w14:paraId="544E787A">
            <w:pPr>
              <w:pStyle w:val="109"/>
              <w:keepNext w:val="0"/>
              <w:keepLines w:val="0"/>
              <w:pageBreakBefore w:val="0"/>
              <w:widowControl w:val="0"/>
              <w:kinsoku/>
              <w:wordWrap/>
              <w:overflowPunct/>
              <w:topLinePunct w:val="0"/>
              <w:autoSpaceDE/>
              <w:autoSpaceDN/>
              <w:bidi w:val="0"/>
              <w:spacing w:line="440" w:lineRule="exact"/>
              <w:ind w:firstLine="480"/>
              <w:textAlignment w:val="auto"/>
              <w:rPr>
                <w:rFonts w:hint="eastAsia"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④废活性炭：</w:t>
            </w:r>
            <w:r>
              <w:rPr>
                <w:rFonts w:hint="default" w:ascii="Times New Roman" w:hAnsi="Times New Roman" w:cs="Times New Roman"/>
                <w:color w:val="auto"/>
                <w:kern w:val="0"/>
                <w:sz w:val="24"/>
                <w:szCs w:val="24"/>
                <w:highlight w:val="none"/>
                <w:vertAlign w:val="baseline"/>
                <w:lang w:val="en-US" w:eastAsia="zh-CN" w:bidi="ar-SA"/>
              </w:rPr>
              <w:t>废活性炭由活性炭吸附装置厂家</w:t>
            </w:r>
            <w:r>
              <w:rPr>
                <w:rFonts w:hint="eastAsia" w:ascii="Times New Roman" w:hAnsi="Times New Roman" w:cs="Times New Roman"/>
                <w:color w:val="auto"/>
                <w:kern w:val="0"/>
                <w:sz w:val="24"/>
                <w:szCs w:val="24"/>
                <w:highlight w:val="none"/>
                <w:vertAlign w:val="baseline"/>
                <w:lang w:val="en-US" w:eastAsia="zh-CN" w:bidi="ar-SA"/>
              </w:rPr>
              <w:t>每半</w:t>
            </w:r>
            <w:r>
              <w:rPr>
                <w:rFonts w:hint="default" w:ascii="Times New Roman" w:hAnsi="Times New Roman" w:cs="Times New Roman"/>
                <w:color w:val="auto"/>
                <w:kern w:val="0"/>
                <w:sz w:val="24"/>
                <w:szCs w:val="24"/>
                <w:highlight w:val="none"/>
                <w:vertAlign w:val="baseline"/>
                <w:lang w:val="en-US" w:eastAsia="zh-CN" w:bidi="ar-SA"/>
              </w:rPr>
              <w:t>年更换，不在厂内暂存</w:t>
            </w:r>
            <w:r>
              <w:rPr>
                <w:rFonts w:hint="eastAsia" w:ascii="Times New Roman" w:hAnsi="Times New Roman" w:cs="Times New Roman"/>
                <w:color w:val="auto"/>
                <w:kern w:val="0"/>
                <w:sz w:val="24"/>
                <w:szCs w:val="24"/>
                <w:highlight w:val="none"/>
                <w:vertAlign w:val="baseline"/>
                <w:lang w:val="en-US" w:eastAsia="zh-CN" w:bidi="ar-SA"/>
              </w:rPr>
              <w:t>；</w:t>
            </w:r>
          </w:p>
          <w:p w14:paraId="7F0AFD55">
            <w:pPr>
              <w:pStyle w:val="109"/>
              <w:keepNext w:val="0"/>
              <w:keepLines w:val="0"/>
              <w:pageBreakBefore w:val="0"/>
              <w:widowControl w:val="0"/>
              <w:kinsoku/>
              <w:wordWrap/>
              <w:overflowPunct/>
              <w:topLinePunct w:val="0"/>
              <w:autoSpaceDE/>
              <w:autoSpaceDN/>
              <w:bidi w:val="0"/>
              <w:spacing w:line="440" w:lineRule="exact"/>
              <w:ind w:firstLine="480"/>
              <w:textAlignment w:val="auto"/>
              <w:rPr>
                <w:rFonts w:hint="eastAsia"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⑤未检验的有机肥留样：</w:t>
            </w:r>
            <w:r>
              <w:rPr>
                <w:rFonts w:hint="eastAsia" w:cs="Times New Roman"/>
                <w:b w:val="0"/>
                <w:bCs/>
                <w:color w:val="auto"/>
                <w:sz w:val="24"/>
                <w:szCs w:val="24"/>
                <w:highlight w:val="none"/>
                <w:vertAlign w:val="baseline"/>
                <w:lang w:val="en-US" w:eastAsia="zh-CN"/>
              </w:rPr>
              <w:t>质量检验室产生的未经检验的有机肥留样，</w:t>
            </w:r>
            <w:r>
              <w:rPr>
                <w:rFonts w:hint="eastAsia" w:cs="Times New Roman"/>
                <w:color w:val="auto"/>
                <w:sz w:val="24"/>
                <w:szCs w:val="24"/>
                <w:highlight w:val="none"/>
                <w:lang w:val="en-US" w:eastAsia="zh-CN"/>
              </w:rPr>
              <w:t>定期返回生产车间重新利用</w:t>
            </w:r>
            <w:r>
              <w:rPr>
                <w:rFonts w:hint="eastAsia" w:ascii="Times New Roman" w:hAnsi="Times New Roman" w:cs="Times New Roman"/>
                <w:color w:val="auto"/>
                <w:kern w:val="0"/>
                <w:sz w:val="24"/>
                <w:szCs w:val="24"/>
                <w:highlight w:val="none"/>
                <w:vertAlign w:val="baseline"/>
                <w:lang w:val="en-US" w:eastAsia="zh-CN" w:bidi="ar-SA"/>
              </w:rPr>
              <w:t>；</w:t>
            </w:r>
          </w:p>
          <w:p w14:paraId="7FE95B93">
            <w:pPr>
              <w:pStyle w:val="109"/>
              <w:keepNext w:val="0"/>
              <w:keepLines w:val="0"/>
              <w:pageBreakBefore w:val="0"/>
              <w:widowControl w:val="0"/>
              <w:kinsoku/>
              <w:wordWrap/>
              <w:overflowPunct/>
              <w:topLinePunct w:val="0"/>
              <w:autoSpaceDE/>
              <w:autoSpaceDN/>
              <w:bidi w:val="0"/>
              <w:spacing w:line="440" w:lineRule="exact"/>
              <w:ind w:firstLine="480"/>
              <w:textAlignment w:val="auto"/>
              <w:rPr>
                <w:rFonts w:hint="default"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⑥检验室一般固体废物：</w:t>
            </w:r>
            <w:r>
              <w:rPr>
                <w:rFonts w:hint="eastAsia" w:cs="Times New Roman"/>
                <w:b w:val="0"/>
                <w:bCs/>
                <w:color w:val="auto"/>
                <w:sz w:val="24"/>
                <w:szCs w:val="24"/>
                <w:highlight w:val="none"/>
                <w:vertAlign w:val="baseline"/>
                <w:lang w:val="en-US" w:eastAsia="zh-CN"/>
              </w:rPr>
              <w:t>滤纸、称量纸、一次性手套、口罩、废弃塑料样品袋、破损玻璃器皿等，</w:t>
            </w:r>
            <w:r>
              <w:rPr>
                <w:rFonts w:hint="eastAsia"/>
                <w:color w:val="auto"/>
                <w:sz w:val="24"/>
                <w:szCs w:val="24"/>
                <w:highlight w:val="none"/>
                <w:lang w:val="en-US" w:eastAsia="zh-CN"/>
              </w:rPr>
              <w:t>分类收集至一般固废间后环卫部门处理。</w:t>
            </w:r>
          </w:p>
          <w:p w14:paraId="5DD3FA45">
            <w:pPr>
              <w:pStyle w:val="109"/>
              <w:keepNext w:val="0"/>
              <w:keepLines w:val="0"/>
              <w:pageBreakBefore w:val="0"/>
              <w:widowControl w:val="0"/>
              <w:kinsoku/>
              <w:wordWrap/>
              <w:overflowPunct/>
              <w:topLinePunct w:val="0"/>
              <w:autoSpaceDE/>
              <w:autoSpaceDN/>
              <w:bidi w:val="0"/>
              <w:spacing w:line="440" w:lineRule="exact"/>
              <w:ind w:firstLine="480"/>
              <w:textAlignment w:val="auto"/>
              <w:rPr>
                <w:rFonts w:hint="eastAsia"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（3）危险废物：</w:t>
            </w:r>
          </w:p>
          <w:p w14:paraId="55BE5D35">
            <w:pPr>
              <w:pStyle w:val="109"/>
              <w:keepNext w:val="0"/>
              <w:keepLines w:val="0"/>
              <w:pageBreakBefore w:val="0"/>
              <w:widowControl w:val="0"/>
              <w:kinsoku/>
              <w:wordWrap/>
              <w:overflowPunct/>
              <w:topLinePunct w:val="0"/>
              <w:autoSpaceDE/>
              <w:autoSpaceDN/>
              <w:bidi w:val="0"/>
              <w:spacing w:line="440" w:lineRule="exact"/>
              <w:ind w:firstLine="480"/>
              <w:textAlignment w:val="auto"/>
              <w:rPr>
                <w:rFonts w:hint="eastAsia"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①废润滑油：废润滑油（0.4t/a）修理替换后的废润滑油桶装暂存至危废间定期委托有资质单位规范转运处置；</w:t>
            </w:r>
          </w:p>
          <w:p w14:paraId="266C1786">
            <w:pPr>
              <w:pStyle w:val="109"/>
              <w:keepNext w:val="0"/>
              <w:keepLines w:val="0"/>
              <w:pageBreakBefore w:val="0"/>
              <w:widowControl w:val="0"/>
              <w:kinsoku/>
              <w:wordWrap/>
              <w:overflowPunct/>
              <w:topLinePunct w:val="0"/>
              <w:autoSpaceDE/>
              <w:autoSpaceDN/>
              <w:bidi w:val="0"/>
              <w:spacing w:line="440" w:lineRule="exact"/>
              <w:ind w:firstLine="480"/>
              <w:textAlignment w:val="auto"/>
              <w:rPr>
                <w:rFonts w:hint="default"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②检验室危险废物：废酸废液、废碱废液；盛装化学试剂、标准溶液的废弃试剂瓶；过期失效化学试剂、被危化品沾染的滤纸、抹布、手套等沾染废物，分类收集、专用容器密闭贮存至危废间，建立危废台账，定期委托有资质单位规范转运处置。</w:t>
            </w:r>
          </w:p>
          <w:p w14:paraId="7A83417A">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表4-</w:t>
            </w:r>
            <w:r>
              <w:rPr>
                <w:rFonts w:hint="eastAsia" w:cs="Times New Roman"/>
                <w:b/>
                <w:color w:val="auto"/>
                <w:sz w:val="24"/>
                <w:szCs w:val="24"/>
                <w:highlight w:val="none"/>
                <w:lang w:val="en-US" w:eastAsia="zh-CN"/>
              </w:rPr>
              <w:t>11</w:t>
            </w:r>
            <w:r>
              <w:rPr>
                <w:rFonts w:hint="default" w:ascii="Times New Roman" w:hAnsi="Times New Roman" w:cs="Times New Roman"/>
                <w:b/>
                <w:color w:val="auto"/>
                <w:sz w:val="24"/>
                <w:szCs w:val="24"/>
                <w:highlight w:val="none"/>
              </w:rPr>
              <w:t xml:space="preserve">  本项目固体废弃物产生情况汇总表</w:t>
            </w:r>
          </w:p>
          <w:tbl>
            <w:tblPr>
              <w:tblStyle w:val="32"/>
              <w:tblW w:w="497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2115"/>
              <w:gridCol w:w="1034"/>
              <w:gridCol w:w="1252"/>
              <w:gridCol w:w="3255"/>
            </w:tblGrid>
            <w:tr w14:paraId="5A320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7" w:type="pct"/>
                  <w:tcBorders>
                    <w:tl2br w:val="nil"/>
                    <w:tr2bl w:val="nil"/>
                  </w:tcBorders>
                  <w:noWrap w:val="0"/>
                  <w:vAlign w:val="center"/>
                </w:tcPr>
                <w:p w14:paraId="315AFB42">
                  <w:pPr>
                    <w:spacing w:line="20" w:lineRule="atLeas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268" w:type="pct"/>
                  <w:tcBorders>
                    <w:tl2br w:val="nil"/>
                    <w:tr2bl w:val="nil"/>
                  </w:tcBorders>
                  <w:noWrap w:val="0"/>
                  <w:vAlign w:val="center"/>
                </w:tcPr>
                <w:p w14:paraId="47C703CC">
                  <w:pPr>
                    <w:spacing w:line="20" w:lineRule="atLeas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固废名称</w:t>
                  </w:r>
                </w:p>
              </w:tc>
              <w:tc>
                <w:tcPr>
                  <w:tcW w:w="620" w:type="pct"/>
                  <w:tcBorders>
                    <w:tl2br w:val="nil"/>
                    <w:tr2bl w:val="nil"/>
                  </w:tcBorders>
                  <w:noWrap w:val="0"/>
                  <w:vAlign w:val="center"/>
                </w:tcPr>
                <w:p w14:paraId="30D83C97">
                  <w:pPr>
                    <w:spacing w:line="20" w:lineRule="atLeas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属性</w:t>
                  </w:r>
                </w:p>
              </w:tc>
              <w:tc>
                <w:tcPr>
                  <w:tcW w:w="751" w:type="pct"/>
                  <w:tcBorders>
                    <w:tl2br w:val="nil"/>
                    <w:tr2bl w:val="nil"/>
                  </w:tcBorders>
                  <w:noWrap w:val="0"/>
                  <w:vAlign w:val="center"/>
                </w:tcPr>
                <w:p w14:paraId="475B863E">
                  <w:pPr>
                    <w:spacing w:line="20" w:lineRule="atLeas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产生量</w:t>
                  </w:r>
                </w:p>
              </w:tc>
              <w:tc>
                <w:tcPr>
                  <w:tcW w:w="1952" w:type="pct"/>
                  <w:tcBorders>
                    <w:tl2br w:val="nil"/>
                    <w:tr2bl w:val="nil"/>
                  </w:tcBorders>
                  <w:noWrap w:val="0"/>
                  <w:vAlign w:val="center"/>
                </w:tcPr>
                <w:p w14:paraId="5882A1EA">
                  <w:pPr>
                    <w:spacing w:line="20" w:lineRule="atLeas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拟采取的处理处置方式</w:t>
                  </w:r>
                </w:p>
              </w:tc>
            </w:tr>
            <w:tr w14:paraId="31E25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07" w:type="pct"/>
                  <w:tcBorders>
                    <w:tl2br w:val="nil"/>
                    <w:tr2bl w:val="nil"/>
                  </w:tcBorders>
                  <w:noWrap w:val="0"/>
                  <w:vAlign w:val="center"/>
                </w:tcPr>
                <w:p w14:paraId="646F905B">
                  <w:pPr>
                    <w:spacing w:line="2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268" w:type="pct"/>
                  <w:tcBorders>
                    <w:tl2br w:val="nil"/>
                    <w:tr2bl w:val="nil"/>
                  </w:tcBorders>
                  <w:noWrap w:val="0"/>
                  <w:vAlign w:val="center"/>
                </w:tcPr>
                <w:p w14:paraId="19BCCAB7">
                  <w:pPr>
                    <w:spacing w:line="2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w:t>
                  </w:r>
                </w:p>
              </w:tc>
              <w:tc>
                <w:tcPr>
                  <w:tcW w:w="620" w:type="pct"/>
                  <w:vMerge w:val="restart"/>
                  <w:tcBorders>
                    <w:tl2br w:val="nil"/>
                    <w:tr2bl w:val="nil"/>
                  </w:tcBorders>
                  <w:noWrap w:val="0"/>
                  <w:vAlign w:val="center"/>
                </w:tcPr>
                <w:p w14:paraId="614B9489">
                  <w:pPr>
                    <w:spacing w:line="2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一般固体废物</w:t>
                  </w:r>
                </w:p>
              </w:tc>
              <w:tc>
                <w:tcPr>
                  <w:tcW w:w="751" w:type="pct"/>
                  <w:tcBorders>
                    <w:tl2br w:val="nil"/>
                    <w:tr2bl w:val="nil"/>
                  </w:tcBorders>
                  <w:noWrap w:val="0"/>
                  <w:vAlign w:val="center"/>
                </w:tcPr>
                <w:p w14:paraId="7F18AC21">
                  <w:pPr>
                    <w:spacing w:line="2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3t/a</w:t>
                  </w:r>
                </w:p>
              </w:tc>
              <w:tc>
                <w:tcPr>
                  <w:tcW w:w="1952" w:type="pct"/>
                  <w:tcBorders>
                    <w:tl2br w:val="nil"/>
                    <w:tr2bl w:val="nil"/>
                  </w:tcBorders>
                  <w:noWrap w:val="0"/>
                  <w:vAlign w:val="center"/>
                </w:tcPr>
                <w:p w14:paraId="3B86ACCC">
                  <w:pPr>
                    <w:spacing w:line="2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环卫部门清运</w:t>
                  </w:r>
                </w:p>
              </w:tc>
            </w:tr>
            <w:tr w14:paraId="2B62C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07" w:type="pct"/>
                  <w:tcBorders>
                    <w:tl2br w:val="nil"/>
                    <w:tr2bl w:val="nil"/>
                  </w:tcBorders>
                  <w:noWrap w:val="0"/>
                  <w:vAlign w:val="center"/>
                </w:tcPr>
                <w:p w14:paraId="37172CF8">
                  <w:pPr>
                    <w:spacing w:line="2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268" w:type="pct"/>
                  <w:tcBorders>
                    <w:tl2br w:val="nil"/>
                    <w:tr2bl w:val="nil"/>
                  </w:tcBorders>
                  <w:noWrap w:val="0"/>
                  <w:vAlign w:val="center"/>
                </w:tcPr>
                <w:p w14:paraId="476C3A37">
                  <w:pPr>
                    <w:pStyle w:val="78"/>
                    <w:spacing w:line="20" w:lineRule="atLeas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lang w:val="en-US" w:eastAsia="zh-CN"/>
                    </w:rPr>
                    <w:t>各菌种废包装袋</w:t>
                  </w:r>
                </w:p>
              </w:tc>
              <w:tc>
                <w:tcPr>
                  <w:tcW w:w="620" w:type="pct"/>
                  <w:vMerge w:val="continue"/>
                  <w:tcBorders>
                    <w:tl2br w:val="nil"/>
                    <w:tr2bl w:val="nil"/>
                  </w:tcBorders>
                  <w:noWrap w:val="0"/>
                  <w:vAlign w:val="center"/>
                </w:tcPr>
                <w:p w14:paraId="1AAAB051">
                  <w:pPr>
                    <w:spacing w:line="20" w:lineRule="atLeast"/>
                    <w:jc w:val="center"/>
                    <w:rPr>
                      <w:rFonts w:hint="default" w:ascii="Times New Roman" w:hAnsi="Times New Roman" w:cs="Times New Roman"/>
                      <w:color w:val="auto"/>
                      <w:szCs w:val="21"/>
                      <w:highlight w:val="none"/>
                    </w:rPr>
                  </w:pPr>
                </w:p>
              </w:tc>
              <w:tc>
                <w:tcPr>
                  <w:tcW w:w="751" w:type="pct"/>
                  <w:tcBorders>
                    <w:tl2br w:val="nil"/>
                    <w:tr2bl w:val="nil"/>
                  </w:tcBorders>
                  <w:noWrap w:val="0"/>
                  <w:vAlign w:val="center"/>
                </w:tcPr>
                <w:p w14:paraId="24C2ED58">
                  <w:pPr>
                    <w:pStyle w:val="60"/>
                    <w:spacing w:line="2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3kg/a</w:t>
                  </w:r>
                </w:p>
              </w:tc>
              <w:tc>
                <w:tcPr>
                  <w:tcW w:w="1952" w:type="pct"/>
                  <w:tcBorders>
                    <w:tl2br w:val="nil"/>
                    <w:tr2bl w:val="nil"/>
                  </w:tcBorders>
                  <w:noWrap w:val="0"/>
                  <w:vAlign w:val="center"/>
                </w:tcPr>
                <w:p w14:paraId="6CA2F3A0">
                  <w:pPr>
                    <w:spacing w:line="20" w:lineRule="atLeast"/>
                    <w:jc w:val="center"/>
                    <w:rPr>
                      <w:rFonts w:hint="default" w:cs="Times New Roman"/>
                      <w:color w:val="auto"/>
                      <w:szCs w:val="21"/>
                      <w:highlight w:val="none"/>
                      <w:lang w:val="en-US" w:eastAsia="zh-CN"/>
                    </w:rPr>
                  </w:pPr>
                  <w:r>
                    <w:rPr>
                      <w:rFonts w:hint="default" w:ascii="Times New Roman" w:hAnsi="Times New Roman" w:cs="Times New Roman"/>
                      <w:color w:val="auto"/>
                      <w:szCs w:val="21"/>
                      <w:highlight w:val="none"/>
                    </w:rPr>
                    <w:t>收集</w:t>
                  </w:r>
                  <w:r>
                    <w:rPr>
                      <w:rFonts w:hint="default" w:ascii="Times New Roman" w:hAnsi="Times New Roman" w:cs="Times New Roman"/>
                      <w:color w:val="auto"/>
                      <w:szCs w:val="21"/>
                      <w:highlight w:val="none"/>
                      <w:lang w:val="en-US" w:eastAsia="zh-CN"/>
                    </w:rPr>
                    <w:t>至一般固废间</w:t>
                  </w:r>
                  <w:r>
                    <w:rPr>
                      <w:rFonts w:hint="default" w:ascii="Times New Roman" w:hAnsi="Times New Roman" w:cs="Times New Roman"/>
                      <w:color w:val="auto"/>
                      <w:szCs w:val="21"/>
                      <w:highlight w:val="none"/>
                    </w:rPr>
                    <w:t>后</w:t>
                  </w:r>
                  <w:r>
                    <w:rPr>
                      <w:rFonts w:hint="eastAsia" w:cs="Times New Roman"/>
                      <w:color w:val="auto"/>
                      <w:szCs w:val="21"/>
                      <w:highlight w:val="none"/>
                      <w:lang w:val="en-US" w:eastAsia="zh-CN"/>
                    </w:rPr>
                    <w:t>环卫部门处理</w:t>
                  </w:r>
                </w:p>
              </w:tc>
            </w:tr>
            <w:tr w14:paraId="76A92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0" w:hRule="atLeast"/>
              </w:trPr>
              <w:tc>
                <w:tcPr>
                  <w:tcW w:w="407" w:type="pct"/>
                  <w:tcBorders>
                    <w:tl2br w:val="nil"/>
                    <w:tr2bl w:val="nil"/>
                  </w:tcBorders>
                  <w:noWrap w:val="0"/>
                  <w:vAlign w:val="center"/>
                </w:tcPr>
                <w:p w14:paraId="0C82E8E0">
                  <w:pPr>
                    <w:spacing w:line="2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268" w:type="pct"/>
                  <w:tcBorders>
                    <w:tl2br w:val="nil"/>
                    <w:tr2bl w:val="nil"/>
                  </w:tcBorders>
                  <w:noWrap w:val="0"/>
                  <w:vAlign w:val="center"/>
                </w:tcPr>
                <w:p w14:paraId="4F4C7331">
                  <w:pPr>
                    <w:pStyle w:val="78"/>
                    <w:spacing w:line="20" w:lineRule="atLeast"/>
                    <w:rPr>
                      <w:rFonts w:hint="default" w:ascii="Times New Roman" w:hAnsi="Times New Roman" w:eastAsia="宋体" w:cs="Times New Roman"/>
                      <w:b w:val="0"/>
                      <w:color w:val="auto"/>
                      <w:sz w:val="21"/>
                      <w:highlight w:val="none"/>
                      <w:lang w:val="en-US" w:eastAsia="zh-CN"/>
                    </w:rPr>
                  </w:pPr>
                  <w:r>
                    <w:rPr>
                      <w:rFonts w:hint="eastAsia" w:cs="Times New Roman"/>
                      <w:b w:val="0"/>
                      <w:color w:val="auto"/>
                      <w:sz w:val="21"/>
                      <w:highlight w:val="none"/>
                      <w:lang w:val="en-US" w:eastAsia="zh-CN"/>
                    </w:rPr>
                    <w:t>生产车间粉尘</w:t>
                  </w:r>
                </w:p>
              </w:tc>
              <w:tc>
                <w:tcPr>
                  <w:tcW w:w="620" w:type="pct"/>
                  <w:vMerge w:val="continue"/>
                  <w:tcBorders>
                    <w:tl2br w:val="nil"/>
                    <w:tr2bl w:val="nil"/>
                  </w:tcBorders>
                  <w:noWrap w:val="0"/>
                  <w:vAlign w:val="center"/>
                </w:tcPr>
                <w:p w14:paraId="2F81D8A7">
                  <w:pPr>
                    <w:spacing w:line="20" w:lineRule="atLeast"/>
                    <w:jc w:val="center"/>
                    <w:rPr>
                      <w:rFonts w:hint="default" w:ascii="Times New Roman" w:hAnsi="Times New Roman" w:cs="Times New Roman"/>
                      <w:color w:val="auto"/>
                      <w:szCs w:val="21"/>
                      <w:highlight w:val="none"/>
                    </w:rPr>
                  </w:pPr>
                </w:p>
              </w:tc>
              <w:tc>
                <w:tcPr>
                  <w:tcW w:w="751" w:type="pct"/>
                  <w:tcBorders>
                    <w:tl2br w:val="nil"/>
                    <w:tr2bl w:val="nil"/>
                  </w:tcBorders>
                  <w:noWrap w:val="0"/>
                  <w:vAlign w:val="center"/>
                </w:tcPr>
                <w:p w14:paraId="79E2C574">
                  <w:pPr>
                    <w:pStyle w:val="60"/>
                    <w:spacing w:line="2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6.66t/a</w:t>
                  </w:r>
                </w:p>
              </w:tc>
              <w:tc>
                <w:tcPr>
                  <w:tcW w:w="1952" w:type="pct"/>
                  <w:tcBorders>
                    <w:tl2br w:val="nil"/>
                    <w:tr2bl w:val="nil"/>
                  </w:tcBorders>
                  <w:noWrap w:val="0"/>
                  <w:vAlign w:val="center"/>
                </w:tcPr>
                <w:p w14:paraId="220E10CD">
                  <w:pPr>
                    <w:spacing w:line="2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集中收集，回用生产</w:t>
                  </w:r>
                </w:p>
              </w:tc>
            </w:tr>
            <w:tr w14:paraId="23926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07" w:type="pct"/>
                  <w:tcBorders>
                    <w:tl2br w:val="nil"/>
                    <w:tr2bl w:val="nil"/>
                  </w:tcBorders>
                  <w:noWrap w:val="0"/>
                  <w:vAlign w:val="center"/>
                </w:tcPr>
                <w:p w14:paraId="6C562DB5">
                  <w:pPr>
                    <w:spacing w:line="2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c>
                <w:tcPr>
                  <w:tcW w:w="1268" w:type="pct"/>
                  <w:tcBorders>
                    <w:tl2br w:val="nil"/>
                    <w:tr2bl w:val="nil"/>
                  </w:tcBorders>
                  <w:noWrap w:val="0"/>
                  <w:vAlign w:val="center"/>
                </w:tcPr>
                <w:p w14:paraId="4DD6C0D6">
                  <w:pPr>
                    <w:pStyle w:val="78"/>
                    <w:spacing w:line="20" w:lineRule="atLeast"/>
                    <w:rPr>
                      <w:rFonts w:hint="default" w:cs="Times New Roman"/>
                      <w:b w:val="0"/>
                      <w:color w:val="auto"/>
                      <w:sz w:val="21"/>
                      <w:highlight w:val="none"/>
                      <w:lang w:val="en-US" w:eastAsia="zh-CN"/>
                    </w:rPr>
                  </w:pPr>
                  <w:r>
                    <w:rPr>
                      <w:rFonts w:hint="eastAsia" w:cs="Times New Roman"/>
                      <w:b w:val="0"/>
                      <w:color w:val="auto"/>
                      <w:sz w:val="21"/>
                      <w:highlight w:val="none"/>
                      <w:lang w:val="en-US" w:eastAsia="zh-CN"/>
                    </w:rPr>
                    <w:t>除尘灰</w:t>
                  </w:r>
                </w:p>
              </w:tc>
              <w:tc>
                <w:tcPr>
                  <w:tcW w:w="620" w:type="pct"/>
                  <w:vMerge w:val="continue"/>
                  <w:tcBorders>
                    <w:tl2br w:val="nil"/>
                    <w:tr2bl w:val="nil"/>
                  </w:tcBorders>
                  <w:noWrap w:val="0"/>
                  <w:vAlign w:val="center"/>
                </w:tcPr>
                <w:p w14:paraId="35D64F3E">
                  <w:pPr>
                    <w:spacing w:line="20" w:lineRule="atLeast"/>
                    <w:jc w:val="center"/>
                    <w:rPr>
                      <w:rFonts w:hint="default" w:ascii="Times New Roman" w:hAnsi="Times New Roman" w:cs="Times New Roman"/>
                      <w:color w:val="auto"/>
                      <w:szCs w:val="21"/>
                      <w:highlight w:val="none"/>
                    </w:rPr>
                  </w:pPr>
                </w:p>
              </w:tc>
              <w:tc>
                <w:tcPr>
                  <w:tcW w:w="751" w:type="pct"/>
                  <w:tcBorders>
                    <w:tl2br w:val="nil"/>
                    <w:tr2bl w:val="nil"/>
                  </w:tcBorders>
                  <w:noWrap w:val="0"/>
                  <w:vAlign w:val="center"/>
                </w:tcPr>
                <w:p w14:paraId="06D5619C">
                  <w:pPr>
                    <w:pStyle w:val="60"/>
                    <w:spacing w:line="2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88.8t/a</w:t>
                  </w:r>
                </w:p>
              </w:tc>
              <w:tc>
                <w:tcPr>
                  <w:tcW w:w="1952" w:type="pct"/>
                  <w:tcBorders>
                    <w:tl2br w:val="nil"/>
                    <w:tr2bl w:val="nil"/>
                  </w:tcBorders>
                  <w:noWrap w:val="0"/>
                  <w:vAlign w:val="center"/>
                </w:tcPr>
                <w:p w14:paraId="0788A84C">
                  <w:pPr>
                    <w:spacing w:line="2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集中收集，回用生产</w:t>
                  </w:r>
                </w:p>
              </w:tc>
            </w:tr>
            <w:tr w14:paraId="6EF65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07" w:type="pct"/>
                  <w:tcBorders>
                    <w:tl2br w:val="nil"/>
                    <w:tr2bl w:val="nil"/>
                  </w:tcBorders>
                  <w:noWrap w:val="0"/>
                  <w:vAlign w:val="center"/>
                </w:tcPr>
                <w:p w14:paraId="19588B72">
                  <w:pPr>
                    <w:spacing w:line="2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5</w:t>
                  </w:r>
                </w:p>
              </w:tc>
              <w:tc>
                <w:tcPr>
                  <w:tcW w:w="1268" w:type="pct"/>
                  <w:tcBorders>
                    <w:tl2br w:val="nil"/>
                    <w:tr2bl w:val="nil"/>
                  </w:tcBorders>
                  <w:noWrap w:val="0"/>
                  <w:vAlign w:val="center"/>
                </w:tcPr>
                <w:p w14:paraId="3B1419A3">
                  <w:pPr>
                    <w:pStyle w:val="78"/>
                    <w:spacing w:line="20" w:lineRule="atLeast"/>
                    <w:rPr>
                      <w:rFonts w:hint="eastAsia" w:cs="Times New Roman"/>
                      <w:b w:val="0"/>
                      <w:color w:val="auto"/>
                      <w:sz w:val="21"/>
                      <w:highlight w:val="none"/>
                      <w:lang w:val="en-US" w:eastAsia="zh-CN"/>
                    </w:rPr>
                  </w:pPr>
                  <w:r>
                    <w:rPr>
                      <w:rFonts w:hint="eastAsia" w:cs="Times New Roman"/>
                      <w:b w:val="0"/>
                      <w:color w:val="auto"/>
                      <w:sz w:val="21"/>
                      <w:highlight w:val="none"/>
                      <w:lang w:val="en-US" w:eastAsia="zh-CN"/>
                    </w:rPr>
                    <w:t>未检验的有机肥留样</w:t>
                  </w:r>
                </w:p>
              </w:tc>
              <w:tc>
                <w:tcPr>
                  <w:tcW w:w="620" w:type="pct"/>
                  <w:vMerge w:val="continue"/>
                  <w:tcBorders>
                    <w:tl2br w:val="nil"/>
                    <w:tr2bl w:val="nil"/>
                  </w:tcBorders>
                  <w:noWrap w:val="0"/>
                  <w:vAlign w:val="center"/>
                </w:tcPr>
                <w:p w14:paraId="4DABAA55">
                  <w:pPr>
                    <w:spacing w:line="20" w:lineRule="atLeast"/>
                    <w:jc w:val="center"/>
                    <w:rPr>
                      <w:rFonts w:hint="default" w:ascii="Times New Roman" w:hAnsi="Times New Roman" w:cs="Times New Roman"/>
                      <w:color w:val="auto"/>
                      <w:szCs w:val="21"/>
                      <w:highlight w:val="none"/>
                    </w:rPr>
                  </w:pPr>
                </w:p>
              </w:tc>
              <w:tc>
                <w:tcPr>
                  <w:tcW w:w="751" w:type="pct"/>
                  <w:tcBorders>
                    <w:tl2br w:val="nil"/>
                    <w:tr2bl w:val="nil"/>
                  </w:tcBorders>
                  <w:noWrap w:val="0"/>
                  <w:vAlign w:val="center"/>
                </w:tcPr>
                <w:p w14:paraId="0FC07FF3">
                  <w:pPr>
                    <w:pStyle w:val="60"/>
                    <w:spacing w:line="2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952" w:type="pct"/>
                  <w:tcBorders>
                    <w:tl2br w:val="nil"/>
                    <w:tr2bl w:val="nil"/>
                  </w:tcBorders>
                  <w:noWrap w:val="0"/>
                  <w:vAlign w:val="center"/>
                </w:tcPr>
                <w:p w14:paraId="7C671655">
                  <w:pPr>
                    <w:spacing w:line="2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定期返回生产车间重新利用</w:t>
                  </w:r>
                </w:p>
              </w:tc>
            </w:tr>
            <w:tr w14:paraId="5D434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07" w:type="pct"/>
                  <w:tcBorders>
                    <w:tl2br w:val="nil"/>
                    <w:tr2bl w:val="nil"/>
                  </w:tcBorders>
                  <w:noWrap w:val="0"/>
                  <w:vAlign w:val="center"/>
                </w:tcPr>
                <w:p w14:paraId="1E9345A1">
                  <w:pPr>
                    <w:spacing w:line="2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6</w:t>
                  </w:r>
                </w:p>
              </w:tc>
              <w:tc>
                <w:tcPr>
                  <w:tcW w:w="1268" w:type="pct"/>
                  <w:tcBorders>
                    <w:tl2br w:val="nil"/>
                    <w:tr2bl w:val="nil"/>
                  </w:tcBorders>
                  <w:noWrap w:val="0"/>
                  <w:vAlign w:val="center"/>
                </w:tcPr>
                <w:p w14:paraId="0853D2E9">
                  <w:pPr>
                    <w:pStyle w:val="78"/>
                    <w:spacing w:line="20" w:lineRule="atLeast"/>
                    <w:rPr>
                      <w:rFonts w:hint="eastAsia" w:cs="Times New Roman"/>
                      <w:b w:val="0"/>
                      <w:color w:val="auto"/>
                      <w:sz w:val="21"/>
                      <w:highlight w:val="none"/>
                      <w:lang w:val="en-US" w:eastAsia="zh-CN"/>
                    </w:rPr>
                  </w:pPr>
                  <w:r>
                    <w:rPr>
                      <w:rFonts w:hint="eastAsia" w:cs="Times New Roman"/>
                      <w:b w:val="0"/>
                      <w:color w:val="auto"/>
                      <w:sz w:val="21"/>
                      <w:highlight w:val="none"/>
                      <w:lang w:val="en-US" w:eastAsia="zh-CN"/>
                    </w:rPr>
                    <w:t>检验室一般固体废物</w:t>
                  </w:r>
                </w:p>
              </w:tc>
              <w:tc>
                <w:tcPr>
                  <w:tcW w:w="620" w:type="pct"/>
                  <w:vMerge w:val="continue"/>
                  <w:tcBorders>
                    <w:tl2br w:val="nil"/>
                    <w:tr2bl w:val="nil"/>
                  </w:tcBorders>
                  <w:noWrap w:val="0"/>
                  <w:vAlign w:val="center"/>
                </w:tcPr>
                <w:p w14:paraId="2314A6E5">
                  <w:pPr>
                    <w:spacing w:line="20" w:lineRule="atLeast"/>
                    <w:jc w:val="center"/>
                    <w:rPr>
                      <w:rFonts w:hint="default" w:ascii="Times New Roman" w:hAnsi="Times New Roman" w:cs="Times New Roman"/>
                      <w:color w:val="auto"/>
                      <w:szCs w:val="21"/>
                      <w:highlight w:val="none"/>
                    </w:rPr>
                  </w:pPr>
                </w:p>
              </w:tc>
              <w:tc>
                <w:tcPr>
                  <w:tcW w:w="751" w:type="pct"/>
                  <w:tcBorders>
                    <w:tl2br w:val="nil"/>
                    <w:tr2bl w:val="nil"/>
                  </w:tcBorders>
                  <w:noWrap w:val="0"/>
                  <w:vAlign w:val="center"/>
                </w:tcPr>
                <w:p w14:paraId="70B7C82E">
                  <w:pPr>
                    <w:pStyle w:val="60"/>
                    <w:spacing w:line="2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952" w:type="pct"/>
                  <w:tcBorders>
                    <w:tl2br w:val="nil"/>
                    <w:tr2bl w:val="nil"/>
                  </w:tcBorders>
                  <w:noWrap w:val="0"/>
                  <w:vAlign w:val="center"/>
                </w:tcPr>
                <w:p w14:paraId="4006DC30">
                  <w:pPr>
                    <w:spacing w:line="2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分类收集至一般固废间后环卫部门处理</w:t>
                  </w:r>
                </w:p>
              </w:tc>
            </w:tr>
            <w:tr w14:paraId="477427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0" w:hRule="atLeast"/>
              </w:trPr>
              <w:tc>
                <w:tcPr>
                  <w:tcW w:w="407" w:type="pct"/>
                  <w:tcBorders>
                    <w:tl2br w:val="nil"/>
                    <w:tr2bl w:val="nil"/>
                  </w:tcBorders>
                  <w:noWrap w:val="0"/>
                  <w:vAlign w:val="center"/>
                </w:tcPr>
                <w:p w14:paraId="3C99A936">
                  <w:pPr>
                    <w:spacing w:line="2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7</w:t>
                  </w:r>
                </w:p>
              </w:tc>
              <w:tc>
                <w:tcPr>
                  <w:tcW w:w="1268" w:type="pct"/>
                  <w:tcBorders>
                    <w:tl2br w:val="nil"/>
                    <w:tr2bl w:val="nil"/>
                  </w:tcBorders>
                  <w:noWrap w:val="0"/>
                  <w:vAlign w:val="center"/>
                </w:tcPr>
                <w:p w14:paraId="70198DED">
                  <w:pPr>
                    <w:pStyle w:val="78"/>
                    <w:spacing w:line="20" w:lineRule="atLeast"/>
                    <w:rPr>
                      <w:rFonts w:hint="default" w:cs="Times New Roman"/>
                      <w:b w:val="0"/>
                      <w:color w:val="auto"/>
                      <w:sz w:val="21"/>
                      <w:highlight w:val="none"/>
                      <w:lang w:val="en-US" w:eastAsia="zh-CN"/>
                    </w:rPr>
                  </w:pPr>
                  <w:r>
                    <w:rPr>
                      <w:rFonts w:hint="eastAsia" w:cs="Times New Roman"/>
                      <w:b w:val="0"/>
                      <w:color w:val="auto"/>
                      <w:sz w:val="21"/>
                      <w:highlight w:val="none"/>
                      <w:lang w:val="en-US" w:eastAsia="zh-CN"/>
                    </w:rPr>
                    <w:t>废润滑油、废润滑油桶</w:t>
                  </w:r>
                </w:p>
              </w:tc>
              <w:tc>
                <w:tcPr>
                  <w:tcW w:w="620" w:type="pct"/>
                  <w:vMerge w:val="restart"/>
                  <w:tcBorders>
                    <w:tl2br w:val="nil"/>
                    <w:tr2bl w:val="nil"/>
                  </w:tcBorders>
                  <w:noWrap w:val="0"/>
                  <w:vAlign w:val="center"/>
                </w:tcPr>
                <w:p w14:paraId="2C398B94">
                  <w:pPr>
                    <w:spacing w:line="2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危险废物</w:t>
                  </w:r>
                </w:p>
              </w:tc>
              <w:tc>
                <w:tcPr>
                  <w:tcW w:w="751" w:type="pct"/>
                  <w:tcBorders>
                    <w:tl2br w:val="nil"/>
                    <w:tr2bl w:val="nil"/>
                  </w:tcBorders>
                  <w:noWrap w:val="0"/>
                  <w:vAlign w:val="center"/>
                </w:tcPr>
                <w:p w14:paraId="103634D1">
                  <w:pPr>
                    <w:pStyle w:val="60"/>
                    <w:spacing w:line="2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0.4t/a</w:t>
                  </w:r>
                </w:p>
              </w:tc>
              <w:tc>
                <w:tcPr>
                  <w:tcW w:w="1952" w:type="pct"/>
                  <w:tcBorders>
                    <w:tl2br w:val="nil"/>
                    <w:tr2bl w:val="nil"/>
                  </w:tcBorders>
                  <w:noWrap w:val="0"/>
                  <w:vAlign w:val="center"/>
                </w:tcPr>
                <w:p w14:paraId="05911DCB">
                  <w:pPr>
                    <w:spacing w:line="20" w:lineRule="atLeast"/>
                    <w:jc w:val="center"/>
                    <w:rPr>
                      <w:rFonts w:hint="default" w:ascii="Times New Roman" w:hAnsi="Times New Roman" w:cs="Times New Roman"/>
                      <w:color w:val="auto"/>
                      <w:szCs w:val="21"/>
                      <w:highlight w:val="none"/>
                    </w:rPr>
                  </w:pPr>
                  <w:r>
                    <w:rPr>
                      <w:rFonts w:hint="eastAsia" w:ascii="Times New Roman" w:hAnsi="Times New Roman" w:cs="Times New Roman"/>
                      <w:color w:val="auto"/>
                      <w:kern w:val="0"/>
                      <w:sz w:val="21"/>
                      <w:szCs w:val="21"/>
                      <w:highlight w:val="none"/>
                      <w:vertAlign w:val="baseline"/>
                      <w:lang w:val="en-US" w:eastAsia="zh-CN" w:bidi="ar-SA"/>
                    </w:rPr>
                    <w:t>桶装暂存至危废间</w:t>
                  </w:r>
                  <w:r>
                    <w:rPr>
                      <w:rFonts w:hint="eastAsia" w:cs="Times New Roman"/>
                      <w:color w:val="auto"/>
                      <w:kern w:val="0"/>
                      <w:sz w:val="21"/>
                      <w:szCs w:val="21"/>
                      <w:highlight w:val="none"/>
                      <w:vertAlign w:val="baseline"/>
                      <w:lang w:val="en-US" w:eastAsia="zh-CN" w:bidi="ar-SA"/>
                    </w:rPr>
                    <w:t>定期委托有资质单位规范转运处置</w:t>
                  </w:r>
                </w:p>
              </w:tc>
            </w:tr>
            <w:tr w14:paraId="0BB27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07" w:type="pct"/>
                  <w:tcBorders>
                    <w:tl2br w:val="nil"/>
                    <w:tr2bl w:val="nil"/>
                  </w:tcBorders>
                  <w:noWrap w:val="0"/>
                  <w:vAlign w:val="center"/>
                </w:tcPr>
                <w:p w14:paraId="72BA6D19">
                  <w:pPr>
                    <w:spacing w:line="2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8</w:t>
                  </w:r>
                </w:p>
              </w:tc>
              <w:tc>
                <w:tcPr>
                  <w:tcW w:w="1268" w:type="pct"/>
                  <w:tcBorders>
                    <w:tl2br w:val="nil"/>
                    <w:tr2bl w:val="nil"/>
                  </w:tcBorders>
                  <w:noWrap w:val="0"/>
                  <w:vAlign w:val="center"/>
                </w:tcPr>
                <w:p w14:paraId="1A0247AA">
                  <w:pPr>
                    <w:pStyle w:val="78"/>
                    <w:spacing w:line="20" w:lineRule="atLeast"/>
                    <w:rPr>
                      <w:rFonts w:hint="default" w:cs="Times New Roman"/>
                      <w:b w:val="0"/>
                      <w:color w:val="auto"/>
                      <w:sz w:val="21"/>
                      <w:highlight w:val="none"/>
                      <w:lang w:val="en-US" w:eastAsia="zh-CN"/>
                    </w:rPr>
                  </w:pPr>
                  <w:r>
                    <w:rPr>
                      <w:rFonts w:hint="eastAsia" w:cs="Times New Roman"/>
                      <w:b w:val="0"/>
                      <w:color w:val="auto"/>
                      <w:sz w:val="21"/>
                      <w:highlight w:val="none"/>
                      <w:lang w:val="en-US" w:eastAsia="zh-CN"/>
                    </w:rPr>
                    <w:t>检验室危险废物</w:t>
                  </w:r>
                </w:p>
              </w:tc>
              <w:tc>
                <w:tcPr>
                  <w:tcW w:w="620" w:type="pct"/>
                  <w:vMerge w:val="continue"/>
                  <w:tcBorders>
                    <w:tl2br w:val="nil"/>
                    <w:tr2bl w:val="nil"/>
                  </w:tcBorders>
                  <w:noWrap w:val="0"/>
                  <w:vAlign w:val="center"/>
                </w:tcPr>
                <w:p w14:paraId="66A8358F">
                  <w:pPr>
                    <w:spacing w:line="20" w:lineRule="atLeast"/>
                    <w:jc w:val="center"/>
                    <w:rPr>
                      <w:rFonts w:hint="eastAsia" w:cs="Times New Roman"/>
                      <w:color w:val="auto"/>
                      <w:szCs w:val="21"/>
                      <w:highlight w:val="none"/>
                      <w:lang w:val="en-US" w:eastAsia="zh-CN"/>
                    </w:rPr>
                  </w:pPr>
                </w:p>
              </w:tc>
              <w:tc>
                <w:tcPr>
                  <w:tcW w:w="751" w:type="pct"/>
                  <w:tcBorders>
                    <w:tl2br w:val="nil"/>
                    <w:tr2bl w:val="nil"/>
                  </w:tcBorders>
                  <w:noWrap w:val="0"/>
                  <w:vAlign w:val="center"/>
                </w:tcPr>
                <w:p w14:paraId="2C3A60F7">
                  <w:pPr>
                    <w:pStyle w:val="60"/>
                    <w:spacing w:line="2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952" w:type="pct"/>
                  <w:tcBorders>
                    <w:tl2br w:val="nil"/>
                    <w:tr2bl w:val="nil"/>
                  </w:tcBorders>
                  <w:noWrap w:val="0"/>
                  <w:vAlign w:val="center"/>
                </w:tcPr>
                <w:p w14:paraId="1B6BF830">
                  <w:pPr>
                    <w:spacing w:line="20" w:lineRule="atLeast"/>
                    <w:jc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分类收集、专用容器密闭贮存至危废间，建立危废台账，定期委托有资质单位规范转运处置</w:t>
                  </w:r>
                </w:p>
              </w:tc>
            </w:tr>
          </w:tbl>
          <w:p w14:paraId="1D47EAFA">
            <w:pPr>
              <w:keepNext w:val="0"/>
              <w:keepLines w:val="0"/>
              <w:pageBreakBefore w:val="0"/>
              <w:kinsoku/>
              <w:overflowPunct/>
              <w:topLinePunct w:val="0"/>
              <w:autoSpaceDE/>
              <w:autoSpaceDN/>
              <w:bidi w:val="0"/>
              <w:spacing w:line="440" w:lineRule="exact"/>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综上所述，在采取上述预防措施和办法后，本项目所产生的一般工业固体废物</w:t>
            </w:r>
            <w:r>
              <w:rPr>
                <w:rFonts w:hint="eastAsia" w:cs="Times New Roman"/>
                <w:bCs/>
                <w:color w:val="auto"/>
                <w:sz w:val="24"/>
                <w:highlight w:val="none"/>
                <w:lang w:eastAsia="zh-CN"/>
              </w:rPr>
              <w:t>、</w:t>
            </w:r>
            <w:r>
              <w:rPr>
                <w:rFonts w:hint="eastAsia" w:cs="Times New Roman"/>
                <w:bCs/>
                <w:color w:val="auto"/>
                <w:sz w:val="24"/>
                <w:highlight w:val="none"/>
                <w:lang w:val="en-US" w:eastAsia="zh-CN"/>
              </w:rPr>
              <w:t>危险废物</w:t>
            </w:r>
            <w:r>
              <w:rPr>
                <w:rFonts w:hint="default" w:ascii="Times New Roman" w:hAnsi="Times New Roman" w:cs="Times New Roman"/>
                <w:bCs/>
                <w:color w:val="auto"/>
                <w:sz w:val="24"/>
                <w:highlight w:val="none"/>
              </w:rPr>
              <w:t>和生活垃圾均得到了合理有效的处理和处置，实现了固体废物</w:t>
            </w:r>
            <w:r>
              <w:rPr>
                <w:rFonts w:hint="eastAsia" w:cs="Times New Roman"/>
                <w:bCs/>
                <w:color w:val="auto"/>
                <w:sz w:val="24"/>
                <w:highlight w:val="none"/>
                <w:lang w:eastAsia="zh-CN"/>
              </w:rPr>
              <w:t>“</w:t>
            </w:r>
            <w:r>
              <w:rPr>
                <w:rFonts w:hint="default" w:ascii="Times New Roman" w:hAnsi="Times New Roman" w:cs="Times New Roman"/>
                <w:bCs/>
                <w:color w:val="auto"/>
                <w:sz w:val="24"/>
                <w:highlight w:val="none"/>
              </w:rPr>
              <w:t>资源化、无害化、减量化</w:t>
            </w:r>
            <w:r>
              <w:rPr>
                <w:rFonts w:hint="eastAsia" w:cs="Times New Roman"/>
                <w:bCs/>
                <w:color w:val="auto"/>
                <w:sz w:val="24"/>
                <w:highlight w:val="none"/>
                <w:lang w:eastAsia="zh-CN"/>
              </w:rPr>
              <w:t>”</w:t>
            </w:r>
            <w:r>
              <w:rPr>
                <w:rFonts w:hint="default" w:ascii="Times New Roman" w:hAnsi="Times New Roman" w:cs="Times New Roman"/>
                <w:bCs/>
                <w:color w:val="auto"/>
                <w:sz w:val="24"/>
                <w:highlight w:val="none"/>
              </w:rPr>
              <w:t>，不直接向外环境排放，对外环境不会造成不良影响。因此，项目运营期固废治理措施合理可行。</w:t>
            </w:r>
          </w:p>
          <w:p w14:paraId="28501CC4">
            <w:pPr>
              <w:keepNext w:val="0"/>
              <w:keepLines w:val="0"/>
              <w:pageBreakBefore w:val="0"/>
              <w:kinsoku/>
              <w:overflowPunct/>
              <w:topLinePunct w:val="0"/>
              <w:autoSpaceDE/>
              <w:autoSpaceDN/>
              <w:bidi w:val="0"/>
              <w:spacing w:line="440" w:lineRule="exact"/>
              <w:textAlignment w:val="auto"/>
              <w:outlineLvl w:val="1"/>
              <w:rPr>
                <w:rFonts w:hint="default" w:ascii="Times New Roman" w:hAnsi="Times New Roman" w:cs="Times New Roman"/>
                <w:b/>
                <w:bCs/>
                <w:color w:val="auto"/>
                <w:sz w:val="24"/>
                <w:szCs w:val="32"/>
                <w:highlight w:val="none"/>
              </w:rPr>
            </w:pPr>
            <w:r>
              <w:rPr>
                <w:rFonts w:hint="default" w:ascii="Times New Roman" w:hAnsi="Times New Roman" w:cs="Times New Roman"/>
                <w:b/>
                <w:color w:val="auto"/>
                <w:sz w:val="24"/>
                <w:szCs w:val="32"/>
                <w:highlight w:val="none"/>
              </w:rPr>
              <w:t>5</w:t>
            </w:r>
            <w:r>
              <w:rPr>
                <w:rFonts w:hint="eastAsia" w:cs="Times New Roman"/>
                <w:b/>
                <w:color w:val="auto"/>
                <w:sz w:val="24"/>
                <w:szCs w:val="32"/>
                <w:highlight w:val="none"/>
                <w:lang w:eastAsia="zh-CN"/>
              </w:rPr>
              <w:t>、</w:t>
            </w:r>
            <w:r>
              <w:rPr>
                <w:rFonts w:hint="default" w:ascii="Times New Roman" w:hAnsi="Times New Roman" w:cs="Times New Roman"/>
                <w:b/>
                <w:bCs/>
                <w:color w:val="auto"/>
                <w:sz w:val="24"/>
                <w:szCs w:val="32"/>
                <w:highlight w:val="none"/>
              </w:rPr>
              <w:t>地下水、土壤污染防治措施</w:t>
            </w:r>
          </w:p>
          <w:p w14:paraId="325D9051">
            <w:pPr>
              <w:pStyle w:val="77"/>
              <w:keepNext w:val="0"/>
              <w:keepLines w:val="0"/>
              <w:pageBreakBefore w:val="0"/>
              <w:kinsoku/>
              <w:overflowPunct/>
              <w:topLinePunct w:val="0"/>
              <w:autoSpaceDE/>
              <w:autoSpaceDN/>
              <w:bidi w:val="0"/>
              <w:spacing w:before="0" w:beforeAutospacing="0" w:after="0" w:afterAutospacing="0"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原辅料中不含重金属等有毒有害物质，另外，有机肥发酵无害化处理后作为农家有机肥保持和提高土壤肥力的效果上远远超过化肥，其中含有大量腐殖质，可改良土壤并提高产量；能提高土壤水分、温度、空气和肥效，适时满足作物生长发育的需要。且</w:t>
            </w:r>
            <w:r>
              <w:rPr>
                <w:rFonts w:hint="eastAsia"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lang w:val="en-US" w:eastAsia="zh-CN"/>
              </w:rPr>
              <w:t>危废间地面及裙角进行防渗处理，地面防渗措施为在混凝土上铺设复合土工膜+水泥砂浆抹灰及环氧树脂耐油防腐地坪，渗透系数≤ 10</w:t>
            </w:r>
            <w:r>
              <w:rPr>
                <w:rFonts w:hint="default" w:ascii="Times New Roman" w:hAnsi="Times New Roman" w:cs="Times New Roman"/>
                <w:color w:val="auto"/>
                <w:sz w:val="24"/>
                <w:szCs w:val="24"/>
                <w:highlight w:val="none"/>
                <w:vertAlign w:val="superscript"/>
                <w:lang w:val="en-US" w:eastAsia="zh-CN"/>
              </w:rPr>
              <w:t>-10</w:t>
            </w:r>
            <w:r>
              <w:rPr>
                <w:rFonts w:hint="default" w:ascii="Times New Roman" w:hAnsi="Times New Roman" w:cs="Times New Roman"/>
                <w:color w:val="auto"/>
                <w:sz w:val="24"/>
                <w:szCs w:val="24"/>
                <w:highlight w:val="none"/>
                <w:lang w:val="en-US" w:eastAsia="zh-CN"/>
              </w:rPr>
              <w:t>cm/s并设置收集池、导流槽等设施</w:t>
            </w:r>
            <w:r>
              <w:rPr>
                <w:rFonts w:hint="eastAsia" w:ascii="Times New Roman" w:hAnsi="Times New Roman" w:cs="Times New Roman"/>
                <w:color w:val="auto"/>
                <w:sz w:val="24"/>
                <w:szCs w:val="24"/>
                <w:highlight w:val="none"/>
                <w:lang w:val="en-US" w:eastAsia="zh-CN"/>
              </w:rPr>
              <w:t>；生产车间</w:t>
            </w:r>
            <w:r>
              <w:rPr>
                <w:rFonts w:hint="default" w:ascii="Times New Roman" w:hAnsi="Times New Roman" w:cs="Times New Roman"/>
                <w:color w:val="auto"/>
                <w:sz w:val="24"/>
                <w:szCs w:val="24"/>
                <w:highlight w:val="none"/>
                <w:lang w:val="en-US" w:eastAsia="zh-CN"/>
              </w:rPr>
              <w:t>、纳米膜发酵车间、一般固废间地面采用C30防渗混凝土+2mmHDPE膜，厚度≥150mm，防渗等级K≤10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cm/s；原料储存库地面采用素混凝土+防渗层；办公管理区地面采用瓷砖/防滑地面</w:t>
            </w:r>
            <w:r>
              <w:rPr>
                <w:rFonts w:hint="default" w:ascii="Times New Roman" w:hAnsi="Times New Roman" w:cs="Times New Roman"/>
                <w:color w:val="auto"/>
                <w:sz w:val="24"/>
                <w:szCs w:val="24"/>
                <w:highlight w:val="none"/>
              </w:rPr>
              <w:t>，本项目对土壤、地下水基本无影响。</w:t>
            </w:r>
          </w:p>
          <w:p w14:paraId="57EE70B6">
            <w:pPr>
              <w:pStyle w:val="77"/>
              <w:keepNext w:val="0"/>
              <w:keepLines w:val="0"/>
              <w:pageBreakBefore w:val="0"/>
              <w:kinsoku/>
              <w:overflowPunct/>
              <w:topLinePunct w:val="0"/>
              <w:autoSpaceDE/>
              <w:autoSpaceDN/>
              <w:bidi w:val="0"/>
              <w:spacing w:before="0" w:beforeAutospacing="0" w:after="0" w:afterAutospacing="0" w:line="440" w:lineRule="exact"/>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表4-12 项目防渗一览表</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845"/>
              <w:gridCol w:w="5170"/>
            </w:tblGrid>
            <w:tr w14:paraId="77EC1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24" w:type="dxa"/>
                  <w:tcBorders>
                    <w:tl2br w:val="nil"/>
                    <w:tr2bl w:val="nil"/>
                  </w:tcBorders>
                  <w:vAlign w:val="center"/>
                </w:tcPr>
                <w:p w14:paraId="5904DD8F">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b/>
                      <w:bCs/>
                      <w:color w:val="auto"/>
                      <w:spacing w:val="-2"/>
                      <w:sz w:val="21"/>
                      <w:szCs w:val="21"/>
                      <w:highlight w:val="none"/>
                      <w:lang w:val="en-US" w:eastAsia="zh-CN"/>
                    </w:rPr>
                  </w:pPr>
                  <w:r>
                    <w:rPr>
                      <w:rFonts w:hint="eastAsia" w:cs="Times New Roman"/>
                      <w:b/>
                      <w:bCs/>
                      <w:color w:val="auto"/>
                      <w:spacing w:val="-2"/>
                      <w:sz w:val="21"/>
                      <w:szCs w:val="21"/>
                      <w:highlight w:val="none"/>
                      <w:lang w:val="en-US" w:eastAsia="zh-CN"/>
                    </w:rPr>
                    <w:t>防渗区</w:t>
                  </w:r>
                </w:p>
              </w:tc>
              <w:tc>
                <w:tcPr>
                  <w:tcW w:w="1845" w:type="dxa"/>
                  <w:tcBorders>
                    <w:tl2br w:val="nil"/>
                    <w:tr2bl w:val="nil"/>
                  </w:tcBorders>
                  <w:vAlign w:val="center"/>
                </w:tcPr>
                <w:p w14:paraId="24525BF4">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b/>
                      <w:bCs/>
                      <w:color w:val="auto"/>
                      <w:spacing w:val="-2"/>
                      <w:sz w:val="21"/>
                      <w:szCs w:val="21"/>
                      <w:highlight w:val="none"/>
                      <w:lang w:val="en-US" w:eastAsia="zh-CN"/>
                    </w:rPr>
                  </w:pPr>
                  <w:r>
                    <w:rPr>
                      <w:rFonts w:hint="eastAsia" w:cs="Times New Roman"/>
                      <w:b/>
                      <w:bCs/>
                      <w:color w:val="auto"/>
                      <w:spacing w:val="-2"/>
                      <w:sz w:val="21"/>
                      <w:szCs w:val="21"/>
                      <w:highlight w:val="none"/>
                      <w:lang w:val="en-US" w:eastAsia="zh-CN"/>
                    </w:rPr>
                    <w:t>防渗车间</w:t>
                  </w:r>
                </w:p>
              </w:tc>
              <w:tc>
                <w:tcPr>
                  <w:tcW w:w="5170" w:type="dxa"/>
                  <w:tcBorders>
                    <w:tl2br w:val="nil"/>
                    <w:tr2bl w:val="nil"/>
                  </w:tcBorders>
                  <w:vAlign w:val="center"/>
                </w:tcPr>
                <w:p w14:paraId="2FDB33E1">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b/>
                      <w:bCs/>
                      <w:color w:val="auto"/>
                      <w:spacing w:val="-2"/>
                      <w:sz w:val="21"/>
                      <w:szCs w:val="21"/>
                      <w:highlight w:val="none"/>
                      <w:lang w:val="en-US" w:eastAsia="zh-CN"/>
                    </w:rPr>
                  </w:pPr>
                  <w:r>
                    <w:rPr>
                      <w:rFonts w:hint="eastAsia" w:cs="Times New Roman"/>
                      <w:b/>
                      <w:bCs/>
                      <w:color w:val="auto"/>
                      <w:spacing w:val="-2"/>
                      <w:sz w:val="21"/>
                      <w:szCs w:val="21"/>
                      <w:highlight w:val="none"/>
                      <w:lang w:val="en-US" w:eastAsia="zh-CN"/>
                    </w:rPr>
                    <w:t>防渗要求</w:t>
                  </w:r>
                </w:p>
              </w:tc>
            </w:tr>
            <w:tr w14:paraId="32DF9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324" w:type="dxa"/>
                  <w:tcBorders>
                    <w:tl2br w:val="nil"/>
                    <w:tr2bl w:val="nil"/>
                  </w:tcBorders>
                  <w:vAlign w:val="center"/>
                </w:tcPr>
                <w:p w14:paraId="756D74E3">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highlight w:val="none"/>
                      <w:vertAlign w:val="baseline"/>
                    </w:rPr>
                  </w:pPr>
                  <w:r>
                    <w:rPr>
                      <w:rFonts w:hint="eastAsia" w:cs="Times New Roman"/>
                      <w:color w:val="auto"/>
                      <w:spacing w:val="-2"/>
                      <w:sz w:val="21"/>
                      <w:szCs w:val="21"/>
                      <w:highlight w:val="none"/>
                      <w:lang w:val="en-US" w:eastAsia="zh-CN"/>
                    </w:rPr>
                    <w:t>重点防渗区</w:t>
                  </w:r>
                </w:p>
              </w:tc>
              <w:tc>
                <w:tcPr>
                  <w:tcW w:w="1845" w:type="dxa"/>
                  <w:tcBorders>
                    <w:tl2br w:val="nil"/>
                    <w:tr2bl w:val="nil"/>
                  </w:tcBorders>
                  <w:vAlign w:val="center"/>
                </w:tcPr>
                <w:p w14:paraId="690D1DC1">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highlight w:val="none"/>
                      <w:vertAlign w:val="baseline"/>
                    </w:rPr>
                  </w:pPr>
                  <w:r>
                    <w:rPr>
                      <w:rFonts w:hint="eastAsia" w:cs="Times New Roman"/>
                      <w:color w:val="auto"/>
                      <w:spacing w:val="-2"/>
                      <w:sz w:val="21"/>
                      <w:szCs w:val="21"/>
                      <w:highlight w:val="none"/>
                      <w:lang w:val="en-US" w:eastAsia="zh-CN"/>
                    </w:rPr>
                    <w:t>危废间</w:t>
                  </w:r>
                </w:p>
              </w:tc>
              <w:tc>
                <w:tcPr>
                  <w:tcW w:w="5170" w:type="dxa"/>
                  <w:tcBorders>
                    <w:tl2br w:val="nil"/>
                    <w:tr2bl w:val="nil"/>
                  </w:tcBorders>
                  <w:vAlign w:val="center"/>
                </w:tcPr>
                <w:p w14:paraId="5D4F74F8">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地面及裙角进行防渗处理，地面防渗措施为在混凝土上铺设复合土工膜+水泥砂浆抹灰及环氧树脂耐油防腐地坪，渗透系数≤ 10</w:t>
                  </w:r>
                  <w:r>
                    <w:rPr>
                      <w:rFonts w:hint="eastAsia" w:cs="Times New Roman"/>
                      <w:color w:val="auto"/>
                      <w:spacing w:val="-2"/>
                      <w:sz w:val="21"/>
                      <w:szCs w:val="21"/>
                      <w:highlight w:val="none"/>
                      <w:vertAlign w:val="superscript"/>
                      <w:lang w:val="en-US" w:eastAsia="zh-CN"/>
                    </w:rPr>
                    <w:t>-10</w:t>
                  </w:r>
                  <w:r>
                    <w:rPr>
                      <w:rFonts w:hint="eastAsia" w:cs="Times New Roman"/>
                      <w:color w:val="auto"/>
                      <w:spacing w:val="-2"/>
                      <w:sz w:val="21"/>
                      <w:szCs w:val="21"/>
                      <w:highlight w:val="none"/>
                      <w:lang w:val="en-US" w:eastAsia="zh-CN"/>
                    </w:rPr>
                    <w:t>cm/s并设置收集池、导流槽等设施</w:t>
                  </w:r>
                </w:p>
              </w:tc>
            </w:tr>
            <w:tr w14:paraId="6AD06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324" w:type="dxa"/>
                  <w:vMerge w:val="restart"/>
                  <w:tcBorders>
                    <w:tl2br w:val="nil"/>
                    <w:tr2bl w:val="nil"/>
                  </w:tcBorders>
                  <w:vAlign w:val="center"/>
                </w:tcPr>
                <w:p w14:paraId="32DD0A7E">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1"/>
                      <w:szCs w:val="21"/>
                      <w:highlight w:val="none"/>
                      <w:vertAlign w:val="baseline"/>
                      <w:lang w:val="en-US" w:eastAsia="zh-CN"/>
                    </w:rPr>
                    <w:t>一般防渗区</w:t>
                  </w:r>
                </w:p>
              </w:tc>
              <w:tc>
                <w:tcPr>
                  <w:tcW w:w="1845" w:type="dxa"/>
                  <w:tcBorders>
                    <w:tl2br w:val="nil"/>
                    <w:tr2bl w:val="nil"/>
                  </w:tcBorders>
                  <w:vAlign w:val="center"/>
                </w:tcPr>
                <w:p w14:paraId="664CC223">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highlight w:val="none"/>
                      <w:vertAlign w:val="baseline"/>
                    </w:rPr>
                  </w:pPr>
                  <w:r>
                    <w:rPr>
                      <w:rFonts w:hint="eastAsia" w:cs="Times New Roman"/>
                      <w:color w:val="auto"/>
                      <w:spacing w:val="-6"/>
                      <w:sz w:val="21"/>
                      <w:szCs w:val="21"/>
                      <w:highlight w:val="none"/>
                      <w:lang w:val="en-US" w:eastAsia="zh-CN" w:bidi="zh-CN"/>
                    </w:rPr>
                    <w:t>生产车间</w:t>
                  </w:r>
                </w:p>
              </w:tc>
              <w:tc>
                <w:tcPr>
                  <w:tcW w:w="5170" w:type="dxa"/>
                  <w:vMerge w:val="restart"/>
                  <w:tcBorders>
                    <w:tl2br w:val="nil"/>
                    <w:tr2bl w:val="nil"/>
                  </w:tcBorders>
                  <w:vAlign w:val="center"/>
                </w:tcPr>
                <w:p w14:paraId="70FD9179">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pacing w:val="-6"/>
                      <w:sz w:val="21"/>
                      <w:szCs w:val="21"/>
                      <w:highlight w:val="none"/>
                      <w:lang w:val="en-US" w:eastAsia="zh-CN" w:bidi="zh-CN"/>
                    </w:rPr>
                  </w:pPr>
                  <w:r>
                    <w:rPr>
                      <w:rFonts w:hint="eastAsia" w:cs="Times New Roman"/>
                      <w:color w:val="auto"/>
                      <w:spacing w:val="-6"/>
                      <w:sz w:val="21"/>
                      <w:szCs w:val="21"/>
                      <w:highlight w:val="none"/>
                      <w:lang w:val="en-US" w:eastAsia="zh-CN" w:bidi="zh-CN"/>
                    </w:rPr>
                    <w:t>地面采用</w:t>
                  </w:r>
                  <w:r>
                    <w:rPr>
                      <w:rFonts w:hint="default"/>
                      <w:color w:val="auto"/>
                      <w:highlight w:val="none"/>
                      <w:lang w:val="en-US" w:eastAsia="zh-CN"/>
                    </w:rPr>
                    <w:t>C30防渗混凝土+2mmHDPE膜，厚度≥150mm，防渗等级K≤10</w:t>
                  </w:r>
                  <w:r>
                    <w:rPr>
                      <w:rFonts w:hint="eastAsia"/>
                      <w:color w:val="auto"/>
                      <w:highlight w:val="none"/>
                      <w:vertAlign w:val="superscript"/>
                      <w:lang w:val="en-US" w:eastAsia="zh-CN"/>
                    </w:rPr>
                    <w:t>-7</w:t>
                  </w:r>
                  <w:r>
                    <w:rPr>
                      <w:rFonts w:hint="default"/>
                      <w:color w:val="auto"/>
                      <w:highlight w:val="none"/>
                      <w:lang w:val="en-US" w:eastAsia="zh-CN"/>
                    </w:rPr>
                    <w:t>cm/s</w:t>
                  </w:r>
                  <w:r>
                    <w:rPr>
                      <w:rFonts w:hint="eastAsia"/>
                      <w:color w:val="auto"/>
                      <w:highlight w:val="none"/>
                      <w:lang w:val="en-US" w:eastAsia="zh-CN"/>
                    </w:rPr>
                    <w:t>；</w:t>
                  </w:r>
                </w:p>
              </w:tc>
            </w:tr>
            <w:tr w14:paraId="67A4E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1" w:hRule="atLeast"/>
                <w:jc w:val="center"/>
              </w:trPr>
              <w:tc>
                <w:tcPr>
                  <w:tcW w:w="1324" w:type="dxa"/>
                  <w:vMerge w:val="continue"/>
                  <w:tcBorders>
                    <w:tl2br w:val="nil"/>
                    <w:tr2bl w:val="nil"/>
                  </w:tcBorders>
                  <w:vAlign w:val="center"/>
                </w:tcPr>
                <w:p w14:paraId="7A0F6093">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1845" w:type="dxa"/>
                  <w:tcBorders>
                    <w:tl2br w:val="nil"/>
                    <w:tr2bl w:val="nil"/>
                  </w:tcBorders>
                  <w:vAlign w:val="center"/>
                </w:tcPr>
                <w:p w14:paraId="0B69B435">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pacing w:val="-6"/>
                      <w:sz w:val="21"/>
                      <w:szCs w:val="21"/>
                      <w:highlight w:val="none"/>
                      <w:lang w:val="en-US" w:eastAsia="zh-CN" w:bidi="zh-CN"/>
                    </w:rPr>
                  </w:pPr>
                  <w:r>
                    <w:rPr>
                      <w:rFonts w:hint="eastAsia" w:cs="Times New Roman"/>
                      <w:color w:val="auto"/>
                      <w:spacing w:val="-6"/>
                      <w:sz w:val="21"/>
                      <w:szCs w:val="21"/>
                      <w:highlight w:val="none"/>
                      <w:lang w:val="en-US" w:eastAsia="zh-CN" w:bidi="zh-CN"/>
                    </w:rPr>
                    <w:t>纳米膜发酵车间</w:t>
                  </w:r>
                </w:p>
              </w:tc>
              <w:tc>
                <w:tcPr>
                  <w:tcW w:w="5170" w:type="dxa"/>
                  <w:vMerge w:val="continue"/>
                  <w:tcBorders>
                    <w:tl2br w:val="nil"/>
                    <w:tr2bl w:val="nil"/>
                  </w:tcBorders>
                  <w:vAlign w:val="center"/>
                </w:tcPr>
                <w:p w14:paraId="3D4E7793">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pacing w:val="-6"/>
                      <w:sz w:val="21"/>
                      <w:szCs w:val="21"/>
                      <w:highlight w:val="none"/>
                      <w:lang w:val="en-US" w:eastAsia="zh-CN" w:bidi="zh-CN"/>
                    </w:rPr>
                  </w:pPr>
                </w:p>
              </w:tc>
            </w:tr>
            <w:tr w14:paraId="71B7F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324" w:type="dxa"/>
                  <w:vMerge w:val="continue"/>
                  <w:tcBorders>
                    <w:tl2br w:val="nil"/>
                    <w:tr2bl w:val="nil"/>
                  </w:tcBorders>
                  <w:vAlign w:val="center"/>
                </w:tcPr>
                <w:p w14:paraId="43809903">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pacing w:val="-6"/>
                      <w:sz w:val="21"/>
                      <w:szCs w:val="21"/>
                      <w:highlight w:val="none"/>
                      <w:lang w:val="en-US" w:eastAsia="zh-CN" w:bidi="zh-CN"/>
                    </w:rPr>
                  </w:pPr>
                </w:p>
              </w:tc>
              <w:tc>
                <w:tcPr>
                  <w:tcW w:w="1845" w:type="dxa"/>
                  <w:tcBorders>
                    <w:tl2br w:val="nil"/>
                    <w:tr2bl w:val="nil"/>
                  </w:tcBorders>
                  <w:vAlign w:val="center"/>
                </w:tcPr>
                <w:p w14:paraId="0ACC5B0D">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pacing w:val="-6"/>
                      <w:sz w:val="21"/>
                      <w:szCs w:val="21"/>
                      <w:highlight w:val="none"/>
                      <w:lang w:val="en-US" w:eastAsia="zh-CN" w:bidi="zh-CN"/>
                    </w:rPr>
                  </w:pPr>
                  <w:r>
                    <w:rPr>
                      <w:rFonts w:hint="eastAsia" w:cs="Times New Roman"/>
                      <w:color w:val="auto"/>
                      <w:spacing w:val="-6"/>
                      <w:sz w:val="21"/>
                      <w:szCs w:val="21"/>
                      <w:highlight w:val="none"/>
                      <w:lang w:val="en-US" w:eastAsia="zh-CN" w:bidi="zh-CN"/>
                    </w:rPr>
                    <w:t>一般固废间</w:t>
                  </w:r>
                </w:p>
              </w:tc>
              <w:tc>
                <w:tcPr>
                  <w:tcW w:w="5170" w:type="dxa"/>
                  <w:vMerge w:val="continue"/>
                  <w:tcBorders>
                    <w:tl2br w:val="nil"/>
                    <w:tr2bl w:val="nil"/>
                  </w:tcBorders>
                  <w:vAlign w:val="center"/>
                </w:tcPr>
                <w:p w14:paraId="44CAFE46">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pacing w:val="-6"/>
                      <w:sz w:val="21"/>
                      <w:szCs w:val="21"/>
                      <w:highlight w:val="none"/>
                      <w:lang w:val="en-US" w:eastAsia="zh-CN" w:bidi="zh-CN"/>
                    </w:rPr>
                  </w:pPr>
                </w:p>
              </w:tc>
            </w:tr>
            <w:tr w14:paraId="5A2AE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324" w:type="dxa"/>
                  <w:vMerge w:val="continue"/>
                  <w:tcBorders>
                    <w:tl2br w:val="nil"/>
                    <w:tr2bl w:val="nil"/>
                  </w:tcBorders>
                  <w:vAlign w:val="center"/>
                </w:tcPr>
                <w:p w14:paraId="080CFCDB">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pacing w:val="-6"/>
                      <w:sz w:val="21"/>
                      <w:szCs w:val="21"/>
                      <w:highlight w:val="none"/>
                      <w:lang w:val="en-US" w:eastAsia="zh-CN" w:bidi="zh-CN"/>
                    </w:rPr>
                  </w:pPr>
                </w:p>
              </w:tc>
              <w:tc>
                <w:tcPr>
                  <w:tcW w:w="1845" w:type="dxa"/>
                  <w:tcBorders>
                    <w:tl2br w:val="nil"/>
                    <w:tr2bl w:val="nil"/>
                  </w:tcBorders>
                  <w:vAlign w:val="center"/>
                </w:tcPr>
                <w:p w14:paraId="32E65B81">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pacing w:val="-6"/>
                      <w:sz w:val="21"/>
                      <w:szCs w:val="21"/>
                      <w:highlight w:val="none"/>
                      <w:lang w:val="en-US" w:eastAsia="zh-CN" w:bidi="zh-CN"/>
                    </w:rPr>
                  </w:pPr>
                  <w:r>
                    <w:rPr>
                      <w:rFonts w:hint="eastAsia" w:cs="Times New Roman"/>
                      <w:color w:val="auto"/>
                      <w:spacing w:val="-6"/>
                      <w:sz w:val="21"/>
                      <w:szCs w:val="21"/>
                      <w:highlight w:val="none"/>
                      <w:lang w:val="en-US" w:eastAsia="zh-CN" w:bidi="zh-CN"/>
                    </w:rPr>
                    <w:t>质量检验室</w:t>
                  </w:r>
                </w:p>
              </w:tc>
              <w:tc>
                <w:tcPr>
                  <w:tcW w:w="5170" w:type="dxa"/>
                  <w:vMerge w:val="continue"/>
                  <w:tcBorders>
                    <w:tl2br w:val="nil"/>
                    <w:tr2bl w:val="nil"/>
                  </w:tcBorders>
                  <w:vAlign w:val="center"/>
                </w:tcPr>
                <w:p w14:paraId="4EAB9FB4">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pacing w:val="-6"/>
                      <w:sz w:val="21"/>
                      <w:szCs w:val="21"/>
                      <w:highlight w:val="none"/>
                      <w:lang w:val="en-US" w:eastAsia="zh-CN" w:bidi="zh-CN"/>
                    </w:rPr>
                  </w:pPr>
                </w:p>
              </w:tc>
            </w:tr>
            <w:tr w14:paraId="0C64A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4" w:type="dxa"/>
                  <w:vMerge w:val="restart"/>
                  <w:tcBorders>
                    <w:tl2br w:val="nil"/>
                    <w:tr2bl w:val="nil"/>
                  </w:tcBorders>
                  <w:vAlign w:val="center"/>
                </w:tcPr>
                <w:p w14:paraId="73DD938A">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highlight w:val="none"/>
                      <w:vertAlign w:val="baseline"/>
                    </w:rPr>
                  </w:pPr>
                  <w:r>
                    <w:rPr>
                      <w:rFonts w:hint="eastAsia"/>
                      <w:color w:val="auto"/>
                      <w:highlight w:val="none"/>
                      <w:lang w:val="en-US" w:eastAsia="zh-CN"/>
                    </w:rPr>
                    <w:t>简单防渗区</w:t>
                  </w:r>
                </w:p>
              </w:tc>
              <w:tc>
                <w:tcPr>
                  <w:tcW w:w="1845" w:type="dxa"/>
                  <w:tcBorders>
                    <w:tl2br w:val="nil"/>
                    <w:tr2bl w:val="nil"/>
                  </w:tcBorders>
                  <w:vAlign w:val="center"/>
                </w:tcPr>
                <w:p w14:paraId="025E2434">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highlight w:val="none"/>
                      <w:vertAlign w:val="baseline"/>
                    </w:rPr>
                  </w:pPr>
                  <w:r>
                    <w:rPr>
                      <w:rFonts w:hint="eastAsia" w:cs="Times New Roman"/>
                      <w:color w:val="auto"/>
                      <w:spacing w:val="-2"/>
                      <w:sz w:val="21"/>
                      <w:szCs w:val="21"/>
                      <w:highlight w:val="none"/>
                      <w:lang w:val="en-US" w:eastAsia="zh-CN"/>
                    </w:rPr>
                    <w:t>原料储存库</w:t>
                  </w:r>
                </w:p>
              </w:tc>
              <w:tc>
                <w:tcPr>
                  <w:tcW w:w="5170" w:type="dxa"/>
                  <w:tcBorders>
                    <w:tl2br w:val="nil"/>
                    <w:tr2bl w:val="nil"/>
                  </w:tcBorders>
                  <w:vAlign w:val="center"/>
                </w:tcPr>
                <w:p w14:paraId="35FFB8F5">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地面采用素</w:t>
                  </w:r>
                  <w:r>
                    <w:rPr>
                      <w:rFonts w:hint="default"/>
                      <w:color w:val="auto"/>
                      <w:highlight w:val="none"/>
                      <w:lang w:val="en-US" w:eastAsia="zh-CN"/>
                    </w:rPr>
                    <w:t>混凝土+防渗层</w:t>
                  </w:r>
                </w:p>
              </w:tc>
            </w:tr>
            <w:tr w14:paraId="12007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5" w:hRule="atLeast"/>
                <w:jc w:val="center"/>
              </w:trPr>
              <w:tc>
                <w:tcPr>
                  <w:tcW w:w="1324" w:type="dxa"/>
                  <w:vMerge w:val="continue"/>
                  <w:tcBorders>
                    <w:tl2br w:val="nil"/>
                    <w:tr2bl w:val="nil"/>
                  </w:tcBorders>
                  <w:vAlign w:val="center"/>
                </w:tcPr>
                <w:p w14:paraId="214F69A0">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p>
              </w:tc>
              <w:tc>
                <w:tcPr>
                  <w:tcW w:w="1845" w:type="dxa"/>
                  <w:tcBorders>
                    <w:tl2br w:val="nil"/>
                    <w:tr2bl w:val="nil"/>
                  </w:tcBorders>
                  <w:vAlign w:val="center"/>
                </w:tcPr>
                <w:p w14:paraId="035C2D3C">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办公管理区</w:t>
                  </w:r>
                </w:p>
              </w:tc>
              <w:tc>
                <w:tcPr>
                  <w:tcW w:w="5170" w:type="dxa"/>
                  <w:tcBorders>
                    <w:tl2br w:val="nil"/>
                    <w:tr2bl w:val="nil"/>
                  </w:tcBorders>
                  <w:vAlign w:val="center"/>
                </w:tcPr>
                <w:p w14:paraId="5FFB95E3">
                  <w:pPr>
                    <w:pStyle w:val="9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地面采用瓷砖/防滑地面</w:t>
                  </w:r>
                </w:p>
              </w:tc>
            </w:tr>
          </w:tbl>
          <w:p w14:paraId="5A727B34">
            <w:pPr>
              <w:pStyle w:val="97"/>
              <w:keepNext w:val="0"/>
              <w:keepLines w:val="0"/>
              <w:pageBreakBefore w:val="0"/>
              <w:kinsoku/>
              <w:overflowPunct/>
              <w:topLinePunct w:val="0"/>
              <w:autoSpaceDE/>
              <w:autoSpaceDN/>
              <w:bidi w:val="0"/>
              <w:spacing w:line="440" w:lineRule="exact"/>
              <w:ind w:firstLine="0" w:firstLineChars="0"/>
              <w:textAlignment w:val="auto"/>
              <w:rPr>
                <w:rFonts w:hint="default" w:ascii="Times New Roman" w:hAnsi="Times New Roman" w:cs="Times New Roman"/>
                <w:b/>
                <w:color w:val="auto"/>
                <w:kern w:val="2"/>
                <w:highlight w:val="none"/>
              </w:rPr>
            </w:pPr>
            <w:r>
              <w:rPr>
                <w:rFonts w:hint="default" w:ascii="Times New Roman" w:hAnsi="Times New Roman" w:cs="Times New Roman"/>
                <w:b/>
                <w:color w:val="auto"/>
                <w:highlight w:val="none"/>
              </w:rPr>
              <w:t>6</w:t>
            </w:r>
            <w:r>
              <w:rPr>
                <w:rFonts w:hint="eastAsia" w:cs="Times New Roman"/>
                <w:b/>
                <w:color w:val="auto"/>
                <w:highlight w:val="none"/>
                <w:lang w:eastAsia="zh-CN"/>
              </w:rPr>
              <w:t>、</w:t>
            </w:r>
            <w:r>
              <w:rPr>
                <w:rFonts w:hint="default" w:ascii="Times New Roman" w:hAnsi="Times New Roman" w:cs="Times New Roman"/>
                <w:b/>
                <w:color w:val="auto"/>
                <w:kern w:val="2"/>
                <w:highlight w:val="none"/>
              </w:rPr>
              <w:t>环境风险分析</w:t>
            </w:r>
          </w:p>
          <w:p w14:paraId="7D62450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物质风险识别</w:t>
            </w:r>
          </w:p>
          <w:p w14:paraId="7904BD22">
            <w:pPr>
              <w:adjustRightInd w:val="0"/>
              <w:snapToGrid w:val="0"/>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根据《建设项目环境风险评价技术导则》（HJ169-2018）附录B中的有毒有害和易燃易爆物质的生产、使用和存储，本项目涉及少量附录B中油类物质（矿物油类）；</w:t>
            </w:r>
            <w:r>
              <w:rPr>
                <w:rFonts w:hint="eastAsia" w:ascii="Times New Roman" w:hAnsi="Times New Roman" w:eastAsia="宋体" w:cs="Times New Roman"/>
                <w:color w:val="auto"/>
                <w:sz w:val="24"/>
                <w:szCs w:val="24"/>
                <w:highlight w:val="none"/>
              </w:rPr>
              <w:t>Q值计算方法计算所涉及的每种危险物质在项目区内的最大存在总量与其在《建设项目环境风险评价技术导则》（HJ169-2018）中附录B中对应的临界量的比值Q：</w:t>
            </w:r>
          </w:p>
          <w:p w14:paraId="4D957F79">
            <w:pPr>
              <w:adjustRightInd w:val="0"/>
              <w:snapToGrid w:val="0"/>
              <w:spacing w:line="440" w:lineRule="exact"/>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Q=q1/Q1+q2/Q2+…qn/Qn</w:t>
            </w:r>
          </w:p>
          <w:p w14:paraId="6D658ABA">
            <w:pPr>
              <w:adjustRightInd w:val="0"/>
              <w:snapToGrid w:val="0"/>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式中：q1，q2,…,qn——每种危险物质的最大存在总量，t。</w:t>
            </w:r>
          </w:p>
          <w:p w14:paraId="3D4EEC5D">
            <w:pPr>
              <w:adjustRightInd w:val="0"/>
              <w:snapToGrid w:val="0"/>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Q1，Q2，…,Qn—— 每种危险物质的临界量，t。</w:t>
            </w:r>
          </w:p>
          <w:p w14:paraId="149C9BB0">
            <w:pPr>
              <w:adjustRightInd w:val="0"/>
              <w:snapToGrid w:val="0"/>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当Q＜1时，该项目环境风险潜势为Ⅰ。</w:t>
            </w:r>
          </w:p>
          <w:p w14:paraId="73689851">
            <w:pPr>
              <w:adjustRightInd w:val="0"/>
              <w:snapToGrid w:val="0"/>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当Q≥1时，将Q值划分为：（1）1≤Q＜10；（2）10≤Q＜100；（3）Q≥100。</w:t>
            </w:r>
          </w:p>
          <w:p w14:paraId="53FB1261">
            <w:pPr>
              <w:adjustRightInd w:val="0"/>
              <w:snapToGrid w:val="0"/>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经计算，本项目</w:t>
            </w:r>
            <w:r>
              <w:rPr>
                <w:rFonts w:hint="eastAsia" w:cs="Times New Roman"/>
                <w:color w:val="auto"/>
                <w:sz w:val="24"/>
                <w:szCs w:val="24"/>
                <w:highlight w:val="none"/>
                <w:lang w:val="en-US" w:eastAsia="zh-CN"/>
              </w:rPr>
              <w:t>废润滑油</w:t>
            </w:r>
            <w:r>
              <w:rPr>
                <w:rFonts w:hint="eastAsia" w:ascii="Times New Roman" w:hAnsi="Times New Roman" w:eastAsia="宋体" w:cs="Times New Roman"/>
                <w:color w:val="auto"/>
                <w:sz w:val="24"/>
                <w:szCs w:val="24"/>
                <w:highlight w:val="none"/>
                <w:lang w:val="en-US" w:eastAsia="zh-CN"/>
              </w:rPr>
              <w:t>最大存在量</w:t>
            </w:r>
            <w:r>
              <w:rPr>
                <w:rFonts w:hint="eastAsia" w:cs="Times New Roman"/>
                <w:color w:val="auto"/>
                <w:sz w:val="24"/>
                <w:szCs w:val="24"/>
                <w:highlight w:val="none"/>
                <w:lang w:val="en-US" w:eastAsia="zh-CN"/>
              </w:rPr>
              <w:t>0.4</w:t>
            </w:r>
            <w:r>
              <w:rPr>
                <w:rFonts w:hint="eastAsia" w:ascii="Times New Roman" w:hAnsi="Times New Roman" w:eastAsia="宋体" w:cs="Times New Roman"/>
                <w:color w:val="auto"/>
                <w:sz w:val="24"/>
                <w:szCs w:val="24"/>
                <w:highlight w:val="none"/>
              </w:rPr>
              <w:t>t，Q=</w:t>
            </w:r>
            <w:r>
              <w:rPr>
                <w:rFonts w:hint="eastAsia"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rPr>
              <w:t>/2500=0.0</w:t>
            </w:r>
            <w:r>
              <w:rPr>
                <w:rFonts w:hint="eastAsia" w:ascii="Times New Roman" w:hAnsi="Times New Roman" w:eastAsia="宋体" w:cs="Times New Roman"/>
                <w:color w:val="auto"/>
                <w:sz w:val="24"/>
                <w:szCs w:val="24"/>
                <w:highlight w:val="none"/>
                <w:lang w:val="en-US" w:eastAsia="zh-CN"/>
              </w:rPr>
              <w:t>0</w:t>
            </w:r>
            <w:r>
              <w:rPr>
                <w:rFonts w:hint="eastAsia" w:eastAsia="宋体" w:cs="Times New Roman"/>
                <w:color w:val="auto"/>
                <w:sz w:val="24"/>
                <w:szCs w:val="24"/>
                <w:highlight w:val="none"/>
                <w:lang w:val="en-US" w:eastAsia="zh-CN"/>
              </w:rPr>
              <w:t>016</w:t>
            </w:r>
            <w:r>
              <w:rPr>
                <w:rFonts w:hint="eastAsia" w:ascii="Times New Roman" w:hAnsi="Times New Roman" w:eastAsia="宋体" w:cs="Times New Roman"/>
                <w:color w:val="auto"/>
                <w:sz w:val="24"/>
                <w:szCs w:val="24"/>
                <w:highlight w:val="none"/>
              </w:rPr>
              <w:t>＜1。环境风险潜势为Ⅰ。对项目环境风险进行简单分析即可。</w:t>
            </w:r>
          </w:p>
          <w:p w14:paraId="563DBBBB">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（1）环境风险识别及风险分析</w:t>
            </w:r>
          </w:p>
          <w:p w14:paraId="38DFEB1F">
            <w:pPr>
              <w:adjustRightInd w:val="0"/>
              <w:snapToGrid w:val="0"/>
              <w:spacing w:line="440" w:lineRule="exact"/>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项目运营期间可能出现的风险事故</w:t>
            </w:r>
            <w:r>
              <w:rPr>
                <w:rFonts w:hint="eastAsia" w:ascii="Times New Roman" w:hAnsi="Times New Roman" w:eastAsia="宋体" w:cs="Times New Roman"/>
                <w:color w:val="auto"/>
                <w:sz w:val="24"/>
                <w:szCs w:val="24"/>
                <w:highlight w:val="none"/>
                <w:lang w:val="en-US" w:eastAsia="zh-CN"/>
              </w:rPr>
              <w:t>包含：</w:t>
            </w:r>
            <w:r>
              <w:rPr>
                <w:rFonts w:hint="eastAsia" w:cs="Times New Roman"/>
                <w:color w:val="auto"/>
                <w:sz w:val="24"/>
                <w:szCs w:val="24"/>
                <w:highlight w:val="none"/>
                <w:lang w:val="en-US" w:eastAsia="zh-CN"/>
              </w:rPr>
              <w:t>废导热油</w:t>
            </w:r>
            <w:r>
              <w:rPr>
                <w:rFonts w:hint="eastAsia" w:ascii="Times New Roman" w:hAnsi="Times New Roman" w:eastAsia="宋体" w:cs="Times New Roman"/>
                <w:color w:val="auto"/>
                <w:sz w:val="24"/>
                <w:szCs w:val="24"/>
                <w:highlight w:val="none"/>
                <w:lang w:val="en-US" w:eastAsia="zh-CN"/>
              </w:rPr>
              <w:t xml:space="preserve">发生泄漏，若储存间地面存在破损情况，可能导致地面土壤和地下水受到污染；项目原料为易燃品，极易发生火灾，火灾产生的次生污染物会对大气环境造成一定程度的影响。此外，火灾产生的高温及烟雾可能对人体造成伤害，还会烧毁设备、厂房等，进而造成经济损失。 </w:t>
            </w:r>
          </w:p>
          <w:p w14:paraId="1AC92B24">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（2）应急预案</w:t>
            </w:r>
          </w:p>
          <w:p w14:paraId="035066BB">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当发生火灾等恶性事故时，立即切断电源，迅速转移人员，减少物资损失和人员伤亡，同时向公司报告和拨打火灾报警电话。组织业余消防队员利用一切可能的消防器材，全力灭火抢险，抢险灭火人员要戴正压式空气呼吸器，穿防火服，从上风向接近火源。当公安和消防负责人员到达，则由公安消防人员实施应急救援总指挥，公司应急救援指挥部受其指挥开展抢险救援工作</w:t>
            </w:r>
            <w:r>
              <w:rPr>
                <w:rFonts w:hint="eastAsia" w:ascii="Times New Roman" w:hAnsi="Times New Roman" w:eastAsia="宋体" w:cs="Times New Roman"/>
                <w:color w:val="auto"/>
                <w:sz w:val="24"/>
                <w:szCs w:val="24"/>
                <w:highlight w:val="none"/>
              </w:rPr>
              <w:t>。</w:t>
            </w:r>
          </w:p>
          <w:p w14:paraId="564DEC59">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为</w:t>
            </w:r>
            <w:r>
              <w:rPr>
                <w:rFonts w:hint="eastAsia" w:cs="Times New Roman"/>
                <w:color w:val="auto"/>
                <w:sz w:val="24"/>
                <w:szCs w:val="24"/>
                <w:highlight w:val="none"/>
                <w:lang w:eastAsia="zh-CN"/>
              </w:rPr>
              <w:t>进一步</w:t>
            </w:r>
            <w:r>
              <w:rPr>
                <w:rFonts w:hint="eastAsia" w:cs="Times New Roman"/>
                <w:color w:val="auto"/>
                <w:sz w:val="24"/>
                <w:szCs w:val="24"/>
                <w:highlight w:val="none"/>
                <w:lang w:val="en-US" w:eastAsia="zh-CN"/>
              </w:rPr>
              <w:t>防范项目突发环境事故</w:t>
            </w:r>
            <w:r>
              <w:rPr>
                <w:rFonts w:hint="eastAsia" w:ascii="Times New Roman" w:hAnsi="Times New Roman" w:eastAsia="宋体" w:cs="Times New Roman"/>
                <w:color w:val="auto"/>
                <w:sz w:val="24"/>
                <w:szCs w:val="24"/>
                <w:highlight w:val="none"/>
              </w:rPr>
              <w:t>的工作，建设单位应</w:t>
            </w:r>
            <w:r>
              <w:rPr>
                <w:rFonts w:hint="eastAsia" w:cs="Times New Roman"/>
                <w:color w:val="auto"/>
                <w:sz w:val="24"/>
                <w:szCs w:val="24"/>
                <w:highlight w:val="none"/>
                <w:lang w:val="en-US" w:eastAsia="zh-CN"/>
              </w:rPr>
              <w:t>在建成后</w:t>
            </w:r>
            <w:r>
              <w:rPr>
                <w:rFonts w:hint="eastAsia" w:ascii="Times New Roman" w:hAnsi="Times New Roman" w:eastAsia="宋体" w:cs="Times New Roman"/>
                <w:color w:val="auto"/>
                <w:sz w:val="24"/>
                <w:szCs w:val="24"/>
                <w:highlight w:val="none"/>
              </w:rPr>
              <w:t>尽快</w:t>
            </w:r>
            <w:r>
              <w:rPr>
                <w:rFonts w:hint="eastAsia" w:eastAsia="宋体" w:cs="Times New Roman"/>
                <w:color w:val="auto"/>
                <w:sz w:val="24"/>
                <w:szCs w:val="24"/>
                <w:highlight w:val="none"/>
                <w:lang w:val="en-US" w:eastAsia="zh-CN"/>
              </w:rPr>
              <w:t>编制</w:t>
            </w:r>
            <w:r>
              <w:rPr>
                <w:rFonts w:hint="eastAsia" w:ascii="Times New Roman" w:hAnsi="Times New Roman" w:eastAsia="宋体" w:cs="Times New Roman"/>
                <w:color w:val="auto"/>
                <w:sz w:val="24"/>
                <w:szCs w:val="24"/>
                <w:highlight w:val="none"/>
              </w:rPr>
              <w:t>项目突发环境事故应急预案。</w:t>
            </w:r>
          </w:p>
          <w:p w14:paraId="17EEF56E">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（3）风险防范措施</w:t>
            </w:r>
          </w:p>
          <w:p w14:paraId="184C30C8">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为进一步减少风险隐患</w:t>
            </w:r>
            <w:r>
              <w:rPr>
                <w:rFonts w:ascii="Times New Roman" w:hAnsi="Times New Roman" w:eastAsia="宋体" w:cs="Times New Roman"/>
                <w:color w:val="auto"/>
                <w:sz w:val="24"/>
                <w:szCs w:val="24"/>
                <w:highlight w:val="none"/>
              </w:rPr>
              <w:t>，本次评价建议单位做好如下防范措施：</w:t>
            </w:r>
          </w:p>
          <w:p w14:paraId="3A77F395">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color w:val="auto"/>
                <w:sz w:val="24"/>
                <w:szCs w:val="24"/>
                <w:highlight w:val="none"/>
              </w:rPr>
              <w:t>①</w:t>
            </w:r>
            <w:r>
              <w:rPr>
                <w:rFonts w:ascii="Times New Roman" w:hAnsi="Times New Roman" w:eastAsia="宋体" w:cs="Times New Roman"/>
                <w:color w:val="auto"/>
                <w:sz w:val="24"/>
                <w:szCs w:val="24"/>
                <w:highlight w:val="none"/>
              </w:rPr>
              <w:t>成立专门的责任机构，保证事故发生时组织相关力量及时控制事故的危害，在第一时间，有序有效地控制事故污染，把事故危害减小到</w:t>
            </w:r>
            <w:r>
              <w:rPr>
                <w:rFonts w:hint="eastAsia" w:cs="Times New Roman"/>
                <w:color w:val="auto"/>
                <w:sz w:val="24"/>
                <w:szCs w:val="24"/>
                <w:highlight w:val="none"/>
                <w:lang w:eastAsia="zh-CN"/>
              </w:rPr>
              <w:t>最小</w:t>
            </w:r>
            <w:r>
              <w:rPr>
                <w:rFonts w:hint="eastAsia" w:ascii="Times New Roman" w:hAnsi="Times New Roman" w:eastAsia="宋体" w:cs="Times New Roman"/>
                <w:color w:val="auto"/>
                <w:sz w:val="24"/>
                <w:szCs w:val="24"/>
                <w:highlight w:val="none"/>
              </w:rPr>
              <w:t>；</w:t>
            </w:r>
          </w:p>
          <w:p w14:paraId="374D179E">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color w:val="auto"/>
                <w:sz w:val="24"/>
                <w:szCs w:val="24"/>
                <w:highlight w:val="none"/>
              </w:rPr>
              <w:t>②</w:t>
            </w:r>
            <w:r>
              <w:rPr>
                <w:rFonts w:ascii="Times New Roman" w:hAnsi="Times New Roman" w:eastAsia="宋体" w:cs="Times New Roman"/>
                <w:color w:val="auto"/>
                <w:sz w:val="24"/>
                <w:szCs w:val="24"/>
                <w:highlight w:val="none"/>
              </w:rPr>
              <w:t>健全各项制度，强化安全管理意识，禁止烟火，落实各项安全措施，可有效避免环境风险事故发生，加强用电设备及线路的检修和管理</w:t>
            </w:r>
            <w:r>
              <w:rPr>
                <w:rFonts w:hint="eastAsia" w:ascii="Times New Roman" w:hAnsi="Times New Roman" w:eastAsia="宋体" w:cs="Times New Roman"/>
                <w:color w:val="auto"/>
                <w:sz w:val="24"/>
                <w:szCs w:val="24"/>
                <w:highlight w:val="none"/>
              </w:rPr>
              <w:t>；</w:t>
            </w:r>
          </w:p>
          <w:p w14:paraId="0F455B6A">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color w:val="auto"/>
                <w:sz w:val="24"/>
                <w:szCs w:val="24"/>
                <w:highlight w:val="none"/>
              </w:rPr>
              <w:t>③</w:t>
            </w:r>
            <w:r>
              <w:rPr>
                <w:rFonts w:ascii="Times New Roman" w:hAnsi="Times New Roman" w:eastAsia="宋体" w:cs="Times New Roman"/>
                <w:color w:val="auto"/>
                <w:sz w:val="24"/>
                <w:szCs w:val="24"/>
                <w:highlight w:val="none"/>
              </w:rPr>
              <w:t>严格按照消防安全部门要求，配备相关的应急设施、设备、器材和材料</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在生产、办公区配备适当数量的手提式或悬挂式干粉、泡沫灭火器，用于扑灭初期火源；</w:t>
            </w:r>
          </w:p>
          <w:p w14:paraId="6DB1FA26">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color w:val="auto"/>
                <w:sz w:val="24"/>
                <w:szCs w:val="24"/>
                <w:highlight w:val="none"/>
              </w:rPr>
              <w:t>④</w:t>
            </w:r>
            <w:r>
              <w:rPr>
                <w:rFonts w:ascii="Times New Roman" w:hAnsi="Times New Roman" w:eastAsia="宋体" w:cs="Times New Roman"/>
                <w:color w:val="auto"/>
                <w:sz w:val="24"/>
                <w:szCs w:val="24"/>
                <w:highlight w:val="none"/>
              </w:rPr>
              <w:t>加强各相关部门之间的联系，一旦出现环境风险事故，马上联系各相关部门，迅速</w:t>
            </w:r>
            <w:r>
              <w:rPr>
                <w:rFonts w:hint="eastAsia" w:cs="Times New Roman"/>
                <w:color w:val="auto"/>
                <w:sz w:val="24"/>
                <w:szCs w:val="24"/>
                <w:highlight w:val="none"/>
                <w:lang w:eastAsia="zh-CN"/>
              </w:rPr>
              <w:t>作出反应</w:t>
            </w:r>
            <w:r>
              <w:rPr>
                <w:rFonts w:ascii="Times New Roman" w:hAnsi="Times New Roman" w:eastAsia="宋体" w:cs="Times New Roman"/>
                <w:color w:val="auto"/>
                <w:sz w:val="24"/>
                <w:szCs w:val="24"/>
                <w:highlight w:val="none"/>
              </w:rPr>
              <w:t>；</w:t>
            </w:r>
          </w:p>
          <w:p w14:paraId="1DAE1CD3">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color w:val="auto"/>
                <w:sz w:val="24"/>
                <w:szCs w:val="24"/>
                <w:highlight w:val="none"/>
              </w:rPr>
              <w:t>⑤</w:t>
            </w:r>
            <w:r>
              <w:rPr>
                <w:rFonts w:ascii="Times New Roman" w:hAnsi="Times New Roman" w:eastAsia="宋体" w:cs="Times New Roman"/>
                <w:color w:val="auto"/>
                <w:sz w:val="24"/>
                <w:szCs w:val="24"/>
                <w:highlight w:val="none"/>
              </w:rPr>
              <w:t>加强人员的培训和事故应急演练；</w:t>
            </w:r>
          </w:p>
          <w:p w14:paraId="6534747E">
            <w:pPr>
              <w:adjustRightInd w:val="0"/>
              <w:snapToGrid w:val="0"/>
              <w:spacing w:line="440" w:lineRule="exact"/>
              <w:ind w:firstLine="480" w:firstLineChars="200"/>
              <w:rPr>
                <w:rFonts w:hint="eastAsia" w:ascii="Times New Roman" w:hAnsi="Times New Roman" w:eastAsia="宋体" w:cs="Times New Roman"/>
                <w:color w:val="auto"/>
                <w:sz w:val="24"/>
                <w:szCs w:val="24"/>
                <w:highlight w:val="none"/>
              </w:rPr>
            </w:pPr>
            <w:r>
              <w:rPr>
                <w:color w:val="auto"/>
                <w:sz w:val="24"/>
                <w:szCs w:val="24"/>
                <w:highlight w:val="none"/>
              </w:rPr>
              <w:t>⑥</w:t>
            </w:r>
            <w:r>
              <w:rPr>
                <w:rFonts w:ascii="Times New Roman" w:hAnsi="Times New Roman" w:eastAsia="宋体" w:cs="Times New Roman"/>
                <w:color w:val="auto"/>
                <w:sz w:val="24"/>
                <w:szCs w:val="24"/>
                <w:highlight w:val="none"/>
              </w:rPr>
              <w:t>如火势较大时，迅速成立火灾应急小组，第一时间拨打</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rPr>
              <w:t>119</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rPr>
              <w:t>火警电话报警，同时组织火场人员按疏散路线撤离至安全地带；对于电气线路也应绝对安全可靠，防止短路起火等，确保安全生产</w:t>
            </w:r>
            <w:r>
              <w:rPr>
                <w:rFonts w:hint="eastAsia" w:ascii="Times New Roman" w:hAnsi="Times New Roman" w:eastAsia="宋体" w:cs="Times New Roman"/>
                <w:color w:val="auto"/>
                <w:sz w:val="24"/>
                <w:szCs w:val="24"/>
                <w:highlight w:val="none"/>
              </w:rPr>
              <w:t>；</w:t>
            </w:r>
          </w:p>
          <w:p w14:paraId="5E448A95">
            <w:pPr>
              <w:adjustRightInd w:val="0"/>
              <w:snapToGrid w:val="0"/>
              <w:spacing w:line="440" w:lineRule="exact"/>
              <w:ind w:firstLine="480" w:firstLineChars="200"/>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⑦</w:t>
            </w:r>
            <w:r>
              <w:rPr>
                <w:rFonts w:hint="eastAsia" w:ascii="Times New Roman" w:hAnsi="Times New Roman" w:eastAsia="宋体" w:cs="Times New Roman"/>
                <w:color w:val="auto"/>
                <w:sz w:val="24"/>
                <w:szCs w:val="24"/>
                <w:highlight w:val="none"/>
                <w:lang w:val="en-US" w:eastAsia="zh-CN"/>
              </w:rPr>
              <w:t>危废间</w:t>
            </w:r>
            <w:r>
              <w:rPr>
                <w:rFonts w:hint="default" w:ascii="Times New Roman" w:hAnsi="Times New Roman" w:eastAsia="宋体" w:cs="Times New Roman"/>
                <w:color w:val="auto"/>
                <w:sz w:val="24"/>
                <w:szCs w:val="24"/>
                <w:highlight w:val="none"/>
                <w:lang w:val="en-US" w:eastAsia="zh-CN"/>
              </w:rPr>
              <w:t>地面及裙角进行防渗处理，地面防渗措施为在混凝土上铺设复合土工膜+水泥砂浆抹灰</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环氧树脂耐油防腐地坪，</w:t>
            </w:r>
            <w:r>
              <w:rPr>
                <w:rFonts w:hint="eastAsia" w:ascii="Times New Roman" w:hAnsi="Times New Roman" w:eastAsia="宋体" w:cs="Times New Roman"/>
                <w:color w:val="auto"/>
                <w:sz w:val="24"/>
                <w:szCs w:val="24"/>
                <w:highlight w:val="none"/>
                <w:lang w:val="en-US" w:eastAsia="zh-CN"/>
              </w:rPr>
              <w:t>渗透系数</w:t>
            </w:r>
            <w:r>
              <w:rPr>
                <w:rFonts w:hint="default" w:ascii="Times New Roman" w:hAnsi="Times New Roman" w:eastAsia="宋体" w:cs="Times New Roman"/>
                <w:color w:val="auto"/>
                <w:sz w:val="24"/>
                <w:szCs w:val="24"/>
                <w:highlight w:val="none"/>
                <w:lang w:val="en-US" w:eastAsia="zh-CN"/>
              </w:rPr>
              <w:t>≤ 10</w:t>
            </w:r>
            <w:r>
              <w:rPr>
                <w:rFonts w:hint="default" w:ascii="Times New Roman" w:hAnsi="Times New Roman" w:eastAsia="宋体" w:cs="Times New Roman"/>
                <w:color w:val="auto"/>
                <w:sz w:val="24"/>
                <w:szCs w:val="24"/>
                <w:highlight w:val="none"/>
                <w:vertAlign w:val="superscript"/>
                <w:lang w:val="en-US" w:eastAsia="zh-CN"/>
              </w:rPr>
              <w:t>-</w:t>
            </w:r>
            <w:r>
              <w:rPr>
                <w:rFonts w:hint="eastAsia"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w:t>
            </w:r>
            <w:r>
              <w:rPr>
                <w:rFonts w:hint="eastAsia" w:ascii="Times New Roman" w:hAnsi="Times New Roman" w:eastAsia="宋体" w:cs="Times New Roman"/>
                <w:color w:val="auto"/>
                <w:sz w:val="24"/>
                <w:szCs w:val="24"/>
                <w:highlight w:val="none"/>
                <w:lang w:val="en-US" w:eastAsia="zh-CN"/>
              </w:rPr>
              <w:t>并设置</w:t>
            </w:r>
            <w:r>
              <w:rPr>
                <w:rFonts w:hint="eastAsia" w:ascii="Times New Roman" w:hAnsi="Times New Roman" w:eastAsia="宋体" w:cs="Times New Roman"/>
                <w:color w:val="auto"/>
                <w:sz w:val="24"/>
                <w:szCs w:val="24"/>
                <w:highlight w:val="none"/>
                <w:lang w:eastAsia="zh-CN"/>
              </w:rPr>
              <w:t>收集池、导流槽等设施</w:t>
            </w:r>
            <w:r>
              <w:rPr>
                <w:rFonts w:hint="eastAsia" w:cs="Times New Roman"/>
                <w:color w:val="auto"/>
                <w:sz w:val="24"/>
                <w:szCs w:val="24"/>
                <w:highlight w:val="none"/>
                <w:lang w:val="en-US" w:eastAsia="zh-CN"/>
              </w:rPr>
              <w:t>。</w:t>
            </w:r>
          </w:p>
          <w:p w14:paraId="2FB7DB2A">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采取以上措施后，可有效降低事故发生的概率。</w:t>
            </w:r>
          </w:p>
          <w:p w14:paraId="3EED7F95">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（4）环境风险评价结论</w:t>
            </w:r>
          </w:p>
          <w:p w14:paraId="7CEA190B">
            <w:pPr>
              <w:adjustRightInd w:val="0"/>
              <w:snapToGrid w:val="0"/>
              <w:spacing w:line="440" w:lineRule="exact"/>
              <w:ind w:firstLine="480" w:firstLineChars="200"/>
              <w:rPr>
                <w:rFonts w:hint="eastAsia" w:ascii="Times New Roman" w:hAnsi="Times New Roman" w:eastAsia="宋体" w:cs="Times New Roman"/>
                <w:b/>
                <w:color w:val="auto"/>
                <w:sz w:val="24"/>
                <w:szCs w:val="24"/>
                <w:highlight w:val="none"/>
              </w:rPr>
            </w:pPr>
            <w:r>
              <w:rPr>
                <w:rFonts w:ascii="Times New Roman" w:hAnsi="Times New Roman" w:eastAsia="宋体" w:cs="Times New Roman"/>
                <w:color w:val="auto"/>
                <w:sz w:val="24"/>
                <w:szCs w:val="24"/>
                <w:highlight w:val="none"/>
              </w:rPr>
              <w:t>本项目运营过程中不存在重大危险源，项目风险事故主要为火灾事故，建设单位在做好各项风险防范措施的条件下，并严格按照提出的措施要求进行生产管理，达到安全生产的目的，项目生产运营造成的环境风险是可以接受的。</w:t>
            </w:r>
          </w:p>
          <w:p w14:paraId="22426E65">
            <w:pPr>
              <w:spacing w:line="360" w:lineRule="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7</w:t>
            </w:r>
            <w:r>
              <w:rPr>
                <w:rFonts w:hint="eastAsia" w:cs="Times New Roman"/>
                <w:b/>
                <w:color w:val="auto"/>
                <w:sz w:val="24"/>
                <w:highlight w:val="none"/>
                <w:lang w:eastAsia="zh-CN"/>
              </w:rPr>
              <w:t>、</w:t>
            </w:r>
            <w:r>
              <w:rPr>
                <w:rFonts w:hint="default" w:ascii="Times New Roman" w:hAnsi="Times New Roman" w:cs="Times New Roman"/>
                <w:b/>
                <w:color w:val="auto"/>
                <w:sz w:val="24"/>
                <w:highlight w:val="none"/>
              </w:rPr>
              <w:t>环保治理措施及投资估算</w:t>
            </w:r>
          </w:p>
          <w:p w14:paraId="3A30DF54">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本项目总投资</w:t>
            </w:r>
            <w:r>
              <w:rPr>
                <w:rFonts w:hint="eastAsia" w:cs="Times New Roman"/>
                <w:color w:val="auto"/>
                <w:sz w:val="24"/>
                <w:highlight w:val="none"/>
                <w:lang w:val="en-US" w:eastAsia="zh-CN"/>
              </w:rPr>
              <w:t>10500</w:t>
            </w:r>
            <w:r>
              <w:rPr>
                <w:rFonts w:hint="default" w:ascii="Times New Roman" w:hAnsi="Times New Roman" w:cs="Times New Roman"/>
                <w:color w:val="auto"/>
                <w:sz w:val="24"/>
                <w:highlight w:val="none"/>
              </w:rPr>
              <w:t>万元，其中环保投资</w:t>
            </w:r>
            <w:r>
              <w:rPr>
                <w:rFonts w:hint="eastAsia" w:cs="Times New Roman"/>
                <w:color w:val="auto"/>
                <w:sz w:val="24"/>
                <w:highlight w:val="none"/>
                <w:lang w:val="en-US" w:eastAsia="zh-CN"/>
              </w:rPr>
              <w:t>262.5</w:t>
            </w:r>
            <w:r>
              <w:rPr>
                <w:rFonts w:hint="default" w:ascii="Times New Roman" w:hAnsi="Times New Roman" w:cs="Times New Roman"/>
                <w:color w:val="auto"/>
                <w:sz w:val="24"/>
                <w:highlight w:val="none"/>
              </w:rPr>
              <w:t>万元，占总投资</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，详见下表4-</w:t>
            </w:r>
            <w:r>
              <w:rPr>
                <w:rFonts w:hint="eastAsia" w:cs="Times New Roman"/>
                <w:color w:val="auto"/>
                <w:sz w:val="24"/>
                <w:highlight w:val="none"/>
                <w:lang w:val="en-US" w:eastAsia="zh-CN"/>
              </w:rPr>
              <w:t>13</w:t>
            </w:r>
            <w:r>
              <w:rPr>
                <w:rFonts w:hint="default" w:ascii="Times New Roman" w:hAnsi="Times New Roman" w:cs="Times New Roman"/>
                <w:color w:val="auto"/>
                <w:sz w:val="24"/>
                <w:highlight w:val="none"/>
              </w:rPr>
              <w:t>。</w:t>
            </w:r>
          </w:p>
          <w:p w14:paraId="39C8C7CC">
            <w:pPr>
              <w:jc w:val="center"/>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表4-</w:t>
            </w:r>
            <w:r>
              <w:rPr>
                <w:rFonts w:hint="eastAsia" w:cs="Times New Roman"/>
                <w:b/>
                <w:bCs/>
                <w:color w:val="auto"/>
                <w:sz w:val="24"/>
                <w:szCs w:val="22"/>
                <w:highlight w:val="none"/>
                <w:lang w:val="en-US" w:eastAsia="zh-CN"/>
              </w:rPr>
              <w:t>13</w:t>
            </w:r>
            <w:r>
              <w:rPr>
                <w:rFonts w:hint="default" w:ascii="Times New Roman" w:hAnsi="Times New Roman" w:cs="Times New Roman"/>
                <w:b/>
                <w:bCs/>
                <w:color w:val="auto"/>
                <w:sz w:val="24"/>
                <w:szCs w:val="22"/>
                <w:highlight w:val="none"/>
              </w:rPr>
              <w:t xml:space="preserve">  环保投资一览表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72"/>
              <w:gridCol w:w="725"/>
              <w:gridCol w:w="1117"/>
              <w:gridCol w:w="963"/>
              <w:gridCol w:w="4131"/>
              <w:gridCol w:w="867"/>
            </w:tblGrid>
            <w:tr w14:paraId="5E7AF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tcBorders>
                    <w:tl2br w:val="nil"/>
                    <w:tr2bl w:val="nil"/>
                  </w:tcBorders>
                  <w:noWrap w:val="0"/>
                  <w:vAlign w:val="center"/>
                </w:tcPr>
                <w:p w14:paraId="73EB5C2C">
                  <w:pPr>
                    <w:pStyle w:val="13"/>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725" w:type="dxa"/>
                  <w:tcBorders>
                    <w:tl2br w:val="nil"/>
                    <w:tr2bl w:val="nil"/>
                  </w:tcBorders>
                  <w:noWrap w:val="0"/>
                  <w:vAlign w:val="center"/>
                </w:tcPr>
                <w:p w14:paraId="2B70410D">
                  <w:pPr>
                    <w:pStyle w:val="13"/>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117" w:type="dxa"/>
                  <w:tcBorders>
                    <w:tl2br w:val="nil"/>
                    <w:tr2bl w:val="nil"/>
                  </w:tcBorders>
                  <w:noWrap w:val="0"/>
                  <w:vAlign w:val="center"/>
                </w:tcPr>
                <w:p w14:paraId="2708B098">
                  <w:pPr>
                    <w:pStyle w:val="13"/>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963" w:type="dxa"/>
                  <w:tcBorders>
                    <w:tl2br w:val="nil"/>
                    <w:tr2bl w:val="nil"/>
                  </w:tcBorders>
                  <w:noWrap w:val="0"/>
                  <w:vAlign w:val="center"/>
                </w:tcPr>
                <w:p w14:paraId="03432122">
                  <w:pPr>
                    <w:pStyle w:val="13"/>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4131" w:type="dxa"/>
                  <w:tcBorders>
                    <w:tl2br w:val="nil"/>
                    <w:tr2bl w:val="nil"/>
                  </w:tcBorders>
                  <w:noWrap w:val="0"/>
                  <w:vAlign w:val="center"/>
                </w:tcPr>
                <w:p w14:paraId="7B12420D">
                  <w:pPr>
                    <w:pStyle w:val="13"/>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环保设备名称</w:t>
                  </w:r>
                </w:p>
              </w:tc>
              <w:tc>
                <w:tcPr>
                  <w:tcW w:w="867" w:type="dxa"/>
                  <w:tcBorders>
                    <w:tl2br w:val="nil"/>
                    <w:tr2bl w:val="nil"/>
                  </w:tcBorders>
                  <w:noWrap w:val="0"/>
                  <w:vAlign w:val="center"/>
                </w:tcPr>
                <w:p w14:paraId="17A51AE3">
                  <w:pPr>
                    <w:pStyle w:val="13"/>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投资</w:t>
                  </w:r>
                </w:p>
                <w:p w14:paraId="00F2B1AA">
                  <w:pPr>
                    <w:pStyle w:val="13"/>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（万元）</w:t>
                  </w:r>
                </w:p>
              </w:tc>
            </w:tr>
            <w:tr w14:paraId="7222F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vMerge w:val="restart"/>
                  <w:tcBorders>
                    <w:tl2br w:val="nil"/>
                    <w:tr2bl w:val="nil"/>
                  </w:tcBorders>
                  <w:noWrap w:val="0"/>
                  <w:vAlign w:val="center"/>
                </w:tcPr>
                <w:p w14:paraId="60194DB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725" w:type="dxa"/>
                  <w:vMerge w:val="restart"/>
                  <w:tcBorders>
                    <w:tl2br w:val="nil"/>
                    <w:tr2bl w:val="nil"/>
                  </w:tcBorders>
                  <w:noWrap w:val="0"/>
                  <w:vAlign w:val="center"/>
                </w:tcPr>
                <w:p w14:paraId="36EF375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tc>
              <w:tc>
                <w:tcPr>
                  <w:tcW w:w="1117" w:type="dxa"/>
                  <w:tcBorders>
                    <w:tl2br w:val="nil"/>
                    <w:tr2bl w:val="nil"/>
                  </w:tcBorders>
                  <w:noWrap w:val="0"/>
                  <w:vAlign w:val="center"/>
                </w:tcPr>
                <w:p w14:paraId="7B7BB682">
                  <w:pPr>
                    <w:jc w:val="center"/>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粉碎、搅拌</w:t>
                  </w:r>
                </w:p>
              </w:tc>
              <w:tc>
                <w:tcPr>
                  <w:tcW w:w="963" w:type="dxa"/>
                  <w:tcBorders>
                    <w:tl2br w:val="nil"/>
                    <w:tr2bl w:val="nil"/>
                  </w:tcBorders>
                  <w:noWrap w:val="0"/>
                  <w:vAlign w:val="center"/>
                </w:tcPr>
                <w:p w14:paraId="68351A8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4131" w:type="dxa"/>
                  <w:tcBorders>
                    <w:tl2br w:val="nil"/>
                    <w:tr2bl w:val="nil"/>
                  </w:tcBorders>
                  <w:noWrap w:val="0"/>
                  <w:vAlign w:val="center"/>
                </w:tcPr>
                <w:p w14:paraId="7D0330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 w:val="21"/>
                      <w:szCs w:val="21"/>
                      <w:highlight w:val="none"/>
                      <w:lang w:val="en-US" w:eastAsia="zh-CN"/>
                    </w:rPr>
                    <w:t>各个设备进料口均设置1个集气罩（共</w:t>
                  </w:r>
                  <w:r>
                    <w:rPr>
                      <w:rFonts w:hint="eastAsia" w:cs="Times New Roman"/>
                      <w:color w:val="auto"/>
                      <w:sz w:val="21"/>
                      <w:szCs w:val="21"/>
                      <w:highlight w:val="none"/>
                      <w:lang w:val="en-US" w:eastAsia="zh-CN"/>
                    </w:rPr>
                    <w:t>5</w:t>
                  </w:r>
                  <w:r>
                    <w:rPr>
                      <w:rFonts w:hint="eastAsia" w:ascii="Times New Roman" w:hAnsi="Times New Roman" w:cs="Times New Roman"/>
                      <w:color w:val="auto"/>
                      <w:sz w:val="21"/>
                      <w:szCs w:val="21"/>
                      <w:highlight w:val="none"/>
                      <w:lang w:val="en-US" w:eastAsia="zh-CN"/>
                    </w:rPr>
                    <w:t>个集气罩），通过管道将收集的粉尘输送至1台布袋除尘处理后经1根15m高，</w:t>
                  </w:r>
                  <w:r>
                    <w:rPr>
                      <w:rFonts w:hint="eastAsia" w:cs="Times New Roman"/>
                      <w:color w:val="auto"/>
                      <w:sz w:val="21"/>
                      <w:szCs w:val="21"/>
                      <w:highlight w:val="none"/>
                      <w:lang w:val="en-US" w:eastAsia="zh-CN"/>
                    </w:rPr>
                    <w:t>内径0.5m</w:t>
                  </w:r>
                  <w:r>
                    <w:rPr>
                      <w:rFonts w:hint="eastAsia" w:ascii="Times New Roman" w:hAnsi="Times New Roman" w:cs="Times New Roman"/>
                      <w:color w:val="auto"/>
                      <w:sz w:val="21"/>
                      <w:szCs w:val="21"/>
                      <w:highlight w:val="none"/>
                      <w:lang w:val="en-US" w:eastAsia="zh-CN"/>
                    </w:rPr>
                    <w:t>的排气筒（#1）排放</w:t>
                  </w:r>
                </w:p>
              </w:tc>
              <w:tc>
                <w:tcPr>
                  <w:tcW w:w="867" w:type="dxa"/>
                  <w:tcBorders>
                    <w:tl2br w:val="nil"/>
                    <w:tr2bl w:val="nil"/>
                  </w:tcBorders>
                  <w:noWrap w:val="0"/>
                  <w:vAlign w:val="center"/>
                </w:tcPr>
                <w:p w14:paraId="03985E58">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6</w:t>
                  </w:r>
                </w:p>
              </w:tc>
            </w:tr>
            <w:tr w14:paraId="6CCA9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vMerge w:val="continue"/>
                  <w:tcBorders>
                    <w:tl2br w:val="nil"/>
                    <w:tr2bl w:val="nil"/>
                  </w:tcBorders>
                  <w:noWrap w:val="0"/>
                  <w:vAlign w:val="center"/>
                </w:tcPr>
                <w:p w14:paraId="03F0215C">
                  <w:pPr>
                    <w:jc w:val="center"/>
                    <w:rPr>
                      <w:rFonts w:hint="default" w:ascii="Times New Roman" w:hAnsi="Times New Roman" w:cs="Times New Roman"/>
                      <w:color w:val="auto"/>
                      <w:szCs w:val="21"/>
                      <w:highlight w:val="none"/>
                    </w:rPr>
                  </w:pPr>
                </w:p>
              </w:tc>
              <w:tc>
                <w:tcPr>
                  <w:tcW w:w="725" w:type="dxa"/>
                  <w:vMerge w:val="continue"/>
                  <w:tcBorders>
                    <w:tl2br w:val="nil"/>
                    <w:tr2bl w:val="nil"/>
                  </w:tcBorders>
                  <w:noWrap w:val="0"/>
                  <w:vAlign w:val="center"/>
                </w:tcPr>
                <w:p w14:paraId="1BB0F0AF">
                  <w:pPr>
                    <w:jc w:val="center"/>
                    <w:rPr>
                      <w:rFonts w:hint="default" w:ascii="Times New Roman" w:hAnsi="Times New Roman" w:cs="Times New Roman"/>
                      <w:color w:val="auto"/>
                      <w:szCs w:val="21"/>
                      <w:highlight w:val="none"/>
                    </w:rPr>
                  </w:pPr>
                </w:p>
              </w:tc>
              <w:tc>
                <w:tcPr>
                  <w:tcW w:w="1117" w:type="dxa"/>
                  <w:tcBorders>
                    <w:tl2br w:val="nil"/>
                    <w:tr2bl w:val="nil"/>
                  </w:tcBorders>
                  <w:noWrap w:val="0"/>
                  <w:vAlign w:val="center"/>
                </w:tcPr>
                <w:p w14:paraId="5440296E">
                  <w:pPr>
                    <w:jc w:val="center"/>
                    <w:rPr>
                      <w:rFonts w:hint="default" w:ascii="Times New Roman" w:hAnsi="Times New Roman" w:cs="Times New Roman"/>
                      <w:color w:val="auto"/>
                      <w:kern w:val="0"/>
                      <w:szCs w:val="21"/>
                      <w:highlight w:val="none"/>
                      <w:lang w:val="en-US"/>
                    </w:rPr>
                  </w:pPr>
                  <w:r>
                    <w:rPr>
                      <w:rFonts w:hint="eastAsia" w:cs="Times New Roman"/>
                      <w:color w:val="auto"/>
                      <w:kern w:val="0"/>
                      <w:szCs w:val="21"/>
                      <w:highlight w:val="none"/>
                      <w:lang w:val="en-US" w:eastAsia="zh-CN"/>
                    </w:rPr>
                    <w:t>发酵、熟化</w:t>
                  </w:r>
                </w:p>
              </w:tc>
              <w:tc>
                <w:tcPr>
                  <w:tcW w:w="963" w:type="dxa"/>
                  <w:tcBorders>
                    <w:tl2br w:val="nil"/>
                    <w:tr2bl w:val="nil"/>
                  </w:tcBorders>
                  <w:noWrap w:val="0"/>
                  <w:vAlign w:val="center"/>
                </w:tcPr>
                <w:p w14:paraId="23123181">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氨、硫化氢、臭气</w:t>
                  </w:r>
                </w:p>
              </w:tc>
              <w:tc>
                <w:tcPr>
                  <w:tcW w:w="4131" w:type="dxa"/>
                  <w:tcBorders>
                    <w:tl2br w:val="nil"/>
                    <w:tr2bl w:val="nil"/>
                  </w:tcBorders>
                  <w:noWrap w:val="0"/>
                  <w:vAlign w:val="center"/>
                </w:tcPr>
                <w:p w14:paraId="38445F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highlight w:val="none"/>
                    </w:rPr>
                  </w:pPr>
                  <w:r>
                    <w:rPr>
                      <w:rFonts w:hint="eastAsia" w:cs="Times New Roman"/>
                      <w:b w:val="0"/>
                      <w:bCs/>
                      <w:color w:val="auto"/>
                      <w:sz w:val="21"/>
                      <w:szCs w:val="21"/>
                      <w:highlight w:val="none"/>
                      <w:vertAlign w:val="baseline"/>
                      <w:lang w:val="en-US" w:eastAsia="zh-CN"/>
                    </w:rPr>
                    <w:t>通过发酵区上方设置负压收集后通过管道进入二级活性炭吸附+水洗塔组合除臭装置处理后经高15m，内径0.5m的排气筒（#2）排放</w:t>
                  </w:r>
                </w:p>
              </w:tc>
              <w:tc>
                <w:tcPr>
                  <w:tcW w:w="867" w:type="dxa"/>
                  <w:vMerge w:val="restart"/>
                  <w:tcBorders>
                    <w:tl2br w:val="nil"/>
                    <w:tr2bl w:val="nil"/>
                  </w:tcBorders>
                  <w:noWrap w:val="0"/>
                  <w:vAlign w:val="center"/>
                </w:tcPr>
                <w:p w14:paraId="12D7A8F0">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r>
            <w:tr w14:paraId="4EE0F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vMerge w:val="continue"/>
                  <w:tcBorders>
                    <w:tl2br w:val="nil"/>
                    <w:tr2bl w:val="nil"/>
                  </w:tcBorders>
                  <w:noWrap w:val="0"/>
                  <w:vAlign w:val="center"/>
                </w:tcPr>
                <w:p w14:paraId="6466327A">
                  <w:pPr>
                    <w:jc w:val="center"/>
                    <w:rPr>
                      <w:rFonts w:hint="default" w:ascii="Times New Roman" w:hAnsi="Times New Roman" w:cs="Times New Roman"/>
                      <w:color w:val="auto"/>
                      <w:szCs w:val="21"/>
                      <w:highlight w:val="none"/>
                    </w:rPr>
                  </w:pPr>
                </w:p>
              </w:tc>
              <w:tc>
                <w:tcPr>
                  <w:tcW w:w="725" w:type="dxa"/>
                  <w:vMerge w:val="continue"/>
                  <w:tcBorders>
                    <w:tl2br w:val="nil"/>
                    <w:tr2bl w:val="nil"/>
                  </w:tcBorders>
                  <w:noWrap w:val="0"/>
                  <w:vAlign w:val="center"/>
                </w:tcPr>
                <w:p w14:paraId="6B3EB48C">
                  <w:pPr>
                    <w:jc w:val="center"/>
                    <w:rPr>
                      <w:rFonts w:hint="default" w:ascii="Times New Roman" w:hAnsi="Times New Roman" w:cs="Times New Roman"/>
                      <w:color w:val="auto"/>
                      <w:szCs w:val="21"/>
                      <w:highlight w:val="none"/>
                    </w:rPr>
                  </w:pPr>
                </w:p>
              </w:tc>
              <w:tc>
                <w:tcPr>
                  <w:tcW w:w="1117" w:type="dxa"/>
                  <w:tcBorders>
                    <w:tl2br w:val="nil"/>
                    <w:tr2bl w:val="nil"/>
                  </w:tcBorders>
                  <w:noWrap w:val="0"/>
                  <w:vAlign w:val="center"/>
                </w:tcPr>
                <w:p w14:paraId="73124076">
                  <w:pPr>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纳米膜发酵车间</w:t>
                  </w:r>
                </w:p>
              </w:tc>
              <w:tc>
                <w:tcPr>
                  <w:tcW w:w="963" w:type="dxa"/>
                  <w:tcBorders>
                    <w:tl2br w:val="nil"/>
                    <w:tr2bl w:val="nil"/>
                  </w:tcBorders>
                  <w:noWrap w:val="0"/>
                  <w:vAlign w:val="center"/>
                </w:tcPr>
                <w:p w14:paraId="0143570C">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氨、硫化氢、臭气</w:t>
                  </w:r>
                </w:p>
              </w:tc>
              <w:tc>
                <w:tcPr>
                  <w:tcW w:w="4131" w:type="dxa"/>
                  <w:tcBorders>
                    <w:tl2br w:val="nil"/>
                    <w:tr2bl w:val="nil"/>
                  </w:tcBorders>
                  <w:noWrap w:val="0"/>
                  <w:vAlign w:val="center"/>
                </w:tcPr>
                <w:p w14:paraId="5D1E87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highlight w:val="none"/>
                      <w:vertAlign w:val="baseline"/>
                      <w:lang w:val="en-US" w:eastAsia="zh-CN"/>
                    </w:rPr>
                  </w:pPr>
                  <w:r>
                    <w:rPr>
                      <w:rFonts w:hint="eastAsia" w:ascii="Times New Roman" w:hAnsi="Times New Roman" w:cs="Times New Roman"/>
                      <w:color w:val="auto"/>
                      <w:spacing w:val="-2"/>
                      <w:sz w:val="21"/>
                      <w:szCs w:val="21"/>
                      <w:highlight w:val="none"/>
                      <w:lang w:val="en-US" w:eastAsia="zh-CN"/>
                    </w:rPr>
                    <w:t>纳米膜车间全封闭设置</w:t>
                  </w:r>
                  <w:r>
                    <w:rPr>
                      <w:rFonts w:hint="eastAsia" w:ascii="Times New Roman" w:hAnsi="Times New Roman" w:cs="Times New Roman"/>
                      <w:color w:val="auto"/>
                      <w:sz w:val="21"/>
                      <w:szCs w:val="21"/>
                      <w:highlight w:val="none"/>
                      <w:lang w:val="en-US" w:eastAsia="zh-CN"/>
                    </w:rPr>
                    <w:t>，定期喷洒微生物除臭剂，</w:t>
                  </w:r>
                  <w:r>
                    <w:rPr>
                      <w:rFonts w:hint="eastAsia" w:ascii="Times New Roman" w:hAnsi="Times New Roman" w:cs="Times New Roman"/>
                      <w:color w:val="auto"/>
                      <w:spacing w:val="-2"/>
                      <w:sz w:val="21"/>
                      <w:szCs w:val="21"/>
                      <w:highlight w:val="none"/>
                      <w:lang w:val="en-US" w:eastAsia="zh-CN"/>
                    </w:rPr>
                    <w:t>无组织排</w:t>
                  </w:r>
                  <w:r>
                    <w:rPr>
                      <w:rFonts w:hint="eastAsia" w:cs="Times New Roman"/>
                      <w:color w:val="auto"/>
                      <w:sz w:val="21"/>
                      <w:szCs w:val="21"/>
                      <w:highlight w:val="none"/>
                      <w:lang w:val="en-US" w:eastAsia="zh-CN"/>
                    </w:rPr>
                    <w:t>放</w:t>
                  </w:r>
                </w:p>
              </w:tc>
              <w:tc>
                <w:tcPr>
                  <w:tcW w:w="867" w:type="dxa"/>
                  <w:vMerge w:val="continue"/>
                  <w:tcBorders>
                    <w:tl2br w:val="nil"/>
                    <w:tr2bl w:val="nil"/>
                  </w:tcBorders>
                  <w:noWrap w:val="0"/>
                  <w:vAlign w:val="center"/>
                </w:tcPr>
                <w:p w14:paraId="059229D4">
                  <w:pPr>
                    <w:jc w:val="center"/>
                    <w:rPr>
                      <w:rFonts w:hint="eastAsia" w:cs="Times New Roman"/>
                      <w:color w:val="auto"/>
                      <w:szCs w:val="21"/>
                      <w:highlight w:val="none"/>
                      <w:lang w:val="en-US" w:eastAsia="zh-CN"/>
                    </w:rPr>
                  </w:pPr>
                </w:p>
              </w:tc>
            </w:tr>
            <w:tr w14:paraId="0FBE0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vMerge w:val="continue"/>
                  <w:tcBorders>
                    <w:tl2br w:val="nil"/>
                    <w:tr2bl w:val="nil"/>
                  </w:tcBorders>
                  <w:noWrap w:val="0"/>
                  <w:vAlign w:val="center"/>
                </w:tcPr>
                <w:p w14:paraId="2CF1C45D">
                  <w:pPr>
                    <w:jc w:val="center"/>
                    <w:rPr>
                      <w:rFonts w:hint="eastAsia" w:ascii="Times New Roman" w:hAnsi="Times New Roman" w:eastAsia="宋体" w:cs="Times New Roman"/>
                      <w:color w:val="auto"/>
                      <w:szCs w:val="21"/>
                      <w:highlight w:val="none"/>
                      <w:lang w:val="en-US" w:eastAsia="zh-CN"/>
                    </w:rPr>
                  </w:pPr>
                </w:p>
              </w:tc>
              <w:tc>
                <w:tcPr>
                  <w:tcW w:w="725" w:type="dxa"/>
                  <w:vMerge w:val="continue"/>
                  <w:tcBorders>
                    <w:tl2br w:val="nil"/>
                    <w:tr2bl w:val="nil"/>
                  </w:tcBorders>
                  <w:noWrap w:val="0"/>
                  <w:vAlign w:val="center"/>
                </w:tcPr>
                <w:p w14:paraId="545F374E">
                  <w:pPr>
                    <w:jc w:val="center"/>
                    <w:rPr>
                      <w:rFonts w:hint="default" w:ascii="Times New Roman" w:hAnsi="Times New Roman" w:cs="Times New Roman"/>
                      <w:color w:val="auto"/>
                      <w:szCs w:val="21"/>
                      <w:highlight w:val="none"/>
                    </w:rPr>
                  </w:pPr>
                </w:p>
              </w:tc>
              <w:tc>
                <w:tcPr>
                  <w:tcW w:w="1117" w:type="dxa"/>
                  <w:tcBorders>
                    <w:tl2br w:val="nil"/>
                    <w:tr2bl w:val="nil"/>
                  </w:tcBorders>
                  <w:noWrap w:val="0"/>
                  <w:vAlign w:val="center"/>
                </w:tcPr>
                <w:p w14:paraId="4618E17C">
                  <w:pPr>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原材料储存库</w:t>
                  </w:r>
                </w:p>
              </w:tc>
              <w:tc>
                <w:tcPr>
                  <w:tcW w:w="963" w:type="dxa"/>
                  <w:tcBorders>
                    <w:tl2br w:val="nil"/>
                    <w:tr2bl w:val="nil"/>
                  </w:tcBorders>
                  <w:noWrap w:val="0"/>
                  <w:vAlign w:val="center"/>
                </w:tcPr>
                <w:p w14:paraId="5C2F411A">
                  <w:pPr>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氨、硫化氢、臭气</w:t>
                  </w:r>
                </w:p>
              </w:tc>
              <w:tc>
                <w:tcPr>
                  <w:tcW w:w="4131" w:type="dxa"/>
                  <w:tcBorders>
                    <w:tl2br w:val="nil"/>
                    <w:tr2bl w:val="nil"/>
                  </w:tcBorders>
                  <w:shd w:val="clear" w:color="auto" w:fill="auto"/>
                  <w:noWrap w:val="0"/>
                  <w:vAlign w:val="center"/>
                </w:tcPr>
                <w:p w14:paraId="689D71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2"/>
                      <w:kern w:val="2"/>
                      <w:sz w:val="21"/>
                      <w:szCs w:val="21"/>
                      <w:highlight w:val="none"/>
                      <w:lang w:val="en-US" w:eastAsia="zh-CN" w:bidi="ar-SA"/>
                    </w:rPr>
                  </w:pPr>
                  <w:r>
                    <w:rPr>
                      <w:rFonts w:hint="eastAsia"/>
                      <w:color w:val="auto"/>
                      <w:highlight w:val="none"/>
                      <w:lang w:val="en-US" w:eastAsia="zh-CN"/>
                    </w:rPr>
                    <w:t>厂房全封闭，产生的恶臭气体定期喷洒生物除臭剂，无组织排放</w:t>
                  </w:r>
                </w:p>
              </w:tc>
              <w:tc>
                <w:tcPr>
                  <w:tcW w:w="867" w:type="dxa"/>
                  <w:tcBorders>
                    <w:tl2br w:val="nil"/>
                    <w:tr2bl w:val="nil"/>
                  </w:tcBorders>
                  <w:noWrap w:val="0"/>
                  <w:vAlign w:val="center"/>
                </w:tcPr>
                <w:p w14:paraId="6A7EC35D">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w:t>
                  </w:r>
                </w:p>
              </w:tc>
            </w:tr>
            <w:tr w14:paraId="13EC0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2" w:type="dxa"/>
                  <w:vMerge w:val="continue"/>
                  <w:tcBorders>
                    <w:tl2br w:val="nil"/>
                    <w:tr2bl w:val="nil"/>
                  </w:tcBorders>
                  <w:noWrap w:val="0"/>
                  <w:vAlign w:val="center"/>
                </w:tcPr>
                <w:p w14:paraId="2FBF97DE">
                  <w:pPr>
                    <w:jc w:val="center"/>
                    <w:rPr>
                      <w:rFonts w:hint="eastAsia" w:ascii="Times New Roman" w:hAnsi="Times New Roman" w:eastAsia="宋体" w:cs="Times New Roman"/>
                      <w:color w:val="auto"/>
                      <w:szCs w:val="21"/>
                      <w:highlight w:val="none"/>
                      <w:lang w:eastAsia="zh-CN"/>
                    </w:rPr>
                  </w:pPr>
                </w:p>
              </w:tc>
              <w:tc>
                <w:tcPr>
                  <w:tcW w:w="725" w:type="dxa"/>
                  <w:vMerge w:val="continue"/>
                  <w:tcBorders>
                    <w:tl2br w:val="nil"/>
                    <w:tr2bl w:val="nil"/>
                  </w:tcBorders>
                  <w:noWrap w:val="0"/>
                  <w:vAlign w:val="center"/>
                </w:tcPr>
                <w:p w14:paraId="6B03D4AB">
                  <w:pPr>
                    <w:jc w:val="center"/>
                    <w:rPr>
                      <w:rFonts w:hint="default" w:ascii="Times New Roman" w:hAnsi="Times New Roman" w:cs="Times New Roman"/>
                      <w:color w:val="auto"/>
                      <w:szCs w:val="21"/>
                      <w:highlight w:val="none"/>
                    </w:rPr>
                  </w:pPr>
                </w:p>
              </w:tc>
              <w:tc>
                <w:tcPr>
                  <w:tcW w:w="1117" w:type="dxa"/>
                  <w:tcBorders>
                    <w:tl2br w:val="nil"/>
                    <w:tr2bl w:val="nil"/>
                  </w:tcBorders>
                  <w:noWrap w:val="0"/>
                  <w:vAlign w:val="center"/>
                </w:tcPr>
                <w:p w14:paraId="38291225">
                  <w:pPr>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包装</w:t>
                  </w:r>
                </w:p>
              </w:tc>
              <w:tc>
                <w:tcPr>
                  <w:tcW w:w="963" w:type="dxa"/>
                  <w:tcBorders>
                    <w:tl2br w:val="nil"/>
                    <w:tr2bl w:val="nil"/>
                  </w:tcBorders>
                  <w:noWrap w:val="0"/>
                  <w:vAlign w:val="center"/>
                </w:tcPr>
                <w:p w14:paraId="6F358EFB">
                  <w:pPr>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颗粒物</w:t>
                  </w:r>
                </w:p>
              </w:tc>
              <w:tc>
                <w:tcPr>
                  <w:tcW w:w="4131" w:type="dxa"/>
                  <w:tcBorders>
                    <w:tl2br w:val="nil"/>
                    <w:tr2bl w:val="nil"/>
                  </w:tcBorders>
                  <w:noWrap w:val="0"/>
                  <w:vAlign w:val="center"/>
                </w:tcPr>
                <w:p w14:paraId="37876E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Cs w:val="21"/>
                      <w:highlight w:val="none"/>
                      <w:lang w:eastAsia="zh-CN"/>
                    </w:rPr>
                  </w:pPr>
                  <w:r>
                    <w:rPr>
                      <w:rFonts w:hint="eastAsia" w:cs="Times New Roman"/>
                      <w:b w:val="0"/>
                      <w:bCs/>
                      <w:color w:val="auto"/>
                      <w:sz w:val="21"/>
                      <w:szCs w:val="21"/>
                      <w:highlight w:val="none"/>
                      <w:vertAlign w:val="baseline"/>
                      <w:lang w:val="en-US" w:eastAsia="zh-CN"/>
                    </w:rPr>
                    <w:t>厂房封闭，无组织排放</w:t>
                  </w:r>
                </w:p>
              </w:tc>
              <w:tc>
                <w:tcPr>
                  <w:tcW w:w="867" w:type="dxa"/>
                  <w:tcBorders>
                    <w:tl2br w:val="nil"/>
                    <w:tr2bl w:val="nil"/>
                  </w:tcBorders>
                  <w:noWrap w:val="0"/>
                  <w:vAlign w:val="center"/>
                </w:tcPr>
                <w:p w14:paraId="1F3B525D">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r>
            <w:tr w14:paraId="384D4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tcBorders>
                    <w:tl2br w:val="nil"/>
                    <w:tr2bl w:val="nil"/>
                  </w:tcBorders>
                  <w:noWrap w:val="0"/>
                  <w:vAlign w:val="center"/>
                </w:tcPr>
                <w:p w14:paraId="744741EA">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2</w:t>
                  </w:r>
                </w:p>
              </w:tc>
              <w:tc>
                <w:tcPr>
                  <w:tcW w:w="725" w:type="dxa"/>
                  <w:tcBorders>
                    <w:tl2br w:val="nil"/>
                    <w:tr2bl w:val="nil"/>
                  </w:tcBorders>
                  <w:noWrap w:val="0"/>
                  <w:vAlign w:val="center"/>
                </w:tcPr>
                <w:p w14:paraId="1DB8001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w:t>
                  </w:r>
                </w:p>
              </w:tc>
              <w:tc>
                <w:tcPr>
                  <w:tcW w:w="1117" w:type="dxa"/>
                  <w:tcBorders>
                    <w:tl2br w:val="nil"/>
                    <w:tr2bl w:val="nil"/>
                  </w:tcBorders>
                  <w:noWrap w:val="0"/>
                  <w:vAlign w:val="center"/>
                </w:tcPr>
                <w:p w14:paraId="04F3A7E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员工生活</w:t>
                  </w:r>
                </w:p>
              </w:tc>
              <w:tc>
                <w:tcPr>
                  <w:tcW w:w="963" w:type="dxa"/>
                  <w:tcBorders>
                    <w:tl2br w:val="nil"/>
                    <w:tr2bl w:val="nil"/>
                  </w:tcBorders>
                  <w:noWrap w:val="0"/>
                  <w:vAlign w:val="center"/>
                </w:tcPr>
                <w:p w14:paraId="2B5F36B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生活污水</w:t>
                  </w:r>
                </w:p>
              </w:tc>
              <w:tc>
                <w:tcPr>
                  <w:tcW w:w="4131" w:type="dxa"/>
                  <w:tcBorders>
                    <w:tl2br w:val="nil"/>
                    <w:tr2bl w:val="nil"/>
                  </w:tcBorders>
                  <w:noWrap w:val="0"/>
                  <w:vAlign w:val="center"/>
                </w:tcPr>
                <w:p w14:paraId="2A1210A8">
                  <w:pPr>
                    <w:widowControl/>
                    <w:jc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玻璃钢</w:t>
                  </w:r>
                  <w:r>
                    <w:rPr>
                      <w:rFonts w:hint="default" w:ascii="Times New Roman" w:hAnsi="Times New Roman" w:cs="Times New Roman"/>
                      <w:color w:val="auto"/>
                      <w:kern w:val="0"/>
                      <w:szCs w:val="21"/>
                      <w:highlight w:val="none"/>
                      <w:lang w:bidi="ar"/>
                    </w:rPr>
                    <w:t>化粪池</w:t>
                  </w:r>
                </w:p>
              </w:tc>
              <w:tc>
                <w:tcPr>
                  <w:tcW w:w="867" w:type="dxa"/>
                  <w:tcBorders>
                    <w:tl2br w:val="nil"/>
                    <w:tr2bl w:val="nil"/>
                  </w:tcBorders>
                  <w:noWrap w:val="0"/>
                  <w:vAlign w:val="center"/>
                </w:tcPr>
                <w:p w14:paraId="6520ED90">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1</w:t>
                  </w:r>
                </w:p>
              </w:tc>
            </w:tr>
            <w:tr w14:paraId="0DC63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tcBorders>
                    <w:tl2br w:val="nil"/>
                    <w:tr2bl w:val="nil"/>
                  </w:tcBorders>
                  <w:noWrap w:val="0"/>
                  <w:vAlign w:val="center"/>
                </w:tcPr>
                <w:p w14:paraId="2331A2B2">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3</w:t>
                  </w:r>
                </w:p>
              </w:tc>
              <w:tc>
                <w:tcPr>
                  <w:tcW w:w="725" w:type="dxa"/>
                  <w:tcBorders>
                    <w:tl2br w:val="nil"/>
                    <w:tr2bl w:val="nil"/>
                  </w:tcBorders>
                  <w:noWrap w:val="0"/>
                  <w:vAlign w:val="center"/>
                </w:tcPr>
                <w:p w14:paraId="117C797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1117" w:type="dxa"/>
                  <w:tcBorders>
                    <w:tl2br w:val="nil"/>
                    <w:tr2bl w:val="nil"/>
                  </w:tcBorders>
                  <w:noWrap w:val="0"/>
                  <w:vAlign w:val="center"/>
                </w:tcPr>
                <w:p w14:paraId="125B296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生产过程</w:t>
                  </w:r>
                </w:p>
              </w:tc>
              <w:tc>
                <w:tcPr>
                  <w:tcW w:w="963" w:type="dxa"/>
                  <w:tcBorders>
                    <w:tl2br w:val="nil"/>
                    <w:tr2bl w:val="nil"/>
                  </w:tcBorders>
                  <w:noWrap w:val="0"/>
                  <w:vAlign w:val="center"/>
                </w:tcPr>
                <w:p w14:paraId="5EB8A64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生产设备</w:t>
                  </w:r>
                </w:p>
              </w:tc>
              <w:tc>
                <w:tcPr>
                  <w:tcW w:w="4131" w:type="dxa"/>
                  <w:tcBorders>
                    <w:tl2br w:val="nil"/>
                    <w:tr2bl w:val="nil"/>
                  </w:tcBorders>
                  <w:noWrap w:val="0"/>
                  <w:vAlign w:val="center"/>
                </w:tcPr>
                <w:p w14:paraId="553E1F3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基础减震、高噪声设备消声</w:t>
                  </w:r>
                </w:p>
              </w:tc>
              <w:tc>
                <w:tcPr>
                  <w:tcW w:w="867" w:type="dxa"/>
                  <w:tcBorders>
                    <w:tl2br w:val="nil"/>
                    <w:tr2bl w:val="nil"/>
                  </w:tcBorders>
                  <w:noWrap w:val="0"/>
                  <w:vAlign w:val="center"/>
                </w:tcPr>
                <w:p w14:paraId="63A19C6D">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4.5</w:t>
                  </w:r>
                </w:p>
              </w:tc>
            </w:tr>
            <w:tr w14:paraId="3F122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vMerge w:val="restart"/>
                  <w:tcBorders>
                    <w:tl2br w:val="nil"/>
                    <w:tr2bl w:val="nil"/>
                  </w:tcBorders>
                  <w:noWrap w:val="0"/>
                  <w:vAlign w:val="center"/>
                </w:tcPr>
                <w:p w14:paraId="7C1DB0AB">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4</w:t>
                  </w:r>
                </w:p>
              </w:tc>
              <w:tc>
                <w:tcPr>
                  <w:tcW w:w="725" w:type="dxa"/>
                  <w:vMerge w:val="restart"/>
                  <w:tcBorders>
                    <w:tl2br w:val="nil"/>
                    <w:tr2bl w:val="nil"/>
                  </w:tcBorders>
                  <w:noWrap w:val="0"/>
                  <w:vAlign w:val="center"/>
                </w:tcPr>
                <w:p w14:paraId="4D21757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w:t>
                  </w:r>
                </w:p>
              </w:tc>
              <w:tc>
                <w:tcPr>
                  <w:tcW w:w="1117" w:type="dxa"/>
                  <w:tcBorders>
                    <w:tl2br w:val="nil"/>
                    <w:tr2bl w:val="nil"/>
                  </w:tcBorders>
                  <w:noWrap w:val="0"/>
                  <w:vAlign w:val="center"/>
                </w:tcPr>
                <w:p w14:paraId="75B8D87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员工生活</w:t>
                  </w:r>
                </w:p>
              </w:tc>
              <w:tc>
                <w:tcPr>
                  <w:tcW w:w="963" w:type="dxa"/>
                  <w:tcBorders>
                    <w:tl2br w:val="nil"/>
                    <w:tr2bl w:val="nil"/>
                  </w:tcBorders>
                  <w:noWrap w:val="0"/>
                  <w:vAlign w:val="center"/>
                </w:tcPr>
                <w:p w14:paraId="7E1E100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w:t>
                  </w:r>
                </w:p>
              </w:tc>
              <w:tc>
                <w:tcPr>
                  <w:tcW w:w="4131" w:type="dxa"/>
                  <w:tcBorders>
                    <w:tl2br w:val="nil"/>
                    <w:tr2bl w:val="nil"/>
                  </w:tcBorders>
                  <w:noWrap w:val="0"/>
                  <w:vAlign w:val="center"/>
                </w:tcPr>
                <w:p w14:paraId="0902888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垃圾桶集中收集</w:t>
                  </w:r>
                </w:p>
              </w:tc>
              <w:tc>
                <w:tcPr>
                  <w:tcW w:w="867" w:type="dxa"/>
                  <w:vMerge w:val="restart"/>
                  <w:tcBorders>
                    <w:tl2br w:val="nil"/>
                    <w:tr2bl w:val="nil"/>
                  </w:tcBorders>
                  <w:noWrap w:val="0"/>
                  <w:vAlign w:val="center"/>
                </w:tcPr>
                <w:p w14:paraId="0362DD01">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r>
            <w:tr w14:paraId="05ED0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vMerge w:val="continue"/>
                  <w:tcBorders>
                    <w:tl2br w:val="nil"/>
                    <w:tr2bl w:val="nil"/>
                  </w:tcBorders>
                  <w:noWrap w:val="0"/>
                  <w:vAlign w:val="center"/>
                </w:tcPr>
                <w:p w14:paraId="0062BC5D">
                  <w:pPr>
                    <w:jc w:val="center"/>
                    <w:rPr>
                      <w:rFonts w:hint="eastAsia" w:cs="Times New Roman"/>
                      <w:color w:val="auto"/>
                      <w:szCs w:val="21"/>
                      <w:highlight w:val="none"/>
                      <w:lang w:val="en-US" w:eastAsia="zh-CN"/>
                    </w:rPr>
                  </w:pPr>
                </w:p>
              </w:tc>
              <w:tc>
                <w:tcPr>
                  <w:tcW w:w="725" w:type="dxa"/>
                  <w:vMerge w:val="continue"/>
                  <w:tcBorders>
                    <w:tl2br w:val="nil"/>
                    <w:tr2bl w:val="nil"/>
                  </w:tcBorders>
                  <w:noWrap w:val="0"/>
                  <w:vAlign w:val="center"/>
                </w:tcPr>
                <w:p w14:paraId="71FDFDF4">
                  <w:pPr>
                    <w:jc w:val="center"/>
                    <w:rPr>
                      <w:rFonts w:hint="default" w:ascii="Times New Roman" w:hAnsi="Times New Roman" w:cs="Times New Roman"/>
                      <w:color w:val="auto"/>
                      <w:szCs w:val="21"/>
                      <w:highlight w:val="none"/>
                    </w:rPr>
                  </w:pPr>
                </w:p>
              </w:tc>
              <w:tc>
                <w:tcPr>
                  <w:tcW w:w="1117" w:type="dxa"/>
                  <w:tcBorders>
                    <w:tl2br w:val="nil"/>
                    <w:tr2bl w:val="nil"/>
                  </w:tcBorders>
                  <w:noWrap w:val="0"/>
                  <w:vAlign w:val="center"/>
                </w:tcPr>
                <w:p w14:paraId="709EF88A">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质量检验室</w:t>
                  </w:r>
                </w:p>
              </w:tc>
              <w:tc>
                <w:tcPr>
                  <w:tcW w:w="963" w:type="dxa"/>
                  <w:tcBorders>
                    <w:tl2br w:val="nil"/>
                    <w:tr2bl w:val="nil"/>
                  </w:tcBorders>
                  <w:noWrap w:val="0"/>
                  <w:vAlign w:val="center"/>
                </w:tcPr>
                <w:p w14:paraId="120E912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检验室一般固体废物</w:t>
                  </w:r>
                </w:p>
              </w:tc>
              <w:tc>
                <w:tcPr>
                  <w:tcW w:w="4131" w:type="dxa"/>
                  <w:tcBorders>
                    <w:tl2br w:val="nil"/>
                    <w:tr2bl w:val="nil"/>
                  </w:tcBorders>
                  <w:noWrap w:val="0"/>
                  <w:vAlign w:val="center"/>
                </w:tcPr>
                <w:p w14:paraId="3E97D752">
                  <w:pPr>
                    <w:widowControl/>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分类收集至一般固废间后环卫部门处理</w:t>
                  </w:r>
                </w:p>
              </w:tc>
              <w:tc>
                <w:tcPr>
                  <w:tcW w:w="867" w:type="dxa"/>
                  <w:vMerge w:val="continue"/>
                  <w:tcBorders>
                    <w:tl2br w:val="nil"/>
                    <w:tr2bl w:val="nil"/>
                  </w:tcBorders>
                  <w:noWrap w:val="0"/>
                  <w:vAlign w:val="center"/>
                </w:tcPr>
                <w:p w14:paraId="4A6C17B8">
                  <w:pPr>
                    <w:jc w:val="center"/>
                    <w:rPr>
                      <w:rFonts w:hint="default" w:ascii="Times New Roman" w:hAnsi="Times New Roman" w:cs="Times New Roman"/>
                      <w:color w:val="auto"/>
                      <w:szCs w:val="21"/>
                      <w:highlight w:val="none"/>
                    </w:rPr>
                  </w:pPr>
                </w:p>
              </w:tc>
            </w:tr>
            <w:tr w14:paraId="1AA10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572" w:type="dxa"/>
                  <w:vMerge w:val="restart"/>
                  <w:tcBorders>
                    <w:tl2br w:val="nil"/>
                    <w:tr2bl w:val="nil"/>
                  </w:tcBorders>
                  <w:noWrap w:val="0"/>
                  <w:vAlign w:val="center"/>
                </w:tcPr>
                <w:p w14:paraId="68635127">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5</w:t>
                  </w:r>
                </w:p>
              </w:tc>
              <w:tc>
                <w:tcPr>
                  <w:tcW w:w="725" w:type="dxa"/>
                  <w:vMerge w:val="restart"/>
                  <w:tcBorders>
                    <w:tl2br w:val="nil"/>
                    <w:tr2bl w:val="nil"/>
                  </w:tcBorders>
                  <w:noWrap w:val="0"/>
                  <w:vAlign w:val="center"/>
                </w:tcPr>
                <w:p w14:paraId="3C3234FC">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危废</w:t>
                  </w:r>
                </w:p>
              </w:tc>
              <w:tc>
                <w:tcPr>
                  <w:tcW w:w="1117" w:type="dxa"/>
                  <w:tcBorders>
                    <w:tl2br w:val="nil"/>
                    <w:tr2bl w:val="nil"/>
                  </w:tcBorders>
                  <w:noWrap w:val="0"/>
                  <w:vAlign w:val="center"/>
                </w:tcPr>
                <w:p w14:paraId="4248670C">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设备检修</w:t>
                  </w:r>
                </w:p>
              </w:tc>
              <w:tc>
                <w:tcPr>
                  <w:tcW w:w="963" w:type="dxa"/>
                  <w:tcBorders>
                    <w:tl2br w:val="nil"/>
                    <w:tr2bl w:val="nil"/>
                  </w:tcBorders>
                  <w:noWrap w:val="0"/>
                  <w:vAlign w:val="center"/>
                </w:tcPr>
                <w:p w14:paraId="70520FDF">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废润滑油、废润滑油桶</w:t>
                  </w:r>
                </w:p>
              </w:tc>
              <w:tc>
                <w:tcPr>
                  <w:tcW w:w="4131" w:type="dxa"/>
                  <w:tcBorders>
                    <w:tl2br w:val="nil"/>
                    <w:tr2bl w:val="nil"/>
                  </w:tcBorders>
                  <w:noWrap w:val="0"/>
                  <w:vAlign w:val="center"/>
                </w:tcPr>
                <w:p w14:paraId="5A58FD91">
                  <w:pPr>
                    <w:spacing w:line="20" w:lineRule="atLeast"/>
                    <w:jc w:val="center"/>
                    <w:rPr>
                      <w:rFonts w:hint="default" w:ascii="Times New Roman" w:hAnsi="Times New Roman" w:cs="Times New Roman"/>
                      <w:color w:val="auto"/>
                      <w:kern w:val="0"/>
                      <w:szCs w:val="21"/>
                      <w:highlight w:val="none"/>
                      <w:lang w:bidi="ar"/>
                    </w:rPr>
                  </w:pPr>
                  <w:r>
                    <w:rPr>
                      <w:rFonts w:hint="eastAsia" w:ascii="Times New Roman" w:hAnsi="Times New Roman" w:cs="Times New Roman"/>
                      <w:color w:val="auto"/>
                      <w:kern w:val="0"/>
                      <w:sz w:val="21"/>
                      <w:szCs w:val="21"/>
                      <w:highlight w:val="none"/>
                      <w:vertAlign w:val="baseline"/>
                      <w:lang w:val="en-US" w:eastAsia="zh-CN" w:bidi="ar-SA"/>
                    </w:rPr>
                    <w:t>桶装暂存至危废间定期委托有资质单位规范转运处置</w:t>
                  </w:r>
                </w:p>
              </w:tc>
              <w:tc>
                <w:tcPr>
                  <w:tcW w:w="867" w:type="dxa"/>
                  <w:vMerge w:val="restart"/>
                  <w:tcBorders>
                    <w:tl2br w:val="nil"/>
                    <w:tr2bl w:val="nil"/>
                  </w:tcBorders>
                  <w:noWrap w:val="0"/>
                  <w:vAlign w:val="center"/>
                </w:tcPr>
                <w:p w14:paraId="06FBAC09">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r>
            <w:tr w14:paraId="0095E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vMerge w:val="continue"/>
                  <w:tcBorders>
                    <w:tl2br w:val="nil"/>
                    <w:tr2bl w:val="nil"/>
                  </w:tcBorders>
                  <w:noWrap w:val="0"/>
                  <w:vAlign w:val="center"/>
                </w:tcPr>
                <w:p w14:paraId="637F16AF">
                  <w:pPr>
                    <w:jc w:val="center"/>
                    <w:rPr>
                      <w:rFonts w:hint="eastAsia" w:cs="Times New Roman"/>
                      <w:color w:val="auto"/>
                      <w:szCs w:val="21"/>
                      <w:highlight w:val="none"/>
                      <w:lang w:val="en-US" w:eastAsia="zh-CN"/>
                    </w:rPr>
                  </w:pPr>
                </w:p>
              </w:tc>
              <w:tc>
                <w:tcPr>
                  <w:tcW w:w="725" w:type="dxa"/>
                  <w:vMerge w:val="continue"/>
                  <w:tcBorders>
                    <w:tl2br w:val="nil"/>
                    <w:tr2bl w:val="nil"/>
                  </w:tcBorders>
                  <w:noWrap w:val="0"/>
                  <w:vAlign w:val="center"/>
                </w:tcPr>
                <w:p w14:paraId="4E9ED002">
                  <w:pPr>
                    <w:jc w:val="center"/>
                    <w:rPr>
                      <w:rFonts w:hint="default" w:ascii="Times New Roman" w:hAnsi="Times New Roman" w:cs="Times New Roman"/>
                      <w:color w:val="auto"/>
                      <w:szCs w:val="21"/>
                      <w:highlight w:val="none"/>
                    </w:rPr>
                  </w:pPr>
                </w:p>
              </w:tc>
              <w:tc>
                <w:tcPr>
                  <w:tcW w:w="1117" w:type="dxa"/>
                  <w:tcBorders>
                    <w:tl2br w:val="nil"/>
                    <w:tr2bl w:val="nil"/>
                  </w:tcBorders>
                  <w:noWrap w:val="0"/>
                  <w:vAlign w:val="center"/>
                </w:tcPr>
                <w:p w14:paraId="370EA962">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质量检验室</w:t>
                  </w:r>
                </w:p>
              </w:tc>
              <w:tc>
                <w:tcPr>
                  <w:tcW w:w="963" w:type="dxa"/>
                  <w:tcBorders>
                    <w:tl2br w:val="nil"/>
                    <w:tr2bl w:val="nil"/>
                  </w:tcBorders>
                  <w:noWrap w:val="0"/>
                  <w:vAlign w:val="center"/>
                </w:tcPr>
                <w:p w14:paraId="40F9EC11">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检验室危废</w:t>
                  </w:r>
                </w:p>
              </w:tc>
              <w:tc>
                <w:tcPr>
                  <w:tcW w:w="4131" w:type="dxa"/>
                  <w:tcBorders>
                    <w:tl2br w:val="nil"/>
                    <w:tr2bl w:val="nil"/>
                  </w:tcBorders>
                  <w:noWrap w:val="0"/>
                  <w:vAlign w:val="center"/>
                </w:tcPr>
                <w:p w14:paraId="310BE63B">
                  <w:pPr>
                    <w:spacing w:line="20" w:lineRule="atLeast"/>
                    <w:jc w:val="center"/>
                    <w:rPr>
                      <w:rFonts w:hint="default" w:ascii="Times New Roman" w:hAnsi="Times New Roman" w:cs="Times New Roman"/>
                      <w:color w:val="auto"/>
                      <w:kern w:val="0"/>
                      <w:szCs w:val="21"/>
                      <w:highlight w:val="none"/>
                      <w:lang w:bidi="ar"/>
                    </w:rPr>
                  </w:pPr>
                  <w:r>
                    <w:rPr>
                      <w:rFonts w:hint="eastAsia" w:ascii="Times New Roman" w:hAnsi="Times New Roman" w:cs="Times New Roman"/>
                      <w:color w:val="auto"/>
                      <w:kern w:val="0"/>
                      <w:sz w:val="21"/>
                      <w:szCs w:val="21"/>
                      <w:highlight w:val="none"/>
                      <w:vertAlign w:val="baseline"/>
                      <w:lang w:val="en-US" w:eastAsia="zh-CN" w:bidi="ar-SA"/>
                    </w:rPr>
                    <w:t>分类收集、专用容器密闭贮存至危废间，建立危废台账，定期委托有资质单位规范转运处置</w:t>
                  </w:r>
                </w:p>
              </w:tc>
              <w:tc>
                <w:tcPr>
                  <w:tcW w:w="867" w:type="dxa"/>
                  <w:vMerge w:val="continue"/>
                  <w:tcBorders>
                    <w:tl2br w:val="nil"/>
                    <w:tr2bl w:val="nil"/>
                  </w:tcBorders>
                  <w:noWrap w:val="0"/>
                  <w:vAlign w:val="center"/>
                </w:tcPr>
                <w:p w14:paraId="5E0A7FB0">
                  <w:pPr>
                    <w:jc w:val="center"/>
                    <w:rPr>
                      <w:rFonts w:hint="default" w:ascii="Times New Roman" w:hAnsi="Times New Roman" w:cs="Times New Roman"/>
                      <w:color w:val="auto"/>
                      <w:szCs w:val="21"/>
                      <w:highlight w:val="none"/>
                    </w:rPr>
                  </w:pPr>
                </w:p>
              </w:tc>
            </w:tr>
            <w:tr w14:paraId="5803C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72" w:type="dxa"/>
                  <w:vMerge w:val="restart"/>
                  <w:tcBorders>
                    <w:tl2br w:val="nil"/>
                    <w:tr2bl w:val="nil"/>
                  </w:tcBorders>
                  <w:noWrap w:val="0"/>
                  <w:vAlign w:val="center"/>
                </w:tcPr>
                <w:p w14:paraId="4557A3DA">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6</w:t>
                  </w:r>
                </w:p>
              </w:tc>
              <w:tc>
                <w:tcPr>
                  <w:tcW w:w="725" w:type="dxa"/>
                  <w:vMerge w:val="restart"/>
                  <w:tcBorders>
                    <w:tl2br w:val="nil"/>
                    <w:tr2bl w:val="nil"/>
                  </w:tcBorders>
                  <w:noWrap w:val="0"/>
                  <w:vAlign w:val="center"/>
                </w:tcPr>
                <w:p w14:paraId="2D0EA2B0">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防渗</w:t>
                  </w:r>
                </w:p>
              </w:tc>
              <w:tc>
                <w:tcPr>
                  <w:tcW w:w="2080" w:type="dxa"/>
                  <w:gridSpan w:val="2"/>
                  <w:vMerge w:val="restart"/>
                  <w:tcBorders>
                    <w:tl2br w:val="nil"/>
                    <w:tr2bl w:val="nil"/>
                  </w:tcBorders>
                  <w:noWrap w:val="0"/>
                  <w:vAlign w:val="center"/>
                </w:tcPr>
                <w:p w14:paraId="6BA4FF11">
                  <w:pPr>
                    <w:jc w:val="center"/>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原辅料储存、生产、固废储存过程</w:t>
                  </w:r>
                </w:p>
              </w:tc>
              <w:tc>
                <w:tcPr>
                  <w:tcW w:w="4131" w:type="dxa"/>
                  <w:tcBorders>
                    <w:tl2br w:val="nil"/>
                    <w:tr2bl w:val="nil"/>
                  </w:tcBorders>
                  <w:noWrap w:val="0"/>
                  <w:vAlign w:val="center"/>
                </w:tcPr>
                <w:p w14:paraId="2D2E9304">
                  <w:pPr>
                    <w:pStyle w:val="95"/>
                    <w:keepNext w:val="0"/>
                    <w:keepLines w:val="0"/>
                    <w:pageBreakBefore w:val="0"/>
                    <w:widowControl w:val="0"/>
                    <w:kinsoku/>
                    <w:wordWrap/>
                    <w:overflowPunct/>
                    <w:topLinePunct w:val="0"/>
                    <w:autoSpaceDE/>
                    <w:autoSpaceDN/>
                    <w:bidi w:val="0"/>
                    <w:adjustRightInd/>
                    <w:snapToGrid/>
                    <w:ind w:firstLine="412" w:firstLineChars="200"/>
                    <w:jc w:val="left"/>
                    <w:textAlignment w:val="auto"/>
                    <w:rPr>
                      <w:rFonts w:hint="default" w:ascii="Times New Roman" w:hAnsi="Times New Roman" w:cs="Times New Roman"/>
                      <w:color w:val="auto"/>
                      <w:kern w:val="0"/>
                      <w:szCs w:val="21"/>
                      <w:highlight w:val="none"/>
                      <w:lang w:bidi="ar"/>
                    </w:rPr>
                  </w:pPr>
                  <w:r>
                    <w:rPr>
                      <w:rFonts w:hint="eastAsia" w:cs="Times New Roman"/>
                      <w:color w:val="auto"/>
                      <w:spacing w:val="-2"/>
                      <w:sz w:val="21"/>
                      <w:szCs w:val="21"/>
                      <w:highlight w:val="none"/>
                      <w:lang w:val="en-US" w:eastAsia="zh-CN"/>
                    </w:rPr>
                    <w:t>危废间地面及裙角进行防渗处理，地面防渗措施为在混凝土上铺设复合土工膜+水泥砂浆抹灰及环氧树脂耐油防腐地坪，渗透系数≤ 10</w:t>
                  </w:r>
                  <w:r>
                    <w:rPr>
                      <w:rFonts w:hint="eastAsia" w:cs="Times New Roman"/>
                      <w:color w:val="auto"/>
                      <w:spacing w:val="-2"/>
                      <w:sz w:val="21"/>
                      <w:szCs w:val="21"/>
                      <w:highlight w:val="none"/>
                      <w:vertAlign w:val="superscript"/>
                      <w:lang w:val="en-US" w:eastAsia="zh-CN"/>
                    </w:rPr>
                    <w:t>-10</w:t>
                  </w:r>
                  <w:r>
                    <w:rPr>
                      <w:rFonts w:hint="eastAsia" w:cs="Times New Roman"/>
                      <w:color w:val="auto"/>
                      <w:spacing w:val="-2"/>
                      <w:sz w:val="21"/>
                      <w:szCs w:val="21"/>
                      <w:highlight w:val="none"/>
                      <w:lang w:val="en-US" w:eastAsia="zh-CN"/>
                    </w:rPr>
                    <w:t>cm/s并设置收集池、导流槽等设施。</w:t>
                  </w:r>
                </w:p>
              </w:tc>
              <w:tc>
                <w:tcPr>
                  <w:tcW w:w="867" w:type="dxa"/>
                  <w:vMerge w:val="restart"/>
                  <w:tcBorders>
                    <w:tl2br w:val="nil"/>
                    <w:tr2bl w:val="nil"/>
                  </w:tcBorders>
                  <w:noWrap w:val="0"/>
                  <w:vAlign w:val="center"/>
                </w:tcPr>
                <w:p w14:paraId="2AEA9ECF">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230</w:t>
                  </w:r>
                </w:p>
              </w:tc>
            </w:tr>
            <w:tr w14:paraId="77944E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0" w:hRule="atLeast"/>
                <w:jc w:val="center"/>
              </w:trPr>
              <w:tc>
                <w:tcPr>
                  <w:tcW w:w="572" w:type="dxa"/>
                  <w:vMerge w:val="continue"/>
                  <w:tcBorders>
                    <w:tl2br w:val="nil"/>
                    <w:tr2bl w:val="nil"/>
                  </w:tcBorders>
                  <w:noWrap w:val="0"/>
                  <w:vAlign w:val="center"/>
                </w:tcPr>
                <w:p w14:paraId="74321C92">
                  <w:pPr>
                    <w:widowControl/>
                    <w:jc w:val="center"/>
                    <w:rPr>
                      <w:color w:val="auto"/>
                      <w:highlight w:val="none"/>
                    </w:rPr>
                  </w:pPr>
                </w:p>
              </w:tc>
              <w:tc>
                <w:tcPr>
                  <w:tcW w:w="725" w:type="dxa"/>
                  <w:vMerge w:val="continue"/>
                  <w:tcBorders>
                    <w:tl2br w:val="nil"/>
                    <w:tr2bl w:val="nil"/>
                  </w:tcBorders>
                  <w:noWrap w:val="0"/>
                  <w:vAlign w:val="center"/>
                </w:tcPr>
                <w:p w14:paraId="1FF410EF">
                  <w:pPr>
                    <w:widowControl/>
                    <w:jc w:val="center"/>
                    <w:rPr>
                      <w:color w:val="auto"/>
                      <w:highlight w:val="none"/>
                    </w:rPr>
                  </w:pPr>
                </w:p>
              </w:tc>
              <w:tc>
                <w:tcPr>
                  <w:tcW w:w="2080" w:type="dxa"/>
                  <w:gridSpan w:val="2"/>
                  <w:vMerge w:val="continue"/>
                  <w:tcBorders>
                    <w:tl2br w:val="nil"/>
                    <w:tr2bl w:val="nil"/>
                  </w:tcBorders>
                  <w:noWrap w:val="0"/>
                  <w:vAlign w:val="center"/>
                </w:tcPr>
                <w:p w14:paraId="76FB2C48">
                  <w:pPr>
                    <w:widowControl/>
                    <w:jc w:val="center"/>
                    <w:rPr>
                      <w:color w:val="auto"/>
                      <w:highlight w:val="none"/>
                    </w:rPr>
                  </w:pPr>
                </w:p>
              </w:tc>
              <w:tc>
                <w:tcPr>
                  <w:tcW w:w="4131" w:type="dxa"/>
                  <w:tcBorders>
                    <w:tl2br w:val="nil"/>
                    <w:tr2bl w:val="nil"/>
                  </w:tcBorders>
                  <w:noWrap w:val="0"/>
                  <w:vAlign w:val="center"/>
                </w:tcPr>
                <w:p w14:paraId="4E986DFC">
                  <w:pPr>
                    <w:pStyle w:val="95"/>
                    <w:keepNext w:val="0"/>
                    <w:keepLines w:val="0"/>
                    <w:pageBreakBefore w:val="0"/>
                    <w:widowControl w:val="0"/>
                    <w:kinsoku/>
                    <w:wordWrap/>
                    <w:overflowPunct/>
                    <w:topLinePunct w:val="0"/>
                    <w:autoSpaceDE/>
                    <w:autoSpaceDN/>
                    <w:bidi w:val="0"/>
                    <w:adjustRightInd/>
                    <w:snapToGrid/>
                    <w:ind w:firstLine="396" w:firstLineChars="200"/>
                    <w:jc w:val="left"/>
                    <w:textAlignment w:val="auto"/>
                    <w:rPr>
                      <w:rFonts w:hint="default" w:ascii="Times New Roman" w:hAnsi="Times New Roman" w:cs="Times New Roman"/>
                      <w:color w:val="auto"/>
                      <w:kern w:val="0"/>
                      <w:szCs w:val="21"/>
                      <w:highlight w:val="none"/>
                      <w:lang w:bidi="ar"/>
                    </w:rPr>
                  </w:pPr>
                  <w:r>
                    <w:rPr>
                      <w:rFonts w:hint="eastAsia" w:cs="Times New Roman"/>
                      <w:color w:val="auto"/>
                      <w:spacing w:val="-6"/>
                      <w:sz w:val="21"/>
                      <w:szCs w:val="21"/>
                      <w:highlight w:val="none"/>
                      <w:lang w:val="en-US" w:eastAsia="zh-CN" w:bidi="zh-CN"/>
                    </w:rPr>
                    <w:t>生产车间、纳米膜发酵车间、一般固废间、玻璃钢化粪池、质量检验室地面采用</w:t>
                  </w:r>
                  <w:r>
                    <w:rPr>
                      <w:rFonts w:hint="default"/>
                      <w:color w:val="auto"/>
                      <w:highlight w:val="none"/>
                      <w:lang w:val="en-US" w:eastAsia="zh-CN"/>
                    </w:rPr>
                    <w:t>C30防渗混凝土+2mmHDPE膜，厚度≥150mm，防渗等级K≤10</w:t>
                  </w:r>
                  <w:r>
                    <w:rPr>
                      <w:rFonts w:hint="eastAsia"/>
                      <w:color w:val="auto"/>
                      <w:highlight w:val="none"/>
                      <w:vertAlign w:val="superscript"/>
                      <w:lang w:val="en-US" w:eastAsia="zh-CN"/>
                    </w:rPr>
                    <w:t>-7</w:t>
                  </w:r>
                  <w:r>
                    <w:rPr>
                      <w:rFonts w:hint="default"/>
                      <w:color w:val="auto"/>
                      <w:highlight w:val="none"/>
                      <w:lang w:val="en-US" w:eastAsia="zh-CN"/>
                    </w:rPr>
                    <w:t>cm/s</w:t>
                  </w:r>
                  <w:r>
                    <w:rPr>
                      <w:rFonts w:hint="eastAsia"/>
                      <w:color w:val="auto"/>
                      <w:highlight w:val="none"/>
                      <w:lang w:val="en-US" w:eastAsia="zh-CN"/>
                    </w:rPr>
                    <w:t>；</w:t>
                  </w:r>
                </w:p>
              </w:tc>
              <w:tc>
                <w:tcPr>
                  <w:tcW w:w="867" w:type="dxa"/>
                  <w:vMerge w:val="continue"/>
                  <w:tcBorders>
                    <w:tl2br w:val="nil"/>
                    <w:tr2bl w:val="nil"/>
                  </w:tcBorders>
                  <w:noWrap w:val="0"/>
                  <w:vAlign w:val="center"/>
                </w:tcPr>
                <w:p w14:paraId="4F33ADA1">
                  <w:pPr>
                    <w:widowControl/>
                    <w:jc w:val="center"/>
                    <w:rPr>
                      <w:rFonts w:hint="default" w:ascii="Times New Roman" w:hAnsi="Times New Roman" w:cs="Times New Roman"/>
                      <w:color w:val="auto"/>
                      <w:kern w:val="0"/>
                      <w:szCs w:val="21"/>
                      <w:highlight w:val="none"/>
                      <w:lang w:bidi="ar"/>
                    </w:rPr>
                  </w:pPr>
                </w:p>
              </w:tc>
            </w:tr>
            <w:tr w14:paraId="69581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0" w:hRule="atLeast"/>
                <w:jc w:val="center"/>
              </w:trPr>
              <w:tc>
                <w:tcPr>
                  <w:tcW w:w="572" w:type="dxa"/>
                  <w:vMerge w:val="continue"/>
                  <w:tcBorders>
                    <w:tl2br w:val="nil"/>
                    <w:tr2bl w:val="nil"/>
                  </w:tcBorders>
                  <w:noWrap w:val="0"/>
                  <w:vAlign w:val="center"/>
                </w:tcPr>
                <w:p w14:paraId="28EED3A2">
                  <w:pPr>
                    <w:widowControl/>
                    <w:jc w:val="center"/>
                    <w:rPr>
                      <w:rFonts w:hint="default" w:ascii="Times New Roman" w:hAnsi="Times New Roman" w:cs="Times New Roman"/>
                      <w:color w:val="auto"/>
                      <w:kern w:val="0"/>
                      <w:szCs w:val="21"/>
                      <w:highlight w:val="none"/>
                      <w:lang w:bidi="ar"/>
                    </w:rPr>
                  </w:pPr>
                </w:p>
              </w:tc>
              <w:tc>
                <w:tcPr>
                  <w:tcW w:w="725" w:type="dxa"/>
                  <w:vMerge w:val="continue"/>
                  <w:tcBorders>
                    <w:tl2br w:val="nil"/>
                    <w:tr2bl w:val="nil"/>
                  </w:tcBorders>
                  <w:noWrap w:val="0"/>
                  <w:vAlign w:val="center"/>
                </w:tcPr>
                <w:p w14:paraId="227D01EA">
                  <w:pPr>
                    <w:widowControl/>
                    <w:jc w:val="center"/>
                    <w:rPr>
                      <w:rFonts w:hint="default" w:ascii="Times New Roman" w:hAnsi="Times New Roman" w:cs="Times New Roman"/>
                      <w:color w:val="auto"/>
                      <w:kern w:val="0"/>
                      <w:szCs w:val="21"/>
                      <w:highlight w:val="none"/>
                      <w:lang w:bidi="ar"/>
                    </w:rPr>
                  </w:pPr>
                </w:p>
              </w:tc>
              <w:tc>
                <w:tcPr>
                  <w:tcW w:w="2080" w:type="dxa"/>
                  <w:gridSpan w:val="2"/>
                  <w:vMerge w:val="continue"/>
                  <w:tcBorders>
                    <w:tl2br w:val="nil"/>
                    <w:tr2bl w:val="nil"/>
                  </w:tcBorders>
                  <w:noWrap w:val="0"/>
                  <w:vAlign w:val="center"/>
                </w:tcPr>
                <w:p w14:paraId="7089E8E9">
                  <w:pPr>
                    <w:widowControl/>
                    <w:jc w:val="center"/>
                    <w:rPr>
                      <w:rFonts w:hint="default" w:ascii="Times New Roman" w:hAnsi="Times New Roman" w:cs="Times New Roman"/>
                      <w:color w:val="auto"/>
                      <w:kern w:val="0"/>
                      <w:szCs w:val="21"/>
                      <w:highlight w:val="none"/>
                      <w:lang w:bidi="ar"/>
                    </w:rPr>
                  </w:pPr>
                </w:p>
              </w:tc>
              <w:tc>
                <w:tcPr>
                  <w:tcW w:w="4131" w:type="dxa"/>
                  <w:tcBorders>
                    <w:tl2br w:val="nil"/>
                    <w:tr2bl w:val="nil"/>
                  </w:tcBorders>
                  <w:noWrap w:val="0"/>
                  <w:vAlign w:val="center"/>
                </w:tcPr>
                <w:p w14:paraId="10F86AA5">
                  <w:pPr>
                    <w:pStyle w:val="95"/>
                    <w:keepNext w:val="0"/>
                    <w:keepLines w:val="0"/>
                    <w:pageBreakBefore w:val="0"/>
                    <w:widowControl w:val="0"/>
                    <w:kinsoku/>
                    <w:wordWrap/>
                    <w:overflowPunct/>
                    <w:topLinePunct w:val="0"/>
                    <w:autoSpaceDE/>
                    <w:autoSpaceDN/>
                    <w:bidi w:val="0"/>
                    <w:adjustRightInd/>
                    <w:snapToGrid/>
                    <w:ind w:firstLine="412" w:firstLineChars="200"/>
                    <w:jc w:val="both"/>
                    <w:textAlignment w:val="auto"/>
                    <w:rPr>
                      <w:rFonts w:hint="default" w:ascii="Times New Roman" w:hAnsi="Times New Roman" w:cs="Times New Roman"/>
                      <w:color w:val="auto"/>
                      <w:kern w:val="0"/>
                      <w:szCs w:val="21"/>
                      <w:highlight w:val="none"/>
                      <w:lang w:bidi="ar"/>
                    </w:rPr>
                  </w:pPr>
                  <w:r>
                    <w:rPr>
                      <w:rFonts w:hint="eastAsia" w:cs="Times New Roman"/>
                      <w:color w:val="auto"/>
                      <w:spacing w:val="-2"/>
                      <w:sz w:val="21"/>
                      <w:szCs w:val="21"/>
                      <w:highlight w:val="none"/>
                      <w:lang w:val="en-US" w:eastAsia="zh-CN"/>
                    </w:rPr>
                    <w:t>原料储存库地面采用素</w:t>
                  </w:r>
                  <w:r>
                    <w:rPr>
                      <w:rFonts w:hint="default"/>
                      <w:color w:val="auto"/>
                      <w:highlight w:val="none"/>
                      <w:lang w:val="en-US" w:eastAsia="zh-CN"/>
                    </w:rPr>
                    <w:t>混凝土+防渗层</w:t>
                  </w:r>
                  <w:r>
                    <w:rPr>
                      <w:rFonts w:hint="eastAsia"/>
                      <w:color w:val="auto"/>
                      <w:highlight w:val="none"/>
                      <w:lang w:val="en-US" w:eastAsia="zh-CN"/>
                    </w:rPr>
                    <w:t>；</w:t>
                  </w:r>
                  <w:r>
                    <w:rPr>
                      <w:rFonts w:hint="eastAsia" w:cs="Times New Roman"/>
                      <w:color w:val="auto"/>
                      <w:spacing w:val="-2"/>
                      <w:sz w:val="21"/>
                      <w:szCs w:val="21"/>
                      <w:highlight w:val="none"/>
                      <w:lang w:val="en-US" w:eastAsia="zh-CN"/>
                    </w:rPr>
                    <w:t>办公管理区地面采用瓷砖/防滑地面。</w:t>
                  </w:r>
                </w:p>
              </w:tc>
              <w:tc>
                <w:tcPr>
                  <w:tcW w:w="867" w:type="dxa"/>
                  <w:vMerge w:val="continue"/>
                  <w:tcBorders>
                    <w:tl2br w:val="nil"/>
                    <w:tr2bl w:val="nil"/>
                  </w:tcBorders>
                  <w:noWrap w:val="0"/>
                  <w:vAlign w:val="center"/>
                </w:tcPr>
                <w:p w14:paraId="19812EFD">
                  <w:pPr>
                    <w:widowControl/>
                    <w:jc w:val="center"/>
                    <w:rPr>
                      <w:rFonts w:hint="default" w:ascii="Times New Roman" w:hAnsi="Times New Roman" w:cs="Times New Roman"/>
                      <w:color w:val="auto"/>
                      <w:kern w:val="0"/>
                      <w:szCs w:val="21"/>
                      <w:highlight w:val="none"/>
                      <w:lang w:bidi="ar"/>
                    </w:rPr>
                  </w:pPr>
                </w:p>
              </w:tc>
            </w:tr>
            <w:tr w14:paraId="308AD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77" w:type="dxa"/>
                  <w:gridSpan w:val="4"/>
                  <w:tcBorders>
                    <w:tl2br w:val="nil"/>
                    <w:tr2bl w:val="nil"/>
                  </w:tcBorders>
                  <w:noWrap w:val="0"/>
                  <w:vAlign w:val="center"/>
                </w:tcPr>
                <w:p w14:paraId="6C8B01D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4131" w:type="dxa"/>
                  <w:tcBorders>
                    <w:tl2br w:val="nil"/>
                    <w:tr2bl w:val="nil"/>
                  </w:tcBorders>
                  <w:noWrap w:val="0"/>
                  <w:vAlign w:val="center"/>
                </w:tcPr>
                <w:p w14:paraId="5678600E">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w:t>
                  </w:r>
                </w:p>
              </w:tc>
              <w:tc>
                <w:tcPr>
                  <w:tcW w:w="867" w:type="dxa"/>
                  <w:tcBorders>
                    <w:tl2br w:val="nil"/>
                    <w:tr2bl w:val="nil"/>
                  </w:tcBorders>
                  <w:noWrap w:val="0"/>
                  <w:vAlign w:val="center"/>
                </w:tcPr>
                <w:p w14:paraId="52D85D7D">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262.5</w:t>
                  </w:r>
                </w:p>
              </w:tc>
            </w:tr>
          </w:tbl>
          <w:p w14:paraId="002BB320">
            <w:pPr>
              <w:adjustRightInd w:val="0"/>
              <w:snapToGrid w:val="0"/>
              <w:spacing w:line="360" w:lineRule="auto"/>
              <w:rPr>
                <w:rFonts w:hint="default" w:ascii="Times New Roman" w:hAnsi="Times New Roman" w:cs="Times New Roman"/>
                <w:b w:val="0"/>
                <w:bCs/>
                <w:color w:val="auto"/>
                <w:kern w:val="0"/>
                <w:sz w:val="28"/>
                <w:szCs w:val="28"/>
                <w:highlight w:val="none"/>
                <w:vertAlign w:val="baseline"/>
              </w:rPr>
            </w:pPr>
          </w:p>
        </w:tc>
      </w:tr>
    </w:tbl>
    <w:p w14:paraId="2D4C64D0">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134" w:right="1418" w:bottom="1134"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70367C75">
      <w:pPr>
        <w:pStyle w:val="29"/>
        <w:spacing w:before="0" w:beforeAutospacing="0" w:after="0" w:afterAutospacing="0"/>
        <w:jc w:val="center"/>
        <w:outlineLvl w:val="0"/>
        <w:rPr>
          <w:color w:val="auto"/>
          <w:highlight w:val="none"/>
        </w:rPr>
      </w:pPr>
      <w:r>
        <w:rPr>
          <w:rFonts w:hint="default" w:ascii="Times New Roman" w:hAnsi="Times New Roman" w:cs="Times New Roman"/>
          <w:snapToGrid w:val="0"/>
          <w:color w:val="auto"/>
          <w:sz w:val="30"/>
          <w:szCs w:val="30"/>
          <w:highlight w:val="none"/>
        </w:rPr>
        <w:t>五、</w:t>
      </w:r>
      <w:bookmarkStart w:id="4" w:name="_Hlk54167917"/>
      <w:r>
        <w:rPr>
          <w:rFonts w:hint="default" w:ascii="Times New Roman" w:hAnsi="Times New Roman" w:cs="Times New Roman"/>
          <w:snapToGrid w:val="0"/>
          <w:color w:val="auto"/>
          <w:sz w:val="30"/>
          <w:szCs w:val="30"/>
          <w:highlight w:val="none"/>
        </w:rPr>
        <w:t>环境保护措施监督检查清单</w:t>
      </w:r>
      <w:bookmarkEnd w:id="4"/>
    </w:p>
    <w:p w14:paraId="6ABF4D4B">
      <w:pPr>
        <w:pStyle w:val="29"/>
        <w:keepNext w:val="0"/>
        <w:keepLines w:val="0"/>
        <w:pageBreakBefore w:val="0"/>
        <w:widowControl/>
        <w:kinsoku/>
        <w:wordWrap/>
        <w:overflowPunct/>
        <w:topLinePunct w:val="0"/>
        <w:autoSpaceDE/>
        <w:autoSpaceDN/>
        <w:bidi w:val="0"/>
        <w:adjustRightInd/>
        <w:snapToGrid/>
        <w:spacing w:before="0" w:beforeAutospacing="0" w:after="0" w:afterAutospacing="0"/>
        <w:ind w:firstLine="560" w:firstLineChars="200"/>
        <w:jc w:val="left"/>
        <w:textAlignment w:val="auto"/>
        <w:outlineLvl w:val="0"/>
        <w:rPr>
          <w:rFonts w:hint="default"/>
          <w:color w:val="auto"/>
          <w:sz w:val="28"/>
          <w:szCs w:val="28"/>
          <w:highlight w:val="none"/>
        </w:rPr>
      </w:pPr>
      <w:r>
        <w:rPr>
          <w:rFonts w:hint="eastAsia"/>
          <w:color w:val="auto"/>
          <w:sz w:val="28"/>
          <w:szCs w:val="28"/>
          <w:highlight w:val="none"/>
          <w:lang w:val="en-US" w:eastAsia="zh-CN"/>
        </w:rPr>
        <w:t>由于</w:t>
      </w:r>
      <w:r>
        <w:rPr>
          <w:rFonts w:hint="default"/>
          <w:color w:val="auto"/>
          <w:sz w:val="28"/>
          <w:szCs w:val="28"/>
          <w:highlight w:val="none"/>
          <w:lang w:val="en-US" w:eastAsia="zh-CN"/>
        </w:rPr>
        <w:t>本项目一、二期</w:t>
      </w:r>
      <w:r>
        <w:rPr>
          <w:rFonts w:hint="eastAsia"/>
          <w:color w:val="auto"/>
          <w:sz w:val="28"/>
          <w:szCs w:val="28"/>
          <w:highlight w:val="none"/>
          <w:lang w:val="en-US" w:eastAsia="zh-CN"/>
        </w:rPr>
        <w:t>共用1条生产线</w:t>
      </w:r>
      <w:r>
        <w:rPr>
          <w:rFonts w:hint="default"/>
          <w:color w:val="auto"/>
          <w:sz w:val="28"/>
          <w:szCs w:val="28"/>
          <w:highlight w:val="none"/>
          <w:lang w:val="en-US" w:eastAsia="zh-CN"/>
        </w:rPr>
        <w:t>，除发酵场地、发酵工艺不同</w:t>
      </w:r>
      <w:r>
        <w:rPr>
          <w:rFonts w:hint="eastAsia"/>
          <w:color w:val="auto"/>
          <w:sz w:val="28"/>
          <w:szCs w:val="28"/>
          <w:highlight w:val="none"/>
          <w:lang w:val="en-US" w:eastAsia="zh-CN"/>
        </w:rPr>
        <w:t>导致发酵工序</w:t>
      </w:r>
      <w:r>
        <w:rPr>
          <w:rFonts w:hint="default"/>
          <w:color w:val="auto"/>
          <w:sz w:val="28"/>
          <w:szCs w:val="28"/>
          <w:highlight w:val="none"/>
          <w:lang w:val="en-US" w:eastAsia="zh-CN"/>
        </w:rPr>
        <w:t>环保措施不同外，其余</w:t>
      </w:r>
      <w:r>
        <w:rPr>
          <w:rFonts w:hint="eastAsia"/>
          <w:color w:val="auto"/>
          <w:sz w:val="28"/>
          <w:szCs w:val="28"/>
          <w:highlight w:val="none"/>
          <w:lang w:val="en-US" w:eastAsia="zh-CN"/>
        </w:rPr>
        <w:t>环境保护措施</w:t>
      </w:r>
      <w:r>
        <w:rPr>
          <w:rFonts w:hint="default"/>
          <w:color w:val="auto"/>
          <w:sz w:val="28"/>
          <w:szCs w:val="28"/>
          <w:highlight w:val="none"/>
          <w:lang w:val="en-US" w:eastAsia="zh-CN"/>
        </w:rPr>
        <w:t>均相同</w:t>
      </w:r>
      <w:r>
        <w:rPr>
          <w:rFonts w:hint="eastAsia"/>
          <w:color w:val="auto"/>
          <w:sz w:val="28"/>
          <w:szCs w:val="28"/>
          <w:highlight w:val="none"/>
          <w:lang w:val="en-US" w:eastAsia="zh-CN"/>
        </w:rPr>
        <w:t>。</w:t>
      </w:r>
    </w:p>
    <w:tbl>
      <w:tblPr>
        <w:tblStyle w:val="3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724"/>
        <w:gridCol w:w="1336"/>
        <w:gridCol w:w="927"/>
        <w:gridCol w:w="3502"/>
        <w:gridCol w:w="2074"/>
      </w:tblGrid>
      <w:tr w14:paraId="4012E4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79" w:type="pct"/>
            <w:gridSpan w:val="2"/>
            <w:tcBorders>
              <w:tl2br w:val="single" w:color="auto" w:sz="4" w:space="0"/>
            </w:tcBorders>
            <w:noWrap w:val="0"/>
            <w:vAlign w:val="top"/>
          </w:tcPr>
          <w:p w14:paraId="3769A8EE">
            <w:pPr>
              <w:adjustRightInd w:val="0"/>
              <w:snapToGrid w:val="0"/>
              <w:ind w:firstLine="723" w:firstLineChars="3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内容</w:t>
            </w:r>
          </w:p>
          <w:p w14:paraId="36C1B63F">
            <w:pPr>
              <w:adjustRightInd w:val="0"/>
              <w:snapToGrid w:val="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要素</w:t>
            </w:r>
          </w:p>
        </w:tc>
        <w:tc>
          <w:tcPr>
            <w:tcW w:w="719" w:type="pct"/>
            <w:noWrap w:val="0"/>
            <w:vAlign w:val="center"/>
          </w:tcPr>
          <w:p w14:paraId="40927E00">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排放口（编号、名称）/污染源</w:t>
            </w:r>
          </w:p>
        </w:tc>
        <w:tc>
          <w:tcPr>
            <w:tcW w:w="499" w:type="pct"/>
            <w:noWrap w:val="0"/>
            <w:vAlign w:val="center"/>
          </w:tcPr>
          <w:p w14:paraId="7C1A02B4">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污染物</w:t>
            </w:r>
          </w:p>
          <w:p w14:paraId="42F1900C">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项目</w:t>
            </w:r>
          </w:p>
        </w:tc>
        <w:tc>
          <w:tcPr>
            <w:tcW w:w="1885" w:type="pct"/>
            <w:tcBorders>
              <w:bottom w:val="single" w:color="auto" w:sz="4" w:space="0"/>
            </w:tcBorders>
            <w:noWrap w:val="0"/>
            <w:vAlign w:val="center"/>
          </w:tcPr>
          <w:p w14:paraId="5882AF15">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环境保护措施</w:t>
            </w:r>
          </w:p>
        </w:tc>
        <w:tc>
          <w:tcPr>
            <w:tcW w:w="1116" w:type="pct"/>
            <w:tcBorders>
              <w:bottom w:val="single" w:color="auto" w:sz="4" w:space="0"/>
            </w:tcBorders>
            <w:noWrap w:val="0"/>
            <w:vAlign w:val="center"/>
          </w:tcPr>
          <w:p w14:paraId="5F5FF723">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执行标准</w:t>
            </w:r>
          </w:p>
        </w:tc>
      </w:tr>
      <w:tr w14:paraId="13A86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89" w:type="pct"/>
            <w:vMerge w:val="restart"/>
            <w:noWrap w:val="0"/>
            <w:vAlign w:val="center"/>
          </w:tcPr>
          <w:p w14:paraId="00CA2589">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大气环境</w:t>
            </w:r>
          </w:p>
        </w:tc>
        <w:tc>
          <w:tcPr>
            <w:tcW w:w="389" w:type="pct"/>
            <w:vMerge w:val="restart"/>
            <w:noWrap w:val="0"/>
            <w:vAlign w:val="center"/>
          </w:tcPr>
          <w:p w14:paraId="56F436A4">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两期相同的环保措施</w:t>
            </w:r>
          </w:p>
        </w:tc>
        <w:tc>
          <w:tcPr>
            <w:tcW w:w="719" w:type="pct"/>
            <w:noWrap w:val="0"/>
            <w:vAlign w:val="center"/>
          </w:tcPr>
          <w:p w14:paraId="2ECF0108">
            <w:pPr>
              <w:jc w:val="center"/>
              <w:rPr>
                <w:rFonts w:hint="default" w:ascii="Times New Roman" w:hAnsi="Times New Roman" w:cs="Times New Roman"/>
                <w:color w:val="auto"/>
                <w:sz w:val="24"/>
                <w:szCs w:val="24"/>
                <w:highlight w:val="none"/>
                <w:lang w:val="en-US"/>
              </w:rPr>
            </w:pPr>
            <w:r>
              <w:rPr>
                <w:rFonts w:hint="eastAsia" w:cs="Times New Roman"/>
                <w:color w:val="auto"/>
                <w:sz w:val="24"/>
                <w:szCs w:val="24"/>
                <w:highlight w:val="none"/>
                <w:lang w:val="en-US" w:eastAsia="zh-CN"/>
              </w:rPr>
              <w:t>粉碎、筛分、制粒、包装</w:t>
            </w:r>
          </w:p>
        </w:tc>
        <w:tc>
          <w:tcPr>
            <w:tcW w:w="499" w:type="pct"/>
            <w:tcBorders>
              <w:right w:val="single" w:color="auto" w:sz="4" w:space="0"/>
            </w:tcBorders>
            <w:noWrap w:val="0"/>
            <w:vAlign w:val="center"/>
          </w:tcPr>
          <w:p w14:paraId="05BF5E4D">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颗粒物</w:t>
            </w:r>
          </w:p>
        </w:tc>
        <w:tc>
          <w:tcPr>
            <w:tcW w:w="1885" w:type="pct"/>
            <w:tcBorders>
              <w:top w:val="single" w:color="auto" w:sz="4" w:space="0"/>
              <w:left w:val="single" w:color="auto" w:sz="4" w:space="0"/>
              <w:bottom w:val="single" w:color="auto" w:sz="4" w:space="0"/>
              <w:right w:val="single" w:color="auto" w:sz="4" w:space="0"/>
            </w:tcBorders>
            <w:noWrap w:val="0"/>
            <w:vAlign w:val="center"/>
          </w:tcPr>
          <w:p w14:paraId="7AB696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各个设备进料口均设置1个集气罩（</w:t>
            </w:r>
            <w:r>
              <w:rPr>
                <w:rFonts w:hint="eastAsia" w:cs="Times New Roman"/>
                <w:color w:val="auto"/>
                <w:sz w:val="24"/>
                <w:szCs w:val="24"/>
                <w:highlight w:val="none"/>
                <w:lang w:val="en-US" w:eastAsia="zh-CN"/>
              </w:rPr>
              <w:t>尺寸1.5m×1.5m</w:t>
            </w:r>
            <w:r>
              <w:rPr>
                <w:rFonts w:hint="eastAsia" w:ascii="Times New Roman" w:hAnsi="Times New Roman" w:cs="Times New Roman"/>
                <w:color w:val="auto"/>
                <w:sz w:val="24"/>
                <w:szCs w:val="24"/>
                <w:highlight w:val="none"/>
                <w:lang w:val="en-US" w:eastAsia="zh-CN"/>
              </w:rPr>
              <w:t>），通过管道将收集的粉尘输送至1台布袋除尘处理后经1根15m高，</w:t>
            </w:r>
            <w:r>
              <w:rPr>
                <w:rFonts w:hint="eastAsia" w:cs="Times New Roman"/>
                <w:color w:val="auto"/>
                <w:sz w:val="24"/>
                <w:szCs w:val="24"/>
                <w:highlight w:val="none"/>
                <w:lang w:val="en-US" w:eastAsia="zh-CN"/>
              </w:rPr>
              <w:t>内径0.5m</w:t>
            </w:r>
            <w:r>
              <w:rPr>
                <w:rFonts w:hint="eastAsia" w:ascii="Times New Roman" w:hAnsi="Times New Roman" w:cs="Times New Roman"/>
                <w:color w:val="auto"/>
                <w:sz w:val="24"/>
                <w:szCs w:val="24"/>
                <w:highlight w:val="none"/>
                <w:lang w:val="en-US" w:eastAsia="zh-CN"/>
              </w:rPr>
              <w:t>的排气筒（#1）排放</w:t>
            </w:r>
          </w:p>
        </w:tc>
        <w:tc>
          <w:tcPr>
            <w:tcW w:w="1116" w:type="pct"/>
            <w:tcBorders>
              <w:top w:val="single" w:color="auto" w:sz="4" w:space="0"/>
              <w:left w:val="single" w:color="auto" w:sz="4" w:space="0"/>
              <w:right w:val="single" w:color="auto" w:sz="4" w:space="0"/>
            </w:tcBorders>
            <w:noWrap w:val="0"/>
            <w:vAlign w:val="center"/>
          </w:tcPr>
          <w:p w14:paraId="27A12A11">
            <w:pPr>
              <w:jc w:val="center"/>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sz w:val="24"/>
                <w:szCs w:val="24"/>
                <w:highlight w:val="none"/>
              </w:rPr>
              <w:t>《大气污染物综合排放标准》（GB</w:t>
            </w:r>
            <w:r>
              <w:rPr>
                <w:rFonts w:ascii="Times New Roman" w:hAnsi="Times New Roman" w:eastAsia="宋体" w:cs="Times New Roman"/>
                <w:color w:val="auto"/>
                <w:sz w:val="24"/>
                <w:szCs w:val="24"/>
                <w:highlight w:val="none"/>
              </w:rPr>
              <w:t>16297-1996</w:t>
            </w:r>
            <w:r>
              <w:rPr>
                <w:rFonts w:hint="eastAsia" w:ascii="Times New Roman" w:hAnsi="Times New Roman" w:eastAsia="宋体" w:cs="Times New Roman"/>
                <w:color w:val="auto"/>
                <w:sz w:val="24"/>
                <w:szCs w:val="24"/>
                <w:highlight w:val="none"/>
              </w:rPr>
              <w:t>）表2中二级标准</w:t>
            </w:r>
          </w:p>
        </w:tc>
      </w:tr>
      <w:tr w14:paraId="045213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89" w:type="pct"/>
            <w:vMerge w:val="continue"/>
            <w:noWrap w:val="0"/>
            <w:vAlign w:val="center"/>
          </w:tcPr>
          <w:p w14:paraId="01BF7F0A">
            <w:pPr>
              <w:adjustRightInd w:val="0"/>
              <w:snapToGrid w:val="0"/>
              <w:jc w:val="center"/>
              <w:rPr>
                <w:rFonts w:hint="default" w:ascii="Times New Roman" w:hAnsi="Times New Roman" w:cs="Times New Roman"/>
                <w:color w:val="auto"/>
                <w:sz w:val="24"/>
                <w:szCs w:val="24"/>
                <w:highlight w:val="none"/>
              </w:rPr>
            </w:pPr>
          </w:p>
        </w:tc>
        <w:tc>
          <w:tcPr>
            <w:tcW w:w="389" w:type="pct"/>
            <w:vMerge w:val="continue"/>
            <w:noWrap w:val="0"/>
            <w:vAlign w:val="center"/>
          </w:tcPr>
          <w:p w14:paraId="342403A0">
            <w:pPr>
              <w:adjustRightInd w:val="0"/>
              <w:snapToGrid w:val="0"/>
              <w:jc w:val="center"/>
              <w:rPr>
                <w:rFonts w:hint="default" w:ascii="Times New Roman" w:hAnsi="Times New Roman" w:cs="Times New Roman"/>
                <w:color w:val="auto"/>
                <w:sz w:val="24"/>
                <w:szCs w:val="24"/>
                <w:highlight w:val="none"/>
              </w:rPr>
            </w:pPr>
          </w:p>
        </w:tc>
        <w:tc>
          <w:tcPr>
            <w:tcW w:w="719" w:type="pct"/>
            <w:noWrap w:val="0"/>
            <w:vAlign w:val="center"/>
          </w:tcPr>
          <w:p w14:paraId="5BFB707E">
            <w:pPr>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原材料储备库</w:t>
            </w:r>
          </w:p>
        </w:tc>
        <w:tc>
          <w:tcPr>
            <w:tcW w:w="499" w:type="pct"/>
            <w:tcBorders>
              <w:right w:val="single" w:color="auto" w:sz="4" w:space="0"/>
            </w:tcBorders>
            <w:noWrap w:val="0"/>
            <w:vAlign w:val="center"/>
          </w:tcPr>
          <w:p w14:paraId="67F46912">
            <w:pPr>
              <w:pStyle w:val="29"/>
              <w:spacing w:before="0" w:beforeAutospacing="0" w:after="0" w:afterAutospacing="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无组织颗粒物</w:t>
            </w:r>
          </w:p>
        </w:tc>
        <w:tc>
          <w:tcPr>
            <w:tcW w:w="1885" w:type="pct"/>
            <w:tcBorders>
              <w:top w:val="single" w:color="auto" w:sz="4" w:space="0"/>
              <w:left w:val="single" w:color="auto" w:sz="4" w:space="0"/>
              <w:bottom w:val="single" w:color="auto" w:sz="4" w:space="0"/>
              <w:right w:val="single" w:color="auto" w:sz="4" w:space="0"/>
            </w:tcBorders>
            <w:noWrap w:val="0"/>
            <w:vAlign w:val="center"/>
          </w:tcPr>
          <w:p w14:paraId="58511CC4">
            <w:pPr>
              <w:pStyle w:val="29"/>
              <w:spacing w:before="0" w:beforeAutospacing="0" w:after="0" w:afterAutospacing="0"/>
              <w:jc w:val="center"/>
              <w:rPr>
                <w:rFonts w:hint="default" w:ascii="Times New Roman" w:hAnsi="Times New Roman" w:cs="Times New Roman"/>
                <w:color w:val="auto"/>
                <w:spacing w:val="-2"/>
                <w:sz w:val="24"/>
                <w:szCs w:val="24"/>
                <w:highlight w:val="none"/>
              </w:rPr>
            </w:pPr>
            <w:r>
              <w:rPr>
                <w:rFonts w:hint="eastAsia" w:ascii="Times New Roman" w:hAnsi="Times New Roman" w:cs="Times New Roman"/>
                <w:color w:val="auto"/>
                <w:spacing w:val="-2"/>
                <w:sz w:val="24"/>
                <w:szCs w:val="24"/>
                <w:highlight w:val="none"/>
                <w:lang w:val="en-US" w:eastAsia="zh-CN"/>
              </w:rPr>
              <w:t>全封闭设置，由于原料含水率较大，产生粉尘量较少，无组织排放</w:t>
            </w:r>
          </w:p>
        </w:tc>
        <w:tc>
          <w:tcPr>
            <w:tcW w:w="1116" w:type="pct"/>
            <w:tcBorders>
              <w:left w:val="single" w:color="auto" w:sz="4" w:space="0"/>
              <w:right w:val="single" w:color="auto" w:sz="4" w:space="0"/>
            </w:tcBorders>
            <w:noWrap w:val="0"/>
            <w:vAlign w:val="center"/>
          </w:tcPr>
          <w:p w14:paraId="326A7569">
            <w:pPr>
              <w:jc w:val="center"/>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sz w:val="24"/>
                <w:szCs w:val="24"/>
                <w:highlight w:val="none"/>
              </w:rPr>
              <w:t>《大气污染物综合排放标准》（GB</w:t>
            </w:r>
            <w:r>
              <w:rPr>
                <w:rFonts w:ascii="Times New Roman" w:hAnsi="Times New Roman" w:eastAsia="宋体" w:cs="Times New Roman"/>
                <w:color w:val="auto"/>
                <w:sz w:val="24"/>
                <w:szCs w:val="24"/>
                <w:highlight w:val="none"/>
              </w:rPr>
              <w:t>16297-1996</w:t>
            </w:r>
            <w:r>
              <w:rPr>
                <w:rFonts w:hint="eastAsia" w:ascii="Times New Roman" w:hAnsi="Times New Roman" w:eastAsia="宋体" w:cs="Times New Roman"/>
                <w:color w:val="auto"/>
                <w:sz w:val="24"/>
                <w:szCs w:val="24"/>
                <w:highlight w:val="none"/>
              </w:rPr>
              <w:t>）</w:t>
            </w:r>
            <w:r>
              <w:rPr>
                <w:rFonts w:hint="eastAsia"/>
                <w:color w:val="auto"/>
                <w:sz w:val="24"/>
                <w:szCs w:val="24"/>
                <w:highlight w:val="none"/>
              </w:rPr>
              <w:t>颗粒物无组织排放监控浓度限值</w:t>
            </w:r>
          </w:p>
        </w:tc>
      </w:tr>
      <w:tr w14:paraId="71A59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89" w:type="pct"/>
            <w:vMerge w:val="continue"/>
            <w:noWrap w:val="0"/>
            <w:vAlign w:val="center"/>
          </w:tcPr>
          <w:p w14:paraId="2D32A5D2">
            <w:pPr>
              <w:jc w:val="center"/>
              <w:rPr>
                <w:rFonts w:hint="default" w:ascii="Times New Roman" w:hAnsi="Times New Roman" w:cs="Times New Roman"/>
                <w:color w:val="auto"/>
                <w:sz w:val="24"/>
                <w:szCs w:val="24"/>
                <w:highlight w:val="none"/>
              </w:rPr>
            </w:pPr>
          </w:p>
        </w:tc>
        <w:tc>
          <w:tcPr>
            <w:tcW w:w="389" w:type="pct"/>
            <w:vMerge w:val="continue"/>
            <w:noWrap w:val="0"/>
            <w:vAlign w:val="center"/>
          </w:tcPr>
          <w:p w14:paraId="3CB596EC">
            <w:pPr>
              <w:jc w:val="center"/>
              <w:rPr>
                <w:rFonts w:hint="default" w:ascii="Times New Roman" w:hAnsi="Times New Roman" w:cs="Times New Roman"/>
                <w:color w:val="auto"/>
                <w:sz w:val="24"/>
                <w:szCs w:val="24"/>
                <w:highlight w:val="none"/>
              </w:rPr>
            </w:pPr>
          </w:p>
        </w:tc>
        <w:tc>
          <w:tcPr>
            <w:tcW w:w="719" w:type="pct"/>
            <w:noWrap w:val="0"/>
            <w:vAlign w:val="center"/>
          </w:tcPr>
          <w:p w14:paraId="52C0D318">
            <w:pPr>
              <w:jc w:val="center"/>
              <w:rPr>
                <w:rFonts w:hint="default" w:ascii="Times New Roman" w:hAnsi="Times New Roman" w:cs="Times New Roman"/>
                <w:color w:val="auto"/>
                <w:kern w:val="0"/>
                <w:sz w:val="24"/>
                <w:szCs w:val="24"/>
                <w:highlight w:val="none"/>
              </w:rPr>
            </w:pPr>
            <w:r>
              <w:rPr>
                <w:rFonts w:hint="eastAsia" w:cs="Times New Roman"/>
                <w:color w:val="auto"/>
                <w:kern w:val="0"/>
                <w:sz w:val="24"/>
                <w:szCs w:val="24"/>
                <w:highlight w:val="none"/>
                <w:lang w:val="en-US" w:eastAsia="zh-CN"/>
              </w:rPr>
              <w:t>原料预处理（一次粉碎、一次搅拌）</w:t>
            </w:r>
          </w:p>
        </w:tc>
        <w:tc>
          <w:tcPr>
            <w:tcW w:w="499" w:type="pct"/>
            <w:tcBorders>
              <w:right w:val="single" w:color="auto" w:sz="4" w:space="0"/>
            </w:tcBorders>
            <w:noWrap w:val="0"/>
            <w:vAlign w:val="center"/>
          </w:tcPr>
          <w:p w14:paraId="7BFEA812">
            <w:pPr>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无组织氨、硫化氢、臭气</w:t>
            </w:r>
          </w:p>
        </w:tc>
        <w:tc>
          <w:tcPr>
            <w:tcW w:w="18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1EDD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cs="Times New Roman"/>
                <w:color w:val="auto"/>
                <w:spacing w:val="-2"/>
                <w:sz w:val="24"/>
                <w:szCs w:val="24"/>
                <w:highlight w:val="none"/>
                <w:lang w:val="en-US" w:eastAsia="zh-CN"/>
              </w:rPr>
              <w:t>厂房全封闭，产生的恶臭气体定期喷洒生物除臭剂，无组织排放</w:t>
            </w:r>
          </w:p>
        </w:tc>
        <w:tc>
          <w:tcPr>
            <w:tcW w:w="1116" w:type="pct"/>
            <w:tcBorders>
              <w:left w:val="single" w:color="auto" w:sz="4" w:space="0"/>
              <w:right w:val="single" w:color="auto" w:sz="4" w:space="0"/>
            </w:tcBorders>
            <w:noWrap w:val="0"/>
            <w:vAlign w:val="center"/>
          </w:tcPr>
          <w:p w14:paraId="20785AD6">
            <w:pPr>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bCs/>
                <w:color w:val="auto"/>
                <w:sz w:val="24"/>
                <w:szCs w:val="24"/>
                <w:highlight w:val="none"/>
              </w:rPr>
              <w:t>《恶臭污染物排放标准》（GB14554-93）</w:t>
            </w:r>
            <w:r>
              <w:rPr>
                <w:rFonts w:hint="eastAsia" w:cs="Times New Roman"/>
                <w:bCs/>
                <w:color w:val="auto"/>
                <w:sz w:val="24"/>
                <w:szCs w:val="24"/>
                <w:highlight w:val="none"/>
                <w:lang w:val="en-US" w:eastAsia="zh-CN"/>
              </w:rPr>
              <w:t>二级标准</w:t>
            </w:r>
          </w:p>
        </w:tc>
      </w:tr>
      <w:tr w14:paraId="64D32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89" w:type="pct"/>
            <w:vMerge w:val="continue"/>
            <w:noWrap w:val="0"/>
            <w:vAlign w:val="center"/>
          </w:tcPr>
          <w:p w14:paraId="6E230B2E">
            <w:pPr>
              <w:jc w:val="center"/>
              <w:rPr>
                <w:rFonts w:hint="default" w:ascii="Times New Roman" w:hAnsi="Times New Roman" w:cs="Times New Roman"/>
                <w:color w:val="auto"/>
                <w:sz w:val="24"/>
                <w:szCs w:val="24"/>
                <w:highlight w:val="none"/>
              </w:rPr>
            </w:pPr>
          </w:p>
        </w:tc>
        <w:tc>
          <w:tcPr>
            <w:tcW w:w="389" w:type="pct"/>
            <w:noWrap w:val="0"/>
            <w:vAlign w:val="center"/>
          </w:tcPr>
          <w:p w14:paraId="19FA0817">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一期工程环保措施</w:t>
            </w:r>
          </w:p>
        </w:tc>
        <w:tc>
          <w:tcPr>
            <w:tcW w:w="719" w:type="pct"/>
            <w:noWrap w:val="0"/>
            <w:vAlign w:val="center"/>
          </w:tcPr>
          <w:p w14:paraId="44F20169">
            <w:pPr>
              <w:jc w:val="center"/>
              <w:rPr>
                <w:rFonts w:hint="default" w:ascii="Times New Roman" w:hAnsi="Times New Roman" w:cs="Times New Roman"/>
                <w:color w:val="auto"/>
                <w:kern w:val="0"/>
                <w:sz w:val="24"/>
                <w:szCs w:val="24"/>
                <w:highlight w:val="none"/>
              </w:rPr>
            </w:pPr>
            <w:r>
              <w:rPr>
                <w:rFonts w:hint="eastAsia" w:cs="Times New Roman"/>
                <w:color w:val="auto"/>
                <w:kern w:val="0"/>
                <w:sz w:val="24"/>
                <w:szCs w:val="24"/>
                <w:highlight w:val="none"/>
                <w:lang w:val="en-US" w:eastAsia="zh-CN"/>
              </w:rPr>
              <w:t>发酵、熟化</w:t>
            </w:r>
          </w:p>
        </w:tc>
        <w:tc>
          <w:tcPr>
            <w:tcW w:w="499" w:type="pct"/>
            <w:tcBorders>
              <w:right w:val="single" w:color="auto" w:sz="4" w:space="0"/>
            </w:tcBorders>
            <w:noWrap w:val="0"/>
            <w:vAlign w:val="center"/>
          </w:tcPr>
          <w:p w14:paraId="15E3D76B">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氨、硫化氢、臭气</w:t>
            </w:r>
          </w:p>
        </w:tc>
        <w:tc>
          <w:tcPr>
            <w:tcW w:w="1885" w:type="pct"/>
            <w:tcBorders>
              <w:top w:val="single" w:color="auto" w:sz="4" w:space="0"/>
              <w:left w:val="single" w:color="auto" w:sz="4" w:space="0"/>
              <w:bottom w:val="single" w:color="auto" w:sz="4" w:space="0"/>
              <w:right w:val="single" w:color="auto" w:sz="4" w:space="0"/>
            </w:tcBorders>
            <w:noWrap w:val="0"/>
            <w:vAlign w:val="center"/>
          </w:tcPr>
          <w:p w14:paraId="4E621C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2"/>
                <w:sz w:val="24"/>
                <w:szCs w:val="24"/>
                <w:highlight w:val="none"/>
              </w:rPr>
            </w:pPr>
            <w:r>
              <w:rPr>
                <w:rFonts w:hint="eastAsia" w:cs="Times New Roman"/>
                <w:b w:val="0"/>
                <w:bCs/>
                <w:color w:val="auto"/>
                <w:sz w:val="24"/>
                <w:szCs w:val="24"/>
                <w:highlight w:val="none"/>
                <w:vertAlign w:val="baseline"/>
                <w:lang w:val="en-US" w:eastAsia="zh-CN"/>
              </w:rPr>
              <w:t>通过发酵区设置的负压收集后通过管道进入二级活性炭吸附+水洗塔组合除臭装置处理后经高15m，内径0.5m的排气筒（#2）排放</w:t>
            </w:r>
          </w:p>
        </w:tc>
        <w:tc>
          <w:tcPr>
            <w:tcW w:w="1116" w:type="pct"/>
            <w:tcBorders>
              <w:left w:val="single" w:color="auto" w:sz="4" w:space="0"/>
              <w:right w:val="single" w:color="auto" w:sz="4" w:space="0"/>
            </w:tcBorders>
            <w:noWrap w:val="0"/>
            <w:vAlign w:val="center"/>
          </w:tcPr>
          <w:p w14:paraId="2415467F">
            <w:pPr>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《恶臭污染物排放标准》（GB14554-93）</w:t>
            </w:r>
            <w:r>
              <w:rPr>
                <w:rFonts w:hint="eastAsia" w:cs="Times New Roman"/>
                <w:bCs/>
                <w:color w:val="auto"/>
                <w:sz w:val="24"/>
                <w:szCs w:val="24"/>
                <w:highlight w:val="none"/>
                <w:lang w:val="en-US" w:eastAsia="zh-CN"/>
              </w:rPr>
              <w:t>二级标准</w:t>
            </w:r>
          </w:p>
        </w:tc>
      </w:tr>
      <w:tr w14:paraId="72829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89" w:type="pct"/>
            <w:vMerge w:val="continue"/>
            <w:noWrap w:val="0"/>
            <w:vAlign w:val="center"/>
          </w:tcPr>
          <w:p w14:paraId="6A3A5302">
            <w:pPr>
              <w:jc w:val="center"/>
              <w:rPr>
                <w:rFonts w:hint="default" w:ascii="Times New Roman" w:hAnsi="Times New Roman" w:cs="Times New Roman"/>
                <w:color w:val="auto"/>
                <w:sz w:val="24"/>
                <w:szCs w:val="24"/>
                <w:highlight w:val="none"/>
              </w:rPr>
            </w:pPr>
          </w:p>
        </w:tc>
        <w:tc>
          <w:tcPr>
            <w:tcW w:w="389" w:type="pct"/>
            <w:noWrap w:val="0"/>
            <w:vAlign w:val="center"/>
          </w:tcPr>
          <w:p w14:paraId="718E26FD">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二期工程环保措施</w:t>
            </w:r>
          </w:p>
        </w:tc>
        <w:tc>
          <w:tcPr>
            <w:tcW w:w="719" w:type="pct"/>
            <w:noWrap w:val="0"/>
            <w:vAlign w:val="center"/>
          </w:tcPr>
          <w:p w14:paraId="60FBFF20">
            <w:pPr>
              <w:jc w:val="center"/>
              <w:rPr>
                <w:rFonts w:hint="eastAsia" w:ascii="Times New Roman" w:hAnsi="Times New Roman" w:cs="Times New Roman"/>
                <w:color w:val="auto"/>
                <w:sz w:val="24"/>
                <w:szCs w:val="24"/>
                <w:highlight w:val="none"/>
                <w:lang w:val="en-US" w:eastAsia="zh-CN"/>
              </w:rPr>
            </w:pPr>
            <w:r>
              <w:rPr>
                <w:rFonts w:hint="eastAsia" w:cs="Times New Roman"/>
                <w:color w:val="auto"/>
                <w:kern w:val="0"/>
                <w:sz w:val="24"/>
                <w:szCs w:val="24"/>
                <w:highlight w:val="none"/>
                <w:lang w:val="en-US" w:eastAsia="zh-CN"/>
              </w:rPr>
              <w:t>纳米膜发酵车间</w:t>
            </w:r>
          </w:p>
        </w:tc>
        <w:tc>
          <w:tcPr>
            <w:tcW w:w="499" w:type="pct"/>
            <w:tcBorders>
              <w:right w:val="single" w:color="auto" w:sz="4" w:space="0"/>
            </w:tcBorders>
            <w:noWrap w:val="0"/>
            <w:vAlign w:val="center"/>
          </w:tcPr>
          <w:p w14:paraId="660D245B">
            <w:pPr>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无组织氨、硫化氢、臭气</w:t>
            </w:r>
          </w:p>
        </w:tc>
        <w:tc>
          <w:tcPr>
            <w:tcW w:w="1885" w:type="pct"/>
            <w:tcBorders>
              <w:top w:val="single" w:color="auto" w:sz="4" w:space="0"/>
              <w:left w:val="single" w:color="auto" w:sz="4" w:space="0"/>
              <w:bottom w:val="single" w:color="auto" w:sz="4" w:space="0"/>
              <w:right w:val="single" w:color="auto" w:sz="4" w:space="0"/>
            </w:tcBorders>
            <w:noWrap w:val="0"/>
            <w:vAlign w:val="center"/>
          </w:tcPr>
          <w:p w14:paraId="296AB3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pacing w:val="-2"/>
                <w:sz w:val="24"/>
                <w:szCs w:val="24"/>
                <w:highlight w:val="none"/>
                <w:lang w:val="en-US" w:eastAsia="zh-CN"/>
              </w:rPr>
            </w:pPr>
            <w:r>
              <w:rPr>
                <w:rFonts w:hint="eastAsia" w:ascii="Times New Roman" w:hAnsi="Times New Roman" w:cs="Times New Roman"/>
                <w:color w:val="auto"/>
                <w:spacing w:val="-2"/>
                <w:sz w:val="24"/>
                <w:szCs w:val="24"/>
                <w:highlight w:val="none"/>
                <w:lang w:val="en-US" w:eastAsia="zh-CN"/>
              </w:rPr>
              <w:t>纳米膜车间全封闭设置</w:t>
            </w:r>
            <w:r>
              <w:rPr>
                <w:rFonts w:hint="eastAsia" w:ascii="Times New Roman" w:hAnsi="Times New Roman" w:cs="Times New Roman"/>
                <w:color w:val="auto"/>
                <w:sz w:val="24"/>
                <w:szCs w:val="24"/>
                <w:highlight w:val="none"/>
                <w:lang w:val="en-US" w:eastAsia="zh-CN"/>
              </w:rPr>
              <w:t>，定期喷洒微生物除臭剂，</w:t>
            </w:r>
            <w:r>
              <w:rPr>
                <w:rFonts w:hint="eastAsia" w:ascii="Times New Roman" w:hAnsi="Times New Roman" w:cs="Times New Roman"/>
                <w:color w:val="auto"/>
                <w:spacing w:val="-2"/>
                <w:sz w:val="24"/>
                <w:szCs w:val="24"/>
                <w:highlight w:val="none"/>
                <w:lang w:val="en-US" w:eastAsia="zh-CN"/>
              </w:rPr>
              <w:t>无组织排</w:t>
            </w:r>
            <w:r>
              <w:rPr>
                <w:rFonts w:hint="eastAsia" w:cs="Times New Roman"/>
                <w:color w:val="auto"/>
                <w:sz w:val="24"/>
                <w:szCs w:val="24"/>
                <w:highlight w:val="none"/>
                <w:lang w:val="en-US" w:eastAsia="zh-CN"/>
              </w:rPr>
              <w:t>放</w:t>
            </w:r>
          </w:p>
        </w:tc>
        <w:tc>
          <w:tcPr>
            <w:tcW w:w="1116" w:type="pct"/>
            <w:tcBorders>
              <w:left w:val="single" w:color="auto" w:sz="4" w:space="0"/>
              <w:right w:val="single" w:color="auto" w:sz="4" w:space="0"/>
            </w:tcBorders>
            <w:noWrap w:val="0"/>
            <w:vAlign w:val="center"/>
          </w:tcPr>
          <w:p w14:paraId="3E6E585A">
            <w:pPr>
              <w:jc w:val="center"/>
              <w:rPr>
                <w:rFonts w:hint="eastAsia" w:ascii="Times New Roman" w:hAnsi="Times New Roman" w:eastAsia="宋体" w:cs="Times New Roman"/>
                <w:color w:val="auto"/>
                <w:sz w:val="24"/>
                <w:szCs w:val="24"/>
                <w:highlight w:val="none"/>
              </w:rPr>
            </w:pPr>
            <w:r>
              <w:rPr>
                <w:rFonts w:hint="default" w:ascii="Times New Roman" w:hAnsi="Times New Roman" w:cs="Times New Roman"/>
                <w:bCs/>
                <w:color w:val="auto"/>
                <w:sz w:val="24"/>
                <w:szCs w:val="24"/>
                <w:highlight w:val="none"/>
              </w:rPr>
              <w:t>《恶臭污染物排放标准》（GB14554-93）</w:t>
            </w:r>
            <w:r>
              <w:rPr>
                <w:rFonts w:hint="eastAsia" w:cs="Times New Roman"/>
                <w:bCs/>
                <w:color w:val="auto"/>
                <w:sz w:val="24"/>
                <w:szCs w:val="24"/>
                <w:highlight w:val="none"/>
                <w:lang w:val="en-US" w:eastAsia="zh-CN"/>
              </w:rPr>
              <w:t>二级标准</w:t>
            </w:r>
          </w:p>
        </w:tc>
      </w:tr>
      <w:tr w14:paraId="41D93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389" w:type="pct"/>
            <w:vMerge w:val="restart"/>
            <w:noWrap w:val="0"/>
            <w:vAlign w:val="center"/>
          </w:tcPr>
          <w:p w14:paraId="01824B5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地表水环境</w:t>
            </w:r>
          </w:p>
        </w:tc>
        <w:tc>
          <w:tcPr>
            <w:tcW w:w="389" w:type="pct"/>
            <w:vMerge w:val="restart"/>
            <w:noWrap w:val="0"/>
            <w:vAlign w:val="center"/>
          </w:tcPr>
          <w:p w14:paraId="29120926">
            <w:pPr>
              <w:adjustRightInd w:val="0"/>
              <w:snapToGrid w:val="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两期相同的环保措施</w:t>
            </w:r>
          </w:p>
        </w:tc>
        <w:tc>
          <w:tcPr>
            <w:tcW w:w="719" w:type="pct"/>
            <w:noWrap w:val="0"/>
            <w:vAlign w:val="center"/>
          </w:tcPr>
          <w:p w14:paraId="21EEE473">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生活污水</w:t>
            </w:r>
          </w:p>
        </w:tc>
        <w:tc>
          <w:tcPr>
            <w:tcW w:w="499" w:type="pct"/>
            <w:vMerge w:val="restart"/>
            <w:noWrap w:val="0"/>
            <w:vAlign w:val="center"/>
          </w:tcPr>
          <w:p w14:paraId="3F6BB708">
            <w:pPr>
              <w:adjustRightInd w:val="0"/>
              <w:snapToGrid w:val="0"/>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COD</w:t>
            </w:r>
            <w:r>
              <w:rPr>
                <w:rFonts w:hint="eastAsia" w:cs="Times New Roman"/>
                <w:color w:val="auto"/>
                <w:sz w:val="24"/>
                <w:szCs w:val="24"/>
                <w:highlight w:val="none"/>
                <w:lang w:eastAsia="zh-CN"/>
              </w:rPr>
              <w:t>、</w:t>
            </w:r>
          </w:p>
          <w:p w14:paraId="34C8234D">
            <w:pPr>
              <w:adjustRightInd w:val="0"/>
              <w:snapToGrid w:val="0"/>
              <w:jc w:val="center"/>
              <w:rPr>
                <w:rFonts w:hint="eastAsia" w:ascii="Times New Roman" w:hAnsi="Times New Roman" w:eastAsia="宋体" w:cs="Times New Roman"/>
                <w:color w:val="auto"/>
                <w:sz w:val="24"/>
                <w:szCs w:val="24"/>
                <w:highlight w:val="none"/>
                <w:vertAlign w:val="baseline"/>
                <w:lang w:eastAsia="zh-CN"/>
              </w:rPr>
            </w:pPr>
            <w:r>
              <w:rPr>
                <w:rFonts w:hint="default" w:ascii="Times New Roman" w:hAnsi="Times New Roman" w:cs="Times New Roman"/>
                <w:color w:val="auto"/>
                <w:sz w:val="24"/>
                <w:szCs w:val="24"/>
                <w:highlight w:val="none"/>
              </w:rPr>
              <w:t>BOD</w:t>
            </w:r>
            <w:r>
              <w:rPr>
                <w:rFonts w:hint="default" w:ascii="Times New Roman" w:hAnsi="Times New Roman" w:cs="Times New Roman"/>
                <w:color w:val="auto"/>
                <w:sz w:val="24"/>
                <w:szCs w:val="24"/>
                <w:highlight w:val="none"/>
                <w:vertAlign w:val="subscript"/>
              </w:rPr>
              <w:t>5</w:t>
            </w:r>
            <w:r>
              <w:rPr>
                <w:rFonts w:hint="eastAsia" w:cs="Times New Roman"/>
                <w:color w:val="auto"/>
                <w:sz w:val="24"/>
                <w:szCs w:val="24"/>
                <w:highlight w:val="none"/>
                <w:vertAlign w:val="baseline"/>
                <w:lang w:eastAsia="zh-CN"/>
              </w:rPr>
              <w:t>、</w:t>
            </w:r>
          </w:p>
          <w:p w14:paraId="4332F7E0">
            <w:pPr>
              <w:adjustRightInd w:val="0"/>
              <w:snapToGrid w:val="0"/>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SS</w:t>
            </w:r>
            <w:r>
              <w:rPr>
                <w:rFonts w:hint="eastAsia" w:cs="Times New Roman"/>
                <w:color w:val="auto"/>
                <w:sz w:val="24"/>
                <w:szCs w:val="24"/>
                <w:highlight w:val="none"/>
                <w:lang w:eastAsia="zh-CN"/>
              </w:rPr>
              <w:t>、</w:t>
            </w:r>
          </w:p>
          <w:p w14:paraId="7DB43344">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氨氮</w:t>
            </w:r>
          </w:p>
        </w:tc>
        <w:tc>
          <w:tcPr>
            <w:tcW w:w="1885" w:type="pct"/>
            <w:tcBorders>
              <w:top w:val="single" w:color="auto" w:sz="4" w:space="0"/>
            </w:tcBorders>
            <w:noWrap w:val="0"/>
            <w:vAlign w:val="center"/>
          </w:tcPr>
          <w:p w14:paraId="7F62AF28">
            <w:pPr>
              <w:adjustRightInd w:val="0"/>
              <w:snapToGrid w:val="0"/>
              <w:jc w:val="center"/>
              <w:rPr>
                <w:rFonts w:hint="default"/>
                <w:color w:val="auto"/>
                <w:sz w:val="24"/>
                <w:szCs w:val="24"/>
                <w:highlight w:val="none"/>
                <w:lang w:val="en-US" w:eastAsia="zh-CN"/>
              </w:rPr>
            </w:pPr>
            <w:r>
              <w:rPr>
                <w:rFonts w:hint="eastAsia" w:cs="Times New Roman"/>
                <w:color w:val="auto"/>
                <w:sz w:val="24"/>
                <w:szCs w:val="24"/>
                <w:highlight w:val="none"/>
                <w:lang w:val="en-US" w:eastAsia="zh-CN"/>
              </w:rPr>
              <w:t>生活污水排至</w:t>
            </w:r>
            <w:r>
              <w:rPr>
                <w:rFonts w:hint="default" w:ascii="Times New Roman" w:hAnsi="Times New Roman" w:cs="Times New Roman"/>
                <w:color w:val="auto"/>
                <w:sz w:val="24"/>
                <w:szCs w:val="24"/>
                <w:highlight w:val="none"/>
                <w:lang w:val="en-US" w:eastAsia="zh-CN"/>
              </w:rPr>
              <w:t>玻璃钢化粪池内委托环卫部门定期清运处理</w:t>
            </w:r>
          </w:p>
        </w:tc>
        <w:tc>
          <w:tcPr>
            <w:tcW w:w="1116" w:type="pct"/>
            <w:vMerge w:val="restart"/>
            <w:tcBorders>
              <w:top w:val="single" w:color="auto" w:sz="4" w:space="0"/>
            </w:tcBorders>
            <w:noWrap w:val="0"/>
            <w:vAlign w:val="center"/>
          </w:tcPr>
          <w:p w14:paraId="1E7B9421">
            <w:pPr>
              <w:ind w:left="-105" w:leftChars="-50" w:right="-105" w:rightChars="-50"/>
              <w:jc w:val="center"/>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w:t>
            </w:r>
          </w:p>
        </w:tc>
      </w:tr>
      <w:tr w14:paraId="53FF0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389" w:type="pct"/>
            <w:vMerge w:val="continue"/>
            <w:noWrap w:val="0"/>
            <w:vAlign w:val="center"/>
          </w:tcPr>
          <w:p w14:paraId="7BB57C61">
            <w:pPr>
              <w:adjustRightInd w:val="0"/>
              <w:snapToGrid w:val="0"/>
              <w:jc w:val="center"/>
              <w:rPr>
                <w:rFonts w:hint="default" w:ascii="Times New Roman" w:hAnsi="Times New Roman" w:cs="Times New Roman"/>
                <w:color w:val="auto"/>
                <w:sz w:val="24"/>
                <w:szCs w:val="24"/>
                <w:highlight w:val="none"/>
              </w:rPr>
            </w:pPr>
          </w:p>
        </w:tc>
        <w:tc>
          <w:tcPr>
            <w:tcW w:w="389" w:type="pct"/>
            <w:vMerge w:val="continue"/>
            <w:noWrap w:val="0"/>
            <w:vAlign w:val="center"/>
          </w:tcPr>
          <w:p w14:paraId="403287C9">
            <w:pPr>
              <w:adjustRightInd w:val="0"/>
              <w:snapToGrid w:val="0"/>
              <w:jc w:val="center"/>
              <w:rPr>
                <w:rFonts w:hint="eastAsia" w:cs="Times New Roman"/>
                <w:color w:val="auto"/>
                <w:sz w:val="24"/>
                <w:szCs w:val="24"/>
                <w:highlight w:val="none"/>
                <w:lang w:val="en-US" w:eastAsia="zh-CN"/>
              </w:rPr>
            </w:pPr>
          </w:p>
        </w:tc>
        <w:tc>
          <w:tcPr>
            <w:tcW w:w="719" w:type="pct"/>
            <w:noWrap w:val="0"/>
            <w:vAlign w:val="center"/>
          </w:tcPr>
          <w:p w14:paraId="47552286">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生产废水</w:t>
            </w:r>
          </w:p>
        </w:tc>
        <w:tc>
          <w:tcPr>
            <w:tcW w:w="499" w:type="pct"/>
            <w:vMerge w:val="continue"/>
            <w:noWrap w:val="0"/>
            <w:vAlign w:val="center"/>
          </w:tcPr>
          <w:p w14:paraId="1ECFA259">
            <w:pPr>
              <w:adjustRightInd w:val="0"/>
              <w:snapToGrid w:val="0"/>
              <w:jc w:val="center"/>
              <w:rPr>
                <w:rFonts w:hint="default" w:ascii="Times New Roman" w:hAnsi="Times New Roman" w:cs="Times New Roman"/>
                <w:color w:val="auto"/>
                <w:sz w:val="24"/>
                <w:szCs w:val="24"/>
                <w:highlight w:val="none"/>
              </w:rPr>
            </w:pPr>
          </w:p>
        </w:tc>
        <w:tc>
          <w:tcPr>
            <w:tcW w:w="1885" w:type="pct"/>
            <w:tcBorders>
              <w:top w:val="single" w:color="auto" w:sz="4" w:space="0"/>
            </w:tcBorders>
            <w:noWrap w:val="0"/>
            <w:vAlign w:val="center"/>
          </w:tcPr>
          <w:p w14:paraId="07C7EE22">
            <w:pPr>
              <w:adjustRightInd w:val="0"/>
              <w:snapToGrid w:val="0"/>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水洗塔中的水循环利用，水洗塔内排水回用于稀释菌种，不能消纳部分排至化粪池</w:t>
            </w:r>
          </w:p>
        </w:tc>
        <w:tc>
          <w:tcPr>
            <w:tcW w:w="1116" w:type="pct"/>
            <w:vMerge w:val="continue"/>
            <w:noWrap w:val="0"/>
            <w:vAlign w:val="center"/>
          </w:tcPr>
          <w:p w14:paraId="0C07BE22">
            <w:pPr>
              <w:ind w:left="-105" w:leftChars="-50" w:right="-105" w:rightChars="-50"/>
              <w:jc w:val="center"/>
              <w:rPr>
                <w:rFonts w:hint="eastAsia" w:cs="Times New Roman"/>
                <w:color w:val="auto"/>
                <w:sz w:val="24"/>
                <w:szCs w:val="24"/>
                <w:highlight w:val="none"/>
                <w:lang w:val="en-US" w:eastAsia="zh-CN"/>
              </w:rPr>
            </w:pPr>
          </w:p>
        </w:tc>
      </w:tr>
      <w:tr w14:paraId="762D5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389" w:type="pct"/>
            <w:noWrap w:val="0"/>
            <w:vAlign w:val="center"/>
          </w:tcPr>
          <w:p w14:paraId="44FDEFF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w:t>
            </w:r>
          </w:p>
        </w:tc>
        <w:tc>
          <w:tcPr>
            <w:tcW w:w="389" w:type="pct"/>
            <w:vMerge w:val="continue"/>
            <w:noWrap w:val="0"/>
            <w:vAlign w:val="center"/>
          </w:tcPr>
          <w:p w14:paraId="368EB89C">
            <w:pPr>
              <w:adjustRightInd w:val="0"/>
              <w:snapToGrid w:val="0"/>
              <w:jc w:val="center"/>
              <w:rPr>
                <w:rFonts w:hint="default" w:ascii="Times New Roman" w:hAnsi="Times New Roman" w:cs="Times New Roman"/>
                <w:color w:val="auto"/>
                <w:sz w:val="24"/>
                <w:szCs w:val="24"/>
                <w:highlight w:val="none"/>
              </w:rPr>
            </w:pPr>
          </w:p>
        </w:tc>
        <w:tc>
          <w:tcPr>
            <w:tcW w:w="719" w:type="pct"/>
            <w:noWrap w:val="0"/>
            <w:vAlign w:val="center"/>
          </w:tcPr>
          <w:p w14:paraId="2A4BC6F2">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设备噪声</w:t>
            </w:r>
          </w:p>
        </w:tc>
        <w:tc>
          <w:tcPr>
            <w:tcW w:w="499" w:type="pct"/>
            <w:noWrap w:val="0"/>
            <w:vAlign w:val="center"/>
          </w:tcPr>
          <w:p w14:paraId="4F971760">
            <w:pPr>
              <w:ind w:left="-105" w:leftChars="-50" w:right="-105" w:rightChars="-5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等效连续A声级</w:t>
            </w:r>
          </w:p>
        </w:tc>
        <w:tc>
          <w:tcPr>
            <w:tcW w:w="1885" w:type="pct"/>
            <w:noWrap w:val="0"/>
            <w:vAlign w:val="center"/>
          </w:tcPr>
          <w:p w14:paraId="63D93479">
            <w:pPr>
              <w:ind w:left="-105" w:leftChars="-50" w:right="-105" w:rightChars="-5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选用低噪声设备，基础减震、厂房隔声等</w:t>
            </w:r>
          </w:p>
        </w:tc>
        <w:tc>
          <w:tcPr>
            <w:tcW w:w="1116" w:type="pct"/>
            <w:noWrap w:val="0"/>
            <w:vAlign w:val="center"/>
          </w:tcPr>
          <w:p w14:paraId="2B4A1545">
            <w:pPr>
              <w:ind w:left="-105" w:leftChars="-50" w:right="-105" w:rightChars="-50"/>
              <w:jc w:val="center"/>
              <w:rPr>
                <w:rFonts w:hint="default" w:ascii="Times New Roman" w:hAnsi="Times New Roman" w:cs="Times New Roman"/>
                <w:color w:val="auto"/>
                <w:sz w:val="24"/>
                <w:szCs w:val="24"/>
                <w:highlight w:val="none"/>
              </w:rPr>
            </w:pPr>
            <w:r>
              <w:rPr>
                <w:rFonts w:hint="default" w:ascii="Times New Roman" w:hAnsi="Times New Roman" w:cs="Times New Roman"/>
                <w:caps/>
                <w:color w:val="auto"/>
                <w:sz w:val="24"/>
                <w:szCs w:val="24"/>
                <w:highlight w:val="none"/>
              </w:rPr>
              <w:t>《工业企业厂界环境噪声排放标准》（GB12348-2008）中2类标准</w:t>
            </w:r>
          </w:p>
        </w:tc>
      </w:tr>
      <w:tr w14:paraId="2221E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89" w:type="pct"/>
            <w:vMerge w:val="restart"/>
            <w:noWrap w:val="0"/>
            <w:vAlign w:val="center"/>
          </w:tcPr>
          <w:p w14:paraId="4A48FB5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固体废物</w:t>
            </w:r>
          </w:p>
        </w:tc>
        <w:tc>
          <w:tcPr>
            <w:tcW w:w="389" w:type="pct"/>
            <w:vMerge w:val="restart"/>
            <w:noWrap w:val="0"/>
            <w:vAlign w:val="center"/>
          </w:tcPr>
          <w:p w14:paraId="483E6302">
            <w:pPr>
              <w:adjustRightInd w:val="0"/>
              <w:snapToGrid w:val="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两期相同的环保措施</w:t>
            </w:r>
          </w:p>
        </w:tc>
        <w:tc>
          <w:tcPr>
            <w:tcW w:w="4220" w:type="pct"/>
            <w:gridSpan w:val="4"/>
            <w:noWrap w:val="0"/>
            <w:vAlign w:val="center"/>
          </w:tcPr>
          <w:p w14:paraId="4F69DA57">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6"/>
                <w:sz w:val="24"/>
                <w:szCs w:val="24"/>
                <w:highlight w:val="none"/>
                <w:lang w:bidi="zh-CN"/>
              </w:rPr>
              <w:t>生活垃圾经垃圾桶收集，由</w:t>
            </w:r>
            <w:r>
              <w:rPr>
                <w:rFonts w:hint="default" w:ascii="Times New Roman" w:hAnsi="Times New Roman" w:cs="Times New Roman"/>
                <w:color w:val="auto"/>
                <w:spacing w:val="-6"/>
                <w:sz w:val="24"/>
                <w:szCs w:val="24"/>
                <w:highlight w:val="none"/>
                <w:lang w:val="zh-CN" w:bidi="zh-CN"/>
              </w:rPr>
              <w:t>环卫部门统一处置</w:t>
            </w:r>
          </w:p>
        </w:tc>
      </w:tr>
      <w:tr w14:paraId="4A18B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89" w:type="pct"/>
            <w:vMerge w:val="continue"/>
            <w:noWrap w:val="0"/>
            <w:vAlign w:val="center"/>
          </w:tcPr>
          <w:p w14:paraId="17C126EB">
            <w:pPr>
              <w:adjustRightInd w:val="0"/>
              <w:snapToGrid w:val="0"/>
              <w:jc w:val="left"/>
              <w:rPr>
                <w:color w:val="auto"/>
                <w:highlight w:val="none"/>
              </w:rPr>
            </w:pPr>
          </w:p>
        </w:tc>
        <w:tc>
          <w:tcPr>
            <w:tcW w:w="389" w:type="pct"/>
            <w:vMerge w:val="continue"/>
            <w:noWrap w:val="0"/>
            <w:vAlign w:val="center"/>
          </w:tcPr>
          <w:p w14:paraId="78029BBE">
            <w:pPr>
              <w:adjustRightInd w:val="0"/>
              <w:snapToGrid w:val="0"/>
              <w:jc w:val="left"/>
              <w:rPr>
                <w:color w:val="auto"/>
                <w:highlight w:val="none"/>
              </w:rPr>
            </w:pPr>
          </w:p>
        </w:tc>
        <w:tc>
          <w:tcPr>
            <w:tcW w:w="4220" w:type="pct"/>
            <w:gridSpan w:val="4"/>
            <w:noWrap w:val="0"/>
            <w:vAlign w:val="center"/>
          </w:tcPr>
          <w:p w14:paraId="356E0568">
            <w:pPr>
              <w:adjustRightInd w:val="0"/>
              <w:snapToGrid w:val="0"/>
              <w:jc w:val="center"/>
              <w:rPr>
                <w:rFonts w:hint="default" w:ascii="Times New Roman" w:hAnsi="Times New Roman" w:cs="Times New Roman"/>
                <w:color w:val="auto"/>
                <w:spacing w:val="-6"/>
                <w:sz w:val="24"/>
                <w:szCs w:val="24"/>
                <w:highlight w:val="none"/>
                <w:lang w:bidi="zh-CN"/>
              </w:rPr>
            </w:pPr>
            <w:r>
              <w:rPr>
                <w:rFonts w:hint="default" w:ascii="Times New Roman" w:hAnsi="Times New Roman" w:cs="Times New Roman"/>
                <w:color w:val="auto"/>
                <w:spacing w:val="-6"/>
                <w:sz w:val="24"/>
                <w:szCs w:val="24"/>
                <w:highlight w:val="none"/>
                <w:lang w:bidi="zh-CN"/>
              </w:rPr>
              <w:t>废包装</w:t>
            </w:r>
            <w:r>
              <w:rPr>
                <w:rFonts w:hint="default" w:ascii="Times New Roman" w:hAnsi="Times New Roman" w:cs="Times New Roman"/>
                <w:color w:val="auto"/>
                <w:sz w:val="24"/>
                <w:szCs w:val="24"/>
                <w:highlight w:val="none"/>
              </w:rPr>
              <w:t>集中收集后</w:t>
            </w:r>
            <w:r>
              <w:rPr>
                <w:rFonts w:hint="eastAsia" w:cs="Times New Roman"/>
                <w:color w:val="auto"/>
                <w:sz w:val="24"/>
                <w:szCs w:val="24"/>
                <w:highlight w:val="none"/>
                <w:lang w:val="en-US" w:eastAsia="zh-CN"/>
              </w:rPr>
              <w:t>环卫部门处理</w:t>
            </w:r>
          </w:p>
        </w:tc>
      </w:tr>
      <w:tr w14:paraId="1FDBD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89" w:type="pct"/>
            <w:vMerge w:val="continue"/>
            <w:noWrap w:val="0"/>
            <w:vAlign w:val="center"/>
          </w:tcPr>
          <w:p w14:paraId="76BD5C7C">
            <w:pPr>
              <w:adjustRightInd w:val="0"/>
              <w:snapToGrid w:val="0"/>
              <w:jc w:val="left"/>
              <w:rPr>
                <w:rFonts w:hint="default" w:ascii="Times New Roman" w:hAnsi="Times New Roman" w:cs="Times New Roman"/>
                <w:color w:val="auto"/>
                <w:spacing w:val="-6"/>
                <w:sz w:val="24"/>
                <w:szCs w:val="24"/>
                <w:highlight w:val="none"/>
                <w:lang w:bidi="zh-CN"/>
              </w:rPr>
            </w:pPr>
          </w:p>
        </w:tc>
        <w:tc>
          <w:tcPr>
            <w:tcW w:w="389" w:type="pct"/>
            <w:vMerge w:val="continue"/>
            <w:noWrap w:val="0"/>
            <w:vAlign w:val="center"/>
          </w:tcPr>
          <w:p w14:paraId="670F2730">
            <w:pPr>
              <w:adjustRightInd w:val="0"/>
              <w:snapToGrid w:val="0"/>
              <w:jc w:val="left"/>
              <w:rPr>
                <w:rFonts w:hint="default" w:ascii="Times New Roman" w:hAnsi="Times New Roman" w:cs="Times New Roman"/>
                <w:color w:val="auto"/>
                <w:spacing w:val="-6"/>
                <w:sz w:val="24"/>
                <w:szCs w:val="24"/>
                <w:highlight w:val="none"/>
                <w:lang w:bidi="zh-CN"/>
              </w:rPr>
            </w:pPr>
          </w:p>
        </w:tc>
        <w:tc>
          <w:tcPr>
            <w:tcW w:w="4220" w:type="pct"/>
            <w:gridSpan w:val="4"/>
            <w:noWrap w:val="0"/>
            <w:vAlign w:val="center"/>
          </w:tcPr>
          <w:p w14:paraId="01DE87E7">
            <w:pPr>
              <w:adjustRightInd w:val="0"/>
              <w:snapToGrid w:val="0"/>
              <w:jc w:val="center"/>
              <w:rPr>
                <w:rFonts w:hint="default" w:ascii="Times New Roman" w:hAnsi="Times New Roman" w:cs="Times New Roman"/>
                <w:color w:val="auto"/>
                <w:spacing w:val="-6"/>
                <w:sz w:val="24"/>
                <w:szCs w:val="24"/>
                <w:highlight w:val="none"/>
                <w:lang w:bidi="zh-CN"/>
              </w:rPr>
            </w:pPr>
            <w:r>
              <w:rPr>
                <w:rFonts w:hint="eastAsia" w:cs="Times New Roman"/>
                <w:color w:val="auto"/>
                <w:sz w:val="24"/>
                <w:szCs w:val="24"/>
                <w:highlight w:val="none"/>
                <w:lang w:val="en-US" w:eastAsia="zh-CN"/>
              </w:rPr>
              <w:t>未收集颗粒物清理</w:t>
            </w:r>
            <w:r>
              <w:rPr>
                <w:rFonts w:hint="default" w:ascii="Times New Roman" w:hAnsi="Times New Roman" w:cs="Times New Roman"/>
                <w:color w:val="auto"/>
                <w:sz w:val="24"/>
                <w:szCs w:val="24"/>
                <w:highlight w:val="none"/>
              </w:rPr>
              <w:t>收集后作为原材料</w:t>
            </w:r>
            <w:r>
              <w:rPr>
                <w:rFonts w:hint="eastAsia" w:cs="Times New Roman"/>
                <w:color w:val="auto"/>
                <w:sz w:val="24"/>
                <w:szCs w:val="24"/>
                <w:highlight w:val="none"/>
                <w:lang w:val="en-US" w:eastAsia="zh-CN"/>
              </w:rPr>
              <w:t>回用</w:t>
            </w:r>
          </w:p>
        </w:tc>
      </w:tr>
      <w:tr w14:paraId="1024CC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89" w:type="pct"/>
            <w:vMerge w:val="continue"/>
            <w:noWrap w:val="0"/>
            <w:vAlign w:val="center"/>
          </w:tcPr>
          <w:p w14:paraId="54700E16">
            <w:pPr>
              <w:adjustRightInd w:val="0"/>
              <w:snapToGrid w:val="0"/>
              <w:jc w:val="left"/>
              <w:rPr>
                <w:rFonts w:hint="default" w:ascii="Times New Roman" w:hAnsi="Times New Roman" w:cs="Times New Roman"/>
                <w:color w:val="auto"/>
                <w:spacing w:val="-6"/>
                <w:sz w:val="24"/>
                <w:szCs w:val="24"/>
                <w:highlight w:val="none"/>
                <w:lang w:bidi="zh-CN"/>
              </w:rPr>
            </w:pPr>
          </w:p>
        </w:tc>
        <w:tc>
          <w:tcPr>
            <w:tcW w:w="389" w:type="pct"/>
            <w:vMerge w:val="continue"/>
            <w:noWrap w:val="0"/>
            <w:vAlign w:val="center"/>
          </w:tcPr>
          <w:p w14:paraId="6C176C24">
            <w:pPr>
              <w:adjustRightInd w:val="0"/>
              <w:snapToGrid w:val="0"/>
              <w:jc w:val="left"/>
              <w:rPr>
                <w:rFonts w:hint="default" w:ascii="Times New Roman" w:hAnsi="Times New Roman" w:cs="Times New Roman"/>
                <w:color w:val="auto"/>
                <w:spacing w:val="-6"/>
                <w:sz w:val="24"/>
                <w:szCs w:val="24"/>
                <w:highlight w:val="none"/>
                <w:lang w:bidi="zh-CN"/>
              </w:rPr>
            </w:pPr>
          </w:p>
        </w:tc>
        <w:tc>
          <w:tcPr>
            <w:tcW w:w="4220" w:type="pct"/>
            <w:gridSpan w:val="4"/>
            <w:noWrap w:val="0"/>
            <w:vAlign w:val="center"/>
          </w:tcPr>
          <w:p w14:paraId="7F01EC82">
            <w:pPr>
              <w:adjustRightInd w:val="0"/>
              <w:snapToGrid w:val="0"/>
              <w:jc w:val="center"/>
              <w:rPr>
                <w:rFonts w:hint="default" w:ascii="Times New Roman" w:hAnsi="Times New Roman" w:cs="Times New Roman"/>
                <w:color w:val="auto"/>
                <w:spacing w:val="-6"/>
                <w:sz w:val="24"/>
                <w:szCs w:val="24"/>
                <w:highlight w:val="none"/>
                <w:lang w:bidi="zh-CN"/>
              </w:rPr>
            </w:pPr>
            <w:r>
              <w:rPr>
                <w:rFonts w:hint="eastAsia" w:cs="Times New Roman"/>
                <w:color w:val="auto"/>
                <w:spacing w:val="-6"/>
                <w:sz w:val="21"/>
                <w:szCs w:val="21"/>
                <w:highlight w:val="none"/>
                <w:lang w:val="en-US" w:bidi="zh-CN"/>
              </w:rPr>
              <w:t>废活性炭由活性炭吸附装置厂家每半年更换，不在厂内暂存</w:t>
            </w:r>
          </w:p>
        </w:tc>
      </w:tr>
      <w:tr w14:paraId="2520E0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89" w:type="pct"/>
            <w:vMerge w:val="continue"/>
            <w:noWrap w:val="0"/>
            <w:vAlign w:val="center"/>
          </w:tcPr>
          <w:p w14:paraId="4974DEF0">
            <w:pPr>
              <w:adjustRightInd w:val="0"/>
              <w:snapToGrid w:val="0"/>
              <w:jc w:val="left"/>
              <w:rPr>
                <w:rFonts w:hint="default" w:ascii="Times New Roman" w:hAnsi="Times New Roman" w:cs="Times New Roman"/>
                <w:color w:val="auto"/>
                <w:spacing w:val="-6"/>
                <w:sz w:val="24"/>
                <w:szCs w:val="24"/>
                <w:highlight w:val="none"/>
                <w:lang w:bidi="zh-CN"/>
              </w:rPr>
            </w:pPr>
          </w:p>
        </w:tc>
        <w:tc>
          <w:tcPr>
            <w:tcW w:w="389" w:type="pct"/>
            <w:vMerge w:val="continue"/>
            <w:noWrap w:val="0"/>
            <w:vAlign w:val="center"/>
          </w:tcPr>
          <w:p w14:paraId="110E871D">
            <w:pPr>
              <w:adjustRightInd w:val="0"/>
              <w:snapToGrid w:val="0"/>
              <w:jc w:val="left"/>
              <w:rPr>
                <w:rFonts w:hint="default" w:ascii="Times New Roman" w:hAnsi="Times New Roman" w:cs="Times New Roman"/>
                <w:color w:val="auto"/>
                <w:spacing w:val="-6"/>
                <w:sz w:val="24"/>
                <w:szCs w:val="24"/>
                <w:highlight w:val="none"/>
                <w:lang w:bidi="zh-CN"/>
              </w:rPr>
            </w:pPr>
          </w:p>
        </w:tc>
        <w:tc>
          <w:tcPr>
            <w:tcW w:w="4220" w:type="pct"/>
            <w:gridSpan w:val="4"/>
            <w:noWrap w:val="0"/>
            <w:vAlign w:val="center"/>
          </w:tcPr>
          <w:p w14:paraId="36BBE241">
            <w:pPr>
              <w:adjustRightInd w:val="0"/>
              <w:snapToGrid w:val="0"/>
              <w:jc w:val="center"/>
              <w:rPr>
                <w:rFonts w:hint="eastAsia" w:cs="Times New Roman"/>
                <w:color w:val="auto"/>
                <w:spacing w:val="-6"/>
                <w:sz w:val="21"/>
                <w:szCs w:val="21"/>
                <w:highlight w:val="none"/>
                <w:lang w:val="en-US" w:bidi="zh-CN"/>
              </w:rPr>
            </w:pPr>
            <w:r>
              <w:rPr>
                <w:rFonts w:hint="eastAsia" w:cs="Times New Roman"/>
                <w:color w:val="auto"/>
                <w:spacing w:val="-6"/>
                <w:sz w:val="21"/>
                <w:szCs w:val="21"/>
                <w:highlight w:val="none"/>
                <w:lang w:val="en-US" w:bidi="zh-CN"/>
              </w:rPr>
              <w:t>废润滑油，</w:t>
            </w:r>
            <w:r>
              <w:rPr>
                <w:rFonts w:hint="eastAsia" w:cs="Times New Roman"/>
                <w:color w:val="auto"/>
                <w:spacing w:val="-6"/>
                <w:sz w:val="21"/>
                <w:szCs w:val="21"/>
                <w:highlight w:val="none"/>
                <w:lang w:val="en-US" w:eastAsia="zh-CN" w:bidi="zh-CN"/>
              </w:rPr>
              <w:t>修理替换后的废润滑油桶装暂存至危废间定期委托有资质单位规范转运处置</w:t>
            </w:r>
          </w:p>
        </w:tc>
      </w:tr>
      <w:tr w14:paraId="467C3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389" w:type="pct"/>
            <w:noWrap w:val="0"/>
            <w:vAlign w:val="center"/>
          </w:tcPr>
          <w:p w14:paraId="49E8154B">
            <w:pPr>
              <w:adjustRightInd w:val="0"/>
              <w:snapToGrid w:val="0"/>
              <w:ind w:left="-105" w:leftChars="-50" w:right="-105" w:rightChars="-5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土壤及地下水</w:t>
            </w:r>
          </w:p>
          <w:p w14:paraId="01B24E55">
            <w:pPr>
              <w:adjustRightInd w:val="0"/>
              <w:snapToGrid w:val="0"/>
              <w:ind w:left="-105" w:leftChars="-50" w:right="-105" w:rightChars="-5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污染防治措施</w:t>
            </w:r>
          </w:p>
        </w:tc>
        <w:tc>
          <w:tcPr>
            <w:tcW w:w="389" w:type="pct"/>
            <w:noWrap w:val="0"/>
            <w:vAlign w:val="center"/>
          </w:tcPr>
          <w:p w14:paraId="06CD2FC9">
            <w:pPr>
              <w:adjustRightInd w:val="0"/>
              <w:snapToGrid w:val="0"/>
              <w:ind w:left="-105" w:leftChars="-50" w:right="-105" w:rightChars="-5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两期相同的环保措施</w:t>
            </w:r>
          </w:p>
        </w:tc>
        <w:tc>
          <w:tcPr>
            <w:tcW w:w="4220" w:type="pct"/>
            <w:gridSpan w:val="4"/>
            <w:noWrap w:val="0"/>
            <w:vAlign w:val="center"/>
          </w:tcPr>
          <w:p w14:paraId="0D23EA63">
            <w:pPr>
              <w:pStyle w:val="9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s="Times New Roman"/>
                <w:color w:val="auto"/>
                <w:spacing w:val="-6"/>
                <w:sz w:val="24"/>
                <w:szCs w:val="24"/>
                <w:highlight w:val="none"/>
                <w:lang w:val="en-US" w:eastAsia="zh-CN" w:bidi="zh-CN"/>
              </w:rPr>
            </w:pPr>
            <w:r>
              <w:rPr>
                <w:rFonts w:hint="eastAsia" w:cs="Times New Roman"/>
                <w:color w:val="auto"/>
                <w:szCs w:val="21"/>
                <w:highlight w:val="none"/>
                <w:lang w:val="en-US" w:eastAsia="zh-CN"/>
              </w:rPr>
              <w:t>危废间地面及裙角进行防渗处理，地面防渗措施为在混凝土上铺设复合土工膜+水泥砂浆抹灰及环氧树脂耐油防腐地坪，渗透系数≤ 10</w:t>
            </w:r>
            <w:r>
              <w:rPr>
                <w:rFonts w:hint="eastAsia" w:cs="Times New Roman"/>
                <w:color w:val="auto"/>
                <w:szCs w:val="21"/>
                <w:highlight w:val="none"/>
                <w:vertAlign w:val="superscript"/>
                <w:lang w:val="en-US" w:eastAsia="zh-CN"/>
              </w:rPr>
              <w:t>-10</w:t>
            </w:r>
            <w:r>
              <w:rPr>
                <w:rFonts w:hint="eastAsia" w:cs="Times New Roman"/>
                <w:color w:val="auto"/>
                <w:szCs w:val="21"/>
                <w:highlight w:val="none"/>
                <w:lang w:val="en-US" w:eastAsia="zh-CN"/>
              </w:rPr>
              <w:t>cm/s并设置收集池、导流槽等设施；</w:t>
            </w:r>
          </w:p>
          <w:p w14:paraId="0DFE4343">
            <w:pPr>
              <w:pStyle w:val="95"/>
              <w:keepNext w:val="0"/>
              <w:keepLines w:val="0"/>
              <w:pageBreakBefore w:val="0"/>
              <w:widowControl w:val="0"/>
              <w:kinsoku/>
              <w:wordWrap/>
              <w:overflowPunct/>
              <w:topLinePunct w:val="0"/>
              <w:autoSpaceDE/>
              <w:autoSpaceDN/>
              <w:bidi w:val="0"/>
              <w:adjustRightInd/>
              <w:snapToGrid/>
              <w:ind w:firstLine="456" w:firstLineChars="200"/>
              <w:jc w:val="left"/>
              <w:textAlignment w:val="auto"/>
              <w:rPr>
                <w:rFonts w:hint="eastAsia"/>
                <w:color w:val="auto"/>
                <w:sz w:val="24"/>
                <w:szCs w:val="24"/>
                <w:highlight w:val="none"/>
                <w:lang w:val="en-US" w:eastAsia="zh-CN"/>
              </w:rPr>
            </w:pPr>
            <w:r>
              <w:rPr>
                <w:rFonts w:hint="eastAsia" w:cs="Times New Roman"/>
                <w:color w:val="auto"/>
                <w:spacing w:val="-6"/>
                <w:sz w:val="24"/>
                <w:szCs w:val="24"/>
                <w:highlight w:val="none"/>
                <w:lang w:val="en-US" w:eastAsia="zh-CN" w:bidi="zh-CN"/>
              </w:rPr>
              <w:t>生产车间和纳米膜发酵车间地面采用</w:t>
            </w:r>
            <w:r>
              <w:rPr>
                <w:rFonts w:hint="default"/>
                <w:color w:val="auto"/>
                <w:sz w:val="24"/>
                <w:szCs w:val="24"/>
                <w:highlight w:val="none"/>
                <w:lang w:val="en-US" w:eastAsia="zh-CN"/>
              </w:rPr>
              <w:t>C30防渗混凝土+2mmHDPE膜，厚度≥150mm，防渗等级K≤10</w:t>
            </w:r>
            <w:r>
              <w:rPr>
                <w:rFonts w:hint="eastAsia"/>
                <w:color w:val="auto"/>
                <w:sz w:val="24"/>
                <w:szCs w:val="24"/>
                <w:highlight w:val="none"/>
                <w:vertAlign w:val="superscript"/>
                <w:lang w:val="en-US" w:eastAsia="zh-CN"/>
              </w:rPr>
              <w:t>-7</w:t>
            </w:r>
            <w:r>
              <w:rPr>
                <w:rFonts w:hint="default"/>
                <w:color w:val="auto"/>
                <w:sz w:val="24"/>
                <w:szCs w:val="24"/>
                <w:highlight w:val="none"/>
                <w:lang w:val="en-US" w:eastAsia="zh-CN"/>
              </w:rPr>
              <w:t>cm/s</w:t>
            </w:r>
            <w:r>
              <w:rPr>
                <w:rFonts w:hint="eastAsia"/>
                <w:color w:val="auto"/>
                <w:sz w:val="24"/>
                <w:szCs w:val="24"/>
                <w:highlight w:val="none"/>
                <w:lang w:val="en-US" w:eastAsia="zh-CN"/>
              </w:rPr>
              <w:t>；</w:t>
            </w:r>
          </w:p>
          <w:p w14:paraId="7BC3D69B">
            <w:pPr>
              <w:pStyle w:val="95"/>
              <w:keepNext w:val="0"/>
              <w:keepLines w:val="0"/>
              <w:pageBreakBefore w:val="0"/>
              <w:widowControl w:val="0"/>
              <w:kinsoku/>
              <w:wordWrap/>
              <w:overflowPunct/>
              <w:topLinePunct w:val="0"/>
              <w:autoSpaceDE/>
              <w:autoSpaceDN/>
              <w:bidi w:val="0"/>
              <w:adjustRightInd/>
              <w:snapToGrid/>
              <w:ind w:firstLine="472" w:firstLineChars="200"/>
              <w:jc w:val="left"/>
              <w:textAlignment w:val="auto"/>
              <w:rPr>
                <w:rFonts w:hint="default" w:ascii="Times New Roman" w:hAnsi="Times New Roman" w:cs="Times New Roman"/>
                <w:color w:val="auto"/>
                <w:sz w:val="24"/>
                <w:szCs w:val="24"/>
                <w:highlight w:val="none"/>
              </w:rPr>
            </w:pPr>
            <w:r>
              <w:rPr>
                <w:rFonts w:hint="eastAsia" w:cs="Times New Roman"/>
                <w:color w:val="auto"/>
                <w:spacing w:val="-2"/>
                <w:sz w:val="24"/>
                <w:szCs w:val="24"/>
                <w:highlight w:val="none"/>
                <w:lang w:val="en-US" w:eastAsia="zh-CN"/>
              </w:rPr>
              <w:t>原料储存库地面采用素</w:t>
            </w:r>
            <w:r>
              <w:rPr>
                <w:rFonts w:hint="default"/>
                <w:color w:val="auto"/>
                <w:sz w:val="24"/>
                <w:szCs w:val="24"/>
                <w:highlight w:val="none"/>
                <w:lang w:val="en-US" w:eastAsia="zh-CN"/>
              </w:rPr>
              <w:t>混凝土+防渗层</w:t>
            </w:r>
            <w:r>
              <w:rPr>
                <w:rFonts w:hint="eastAsia"/>
                <w:color w:val="auto"/>
                <w:sz w:val="24"/>
                <w:szCs w:val="24"/>
                <w:highlight w:val="none"/>
                <w:lang w:val="en-US" w:eastAsia="zh-CN"/>
              </w:rPr>
              <w:t>；</w:t>
            </w:r>
            <w:r>
              <w:rPr>
                <w:rFonts w:hint="eastAsia" w:cs="Times New Roman"/>
                <w:color w:val="auto"/>
                <w:spacing w:val="-2"/>
                <w:sz w:val="24"/>
                <w:szCs w:val="24"/>
                <w:highlight w:val="none"/>
                <w:lang w:val="en-US" w:eastAsia="zh-CN"/>
              </w:rPr>
              <w:t>办公管理区地面采用瓷砖/防滑地面。</w:t>
            </w:r>
          </w:p>
        </w:tc>
      </w:tr>
      <w:tr w14:paraId="62634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389" w:type="pct"/>
            <w:noWrap w:val="0"/>
            <w:vAlign w:val="center"/>
          </w:tcPr>
          <w:p w14:paraId="6CC29D0D">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w:t>
            </w:r>
          </w:p>
          <w:p w14:paraId="661ADAB6">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保护措施</w:t>
            </w:r>
          </w:p>
        </w:tc>
        <w:tc>
          <w:tcPr>
            <w:tcW w:w="389" w:type="pct"/>
            <w:noWrap w:val="0"/>
            <w:vAlign w:val="center"/>
          </w:tcPr>
          <w:p w14:paraId="128359E0">
            <w:pPr>
              <w:adjustRightInd w:val="0"/>
              <w:snapToGrid w:val="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两期相同的环保措施</w:t>
            </w:r>
          </w:p>
        </w:tc>
        <w:tc>
          <w:tcPr>
            <w:tcW w:w="4220" w:type="pct"/>
            <w:gridSpan w:val="4"/>
            <w:noWrap w:val="0"/>
            <w:vAlign w:val="center"/>
          </w:tcPr>
          <w:p w14:paraId="1ED879A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项目建成后及时对裸地进行覆土和环境绿化，将场地开挖时临时堆存的表层土壤进行回用，加强厂区绿化，对周边生态环境影响较小。</w:t>
            </w:r>
          </w:p>
        </w:tc>
      </w:tr>
      <w:tr w14:paraId="3CF4B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noWrap w:val="0"/>
            <w:vAlign w:val="center"/>
          </w:tcPr>
          <w:p w14:paraId="7AC0202A">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环境风险</w:t>
            </w:r>
          </w:p>
          <w:p w14:paraId="5AE3440D">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防范措施</w:t>
            </w:r>
          </w:p>
        </w:tc>
        <w:tc>
          <w:tcPr>
            <w:tcW w:w="389" w:type="pct"/>
            <w:noWrap w:val="0"/>
            <w:vAlign w:val="center"/>
          </w:tcPr>
          <w:p w14:paraId="60D59962">
            <w:pPr>
              <w:adjustRightInd w:val="0"/>
              <w:snapToGrid w:val="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两期相同的环保措施</w:t>
            </w:r>
          </w:p>
        </w:tc>
        <w:tc>
          <w:tcPr>
            <w:tcW w:w="4220" w:type="pct"/>
            <w:gridSpan w:val="4"/>
            <w:noWrap w:val="0"/>
            <w:vAlign w:val="center"/>
          </w:tcPr>
          <w:p w14:paraId="3014B148">
            <w:pPr>
              <w:widowControl/>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（1）火灾的防范措施</w:t>
            </w:r>
          </w:p>
          <w:p w14:paraId="0819690E">
            <w:pPr>
              <w:widowControl/>
              <w:ind w:firstLine="480"/>
              <w:rPr>
                <w:rFonts w:hint="default" w:ascii="Times New Roman" w:hAnsi="Times New Roman" w:cs="Times New Roman"/>
                <w:color w:val="auto"/>
                <w:sz w:val="24"/>
                <w:szCs w:val="24"/>
                <w:highlight w:val="none"/>
              </w:rPr>
            </w:pPr>
            <w:r>
              <w:rPr>
                <w:rFonts w:hint="default" w:ascii="Times New Roman" w:hAnsi="Times New Roman" w:cs="Times New Roman"/>
                <w:snapToGrid w:val="0"/>
                <w:color w:val="auto"/>
                <w:sz w:val="24"/>
                <w:szCs w:val="24"/>
                <w:highlight w:val="none"/>
              </w:rPr>
              <w:t>可以引起火灾的因素较多，如电器设备多，维护管理和使用不当，明火管理不当、吸烟或施工操作不当等，可以说火灾的潜伏性和可能性是很大的，具有较大的危害性</w:t>
            </w:r>
            <w:r>
              <w:rPr>
                <w:rFonts w:hint="default" w:ascii="Times New Roman" w:hAnsi="Times New Roman" w:cs="Times New Roman"/>
                <w:color w:val="auto"/>
                <w:sz w:val="24"/>
                <w:szCs w:val="24"/>
                <w:highlight w:val="none"/>
              </w:rPr>
              <w:t>。本项目采取防范措施为：</w:t>
            </w:r>
          </w:p>
          <w:p w14:paraId="381838ED">
            <w:pPr>
              <w:widowControl/>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①</w:t>
            </w:r>
            <w:r>
              <w:rPr>
                <w:rFonts w:hint="default" w:ascii="Times New Roman" w:hAnsi="Times New Roman" w:cs="Times New Roman"/>
                <w:color w:val="auto"/>
                <w:sz w:val="24"/>
                <w:szCs w:val="24"/>
                <w:highlight w:val="none"/>
              </w:rPr>
              <w:t>项目应加强对用电设备管理，电线线路及设备线路定期进行检查；</w:t>
            </w:r>
          </w:p>
          <w:p w14:paraId="6D3A7792">
            <w:pPr>
              <w:widowControl/>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②</w:t>
            </w:r>
            <w:r>
              <w:rPr>
                <w:rFonts w:hint="default" w:ascii="Times New Roman" w:hAnsi="Times New Roman" w:cs="Times New Roman"/>
                <w:color w:val="auto"/>
                <w:sz w:val="24"/>
                <w:szCs w:val="24"/>
                <w:highlight w:val="none"/>
              </w:rPr>
              <w:t>加强管理和安全知识教育，增强防范意识；</w:t>
            </w:r>
          </w:p>
          <w:p w14:paraId="0CEDFAEC">
            <w:pPr>
              <w:widowControl/>
              <w:ind w:firstLine="48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③</w:t>
            </w:r>
            <w:r>
              <w:rPr>
                <w:rFonts w:hint="default" w:ascii="Times New Roman" w:hAnsi="Times New Roman" w:cs="Times New Roman"/>
                <w:color w:val="auto"/>
                <w:kern w:val="0"/>
                <w:sz w:val="24"/>
                <w:szCs w:val="24"/>
                <w:highlight w:val="none"/>
              </w:rPr>
              <w:t xml:space="preserve">项目设置火灾自动报警系统，提醒人员及时疏散； </w:t>
            </w:r>
          </w:p>
          <w:p w14:paraId="0C11B1A7">
            <w:pPr>
              <w:widowControl/>
              <w:ind w:firstLine="48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④</w:t>
            </w:r>
            <w:r>
              <w:rPr>
                <w:rFonts w:hint="default" w:ascii="Times New Roman" w:hAnsi="Times New Roman" w:cs="Times New Roman"/>
                <w:color w:val="auto"/>
                <w:kern w:val="0"/>
                <w:sz w:val="24"/>
                <w:szCs w:val="24"/>
                <w:highlight w:val="none"/>
              </w:rPr>
              <w:t xml:space="preserve">按照生产装置的风险区划分，对厂房、各相关设备及管道设置防雷及防静电接地系统。 </w:t>
            </w:r>
          </w:p>
          <w:p w14:paraId="33D3B60F">
            <w:pPr>
              <w:widowControl/>
              <w:ind w:firstLine="48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fldChar w:fldCharType="begin"/>
            </w:r>
            <w:r>
              <w:rPr>
                <w:rFonts w:hint="default" w:ascii="Times New Roman" w:hAnsi="Times New Roman" w:cs="Times New Roman"/>
                <w:color w:val="auto"/>
                <w:kern w:val="0"/>
                <w:sz w:val="24"/>
                <w:szCs w:val="24"/>
                <w:highlight w:val="none"/>
              </w:rPr>
              <w:instrText xml:space="preserve"> = 5 \* GB3 \* MERGEFORMAT </w:instrText>
            </w:r>
            <w:r>
              <w:rPr>
                <w:rFonts w:hint="default" w:ascii="Times New Roman" w:hAnsi="Times New Roman" w:cs="Times New Roman"/>
                <w:color w:val="auto"/>
                <w:kern w:val="0"/>
                <w:sz w:val="24"/>
                <w:szCs w:val="24"/>
                <w:highlight w:val="none"/>
              </w:rPr>
              <w:fldChar w:fldCharType="separate"/>
            </w:r>
            <w:r>
              <w:rPr>
                <w:rFonts w:hint="default" w:ascii="Times New Roman" w:hAnsi="Times New Roman" w:cs="Times New Roman"/>
                <w:color w:val="auto"/>
                <w:sz w:val="24"/>
                <w:szCs w:val="24"/>
                <w:highlight w:val="none"/>
              </w:rPr>
              <w:t>⑤</w:t>
            </w:r>
            <w:r>
              <w:rPr>
                <w:rFonts w:hint="default" w:ascii="Times New Roman" w:hAnsi="Times New Roman" w:cs="Times New Roman"/>
                <w:color w:val="auto"/>
                <w:kern w:val="0"/>
                <w:sz w:val="24"/>
                <w:szCs w:val="24"/>
                <w:highlight w:val="none"/>
              </w:rPr>
              <w:fldChar w:fldCharType="end"/>
            </w:r>
            <w:r>
              <w:rPr>
                <w:rFonts w:hint="default" w:ascii="Times New Roman" w:hAnsi="Times New Roman" w:cs="Times New Roman"/>
                <w:color w:val="auto"/>
                <w:kern w:val="0"/>
                <w:sz w:val="24"/>
                <w:szCs w:val="24"/>
                <w:highlight w:val="none"/>
              </w:rPr>
              <w:t>本项目装置区设有消防水管网。根据《建筑设计防火规范》</w:t>
            </w:r>
            <w:r>
              <w:rPr>
                <w:rFonts w:hint="eastAsia" w:cs="Times New Roman"/>
                <w:color w:val="auto"/>
                <w:kern w:val="0"/>
                <w:sz w:val="24"/>
                <w:szCs w:val="24"/>
                <w:highlight w:val="none"/>
                <w:lang w:eastAsia="zh-CN"/>
              </w:rPr>
              <w:t>（GB50016-2014）</w:t>
            </w:r>
            <w:r>
              <w:rPr>
                <w:rFonts w:hint="default" w:ascii="Times New Roman" w:hAnsi="Times New Roman" w:cs="Times New Roman"/>
                <w:color w:val="auto"/>
                <w:kern w:val="0"/>
                <w:sz w:val="24"/>
                <w:szCs w:val="24"/>
                <w:highlight w:val="none"/>
              </w:rPr>
              <w:t>和《建筑灭火器配置设计规范》</w:t>
            </w:r>
            <w:r>
              <w:rPr>
                <w:rFonts w:hint="eastAsia" w:cs="Times New Roman"/>
                <w:color w:val="auto"/>
                <w:kern w:val="0"/>
                <w:sz w:val="24"/>
                <w:szCs w:val="24"/>
                <w:highlight w:val="none"/>
                <w:lang w:eastAsia="zh-CN"/>
              </w:rPr>
              <w:t>（GB50140-2005）</w:t>
            </w:r>
            <w:r>
              <w:rPr>
                <w:rFonts w:hint="default" w:ascii="Times New Roman" w:hAnsi="Times New Roman" w:cs="Times New Roman"/>
                <w:color w:val="auto"/>
                <w:kern w:val="0"/>
                <w:sz w:val="24"/>
                <w:szCs w:val="24"/>
                <w:highlight w:val="none"/>
              </w:rPr>
              <w:t>等要求，设置与生产、储存和办公场所相适应的消防设备。</w:t>
            </w:r>
          </w:p>
          <w:p w14:paraId="331613EA">
            <w:pPr>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（2）除尘器故障防范措施</w:t>
            </w:r>
          </w:p>
          <w:p w14:paraId="7C85C7BB">
            <w:pPr>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针对除尘器故障存在的环境风险采取的防控措施如下：</w:t>
            </w:r>
          </w:p>
          <w:p w14:paraId="1A364C8B">
            <w:pPr>
              <w:ind w:firstLine="480" w:firstLineChars="200"/>
              <w:rPr>
                <w:rFonts w:hint="default" w:ascii="Times New Roman" w:hAnsi="Times New Roman" w:cs="Times New Roman"/>
                <w:bCs/>
                <w:color w:val="auto"/>
                <w:sz w:val="24"/>
                <w:szCs w:val="24"/>
                <w:highlight w:val="none"/>
              </w:rPr>
            </w:pPr>
            <w:r>
              <w:rPr>
                <w:rFonts w:hint="eastAsia" w:cs="Times New Roman"/>
                <w:bCs/>
                <w:color w:val="auto"/>
                <w:sz w:val="24"/>
                <w:szCs w:val="24"/>
                <w:highlight w:val="none"/>
                <w:lang w:val="en-US" w:eastAsia="zh-CN"/>
              </w:rPr>
              <w:t>①</w:t>
            </w:r>
            <w:r>
              <w:rPr>
                <w:rFonts w:hint="default" w:ascii="Times New Roman" w:hAnsi="Times New Roman" w:cs="Times New Roman"/>
                <w:bCs/>
                <w:color w:val="auto"/>
                <w:sz w:val="24"/>
                <w:szCs w:val="24"/>
                <w:highlight w:val="none"/>
              </w:rPr>
              <w:t>除尘器定期的进行清理，废气处理设备定期维护保养；</w:t>
            </w:r>
          </w:p>
          <w:p w14:paraId="097A554E">
            <w:pPr>
              <w:ind w:firstLine="480" w:firstLineChars="200"/>
              <w:rPr>
                <w:rFonts w:hint="default" w:ascii="Times New Roman" w:hAnsi="Times New Roman" w:cs="Times New Roman"/>
                <w:bCs/>
                <w:color w:val="auto"/>
                <w:sz w:val="24"/>
                <w:szCs w:val="24"/>
                <w:highlight w:val="none"/>
              </w:rPr>
            </w:pPr>
            <w:r>
              <w:rPr>
                <w:rFonts w:hint="eastAsia" w:cs="Times New Roman"/>
                <w:bCs/>
                <w:color w:val="auto"/>
                <w:sz w:val="24"/>
                <w:szCs w:val="24"/>
                <w:highlight w:val="none"/>
                <w:lang w:val="en-US" w:eastAsia="zh-CN"/>
              </w:rPr>
              <w:t>②</w:t>
            </w:r>
            <w:r>
              <w:rPr>
                <w:rFonts w:hint="default" w:ascii="Times New Roman" w:hAnsi="Times New Roman" w:cs="Times New Roman"/>
                <w:bCs/>
                <w:color w:val="auto"/>
                <w:sz w:val="24"/>
                <w:szCs w:val="24"/>
                <w:highlight w:val="none"/>
              </w:rPr>
              <w:t>工作人员要定期对除尘器进行巡检，发现异常及时汇报</w:t>
            </w:r>
            <w:r>
              <w:rPr>
                <w:rFonts w:hint="eastAsia" w:cs="Times New Roman"/>
                <w:bCs/>
                <w:color w:val="auto"/>
                <w:sz w:val="24"/>
                <w:szCs w:val="24"/>
                <w:highlight w:val="none"/>
                <w:lang w:val="en-US" w:eastAsia="zh-CN"/>
              </w:rPr>
              <w:t>并</w:t>
            </w:r>
            <w:r>
              <w:rPr>
                <w:rFonts w:hint="default" w:ascii="Times New Roman" w:hAnsi="Times New Roman" w:cs="Times New Roman"/>
                <w:bCs/>
                <w:color w:val="auto"/>
                <w:sz w:val="24"/>
                <w:szCs w:val="24"/>
                <w:highlight w:val="none"/>
              </w:rPr>
              <w:t>检修。</w:t>
            </w:r>
          </w:p>
          <w:p w14:paraId="2DDD2A6F">
            <w:pPr>
              <w:ind w:firstLine="480" w:firstLineChars="200"/>
              <w:rPr>
                <w:rFonts w:hint="default" w:ascii="Times New Roman" w:hAnsi="Times New Roman" w:cs="Times New Roman"/>
                <w:color w:val="auto"/>
                <w:sz w:val="24"/>
                <w:szCs w:val="24"/>
                <w:highlight w:val="none"/>
              </w:rPr>
            </w:pPr>
            <w:r>
              <w:rPr>
                <w:rFonts w:hint="eastAsia" w:cs="Times New Roman"/>
                <w:bCs/>
                <w:color w:val="auto"/>
                <w:sz w:val="24"/>
                <w:szCs w:val="24"/>
                <w:highlight w:val="none"/>
                <w:lang w:val="en-US" w:eastAsia="zh-CN"/>
              </w:rPr>
              <w:t>③</w:t>
            </w:r>
            <w:r>
              <w:rPr>
                <w:rFonts w:hint="default" w:ascii="Times New Roman" w:hAnsi="Times New Roman" w:cs="Times New Roman"/>
                <w:bCs/>
                <w:color w:val="auto"/>
                <w:sz w:val="24"/>
                <w:szCs w:val="24"/>
                <w:highlight w:val="none"/>
              </w:rPr>
              <w:t>平时运行过程中操作严格遵守操作规程的步骤操作，禁止误操作和野蛮操作。</w:t>
            </w:r>
          </w:p>
        </w:tc>
      </w:tr>
      <w:tr w14:paraId="2C8F0F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noWrap w:val="0"/>
            <w:vAlign w:val="center"/>
          </w:tcPr>
          <w:p w14:paraId="5AF10D63">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其他环境</w:t>
            </w:r>
          </w:p>
          <w:p w14:paraId="575CFB04">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管理要求</w:t>
            </w:r>
          </w:p>
        </w:tc>
        <w:tc>
          <w:tcPr>
            <w:tcW w:w="389" w:type="pct"/>
            <w:noWrap w:val="0"/>
            <w:vAlign w:val="center"/>
          </w:tcPr>
          <w:p w14:paraId="193A1C45">
            <w:pPr>
              <w:adjustRightInd w:val="0"/>
              <w:snapToGrid w:val="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两期相同的环保措施</w:t>
            </w:r>
          </w:p>
        </w:tc>
        <w:tc>
          <w:tcPr>
            <w:tcW w:w="4220" w:type="pct"/>
            <w:gridSpan w:val="4"/>
            <w:noWrap w:val="0"/>
            <w:vAlign w:val="center"/>
          </w:tcPr>
          <w:p w14:paraId="35371C4D">
            <w:pPr>
              <w:adjustRightInd w:val="0"/>
              <w:snapToGrid w:val="0"/>
              <w:spacing w:line="360" w:lineRule="auto"/>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环保设施应与主体设施同时设计、同时施工、同时投入运行，项目主体设施及配套的环保设施建成后应进行环保验收，污染治理设施必须经验收合格后，项目方可投入营运，没有通过环保验收不得进行运营。</w:t>
            </w:r>
          </w:p>
          <w:p w14:paraId="338EDFFE">
            <w:pPr>
              <w:adjustRightInd w:val="0"/>
              <w:snapToGrid w:val="0"/>
              <w:spacing w:line="360" w:lineRule="auto"/>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（2）建立、健全环境管理制度，设置专职或兼职环保人员，负责日常环保安全，定期检查环保管理和环境监测工作。</w:t>
            </w:r>
          </w:p>
          <w:p w14:paraId="3CA0CEC6">
            <w:pPr>
              <w:adjustRightInd w:val="0"/>
              <w:snapToGrid w:val="0"/>
              <w:spacing w:line="360" w:lineRule="auto"/>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（3）固废设置专用的标志牌。</w:t>
            </w:r>
          </w:p>
        </w:tc>
      </w:tr>
    </w:tbl>
    <w:p w14:paraId="252D5A0B">
      <w:pPr>
        <w:rPr>
          <w:rFonts w:hint="eastAsia" w:ascii="Times New Roman" w:hAnsi="Times New Roman" w:cs="Times New Roman"/>
          <w:snapToGrid w:val="0"/>
          <w:color w:val="auto"/>
          <w:sz w:val="30"/>
          <w:szCs w:val="30"/>
          <w:highlight w:val="none"/>
          <w:lang w:val="en-US" w:eastAsia="zh-CN"/>
        </w:rPr>
      </w:pPr>
      <w:r>
        <w:rPr>
          <w:rFonts w:hint="eastAsia" w:ascii="Times New Roman" w:hAnsi="Times New Roman" w:cs="Times New Roman"/>
          <w:snapToGrid w:val="0"/>
          <w:color w:val="auto"/>
          <w:sz w:val="30"/>
          <w:szCs w:val="30"/>
          <w:highlight w:val="none"/>
          <w:lang w:val="en-US" w:eastAsia="zh-CN"/>
        </w:rPr>
        <w:br w:type="page"/>
      </w:r>
    </w:p>
    <w:p w14:paraId="7B4E0C8D">
      <w:pPr>
        <w:pStyle w:val="29"/>
        <w:adjustRightInd w:val="0"/>
        <w:snapToGrid w:val="0"/>
        <w:spacing w:before="0" w:beforeAutospacing="0" w:after="0" w:afterAutospacing="0"/>
        <w:jc w:val="center"/>
        <w:outlineLvl w:val="0"/>
        <w:rPr>
          <w:rFonts w:hint="default" w:ascii="Times New Roman" w:hAnsi="Times New Roman" w:cs="Times New Roman"/>
          <w:snapToGrid w:val="0"/>
          <w:color w:val="auto"/>
          <w:sz w:val="30"/>
          <w:szCs w:val="30"/>
          <w:highlight w:val="none"/>
        </w:rPr>
      </w:pPr>
      <w:r>
        <w:rPr>
          <w:rFonts w:hint="default" w:ascii="Times New Roman" w:hAnsi="Times New Roman" w:cs="Times New Roman"/>
          <w:snapToGrid w:val="0"/>
          <w:color w:val="auto"/>
          <w:sz w:val="30"/>
          <w:szCs w:val="30"/>
          <w:highlight w:val="none"/>
        </w:rPr>
        <w:t>六、结论</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3E77B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97" w:hRule="atLeast"/>
          <w:jc w:val="center"/>
        </w:trPr>
        <w:tc>
          <w:tcPr>
            <w:tcW w:w="5000" w:type="pct"/>
            <w:noWrap w:val="0"/>
            <w:vAlign w:val="center"/>
          </w:tcPr>
          <w:p w14:paraId="1B5213AD">
            <w:pPr>
              <w:adjustRightInd w:val="0"/>
              <w:snapToGrid w:val="0"/>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综上所述，本项目符合产业政策，选址合理，环保措施可行，废气、废水、固体废物得到有效治理，噪声低于国家相关标准限值，本项目应严格执行</w:t>
            </w:r>
            <w:r>
              <w:rPr>
                <w:rFonts w:hint="eastAsia" w:cs="Times New Roman"/>
                <w:bCs/>
                <w:color w:val="auto"/>
                <w:sz w:val="24"/>
                <w:highlight w:val="none"/>
                <w:lang w:eastAsia="zh-CN"/>
              </w:rPr>
              <w:t>“</w:t>
            </w:r>
            <w:r>
              <w:rPr>
                <w:rFonts w:hint="default" w:ascii="Times New Roman" w:hAnsi="Times New Roman" w:cs="Times New Roman"/>
                <w:bCs/>
                <w:color w:val="auto"/>
                <w:sz w:val="24"/>
                <w:highlight w:val="none"/>
              </w:rPr>
              <w:t>三同时</w:t>
            </w:r>
            <w:r>
              <w:rPr>
                <w:rFonts w:hint="eastAsia" w:cs="Times New Roman"/>
                <w:bCs/>
                <w:color w:val="auto"/>
                <w:sz w:val="24"/>
                <w:highlight w:val="none"/>
                <w:lang w:eastAsia="zh-CN"/>
              </w:rPr>
              <w:t>”</w:t>
            </w:r>
            <w:r>
              <w:rPr>
                <w:rFonts w:hint="default" w:ascii="Times New Roman" w:hAnsi="Times New Roman" w:cs="Times New Roman"/>
                <w:bCs/>
                <w:color w:val="auto"/>
                <w:sz w:val="24"/>
                <w:highlight w:val="none"/>
              </w:rPr>
              <w:t>制度，在运营期应按照设计要求及本评价提出防治措施控制污染排放，从环保角度分析，该项目的建设是可行的。</w:t>
            </w:r>
          </w:p>
        </w:tc>
      </w:tr>
    </w:tbl>
    <w:p w14:paraId="1F7E58E4">
      <w:pPr>
        <w:rPr>
          <w:rFonts w:hint="default" w:ascii="Times New Roman" w:hAnsi="Times New Roman" w:cs="Times New Roman"/>
          <w:color w:val="auto"/>
          <w:highlight w:val="none"/>
        </w:rPr>
      </w:pPr>
    </w:p>
    <w:p w14:paraId="103C227D">
      <w:pPr>
        <w:rPr>
          <w:rFonts w:hint="default" w:ascii="Times New Roman" w:hAnsi="Times New Roman" w:cs="Times New Roman"/>
          <w:color w:val="auto"/>
          <w:highlight w:val="none"/>
        </w:rPr>
        <w:sectPr>
          <w:footerReference r:id="rId6" w:type="default"/>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5FB40AA1">
      <w:pPr>
        <w:pStyle w:val="29"/>
        <w:adjustRightInd w:val="0"/>
        <w:snapToGrid w:val="0"/>
        <w:spacing w:before="0" w:beforeAutospacing="0" w:after="0" w:afterAutospacing="0"/>
        <w:jc w:val="center"/>
        <w:outlineLvl w:val="0"/>
        <w:rPr>
          <w:rFonts w:hint="default" w:ascii="Times New Roman" w:hAnsi="Times New Roman" w:cs="Times New Roman"/>
          <w:snapToGrid w:val="0"/>
          <w:color w:val="auto"/>
          <w:sz w:val="38"/>
          <w:szCs w:val="38"/>
          <w:highlight w:val="none"/>
        </w:rPr>
      </w:pPr>
      <w:r>
        <w:rPr>
          <w:rFonts w:hint="default" w:ascii="Times New Roman" w:hAnsi="Times New Roman" w:cs="Times New Roman"/>
          <w:snapToGrid w:val="0"/>
          <w:color w:val="auto"/>
          <w:sz w:val="38"/>
          <w:szCs w:val="38"/>
          <w:highlight w:val="none"/>
        </w:rPr>
        <w:t>建设项目污染物排放量汇总表</w:t>
      </w:r>
    </w:p>
    <w:tbl>
      <w:tblPr>
        <w:tblStyle w:val="32"/>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668"/>
        <w:gridCol w:w="1668"/>
        <w:gridCol w:w="1232"/>
        <w:gridCol w:w="1668"/>
        <w:gridCol w:w="1530"/>
        <w:gridCol w:w="1738"/>
        <w:gridCol w:w="1935"/>
        <w:gridCol w:w="1354"/>
      </w:tblGrid>
      <w:tr w14:paraId="64B07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47" w:type="pct"/>
            <w:tcBorders>
              <w:tl2br w:val="single" w:color="auto" w:sz="4" w:space="0"/>
            </w:tcBorders>
            <w:noWrap w:val="0"/>
            <w:tcMar>
              <w:left w:w="28" w:type="dxa"/>
              <w:right w:w="28" w:type="dxa"/>
            </w:tcMar>
            <w:vAlign w:val="center"/>
          </w:tcPr>
          <w:p w14:paraId="224B5CB6">
            <w:pPr>
              <w:pStyle w:val="69"/>
              <w:spacing w:beforeLines="0" w:afterLines="0" w:line="240" w:lineRule="auto"/>
              <w:ind w:firstLine="0" w:firstLineChars="0"/>
              <w:jc w:val="center"/>
              <w:rPr>
                <w:rFonts w:hint="default" w:ascii="Times New Roman" w:hAnsi="Times New Roman" w:cs="Times New Roman"/>
                <w:color w:val="auto"/>
                <w:spacing w:val="-6"/>
                <w:kern w:val="21"/>
                <w:sz w:val="24"/>
                <w:szCs w:val="24"/>
                <w:highlight w:val="none"/>
              </w:rPr>
            </w:pPr>
            <w:r>
              <w:rPr>
                <w:rFonts w:hint="eastAsia" w:ascii="Times New Roman" w:cs="Times New Roman"/>
                <w:color w:val="auto"/>
                <w:spacing w:val="-6"/>
                <w:kern w:val="21"/>
                <w:sz w:val="24"/>
                <w:szCs w:val="24"/>
                <w:highlight w:val="none"/>
                <w:lang w:val="en-US" w:eastAsia="zh-CN"/>
              </w:rPr>
              <w:t xml:space="preserve">   </w:t>
            </w:r>
            <w:r>
              <w:rPr>
                <w:rFonts w:hint="default" w:ascii="Times New Roman" w:hAnsi="Times New Roman" w:cs="Times New Roman"/>
                <w:color w:val="auto"/>
                <w:spacing w:val="-6"/>
                <w:kern w:val="21"/>
                <w:sz w:val="24"/>
                <w:szCs w:val="24"/>
                <w:highlight w:val="none"/>
              </w:rPr>
              <w:t>项目</w:t>
            </w:r>
          </w:p>
          <w:p w14:paraId="036707DF">
            <w:pPr>
              <w:pStyle w:val="69"/>
              <w:spacing w:beforeLines="0" w:afterLines="0" w:line="240" w:lineRule="auto"/>
              <w:ind w:firstLine="0" w:firstLineChars="0"/>
              <w:jc w:val="both"/>
              <w:rPr>
                <w:rFonts w:hint="default" w:ascii="Times New Roman" w:hAnsi="Times New Roman" w:cs="Times New Roman"/>
                <w:color w:val="auto"/>
                <w:spacing w:val="-6"/>
                <w:kern w:val="21"/>
                <w:sz w:val="24"/>
                <w:szCs w:val="24"/>
                <w:highlight w:val="none"/>
              </w:rPr>
            </w:pPr>
            <w:r>
              <w:rPr>
                <w:rFonts w:hint="default" w:ascii="Times New Roman" w:hAnsi="Times New Roman" w:cs="Times New Roman"/>
                <w:color w:val="auto"/>
                <w:spacing w:val="-6"/>
                <w:kern w:val="21"/>
                <w:sz w:val="24"/>
                <w:szCs w:val="24"/>
                <w:highlight w:val="none"/>
              </w:rPr>
              <w:t>分类</w:t>
            </w:r>
          </w:p>
        </w:tc>
        <w:tc>
          <w:tcPr>
            <w:tcW w:w="593" w:type="pct"/>
            <w:noWrap w:val="0"/>
            <w:tcMar>
              <w:left w:w="28" w:type="dxa"/>
              <w:right w:w="28" w:type="dxa"/>
            </w:tcMar>
            <w:vAlign w:val="center"/>
          </w:tcPr>
          <w:p w14:paraId="7A7E9680">
            <w:pPr>
              <w:pStyle w:val="69"/>
              <w:spacing w:beforeLines="0" w:afterLines="0" w:line="240" w:lineRule="auto"/>
              <w:ind w:firstLine="0" w:firstLineChars="0"/>
              <w:jc w:val="center"/>
              <w:rPr>
                <w:rFonts w:hint="default" w:ascii="Times New Roman" w:hAnsi="Times New Roman" w:cs="Times New Roman"/>
                <w:color w:val="auto"/>
                <w:spacing w:val="-6"/>
                <w:kern w:val="21"/>
                <w:sz w:val="24"/>
                <w:szCs w:val="24"/>
                <w:highlight w:val="none"/>
              </w:rPr>
            </w:pPr>
            <w:r>
              <w:rPr>
                <w:rFonts w:hint="default" w:ascii="Times New Roman" w:hAnsi="Times New Roman" w:cs="Times New Roman"/>
                <w:color w:val="auto"/>
                <w:spacing w:val="-6"/>
                <w:kern w:val="21"/>
                <w:sz w:val="24"/>
                <w:szCs w:val="24"/>
                <w:highlight w:val="none"/>
              </w:rPr>
              <w:t>污染物名称</w:t>
            </w:r>
          </w:p>
        </w:tc>
        <w:tc>
          <w:tcPr>
            <w:tcW w:w="593" w:type="pct"/>
            <w:noWrap w:val="0"/>
            <w:tcMar>
              <w:left w:w="28" w:type="dxa"/>
              <w:right w:w="28" w:type="dxa"/>
            </w:tcMar>
            <w:vAlign w:val="center"/>
          </w:tcPr>
          <w:p w14:paraId="1030726B">
            <w:pPr>
              <w:pStyle w:val="69"/>
              <w:spacing w:beforeLines="0" w:afterLines="0" w:line="240" w:lineRule="auto"/>
              <w:ind w:firstLine="0" w:firstLineChars="0"/>
              <w:jc w:val="center"/>
              <w:rPr>
                <w:rFonts w:hint="default" w:ascii="Times New Roman" w:hAnsi="Times New Roman" w:cs="Times New Roman"/>
                <w:color w:val="auto"/>
                <w:spacing w:val="-6"/>
                <w:kern w:val="21"/>
                <w:sz w:val="24"/>
                <w:szCs w:val="24"/>
                <w:highlight w:val="none"/>
              </w:rPr>
            </w:pPr>
            <w:r>
              <w:rPr>
                <w:rFonts w:hint="default" w:ascii="Times New Roman" w:hAnsi="Times New Roman" w:cs="Times New Roman"/>
                <w:color w:val="auto"/>
                <w:spacing w:val="-6"/>
                <w:kern w:val="21"/>
                <w:sz w:val="24"/>
                <w:szCs w:val="24"/>
                <w:highlight w:val="none"/>
              </w:rPr>
              <w:t>现有工程</w:t>
            </w:r>
          </w:p>
          <w:p w14:paraId="1B94D082">
            <w:pPr>
              <w:pStyle w:val="69"/>
              <w:spacing w:beforeLines="0" w:afterLines="0" w:line="240" w:lineRule="auto"/>
              <w:ind w:firstLine="0" w:firstLineChars="0"/>
              <w:jc w:val="center"/>
              <w:rPr>
                <w:rFonts w:hint="default" w:ascii="Times New Roman" w:hAnsi="Times New Roman" w:cs="Times New Roman"/>
                <w:color w:val="auto"/>
                <w:spacing w:val="-6"/>
                <w:kern w:val="21"/>
                <w:sz w:val="24"/>
                <w:szCs w:val="24"/>
                <w:highlight w:val="none"/>
              </w:rPr>
            </w:pPr>
            <w:r>
              <w:rPr>
                <w:rFonts w:hint="default" w:ascii="Times New Roman" w:hAnsi="Times New Roman" w:cs="Times New Roman"/>
                <w:color w:val="auto"/>
                <w:spacing w:val="-6"/>
                <w:kern w:val="21"/>
                <w:sz w:val="24"/>
                <w:szCs w:val="24"/>
                <w:highlight w:val="none"/>
              </w:rPr>
              <w:t>排放量（固体废物产生量）</w:t>
            </w:r>
            <w:r>
              <w:rPr>
                <w:rFonts w:hint="default" w:ascii="Times New Roman" w:hAnsi="Times New Roman" w:cs="Times New Roman"/>
                <w:color w:val="auto"/>
                <w:spacing w:val="-6"/>
                <w:kern w:val="21"/>
                <w:sz w:val="24"/>
                <w:szCs w:val="24"/>
                <w:highlight w:val="none"/>
              </w:rPr>
              <w:fldChar w:fldCharType="begin"/>
            </w:r>
            <w:r>
              <w:rPr>
                <w:rFonts w:hint="default" w:ascii="Times New Roman" w:hAnsi="Times New Roman" w:cs="Times New Roman"/>
                <w:color w:val="auto"/>
                <w:spacing w:val="-6"/>
                <w:kern w:val="21"/>
                <w:sz w:val="24"/>
                <w:szCs w:val="24"/>
                <w:highlight w:val="none"/>
              </w:rPr>
              <w:instrText xml:space="preserve"> = 1 \* GB3 \* MERGEFORMAT </w:instrText>
            </w:r>
            <w:r>
              <w:rPr>
                <w:rFonts w:hint="default" w:ascii="Times New Roman" w:hAnsi="Times New Roman" w:cs="Times New Roman"/>
                <w:color w:val="auto"/>
                <w:spacing w:val="-6"/>
                <w:kern w:val="21"/>
                <w:sz w:val="24"/>
                <w:szCs w:val="24"/>
                <w:highlight w:val="none"/>
              </w:rPr>
              <w:fldChar w:fldCharType="separate"/>
            </w:r>
            <w:r>
              <w:rPr>
                <w:rFonts w:hint="default" w:ascii="Times New Roman" w:hAnsi="Times New Roman" w:cs="Times New Roman"/>
                <w:color w:val="auto"/>
                <w:kern w:val="2"/>
                <w:sz w:val="24"/>
                <w:szCs w:val="24"/>
                <w:highlight w:val="none"/>
              </w:rPr>
              <w:t>①</w:t>
            </w:r>
            <w:r>
              <w:rPr>
                <w:rFonts w:hint="default" w:ascii="Times New Roman" w:hAnsi="Times New Roman" w:cs="Times New Roman"/>
                <w:color w:val="auto"/>
                <w:spacing w:val="-6"/>
                <w:kern w:val="21"/>
                <w:sz w:val="24"/>
                <w:szCs w:val="24"/>
                <w:highlight w:val="none"/>
              </w:rPr>
              <w:fldChar w:fldCharType="end"/>
            </w:r>
          </w:p>
        </w:tc>
        <w:tc>
          <w:tcPr>
            <w:tcW w:w="438" w:type="pct"/>
            <w:noWrap w:val="0"/>
            <w:tcMar>
              <w:left w:w="28" w:type="dxa"/>
              <w:right w:w="28" w:type="dxa"/>
            </w:tcMar>
            <w:vAlign w:val="center"/>
          </w:tcPr>
          <w:p w14:paraId="5A7A71F2">
            <w:pPr>
              <w:pStyle w:val="69"/>
              <w:spacing w:beforeLines="0" w:afterLines="0" w:line="240" w:lineRule="auto"/>
              <w:ind w:firstLine="0" w:firstLineChars="0"/>
              <w:jc w:val="center"/>
              <w:rPr>
                <w:rFonts w:hint="default" w:ascii="Times New Roman" w:hAnsi="Times New Roman" w:cs="Times New Roman"/>
                <w:color w:val="auto"/>
                <w:spacing w:val="-6"/>
                <w:kern w:val="21"/>
                <w:sz w:val="24"/>
                <w:szCs w:val="24"/>
                <w:highlight w:val="none"/>
              </w:rPr>
            </w:pPr>
            <w:r>
              <w:rPr>
                <w:rFonts w:hint="default" w:ascii="Times New Roman" w:hAnsi="Times New Roman" w:cs="Times New Roman"/>
                <w:color w:val="auto"/>
                <w:spacing w:val="-6"/>
                <w:kern w:val="21"/>
                <w:sz w:val="24"/>
                <w:szCs w:val="24"/>
                <w:highlight w:val="none"/>
              </w:rPr>
              <w:t>现有工程</w:t>
            </w:r>
          </w:p>
          <w:p w14:paraId="3C73E381">
            <w:pPr>
              <w:pStyle w:val="69"/>
              <w:spacing w:beforeLines="0" w:afterLines="0" w:line="240" w:lineRule="auto"/>
              <w:ind w:firstLine="0" w:firstLineChars="0"/>
              <w:jc w:val="center"/>
              <w:rPr>
                <w:rFonts w:hint="default" w:ascii="Times New Roman" w:hAnsi="Times New Roman" w:cs="Times New Roman"/>
                <w:color w:val="auto"/>
                <w:spacing w:val="-6"/>
                <w:kern w:val="21"/>
                <w:sz w:val="24"/>
                <w:szCs w:val="24"/>
                <w:highlight w:val="none"/>
              </w:rPr>
            </w:pPr>
            <w:r>
              <w:rPr>
                <w:rFonts w:hint="default" w:ascii="Times New Roman" w:hAnsi="Times New Roman" w:cs="Times New Roman"/>
                <w:color w:val="auto"/>
                <w:spacing w:val="-6"/>
                <w:kern w:val="21"/>
                <w:sz w:val="24"/>
                <w:szCs w:val="24"/>
                <w:highlight w:val="none"/>
              </w:rPr>
              <w:t>许可排放量</w:t>
            </w:r>
          </w:p>
          <w:p w14:paraId="0B5B7C1D">
            <w:pPr>
              <w:pStyle w:val="69"/>
              <w:spacing w:beforeLines="0" w:afterLines="0" w:line="240" w:lineRule="auto"/>
              <w:ind w:firstLine="0" w:firstLineChars="0"/>
              <w:jc w:val="center"/>
              <w:rPr>
                <w:rFonts w:hint="default" w:ascii="Times New Roman" w:hAnsi="Times New Roman" w:cs="Times New Roman"/>
                <w:color w:val="auto"/>
                <w:spacing w:val="-6"/>
                <w:kern w:val="21"/>
                <w:sz w:val="24"/>
                <w:szCs w:val="24"/>
                <w:highlight w:val="none"/>
              </w:rPr>
            </w:pPr>
            <w:r>
              <w:rPr>
                <w:rFonts w:hint="default" w:ascii="Times New Roman" w:hAnsi="Times New Roman" w:cs="Times New Roman"/>
                <w:color w:val="auto"/>
                <w:spacing w:val="-6"/>
                <w:kern w:val="21"/>
                <w:sz w:val="24"/>
                <w:szCs w:val="24"/>
                <w:highlight w:val="none"/>
              </w:rPr>
              <w:fldChar w:fldCharType="begin"/>
            </w:r>
            <w:r>
              <w:rPr>
                <w:rFonts w:hint="default" w:ascii="Times New Roman" w:hAnsi="Times New Roman" w:cs="Times New Roman"/>
                <w:color w:val="auto"/>
                <w:spacing w:val="-6"/>
                <w:kern w:val="21"/>
                <w:sz w:val="24"/>
                <w:szCs w:val="24"/>
                <w:highlight w:val="none"/>
              </w:rPr>
              <w:instrText xml:space="preserve"> = 2 \* GB3 \* MERGEFORMAT </w:instrText>
            </w:r>
            <w:r>
              <w:rPr>
                <w:rFonts w:hint="default" w:ascii="Times New Roman" w:hAnsi="Times New Roman" w:cs="Times New Roman"/>
                <w:color w:val="auto"/>
                <w:spacing w:val="-6"/>
                <w:kern w:val="21"/>
                <w:sz w:val="24"/>
                <w:szCs w:val="24"/>
                <w:highlight w:val="none"/>
              </w:rPr>
              <w:fldChar w:fldCharType="separate"/>
            </w:r>
            <w:r>
              <w:rPr>
                <w:rFonts w:hint="default" w:ascii="Times New Roman" w:hAnsi="Times New Roman" w:cs="Times New Roman"/>
                <w:color w:val="auto"/>
                <w:spacing w:val="-6"/>
                <w:kern w:val="21"/>
                <w:sz w:val="24"/>
                <w:szCs w:val="24"/>
                <w:highlight w:val="none"/>
              </w:rPr>
              <w:t>②</w:t>
            </w:r>
            <w:r>
              <w:rPr>
                <w:rFonts w:hint="default" w:ascii="Times New Roman" w:hAnsi="Times New Roman" w:cs="Times New Roman"/>
                <w:color w:val="auto"/>
                <w:spacing w:val="-6"/>
                <w:kern w:val="21"/>
                <w:sz w:val="24"/>
                <w:szCs w:val="24"/>
                <w:highlight w:val="none"/>
              </w:rPr>
              <w:fldChar w:fldCharType="end"/>
            </w:r>
          </w:p>
        </w:tc>
        <w:tc>
          <w:tcPr>
            <w:tcW w:w="593" w:type="pct"/>
            <w:noWrap w:val="0"/>
            <w:tcMar>
              <w:left w:w="28" w:type="dxa"/>
              <w:right w:w="28" w:type="dxa"/>
            </w:tcMar>
            <w:vAlign w:val="center"/>
          </w:tcPr>
          <w:p w14:paraId="7CFB8A23">
            <w:pPr>
              <w:pStyle w:val="69"/>
              <w:spacing w:beforeLines="0" w:afterLines="0" w:line="240" w:lineRule="auto"/>
              <w:ind w:firstLine="0" w:firstLineChars="0"/>
              <w:jc w:val="center"/>
              <w:rPr>
                <w:rFonts w:hint="default" w:ascii="Times New Roman" w:hAnsi="Times New Roman" w:cs="Times New Roman"/>
                <w:color w:val="auto"/>
                <w:spacing w:val="-6"/>
                <w:kern w:val="21"/>
                <w:sz w:val="24"/>
                <w:szCs w:val="24"/>
                <w:highlight w:val="none"/>
              </w:rPr>
            </w:pPr>
            <w:r>
              <w:rPr>
                <w:rFonts w:hint="default" w:ascii="Times New Roman" w:hAnsi="Times New Roman" w:cs="Times New Roman"/>
                <w:color w:val="auto"/>
                <w:spacing w:val="-6"/>
                <w:kern w:val="21"/>
                <w:sz w:val="24"/>
                <w:szCs w:val="24"/>
                <w:highlight w:val="none"/>
              </w:rPr>
              <w:t>在建工程</w:t>
            </w:r>
          </w:p>
          <w:p w14:paraId="5CCE9F3B">
            <w:pPr>
              <w:pStyle w:val="69"/>
              <w:spacing w:beforeLines="0" w:afterLines="0" w:line="240" w:lineRule="auto"/>
              <w:ind w:firstLine="0" w:firstLineChars="0"/>
              <w:jc w:val="center"/>
              <w:rPr>
                <w:rFonts w:hint="default" w:ascii="Times New Roman" w:hAnsi="Times New Roman" w:cs="Times New Roman"/>
                <w:color w:val="auto"/>
                <w:spacing w:val="-6"/>
                <w:kern w:val="21"/>
                <w:sz w:val="24"/>
                <w:szCs w:val="24"/>
                <w:highlight w:val="none"/>
              </w:rPr>
            </w:pPr>
            <w:r>
              <w:rPr>
                <w:rFonts w:hint="default" w:ascii="Times New Roman" w:hAnsi="Times New Roman" w:cs="Times New Roman"/>
                <w:color w:val="auto"/>
                <w:spacing w:val="-6"/>
                <w:kern w:val="21"/>
                <w:sz w:val="24"/>
                <w:szCs w:val="24"/>
                <w:highlight w:val="none"/>
              </w:rPr>
              <w:t>排放量（固体废物产生量）</w:t>
            </w:r>
            <w:r>
              <w:rPr>
                <w:rFonts w:hint="default" w:ascii="Times New Roman" w:hAnsi="Times New Roman" w:cs="Times New Roman"/>
                <w:color w:val="auto"/>
                <w:spacing w:val="-6"/>
                <w:kern w:val="21"/>
                <w:sz w:val="24"/>
                <w:szCs w:val="24"/>
                <w:highlight w:val="none"/>
              </w:rPr>
              <w:fldChar w:fldCharType="begin"/>
            </w:r>
            <w:r>
              <w:rPr>
                <w:rFonts w:hint="default" w:ascii="Times New Roman" w:hAnsi="Times New Roman" w:cs="Times New Roman"/>
                <w:color w:val="auto"/>
                <w:spacing w:val="-6"/>
                <w:kern w:val="21"/>
                <w:sz w:val="24"/>
                <w:szCs w:val="24"/>
                <w:highlight w:val="none"/>
              </w:rPr>
              <w:instrText xml:space="preserve"> = 3 \* GB3 \* MERGEFORMAT </w:instrText>
            </w:r>
            <w:r>
              <w:rPr>
                <w:rFonts w:hint="default" w:ascii="Times New Roman" w:hAnsi="Times New Roman" w:cs="Times New Roman"/>
                <w:color w:val="auto"/>
                <w:spacing w:val="-6"/>
                <w:kern w:val="21"/>
                <w:sz w:val="24"/>
                <w:szCs w:val="24"/>
                <w:highlight w:val="none"/>
              </w:rPr>
              <w:fldChar w:fldCharType="separate"/>
            </w:r>
            <w:r>
              <w:rPr>
                <w:rFonts w:hint="default" w:ascii="Times New Roman" w:hAnsi="Times New Roman" w:cs="Times New Roman"/>
                <w:color w:val="auto"/>
                <w:kern w:val="2"/>
                <w:sz w:val="24"/>
                <w:szCs w:val="24"/>
                <w:highlight w:val="none"/>
              </w:rPr>
              <w:t>③</w:t>
            </w:r>
            <w:r>
              <w:rPr>
                <w:rFonts w:hint="default" w:ascii="Times New Roman" w:hAnsi="Times New Roman" w:cs="Times New Roman"/>
                <w:color w:val="auto"/>
                <w:spacing w:val="-6"/>
                <w:kern w:val="21"/>
                <w:sz w:val="24"/>
                <w:szCs w:val="24"/>
                <w:highlight w:val="none"/>
              </w:rPr>
              <w:fldChar w:fldCharType="end"/>
            </w:r>
          </w:p>
        </w:tc>
        <w:tc>
          <w:tcPr>
            <w:tcW w:w="544" w:type="pct"/>
            <w:noWrap w:val="0"/>
            <w:tcMar>
              <w:left w:w="28" w:type="dxa"/>
              <w:right w:w="28" w:type="dxa"/>
            </w:tcMar>
            <w:vAlign w:val="center"/>
          </w:tcPr>
          <w:p w14:paraId="32982155">
            <w:pPr>
              <w:pStyle w:val="69"/>
              <w:spacing w:beforeLines="0" w:afterLines="0" w:line="240" w:lineRule="auto"/>
              <w:ind w:firstLine="0" w:firstLineChars="0"/>
              <w:jc w:val="center"/>
              <w:rPr>
                <w:rFonts w:hint="default" w:ascii="Times New Roman" w:hAnsi="Times New Roman" w:cs="Times New Roman"/>
                <w:color w:val="auto"/>
                <w:spacing w:val="-6"/>
                <w:kern w:val="21"/>
                <w:sz w:val="24"/>
                <w:szCs w:val="24"/>
                <w:highlight w:val="none"/>
              </w:rPr>
            </w:pPr>
            <w:r>
              <w:rPr>
                <w:rFonts w:hint="default" w:ascii="Times New Roman" w:hAnsi="Times New Roman" w:cs="Times New Roman"/>
                <w:color w:val="auto"/>
                <w:spacing w:val="-6"/>
                <w:kern w:val="21"/>
                <w:sz w:val="24"/>
                <w:szCs w:val="24"/>
                <w:highlight w:val="none"/>
              </w:rPr>
              <w:t>本项目</w:t>
            </w:r>
          </w:p>
          <w:p w14:paraId="125964A8">
            <w:pPr>
              <w:pStyle w:val="69"/>
              <w:spacing w:beforeLines="0" w:afterLines="0" w:line="240" w:lineRule="auto"/>
              <w:ind w:firstLine="0" w:firstLineChars="0"/>
              <w:jc w:val="center"/>
              <w:rPr>
                <w:rFonts w:hint="default" w:ascii="Times New Roman" w:hAnsi="Times New Roman" w:cs="Times New Roman"/>
                <w:color w:val="auto"/>
                <w:spacing w:val="-6"/>
                <w:kern w:val="21"/>
                <w:sz w:val="24"/>
                <w:szCs w:val="24"/>
                <w:highlight w:val="none"/>
              </w:rPr>
            </w:pPr>
            <w:r>
              <w:rPr>
                <w:rFonts w:hint="default" w:ascii="Times New Roman" w:hAnsi="Times New Roman" w:cs="Times New Roman"/>
                <w:color w:val="auto"/>
                <w:spacing w:val="-6"/>
                <w:kern w:val="21"/>
                <w:sz w:val="24"/>
                <w:szCs w:val="24"/>
                <w:highlight w:val="none"/>
              </w:rPr>
              <w:t>排放量（固体废物产生量）</w:t>
            </w:r>
            <w:r>
              <w:rPr>
                <w:rFonts w:hint="default" w:ascii="Times New Roman" w:hAnsi="Times New Roman" w:cs="Times New Roman"/>
                <w:color w:val="auto"/>
                <w:spacing w:val="-6"/>
                <w:kern w:val="21"/>
                <w:sz w:val="24"/>
                <w:szCs w:val="24"/>
                <w:highlight w:val="none"/>
              </w:rPr>
              <w:fldChar w:fldCharType="begin"/>
            </w:r>
            <w:r>
              <w:rPr>
                <w:rFonts w:hint="default" w:ascii="Times New Roman" w:hAnsi="Times New Roman" w:cs="Times New Roman"/>
                <w:color w:val="auto"/>
                <w:spacing w:val="-6"/>
                <w:kern w:val="21"/>
                <w:sz w:val="24"/>
                <w:szCs w:val="24"/>
                <w:highlight w:val="none"/>
              </w:rPr>
              <w:instrText xml:space="preserve"> = 4 \* GB3 \* MERGEFORMAT </w:instrText>
            </w:r>
            <w:r>
              <w:rPr>
                <w:rFonts w:hint="default" w:ascii="Times New Roman" w:hAnsi="Times New Roman" w:cs="Times New Roman"/>
                <w:color w:val="auto"/>
                <w:spacing w:val="-6"/>
                <w:kern w:val="21"/>
                <w:sz w:val="24"/>
                <w:szCs w:val="24"/>
                <w:highlight w:val="none"/>
              </w:rPr>
              <w:fldChar w:fldCharType="separate"/>
            </w:r>
            <w:r>
              <w:rPr>
                <w:rFonts w:hint="default" w:ascii="Times New Roman" w:hAnsi="Times New Roman" w:cs="Times New Roman"/>
                <w:color w:val="auto"/>
                <w:kern w:val="2"/>
                <w:sz w:val="24"/>
                <w:szCs w:val="24"/>
                <w:highlight w:val="none"/>
              </w:rPr>
              <w:t>④</w:t>
            </w:r>
            <w:r>
              <w:rPr>
                <w:rFonts w:hint="default" w:ascii="Times New Roman" w:hAnsi="Times New Roman" w:cs="Times New Roman"/>
                <w:color w:val="auto"/>
                <w:spacing w:val="-6"/>
                <w:kern w:val="21"/>
                <w:sz w:val="24"/>
                <w:szCs w:val="24"/>
                <w:highlight w:val="none"/>
              </w:rPr>
              <w:fldChar w:fldCharType="end"/>
            </w:r>
          </w:p>
        </w:tc>
        <w:tc>
          <w:tcPr>
            <w:tcW w:w="618" w:type="pct"/>
            <w:noWrap w:val="0"/>
            <w:tcMar>
              <w:left w:w="28" w:type="dxa"/>
              <w:right w:w="28" w:type="dxa"/>
            </w:tcMar>
            <w:vAlign w:val="center"/>
          </w:tcPr>
          <w:p w14:paraId="33B5607F">
            <w:pPr>
              <w:pStyle w:val="69"/>
              <w:spacing w:beforeLines="0" w:afterLines="0" w:line="240" w:lineRule="auto"/>
              <w:ind w:firstLine="0" w:firstLineChars="0"/>
              <w:jc w:val="center"/>
              <w:rPr>
                <w:rFonts w:hint="default" w:ascii="Times New Roman" w:hAnsi="Times New Roman" w:cs="Times New Roman"/>
                <w:color w:val="auto"/>
                <w:spacing w:val="-16"/>
                <w:kern w:val="21"/>
                <w:sz w:val="24"/>
                <w:szCs w:val="24"/>
                <w:highlight w:val="none"/>
              </w:rPr>
            </w:pPr>
            <w:r>
              <w:rPr>
                <w:rFonts w:hint="default" w:ascii="Times New Roman" w:hAnsi="Times New Roman" w:cs="Times New Roman"/>
                <w:color w:val="auto"/>
                <w:spacing w:val="-16"/>
                <w:kern w:val="21"/>
                <w:sz w:val="24"/>
                <w:szCs w:val="24"/>
                <w:highlight w:val="none"/>
              </w:rPr>
              <w:t>以新带老削减量</w:t>
            </w:r>
          </w:p>
          <w:p w14:paraId="7EA93271">
            <w:pPr>
              <w:pStyle w:val="69"/>
              <w:spacing w:beforeLines="0" w:afterLines="0" w:line="240" w:lineRule="auto"/>
              <w:ind w:firstLine="0" w:firstLineChars="0"/>
              <w:jc w:val="center"/>
              <w:rPr>
                <w:rFonts w:hint="default" w:ascii="Times New Roman" w:hAnsi="Times New Roman" w:cs="Times New Roman"/>
                <w:color w:val="auto"/>
                <w:spacing w:val="-16"/>
                <w:kern w:val="21"/>
                <w:sz w:val="24"/>
                <w:szCs w:val="24"/>
                <w:highlight w:val="none"/>
              </w:rPr>
            </w:pPr>
            <w:r>
              <w:rPr>
                <w:rFonts w:hint="default" w:ascii="Times New Roman" w:hAnsi="Times New Roman" w:cs="Times New Roman"/>
                <w:color w:val="auto"/>
                <w:spacing w:val="-16"/>
                <w:kern w:val="21"/>
                <w:sz w:val="24"/>
                <w:szCs w:val="24"/>
                <w:highlight w:val="none"/>
              </w:rPr>
              <w:t>（新建项目不填）</w:t>
            </w:r>
            <w:r>
              <w:rPr>
                <w:rFonts w:hint="default" w:ascii="Times New Roman" w:hAnsi="Times New Roman" w:cs="Times New Roman"/>
                <w:color w:val="auto"/>
                <w:spacing w:val="-16"/>
                <w:kern w:val="21"/>
                <w:sz w:val="24"/>
                <w:szCs w:val="24"/>
                <w:highlight w:val="none"/>
              </w:rPr>
              <w:fldChar w:fldCharType="begin"/>
            </w:r>
            <w:r>
              <w:rPr>
                <w:rFonts w:hint="default" w:ascii="Times New Roman" w:hAnsi="Times New Roman" w:cs="Times New Roman"/>
                <w:color w:val="auto"/>
                <w:spacing w:val="-16"/>
                <w:kern w:val="21"/>
                <w:sz w:val="24"/>
                <w:szCs w:val="24"/>
                <w:highlight w:val="none"/>
              </w:rPr>
              <w:instrText xml:space="preserve"> = 5 \* GB3 \* MERGEFORMAT </w:instrText>
            </w:r>
            <w:r>
              <w:rPr>
                <w:rFonts w:hint="default" w:ascii="Times New Roman" w:hAnsi="Times New Roman" w:cs="Times New Roman"/>
                <w:color w:val="auto"/>
                <w:spacing w:val="-16"/>
                <w:kern w:val="21"/>
                <w:sz w:val="24"/>
                <w:szCs w:val="24"/>
                <w:highlight w:val="none"/>
              </w:rPr>
              <w:fldChar w:fldCharType="separate"/>
            </w:r>
            <w:r>
              <w:rPr>
                <w:rFonts w:hint="default" w:ascii="Times New Roman" w:hAnsi="Times New Roman" w:cs="Times New Roman"/>
                <w:color w:val="auto"/>
                <w:kern w:val="2"/>
                <w:sz w:val="24"/>
                <w:szCs w:val="24"/>
                <w:highlight w:val="none"/>
              </w:rPr>
              <w:t>⑤</w:t>
            </w:r>
            <w:r>
              <w:rPr>
                <w:rFonts w:hint="default" w:ascii="Times New Roman" w:hAnsi="Times New Roman" w:cs="Times New Roman"/>
                <w:color w:val="auto"/>
                <w:spacing w:val="-16"/>
                <w:kern w:val="21"/>
                <w:sz w:val="24"/>
                <w:szCs w:val="24"/>
                <w:highlight w:val="none"/>
              </w:rPr>
              <w:fldChar w:fldCharType="end"/>
            </w:r>
          </w:p>
        </w:tc>
        <w:tc>
          <w:tcPr>
            <w:tcW w:w="688" w:type="pct"/>
            <w:noWrap w:val="0"/>
            <w:tcMar>
              <w:left w:w="28" w:type="dxa"/>
              <w:right w:w="28" w:type="dxa"/>
            </w:tcMar>
            <w:vAlign w:val="center"/>
          </w:tcPr>
          <w:p w14:paraId="10FC267A">
            <w:pPr>
              <w:pStyle w:val="69"/>
              <w:spacing w:beforeLines="0" w:afterLines="0" w:line="240" w:lineRule="auto"/>
              <w:ind w:firstLine="0" w:firstLineChars="0"/>
              <w:jc w:val="center"/>
              <w:rPr>
                <w:rFonts w:hint="default" w:ascii="Times New Roman" w:hAnsi="Times New Roman" w:cs="Times New Roman"/>
                <w:color w:val="auto"/>
                <w:spacing w:val="-16"/>
                <w:kern w:val="21"/>
                <w:sz w:val="24"/>
                <w:szCs w:val="24"/>
                <w:highlight w:val="none"/>
              </w:rPr>
            </w:pPr>
            <w:r>
              <w:rPr>
                <w:rFonts w:hint="default" w:ascii="Times New Roman" w:hAnsi="Times New Roman" w:cs="Times New Roman"/>
                <w:color w:val="auto"/>
                <w:spacing w:val="-16"/>
                <w:kern w:val="21"/>
                <w:sz w:val="24"/>
                <w:szCs w:val="24"/>
                <w:highlight w:val="none"/>
              </w:rPr>
              <w:t>本项目建成后</w:t>
            </w:r>
          </w:p>
          <w:p w14:paraId="5E2481EB">
            <w:pPr>
              <w:pStyle w:val="69"/>
              <w:spacing w:beforeLines="0" w:afterLines="0" w:line="240" w:lineRule="auto"/>
              <w:ind w:firstLine="0" w:firstLineChars="0"/>
              <w:jc w:val="center"/>
              <w:rPr>
                <w:rFonts w:hint="default" w:ascii="Times New Roman" w:hAnsi="Times New Roman" w:cs="Times New Roman"/>
                <w:color w:val="auto"/>
                <w:spacing w:val="-16"/>
                <w:kern w:val="21"/>
                <w:sz w:val="24"/>
                <w:szCs w:val="24"/>
                <w:highlight w:val="none"/>
              </w:rPr>
            </w:pPr>
            <w:r>
              <w:rPr>
                <w:rFonts w:hint="default" w:ascii="Times New Roman" w:hAnsi="Times New Roman" w:cs="Times New Roman"/>
                <w:color w:val="auto"/>
                <w:spacing w:val="-16"/>
                <w:kern w:val="21"/>
                <w:sz w:val="24"/>
                <w:szCs w:val="24"/>
                <w:highlight w:val="none"/>
              </w:rPr>
              <w:t>全厂排放量（固体废物产生量）</w:t>
            </w:r>
            <w:r>
              <w:rPr>
                <w:rFonts w:hint="default" w:ascii="Times New Roman" w:hAnsi="Times New Roman" w:cs="Times New Roman"/>
                <w:color w:val="auto"/>
                <w:spacing w:val="-16"/>
                <w:kern w:val="21"/>
                <w:sz w:val="24"/>
                <w:szCs w:val="24"/>
                <w:highlight w:val="none"/>
              </w:rPr>
              <w:fldChar w:fldCharType="begin"/>
            </w:r>
            <w:r>
              <w:rPr>
                <w:rFonts w:hint="default" w:ascii="Times New Roman" w:hAnsi="Times New Roman" w:cs="Times New Roman"/>
                <w:color w:val="auto"/>
                <w:spacing w:val="-16"/>
                <w:kern w:val="21"/>
                <w:sz w:val="24"/>
                <w:szCs w:val="24"/>
                <w:highlight w:val="none"/>
              </w:rPr>
              <w:instrText xml:space="preserve"> = 6 \* GB3 \* MERGEFORMAT </w:instrText>
            </w:r>
            <w:r>
              <w:rPr>
                <w:rFonts w:hint="default" w:ascii="Times New Roman" w:hAnsi="Times New Roman" w:cs="Times New Roman"/>
                <w:color w:val="auto"/>
                <w:spacing w:val="-16"/>
                <w:kern w:val="21"/>
                <w:sz w:val="24"/>
                <w:szCs w:val="24"/>
                <w:highlight w:val="none"/>
              </w:rPr>
              <w:fldChar w:fldCharType="separate"/>
            </w:r>
            <w:r>
              <w:rPr>
                <w:rFonts w:hint="default" w:ascii="Times New Roman" w:hAnsi="Times New Roman" w:cs="Times New Roman"/>
                <w:color w:val="auto"/>
                <w:kern w:val="2"/>
                <w:sz w:val="24"/>
                <w:szCs w:val="24"/>
                <w:highlight w:val="none"/>
              </w:rPr>
              <w:t>⑥</w:t>
            </w:r>
            <w:r>
              <w:rPr>
                <w:rFonts w:hint="default" w:ascii="Times New Roman" w:hAnsi="Times New Roman" w:cs="Times New Roman"/>
                <w:color w:val="auto"/>
                <w:spacing w:val="-16"/>
                <w:kern w:val="21"/>
                <w:sz w:val="24"/>
                <w:szCs w:val="24"/>
                <w:highlight w:val="none"/>
              </w:rPr>
              <w:fldChar w:fldCharType="end"/>
            </w:r>
          </w:p>
        </w:tc>
        <w:tc>
          <w:tcPr>
            <w:tcW w:w="481" w:type="pct"/>
            <w:noWrap w:val="0"/>
            <w:tcMar>
              <w:left w:w="28" w:type="dxa"/>
              <w:right w:w="28" w:type="dxa"/>
            </w:tcMar>
            <w:vAlign w:val="center"/>
          </w:tcPr>
          <w:p w14:paraId="5CDAA5A8">
            <w:pPr>
              <w:pStyle w:val="69"/>
              <w:spacing w:beforeLines="0" w:afterLines="0" w:line="240" w:lineRule="auto"/>
              <w:ind w:firstLine="0" w:firstLineChars="0"/>
              <w:jc w:val="center"/>
              <w:rPr>
                <w:rFonts w:hint="default" w:ascii="Times New Roman" w:hAnsi="Times New Roman" w:cs="Times New Roman"/>
                <w:color w:val="auto"/>
                <w:spacing w:val="-6"/>
                <w:kern w:val="21"/>
                <w:sz w:val="24"/>
                <w:szCs w:val="24"/>
                <w:highlight w:val="none"/>
              </w:rPr>
            </w:pPr>
            <w:r>
              <w:rPr>
                <w:rFonts w:hint="default" w:ascii="Times New Roman" w:hAnsi="Times New Roman" w:cs="Times New Roman"/>
                <w:color w:val="auto"/>
                <w:spacing w:val="-6"/>
                <w:kern w:val="21"/>
                <w:sz w:val="24"/>
                <w:szCs w:val="24"/>
                <w:highlight w:val="none"/>
              </w:rPr>
              <w:t>变化量</w:t>
            </w:r>
          </w:p>
          <w:p w14:paraId="7B326DB4">
            <w:pPr>
              <w:pStyle w:val="69"/>
              <w:spacing w:beforeLines="0" w:afterLines="0" w:line="240" w:lineRule="auto"/>
              <w:ind w:firstLine="0" w:firstLineChars="0"/>
              <w:jc w:val="center"/>
              <w:rPr>
                <w:rFonts w:hint="default" w:ascii="Times New Roman" w:hAnsi="Times New Roman" w:cs="Times New Roman"/>
                <w:color w:val="auto"/>
                <w:spacing w:val="-6"/>
                <w:kern w:val="21"/>
                <w:sz w:val="24"/>
                <w:szCs w:val="24"/>
                <w:highlight w:val="none"/>
              </w:rPr>
            </w:pPr>
            <w:r>
              <w:rPr>
                <w:rFonts w:hint="default" w:ascii="Times New Roman" w:hAnsi="Times New Roman" w:cs="Times New Roman"/>
                <w:color w:val="auto"/>
                <w:spacing w:val="-6"/>
                <w:kern w:val="21"/>
                <w:sz w:val="24"/>
                <w:szCs w:val="24"/>
                <w:highlight w:val="none"/>
              </w:rPr>
              <w:fldChar w:fldCharType="begin"/>
            </w:r>
            <w:r>
              <w:rPr>
                <w:rFonts w:hint="default" w:ascii="Times New Roman" w:hAnsi="Times New Roman" w:cs="Times New Roman"/>
                <w:color w:val="auto"/>
                <w:spacing w:val="-6"/>
                <w:kern w:val="21"/>
                <w:sz w:val="24"/>
                <w:szCs w:val="24"/>
                <w:highlight w:val="none"/>
              </w:rPr>
              <w:instrText xml:space="preserve"> = 7 \* GB3 \* MERGEFORMAT </w:instrText>
            </w:r>
            <w:r>
              <w:rPr>
                <w:rFonts w:hint="default" w:ascii="Times New Roman" w:hAnsi="Times New Roman" w:cs="Times New Roman"/>
                <w:color w:val="auto"/>
                <w:spacing w:val="-6"/>
                <w:kern w:val="21"/>
                <w:sz w:val="24"/>
                <w:szCs w:val="24"/>
                <w:highlight w:val="none"/>
              </w:rPr>
              <w:fldChar w:fldCharType="separate"/>
            </w:r>
            <w:r>
              <w:rPr>
                <w:rFonts w:hint="default" w:ascii="Times New Roman" w:hAnsi="Times New Roman" w:cs="Times New Roman"/>
                <w:color w:val="auto"/>
                <w:kern w:val="2"/>
                <w:sz w:val="24"/>
                <w:szCs w:val="24"/>
                <w:highlight w:val="none"/>
              </w:rPr>
              <w:t>⑦</w:t>
            </w:r>
            <w:r>
              <w:rPr>
                <w:rFonts w:hint="default" w:ascii="Times New Roman" w:hAnsi="Times New Roman" w:cs="Times New Roman"/>
                <w:color w:val="auto"/>
                <w:spacing w:val="-6"/>
                <w:kern w:val="21"/>
                <w:sz w:val="24"/>
                <w:szCs w:val="24"/>
                <w:highlight w:val="none"/>
              </w:rPr>
              <w:fldChar w:fldCharType="end"/>
            </w:r>
          </w:p>
        </w:tc>
      </w:tr>
      <w:tr w14:paraId="7E9AF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447" w:type="pct"/>
            <w:vMerge w:val="restart"/>
            <w:noWrap w:val="0"/>
            <w:vAlign w:val="center"/>
          </w:tcPr>
          <w:p w14:paraId="1F996F34">
            <w:pPr>
              <w:pStyle w:val="69"/>
              <w:spacing w:beforeLines="0" w:afterLines="0" w:line="240" w:lineRule="auto"/>
              <w:ind w:firstLine="0" w:firstLineChars="0"/>
              <w:jc w:val="center"/>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废气</w:t>
            </w:r>
          </w:p>
        </w:tc>
        <w:tc>
          <w:tcPr>
            <w:tcW w:w="593" w:type="pct"/>
            <w:noWrap w:val="0"/>
            <w:vAlign w:val="center"/>
          </w:tcPr>
          <w:p w14:paraId="3F25F05C">
            <w:pPr>
              <w:pStyle w:val="69"/>
              <w:spacing w:beforeLines="0" w:afterLines="0" w:line="240" w:lineRule="auto"/>
              <w:ind w:firstLine="0" w:firstLineChars="0"/>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颗粒物</w:t>
            </w:r>
          </w:p>
        </w:tc>
        <w:tc>
          <w:tcPr>
            <w:tcW w:w="593" w:type="pct"/>
            <w:noWrap w:val="0"/>
            <w:vAlign w:val="center"/>
          </w:tcPr>
          <w:p w14:paraId="66FC5045">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438" w:type="pct"/>
            <w:noWrap w:val="0"/>
            <w:vAlign w:val="center"/>
          </w:tcPr>
          <w:p w14:paraId="204D269A">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593" w:type="pct"/>
            <w:noWrap w:val="0"/>
            <w:vAlign w:val="center"/>
          </w:tcPr>
          <w:p w14:paraId="3F7CF3D3">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1530" w:type="dxa"/>
            <w:noWrap w:val="0"/>
            <w:vAlign w:val="center"/>
          </w:tcPr>
          <w:p w14:paraId="0B0914F7">
            <w:pPr>
              <w:pStyle w:val="69"/>
              <w:spacing w:beforeLines="0" w:afterLines="0" w:line="240" w:lineRule="auto"/>
              <w:ind w:firstLine="0" w:firstLineChars="0"/>
              <w:jc w:val="center"/>
              <w:rPr>
                <w:rFonts w:hint="default"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0.888t/a</w:t>
            </w:r>
          </w:p>
        </w:tc>
        <w:tc>
          <w:tcPr>
            <w:tcW w:w="618" w:type="pct"/>
            <w:noWrap w:val="0"/>
            <w:vAlign w:val="center"/>
          </w:tcPr>
          <w:p w14:paraId="7BA53726">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1935" w:type="dxa"/>
            <w:noWrap w:val="0"/>
            <w:vAlign w:val="center"/>
          </w:tcPr>
          <w:p w14:paraId="44BCD90B">
            <w:pPr>
              <w:pStyle w:val="69"/>
              <w:spacing w:beforeLines="0" w:afterLines="0" w:line="240" w:lineRule="auto"/>
              <w:ind w:firstLine="0" w:firstLineChars="0"/>
              <w:jc w:val="center"/>
              <w:rPr>
                <w:rFonts w:hint="default"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0.888t/a</w:t>
            </w:r>
          </w:p>
        </w:tc>
        <w:tc>
          <w:tcPr>
            <w:tcW w:w="481" w:type="pct"/>
            <w:noWrap w:val="0"/>
            <w:vAlign w:val="center"/>
          </w:tcPr>
          <w:p w14:paraId="65068683">
            <w:pPr>
              <w:jc w:val="center"/>
              <w:rPr>
                <w:rFonts w:hint="eastAsia" w:ascii="Times New Roman" w:hAnsi="Times New Roman" w:eastAsia="宋体" w:cs="Times New Roman"/>
                <w:bCs/>
                <w:color w:val="auto"/>
                <w:kern w:val="21"/>
                <w:sz w:val="24"/>
                <w:szCs w:val="24"/>
                <w:highlight w:val="none"/>
                <w:lang w:val="en-US" w:eastAsia="zh-CN"/>
              </w:rPr>
            </w:pPr>
            <w:r>
              <w:rPr>
                <w:rFonts w:hint="default" w:ascii="Times New Roman" w:hAnsi="Times New Roman" w:cs="Times New Roman"/>
                <w:bCs/>
                <w:color w:val="auto"/>
                <w:kern w:val="21"/>
                <w:sz w:val="24"/>
                <w:szCs w:val="24"/>
                <w:highlight w:val="none"/>
              </w:rPr>
              <w:t>/</w:t>
            </w:r>
          </w:p>
        </w:tc>
      </w:tr>
      <w:tr w14:paraId="3F753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61" w:hRule="atLeast"/>
        </w:trPr>
        <w:tc>
          <w:tcPr>
            <w:tcW w:w="447" w:type="pct"/>
            <w:vMerge w:val="continue"/>
            <w:noWrap w:val="0"/>
            <w:vAlign w:val="center"/>
          </w:tcPr>
          <w:p w14:paraId="7C225B59">
            <w:pPr>
              <w:pStyle w:val="69"/>
              <w:spacing w:beforeLines="0" w:afterLines="0" w:line="240" w:lineRule="auto"/>
              <w:ind w:firstLine="0" w:firstLineChars="0"/>
              <w:jc w:val="center"/>
              <w:rPr>
                <w:rFonts w:hint="default" w:ascii="Times New Roman" w:hAnsi="Times New Roman" w:cs="Times New Roman"/>
                <w:color w:val="auto"/>
                <w:kern w:val="21"/>
                <w:sz w:val="24"/>
                <w:szCs w:val="24"/>
                <w:highlight w:val="none"/>
              </w:rPr>
            </w:pPr>
          </w:p>
        </w:tc>
        <w:tc>
          <w:tcPr>
            <w:tcW w:w="593" w:type="pct"/>
            <w:noWrap w:val="0"/>
            <w:vAlign w:val="center"/>
          </w:tcPr>
          <w:p w14:paraId="53D2997D">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sz w:val="24"/>
                <w:szCs w:val="24"/>
                <w:highlight w:val="none"/>
              </w:rPr>
              <w:t>NH</w:t>
            </w:r>
            <w:r>
              <w:rPr>
                <w:rFonts w:hint="default" w:ascii="Times New Roman" w:hAnsi="Times New Roman" w:cs="Times New Roman"/>
                <w:bCs/>
                <w:color w:val="auto"/>
                <w:sz w:val="24"/>
                <w:szCs w:val="24"/>
                <w:highlight w:val="none"/>
                <w:vertAlign w:val="subscript"/>
              </w:rPr>
              <w:t>3</w:t>
            </w:r>
          </w:p>
        </w:tc>
        <w:tc>
          <w:tcPr>
            <w:tcW w:w="593" w:type="pct"/>
            <w:noWrap w:val="0"/>
            <w:vAlign w:val="center"/>
          </w:tcPr>
          <w:p w14:paraId="1DC856F5">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438" w:type="pct"/>
            <w:noWrap w:val="0"/>
            <w:vAlign w:val="center"/>
          </w:tcPr>
          <w:p w14:paraId="5F4419BA">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593" w:type="pct"/>
            <w:noWrap w:val="0"/>
            <w:vAlign w:val="center"/>
          </w:tcPr>
          <w:p w14:paraId="6D5B32ED">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1530" w:type="dxa"/>
            <w:noWrap w:val="0"/>
            <w:vAlign w:val="center"/>
          </w:tcPr>
          <w:p w14:paraId="2932B07B">
            <w:pPr>
              <w:pStyle w:val="69"/>
              <w:spacing w:beforeLines="0" w:afterLines="0" w:line="240" w:lineRule="auto"/>
              <w:ind w:firstLine="0" w:firstLineChars="0"/>
              <w:jc w:val="center"/>
              <w:rPr>
                <w:rFonts w:hint="default"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13.04t/a</w:t>
            </w:r>
          </w:p>
        </w:tc>
        <w:tc>
          <w:tcPr>
            <w:tcW w:w="618" w:type="pct"/>
            <w:noWrap w:val="0"/>
            <w:vAlign w:val="center"/>
          </w:tcPr>
          <w:p w14:paraId="06B10D3F">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1935" w:type="dxa"/>
            <w:noWrap w:val="0"/>
            <w:vAlign w:val="center"/>
          </w:tcPr>
          <w:p w14:paraId="27C2BCD2">
            <w:pPr>
              <w:pStyle w:val="69"/>
              <w:spacing w:beforeLines="0" w:afterLines="0" w:line="240" w:lineRule="auto"/>
              <w:ind w:firstLine="0" w:firstLineChars="0"/>
              <w:jc w:val="center"/>
              <w:rPr>
                <w:rFonts w:hint="default" w:ascii="Times New Roman" w:hAnsi="Times New Roman" w:cs="Times New Roman"/>
                <w:bCs/>
                <w:color w:val="auto"/>
                <w:kern w:val="21"/>
                <w:sz w:val="24"/>
                <w:szCs w:val="24"/>
                <w:highlight w:val="none"/>
              </w:rPr>
            </w:pPr>
            <w:r>
              <w:rPr>
                <w:rFonts w:hint="eastAsia" w:ascii="Times New Roman" w:cs="Times New Roman"/>
                <w:bCs/>
                <w:color w:val="auto"/>
                <w:kern w:val="21"/>
                <w:sz w:val="24"/>
                <w:szCs w:val="24"/>
                <w:highlight w:val="none"/>
                <w:lang w:val="en-US" w:eastAsia="zh-CN"/>
              </w:rPr>
              <w:t>13.04t/a</w:t>
            </w:r>
          </w:p>
        </w:tc>
        <w:tc>
          <w:tcPr>
            <w:tcW w:w="481" w:type="pct"/>
            <w:noWrap w:val="0"/>
            <w:vAlign w:val="center"/>
          </w:tcPr>
          <w:p w14:paraId="4DAFC9ED">
            <w:pPr>
              <w:jc w:val="center"/>
              <w:rPr>
                <w:rFonts w:hint="eastAsia" w:ascii="Times New Roman" w:hAnsi="Times New Roman" w:eastAsia="宋体" w:cs="Times New Roman"/>
                <w:bCs/>
                <w:color w:val="auto"/>
                <w:kern w:val="21"/>
                <w:sz w:val="24"/>
                <w:szCs w:val="24"/>
                <w:highlight w:val="none"/>
                <w:lang w:eastAsia="zh-CN"/>
              </w:rPr>
            </w:pPr>
            <w:r>
              <w:rPr>
                <w:rFonts w:hint="default" w:ascii="Times New Roman" w:hAnsi="Times New Roman" w:cs="Times New Roman"/>
                <w:bCs/>
                <w:color w:val="auto"/>
                <w:kern w:val="21"/>
                <w:sz w:val="24"/>
                <w:szCs w:val="24"/>
                <w:highlight w:val="none"/>
              </w:rPr>
              <w:t>/</w:t>
            </w:r>
          </w:p>
        </w:tc>
      </w:tr>
      <w:tr w14:paraId="69EF5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447" w:type="pct"/>
            <w:vMerge w:val="continue"/>
            <w:noWrap w:val="0"/>
            <w:vAlign w:val="center"/>
          </w:tcPr>
          <w:p w14:paraId="5CA20063">
            <w:pPr>
              <w:pStyle w:val="69"/>
              <w:spacing w:beforeLines="0" w:afterLines="0" w:line="240" w:lineRule="auto"/>
              <w:ind w:firstLine="0" w:firstLineChars="0"/>
              <w:jc w:val="center"/>
              <w:rPr>
                <w:rFonts w:hint="default" w:ascii="Times New Roman" w:hAnsi="Times New Roman" w:cs="Times New Roman"/>
                <w:color w:val="auto"/>
                <w:kern w:val="21"/>
                <w:sz w:val="24"/>
                <w:szCs w:val="24"/>
                <w:highlight w:val="none"/>
              </w:rPr>
            </w:pPr>
          </w:p>
        </w:tc>
        <w:tc>
          <w:tcPr>
            <w:tcW w:w="593" w:type="pct"/>
            <w:noWrap w:val="0"/>
            <w:vAlign w:val="center"/>
          </w:tcPr>
          <w:p w14:paraId="48D234E9">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sz w:val="24"/>
                <w:szCs w:val="24"/>
                <w:highlight w:val="none"/>
              </w:rPr>
              <w:t>H</w:t>
            </w:r>
            <w:r>
              <w:rPr>
                <w:rFonts w:hint="default" w:ascii="Times New Roman" w:hAnsi="Times New Roman" w:cs="Times New Roman"/>
                <w:bCs/>
                <w:color w:val="auto"/>
                <w:sz w:val="24"/>
                <w:szCs w:val="24"/>
                <w:highlight w:val="none"/>
                <w:vertAlign w:val="subscript"/>
              </w:rPr>
              <w:t>2</w:t>
            </w:r>
            <w:r>
              <w:rPr>
                <w:rFonts w:hint="default" w:ascii="Times New Roman" w:hAnsi="Times New Roman" w:cs="Times New Roman"/>
                <w:bCs/>
                <w:color w:val="auto"/>
                <w:sz w:val="24"/>
                <w:szCs w:val="24"/>
                <w:highlight w:val="none"/>
              </w:rPr>
              <w:t>S</w:t>
            </w:r>
          </w:p>
        </w:tc>
        <w:tc>
          <w:tcPr>
            <w:tcW w:w="593" w:type="pct"/>
            <w:noWrap w:val="0"/>
            <w:vAlign w:val="center"/>
          </w:tcPr>
          <w:p w14:paraId="34EC40B0">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438" w:type="pct"/>
            <w:noWrap w:val="0"/>
            <w:vAlign w:val="center"/>
          </w:tcPr>
          <w:p w14:paraId="4FF6A328">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593" w:type="pct"/>
            <w:noWrap w:val="0"/>
            <w:vAlign w:val="center"/>
          </w:tcPr>
          <w:p w14:paraId="73940ECB">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1530" w:type="dxa"/>
            <w:noWrap w:val="0"/>
            <w:vAlign w:val="center"/>
          </w:tcPr>
          <w:p w14:paraId="7107D79F">
            <w:pPr>
              <w:pStyle w:val="69"/>
              <w:spacing w:beforeLines="0" w:afterLines="0" w:line="240" w:lineRule="auto"/>
              <w:ind w:firstLine="0" w:firstLineChars="0"/>
              <w:jc w:val="center"/>
              <w:rPr>
                <w:rFonts w:hint="default"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0.92t/a</w:t>
            </w:r>
          </w:p>
        </w:tc>
        <w:tc>
          <w:tcPr>
            <w:tcW w:w="618" w:type="pct"/>
            <w:noWrap w:val="0"/>
            <w:vAlign w:val="center"/>
          </w:tcPr>
          <w:p w14:paraId="03CFEA32">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1935" w:type="dxa"/>
            <w:noWrap w:val="0"/>
            <w:vAlign w:val="center"/>
          </w:tcPr>
          <w:p w14:paraId="01625E47">
            <w:pPr>
              <w:pStyle w:val="69"/>
              <w:spacing w:beforeLines="0" w:afterLines="0" w:line="240" w:lineRule="auto"/>
              <w:ind w:firstLine="0" w:firstLineChars="0"/>
              <w:jc w:val="center"/>
              <w:rPr>
                <w:rFonts w:hint="default" w:ascii="Times New Roman" w:hAnsi="Times New Roman" w:cs="Times New Roman"/>
                <w:bCs/>
                <w:color w:val="auto"/>
                <w:kern w:val="21"/>
                <w:sz w:val="24"/>
                <w:szCs w:val="24"/>
                <w:highlight w:val="none"/>
              </w:rPr>
            </w:pPr>
            <w:r>
              <w:rPr>
                <w:rFonts w:hint="eastAsia" w:ascii="Times New Roman" w:cs="Times New Roman"/>
                <w:bCs/>
                <w:color w:val="auto"/>
                <w:kern w:val="21"/>
                <w:sz w:val="24"/>
                <w:szCs w:val="24"/>
                <w:highlight w:val="none"/>
                <w:lang w:val="en-US" w:eastAsia="zh-CN"/>
              </w:rPr>
              <w:t>0.92t/a</w:t>
            </w:r>
          </w:p>
        </w:tc>
        <w:tc>
          <w:tcPr>
            <w:tcW w:w="481" w:type="pct"/>
            <w:noWrap w:val="0"/>
            <w:vAlign w:val="center"/>
          </w:tcPr>
          <w:p w14:paraId="0F32E1E7">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r>
      <w:tr w14:paraId="3960D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447" w:type="pct"/>
            <w:noWrap w:val="0"/>
            <w:vAlign w:val="center"/>
          </w:tcPr>
          <w:p w14:paraId="6F0105EA">
            <w:pPr>
              <w:pStyle w:val="69"/>
              <w:spacing w:beforeLines="0" w:afterLines="0" w:line="240" w:lineRule="auto"/>
              <w:ind w:firstLine="0" w:firstLineChars="0"/>
              <w:jc w:val="center"/>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废水</w:t>
            </w:r>
          </w:p>
        </w:tc>
        <w:tc>
          <w:tcPr>
            <w:tcW w:w="593" w:type="pct"/>
            <w:noWrap w:val="0"/>
            <w:vAlign w:val="center"/>
          </w:tcPr>
          <w:p w14:paraId="47B79A56">
            <w:pPr>
              <w:adjustRightInd w:val="0"/>
              <w:snapToGrid w:val="0"/>
              <w:jc w:val="center"/>
              <w:rPr>
                <w:rFonts w:hint="eastAsia" w:ascii="Times New Roman" w:hAnsi="Times New Roman" w:eastAsia="宋体" w:cs="Times New Roman"/>
                <w:bCs/>
                <w:color w:val="auto"/>
                <w:kern w:val="21"/>
                <w:sz w:val="24"/>
                <w:szCs w:val="24"/>
                <w:highlight w:val="none"/>
                <w:lang w:val="en-US" w:eastAsia="zh-CN"/>
              </w:rPr>
            </w:pPr>
            <w:r>
              <w:rPr>
                <w:rFonts w:hint="eastAsia" w:cs="Times New Roman"/>
                <w:bCs/>
                <w:color w:val="auto"/>
                <w:kern w:val="21"/>
                <w:sz w:val="24"/>
                <w:szCs w:val="24"/>
                <w:highlight w:val="none"/>
                <w:lang w:val="en-US" w:eastAsia="zh-CN"/>
              </w:rPr>
              <w:t>/</w:t>
            </w:r>
          </w:p>
        </w:tc>
        <w:tc>
          <w:tcPr>
            <w:tcW w:w="593" w:type="pct"/>
            <w:noWrap w:val="0"/>
            <w:vAlign w:val="center"/>
          </w:tcPr>
          <w:p w14:paraId="0DDBEDCF">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438" w:type="pct"/>
            <w:noWrap w:val="0"/>
            <w:vAlign w:val="center"/>
          </w:tcPr>
          <w:p w14:paraId="22B7BD7E">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593" w:type="pct"/>
            <w:noWrap w:val="0"/>
            <w:vAlign w:val="center"/>
          </w:tcPr>
          <w:p w14:paraId="6E04759E">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544" w:type="pct"/>
            <w:noWrap w:val="0"/>
            <w:vAlign w:val="center"/>
          </w:tcPr>
          <w:p w14:paraId="468D136D">
            <w:pPr>
              <w:pStyle w:val="69"/>
              <w:spacing w:beforeLines="0" w:afterLines="0" w:line="240" w:lineRule="auto"/>
              <w:ind w:firstLine="0" w:firstLineChars="0"/>
              <w:jc w:val="center"/>
              <w:rPr>
                <w:rFonts w:hint="eastAsia"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w:t>
            </w:r>
          </w:p>
        </w:tc>
        <w:tc>
          <w:tcPr>
            <w:tcW w:w="618" w:type="pct"/>
            <w:noWrap w:val="0"/>
            <w:vAlign w:val="center"/>
          </w:tcPr>
          <w:p w14:paraId="44C1FECB">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688" w:type="pct"/>
            <w:noWrap w:val="0"/>
            <w:vAlign w:val="center"/>
          </w:tcPr>
          <w:p w14:paraId="2B27F65C">
            <w:pPr>
              <w:pStyle w:val="69"/>
              <w:spacing w:beforeLines="0" w:afterLines="0" w:line="240" w:lineRule="auto"/>
              <w:ind w:firstLine="0" w:firstLineChars="0"/>
              <w:jc w:val="center"/>
              <w:rPr>
                <w:rFonts w:hint="eastAsia"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w:t>
            </w:r>
          </w:p>
        </w:tc>
        <w:tc>
          <w:tcPr>
            <w:tcW w:w="481" w:type="pct"/>
            <w:noWrap w:val="0"/>
            <w:vAlign w:val="center"/>
          </w:tcPr>
          <w:p w14:paraId="510A7FC6">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r>
      <w:tr w14:paraId="581A0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47" w:type="pct"/>
            <w:vMerge w:val="restart"/>
            <w:noWrap w:val="0"/>
            <w:vAlign w:val="center"/>
          </w:tcPr>
          <w:p w14:paraId="3ED90DD1">
            <w:pPr>
              <w:pStyle w:val="69"/>
              <w:adjustRightInd w:val="0"/>
              <w:snapToGrid w:val="0"/>
              <w:spacing w:beforeLines="0" w:afterLines="0" w:line="240" w:lineRule="auto"/>
              <w:ind w:firstLine="0" w:firstLineChars="0"/>
              <w:jc w:val="center"/>
              <w:textAlignment w:val="baseline"/>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一般工业</w:t>
            </w:r>
          </w:p>
          <w:p w14:paraId="2733F81C">
            <w:pPr>
              <w:pStyle w:val="69"/>
              <w:adjustRightInd w:val="0"/>
              <w:snapToGrid w:val="0"/>
              <w:spacing w:beforeLines="0" w:afterLines="0" w:line="240" w:lineRule="auto"/>
              <w:ind w:firstLine="0" w:firstLineChars="0"/>
              <w:jc w:val="center"/>
              <w:textAlignment w:val="baseline"/>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固体废物</w:t>
            </w:r>
          </w:p>
        </w:tc>
        <w:tc>
          <w:tcPr>
            <w:tcW w:w="593" w:type="pct"/>
            <w:noWrap w:val="0"/>
            <w:vAlign w:val="center"/>
          </w:tcPr>
          <w:p w14:paraId="415BC055">
            <w:pPr>
              <w:pStyle w:val="69"/>
              <w:spacing w:beforeLines="0" w:afterLines="0" w:line="240" w:lineRule="auto"/>
              <w:ind w:firstLine="0" w:firstLineChars="0"/>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生活垃圾</w:t>
            </w:r>
          </w:p>
        </w:tc>
        <w:tc>
          <w:tcPr>
            <w:tcW w:w="593" w:type="pct"/>
            <w:noWrap w:val="0"/>
            <w:vAlign w:val="center"/>
          </w:tcPr>
          <w:p w14:paraId="1318967E">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438" w:type="pct"/>
            <w:noWrap w:val="0"/>
            <w:vAlign w:val="center"/>
          </w:tcPr>
          <w:p w14:paraId="4B3BB36A">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593" w:type="pct"/>
            <w:noWrap w:val="0"/>
            <w:vAlign w:val="center"/>
          </w:tcPr>
          <w:p w14:paraId="7FF3EF33">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544" w:type="pct"/>
            <w:noWrap w:val="0"/>
            <w:vAlign w:val="center"/>
          </w:tcPr>
          <w:p w14:paraId="26011A7D">
            <w:pPr>
              <w:pStyle w:val="69"/>
              <w:spacing w:beforeLines="0" w:afterLines="0" w:line="240" w:lineRule="auto"/>
              <w:ind w:firstLine="0" w:firstLineChars="0"/>
              <w:jc w:val="center"/>
              <w:rPr>
                <w:rFonts w:hint="default"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3t/a</w:t>
            </w:r>
          </w:p>
        </w:tc>
        <w:tc>
          <w:tcPr>
            <w:tcW w:w="618" w:type="pct"/>
            <w:noWrap w:val="0"/>
            <w:vAlign w:val="center"/>
          </w:tcPr>
          <w:p w14:paraId="3E4D5F04">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688" w:type="pct"/>
            <w:noWrap w:val="0"/>
            <w:vAlign w:val="center"/>
          </w:tcPr>
          <w:p w14:paraId="0589C42B">
            <w:pPr>
              <w:pStyle w:val="69"/>
              <w:spacing w:beforeLines="0" w:afterLines="0" w:line="240" w:lineRule="auto"/>
              <w:ind w:firstLine="0" w:firstLineChars="0"/>
              <w:jc w:val="center"/>
              <w:rPr>
                <w:rFonts w:hint="default"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3t/a</w:t>
            </w:r>
          </w:p>
        </w:tc>
        <w:tc>
          <w:tcPr>
            <w:tcW w:w="481" w:type="pct"/>
            <w:noWrap w:val="0"/>
            <w:vAlign w:val="center"/>
          </w:tcPr>
          <w:p w14:paraId="297CCB5E">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r>
      <w:tr w14:paraId="30A15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56" w:hRule="atLeast"/>
        </w:trPr>
        <w:tc>
          <w:tcPr>
            <w:tcW w:w="447" w:type="pct"/>
            <w:vMerge w:val="continue"/>
            <w:noWrap w:val="0"/>
            <w:vAlign w:val="center"/>
          </w:tcPr>
          <w:p w14:paraId="449F25A9">
            <w:pPr>
              <w:pStyle w:val="69"/>
              <w:spacing w:beforeLines="0" w:afterLines="0" w:line="240" w:lineRule="auto"/>
              <w:ind w:firstLine="0" w:firstLineChars="0"/>
              <w:jc w:val="center"/>
              <w:rPr>
                <w:rFonts w:hint="default" w:ascii="Times New Roman" w:hAnsi="Times New Roman" w:cs="Times New Roman"/>
                <w:color w:val="auto"/>
                <w:kern w:val="2"/>
                <w:sz w:val="24"/>
                <w:szCs w:val="24"/>
                <w:highlight w:val="none"/>
              </w:rPr>
            </w:pPr>
          </w:p>
        </w:tc>
        <w:tc>
          <w:tcPr>
            <w:tcW w:w="593" w:type="pct"/>
            <w:noWrap w:val="0"/>
            <w:vAlign w:val="center"/>
          </w:tcPr>
          <w:p w14:paraId="1F65EDD7">
            <w:pPr>
              <w:pStyle w:val="69"/>
              <w:spacing w:beforeLines="0" w:afterLines="0" w:line="240" w:lineRule="auto"/>
              <w:ind w:firstLine="0" w:firstLineChars="0"/>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废包装材料</w:t>
            </w:r>
          </w:p>
        </w:tc>
        <w:tc>
          <w:tcPr>
            <w:tcW w:w="593" w:type="pct"/>
            <w:noWrap w:val="0"/>
            <w:vAlign w:val="center"/>
          </w:tcPr>
          <w:p w14:paraId="0BBFCDDA">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438" w:type="pct"/>
            <w:noWrap w:val="0"/>
            <w:vAlign w:val="center"/>
          </w:tcPr>
          <w:p w14:paraId="3C73397A">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593" w:type="pct"/>
            <w:noWrap w:val="0"/>
            <w:vAlign w:val="center"/>
          </w:tcPr>
          <w:p w14:paraId="7AEA9769">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544" w:type="pct"/>
            <w:noWrap w:val="0"/>
            <w:vAlign w:val="center"/>
          </w:tcPr>
          <w:p w14:paraId="4CCD12F9">
            <w:pPr>
              <w:pStyle w:val="69"/>
              <w:spacing w:beforeLines="0" w:afterLines="0" w:line="240" w:lineRule="auto"/>
              <w:ind w:firstLine="0" w:firstLineChars="0"/>
              <w:jc w:val="center"/>
              <w:rPr>
                <w:rFonts w:hint="default"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3kg/a</w:t>
            </w:r>
          </w:p>
        </w:tc>
        <w:tc>
          <w:tcPr>
            <w:tcW w:w="618" w:type="pct"/>
            <w:noWrap w:val="0"/>
            <w:vAlign w:val="center"/>
          </w:tcPr>
          <w:p w14:paraId="3BBBAE2E">
            <w:pPr>
              <w:pStyle w:val="69"/>
              <w:spacing w:beforeLines="0" w:afterLines="0" w:line="240" w:lineRule="auto"/>
              <w:ind w:firstLine="0" w:firstLineChars="0"/>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688" w:type="pct"/>
            <w:noWrap w:val="0"/>
            <w:vAlign w:val="center"/>
          </w:tcPr>
          <w:p w14:paraId="737D3BAF">
            <w:pPr>
              <w:pStyle w:val="69"/>
              <w:spacing w:beforeLines="0" w:afterLines="0" w:line="240" w:lineRule="auto"/>
              <w:ind w:firstLine="0" w:firstLineChars="0"/>
              <w:jc w:val="center"/>
              <w:rPr>
                <w:rFonts w:hint="default" w:ascii="Times New Roman" w:hAnsi="Times New Roman" w:cs="Times New Roman"/>
                <w:bCs/>
                <w:color w:val="auto"/>
                <w:kern w:val="21"/>
                <w:sz w:val="24"/>
                <w:szCs w:val="24"/>
                <w:highlight w:val="none"/>
              </w:rPr>
            </w:pPr>
            <w:r>
              <w:rPr>
                <w:rFonts w:hint="eastAsia" w:ascii="Times New Roman" w:cs="Times New Roman"/>
                <w:bCs/>
                <w:color w:val="auto"/>
                <w:kern w:val="21"/>
                <w:sz w:val="24"/>
                <w:szCs w:val="24"/>
                <w:highlight w:val="none"/>
                <w:lang w:val="en-US" w:eastAsia="zh-CN"/>
              </w:rPr>
              <w:t>3kg/a</w:t>
            </w:r>
          </w:p>
        </w:tc>
        <w:tc>
          <w:tcPr>
            <w:tcW w:w="481" w:type="pct"/>
            <w:noWrap w:val="0"/>
            <w:vAlign w:val="center"/>
          </w:tcPr>
          <w:p w14:paraId="5D8C5240">
            <w:pPr>
              <w:pStyle w:val="69"/>
              <w:spacing w:beforeLines="0" w:afterLines="0" w:line="240" w:lineRule="auto"/>
              <w:ind w:firstLine="0" w:firstLineChars="0"/>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r>
      <w:tr w14:paraId="17460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447" w:type="pct"/>
            <w:vMerge w:val="continue"/>
            <w:noWrap w:val="0"/>
            <w:vAlign w:val="center"/>
          </w:tcPr>
          <w:p w14:paraId="29D40876">
            <w:pPr>
              <w:pStyle w:val="69"/>
              <w:spacing w:beforeLines="0" w:afterLines="0" w:line="240" w:lineRule="auto"/>
              <w:ind w:firstLine="0" w:firstLineChars="0"/>
              <w:jc w:val="center"/>
              <w:rPr>
                <w:rFonts w:hint="default" w:ascii="Times New Roman" w:hAnsi="Times New Roman" w:cs="Times New Roman"/>
                <w:color w:val="auto"/>
                <w:kern w:val="2"/>
                <w:sz w:val="24"/>
                <w:szCs w:val="24"/>
                <w:highlight w:val="none"/>
              </w:rPr>
            </w:pPr>
          </w:p>
        </w:tc>
        <w:tc>
          <w:tcPr>
            <w:tcW w:w="593" w:type="pct"/>
            <w:noWrap w:val="0"/>
            <w:vAlign w:val="center"/>
          </w:tcPr>
          <w:p w14:paraId="53CA19ED">
            <w:pPr>
              <w:pStyle w:val="78"/>
              <w:spacing w:line="20" w:lineRule="atLeast"/>
              <w:ind w:firstLine="0" w:firstLineChars="0"/>
              <w:rPr>
                <w:rFonts w:hint="default" w:ascii="Times New Roman" w:hAnsi="Times New Roman" w:cs="Times New Roman"/>
                <w:bCs/>
                <w:color w:val="auto"/>
                <w:kern w:val="21"/>
                <w:sz w:val="24"/>
                <w:szCs w:val="24"/>
                <w:highlight w:val="none"/>
              </w:rPr>
            </w:pPr>
            <w:r>
              <w:rPr>
                <w:rFonts w:hint="eastAsia" w:cs="Times New Roman"/>
                <w:b w:val="0"/>
                <w:color w:val="auto"/>
                <w:sz w:val="24"/>
                <w:szCs w:val="24"/>
                <w:highlight w:val="none"/>
                <w:lang w:val="en-US" w:eastAsia="zh-CN"/>
              </w:rPr>
              <w:t>生产车间粉尘</w:t>
            </w:r>
          </w:p>
        </w:tc>
        <w:tc>
          <w:tcPr>
            <w:tcW w:w="593" w:type="pct"/>
            <w:noWrap w:val="0"/>
            <w:vAlign w:val="center"/>
          </w:tcPr>
          <w:p w14:paraId="43075273">
            <w:pPr>
              <w:jc w:val="center"/>
              <w:rPr>
                <w:rFonts w:hint="eastAsia" w:ascii="Times New Roman" w:hAnsi="Times New Roman" w:eastAsia="宋体" w:cs="Times New Roman"/>
                <w:bCs/>
                <w:color w:val="auto"/>
                <w:kern w:val="21"/>
                <w:sz w:val="24"/>
                <w:szCs w:val="24"/>
                <w:highlight w:val="none"/>
                <w:lang w:val="en-US" w:eastAsia="zh-CN"/>
              </w:rPr>
            </w:pPr>
            <w:r>
              <w:rPr>
                <w:rFonts w:hint="eastAsia" w:cs="Times New Roman"/>
                <w:bCs/>
                <w:color w:val="auto"/>
                <w:kern w:val="21"/>
                <w:sz w:val="24"/>
                <w:szCs w:val="24"/>
                <w:highlight w:val="none"/>
                <w:lang w:val="en-US" w:eastAsia="zh-CN"/>
              </w:rPr>
              <w:t>/</w:t>
            </w:r>
          </w:p>
        </w:tc>
        <w:tc>
          <w:tcPr>
            <w:tcW w:w="438" w:type="pct"/>
            <w:noWrap w:val="0"/>
            <w:vAlign w:val="center"/>
          </w:tcPr>
          <w:p w14:paraId="56FB2FBC">
            <w:pPr>
              <w:jc w:val="center"/>
              <w:rPr>
                <w:rFonts w:hint="eastAsia" w:ascii="Times New Roman" w:hAnsi="Times New Roman" w:eastAsia="宋体" w:cs="Times New Roman"/>
                <w:bCs/>
                <w:color w:val="auto"/>
                <w:kern w:val="21"/>
                <w:sz w:val="24"/>
                <w:szCs w:val="24"/>
                <w:highlight w:val="none"/>
                <w:lang w:val="en-US" w:eastAsia="zh-CN"/>
              </w:rPr>
            </w:pPr>
            <w:r>
              <w:rPr>
                <w:rFonts w:hint="eastAsia" w:cs="Times New Roman"/>
                <w:bCs/>
                <w:color w:val="auto"/>
                <w:kern w:val="21"/>
                <w:sz w:val="24"/>
                <w:szCs w:val="24"/>
                <w:highlight w:val="none"/>
                <w:lang w:val="en-US" w:eastAsia="zh-CN"/>
              </w:rPr>
              <w:t>/</w:t>
            </w:r>
          </w:p>
        </w:tc>
        <w:tc>
          <w:tcPr>
            <w:tcW w:w="593" w:type="pct"/>
            <w:noWrap w:val="0"/>
            <w:vAlign w:val="center"/>
          </w:tcPr>
          <w:p w14:paraId="722B90BA">
            <w:pPr>
              <w:jc w:val="center"/>
              <w:rPr>
                <w:rFonts w:hint="eastAsia" w:ascii="Times New Roman" w:hAnsi="Times New Roman" w:eastAsia="宋体" w:cs="Times New Roman"/>
                <w:bCs/>
                <w:color w:val="auto"/>
                <w:kern w:val="21"/>
                <w:sz w:val="24"/>
                <w:szCs w:val="24"/>
                <w:highlight w:val="none"/>
                <w:lang w:val="en-US" w:eastAsia="zh-CN"/>
              </w:rPr>
            </w:pPr>
            <w:r>
              <w:rPr>
                <w:rFonts w:hint="eastAsia" w:cs="Times New Roman"/>
                <w:bCs/>
                <w:color w:val="auto"/>
                <w:kern w:val="21"/>
                <w:sz w:val="24"/>
                <w:szCs w:val="24"/>
                <w:highlight w:val="none"/>
                <w:lang w:val="en-US" w:eastAsia="zh-CN"/>
              </w:rPr>
              <w:t>/</w:t>
            </w:r>
          </w:p>
        </w:tc>
        <w:tc>
          <w:tcPr>
            <w:tcW w:w="544" w:type="pct"/>
            <w:noWrap w:val="0"/>
            <w:vAlign w:val="center"/>
          </w:tcPr>
          <w:p w14:paraId="1A3AC0FF">
            <w:pPr>
              <w:pStyle w:val="60"/>
              <w:spacing w:line="20" w:lineRule="atLeast"/>
              <w:jc w:val="center"/>
              <w:rPr>
                <w:rFonts w:hint="eastAsia" w:ascii="Times New Roman" w:cs="Times New Roman"/>
                <w:bCs/>
                <w:color w:val="auto"/>
                <w:kern w:val="21"/>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6.66t/a</w:t>
            </w:r>
          </w:p>
        </w:tc>
        <w:tc>
          <w:tcPr>
            <w:tcW w:w="618" w:type="pct"/>
            <w:noWrap w:val="0"/>
            <w:vAlign w:val="center"/>
          </w:tcPr>
          <w:p w14:paraId="3CF39915">
            <w:pPr>
              <w:pStyle w:val="69"/>
              <w:spacing w:beforeLines="0" w:afterLines="0" w:line="240" w:lineRule="auto"/>
              <w:ind w:firstLine="0" w:firstLineChars="0"/>
              <w:jc w:val="center"/>
              <w:rPr>
                <w:rFonts w:hint="eastAsia"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w:t>
            </w:r>
          </w:p>
        </w:tc>
        <w:tc>
          <w:tcPr>
            <w:tcW w:w="688" w:type="pct"/>
            <w:noWrap w:val="0"/>
            <w:vAlign w:val="center"/>
          </w:tcPr>
          <w:p w14:paraId="23408B20">
            <w:pPr>
              <w:pStyle w:val="60"/>
              <w:spacing w:line="20" w:lineRule="atLeast"/>
              <w:jc w:val="center"/>
              <w:rPr>
                <w:rFonts w:hint="eastAsia" w:ascii="Times New Roman" w:cs="Times New Roman"/>
                <w:bCs/>
                <w:color w:val="auto"/>
                <w:kern w:val="21"/>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6.66t/a</w:t>
            </w:r>
          </w:p>
        </w:tc>
        <w:tc>
          <w:tcPr>
            <w:tcW w:w="481" w:type="pct"/>
            <w:noWrap w:val="0"/>
            <w:vAlign w:val="center"/>
          </w:tcPr>
          <w:p w14:paraId="63821348">
            <w:pPr>
              <w:pStyle w:val="69"/>
              <w:spacing w:beforeLines="0" w:afterLines="0" w:line="240" w:lineRule="auto"/>
              <w:ind w:firstLine="0" w:firstLineChars="0"/>
              <w:jc w:val="center"/>
              <w:rPr>
                <w:rFonts w:hint="eastAsia"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w:t>
            </w:r>
          </w:p>
        </w:tc>
      </w:tr>
      <w:tr w14:paraId="30BDB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447" w:type="pct"/>
            <w:vMerge w:val="continue"/>
            <w:noWrap w:val="0"/>
            <w:vAlign w:val="center"/>
          </w:tcPr>
          <w:p w14:paraId="7843950E">
            <w:pPr>
              <w:pStyle w:val="69"/>
              <w:spacing w:beforeLines="0" w:afterLines="0" w:line="240" w:lineRule="auto"/>
              <w:ind w:firstLine="0" w:firstLineChars="0"/>
              <w:jc w:val="center"/>
              <w:rPr>
                <w:rFonts w:hint="default" w:ascii="Times New Roman" w:hAnsi="Times New Roman" w:cs="Times New Roman"/>
                <w:color w:val="auto"/>
                <w:kern w:val="2"/>
                <w:sz w:val="24"/>
                <w:szCs w:val="24"/>
                <w:highlight w:val="none"/>
              </w:rPr>
            </w:pPr>
          </w:p>
        </w:tc>
        <w:tc>
          <w:tcPr>
            <w:tcW w:w="593" w:type="pct"/>
            <w:noWrap w:val="0"/>
            <w:vAlign w:val="center"/>
          </w:tcPr>
          <w:p w14:paraId="3F93C613">
            <w:pPr>
              <w:pStyle w:val="78"/>
              <w:spacing w:line="20" w:lineRule="atLeast"/>
              <w:ind w:firstLine="0" w:firstLineChars="0"/>
              <w:rPr>
                <w:rFonts w:hint="default" w:ascii="Times New Roman" w:hAnsi="Times New Roman" w:cs="Times New Roman"/>
                <w:bCs/>
                <w:color w:val="auto"/>
                <w:kern w:val="21"/>
                <w:sz w:val="24"/>
                <w:szCs w:val="24"/>
                <w:highlight w:val="none"/>
              </w:rPr>
            </w:pPr>
            <w:r>
              <w:rPr>
                <w:rFonts w:hint="eastAsia" w:cs="Times New Roman"/>
                <w:b w:val="0"/>
                <w:color w:val="auto"/>
                <w:sz w:val="24"/>
                <w:szCs w:val="24"/>
                <w:highlight w:val="none"/>
                <w:lang w:val="en-US" w:eastAsia="zh-CN"/>
              </w:rPr>
              <w:t>除尘灰</w:t>
            </w:r>
          </w:p>
        </w:tc>
        <w:tc>
          <w:tcPr>
            <w:tcW w:w="593" w:type="pct"/>
            <w:noWrap w:val="0"/>
            <w:vAlign w:val="center"/>
          </w:tcPr>
          <w:p w14:paraId="3A1AF0CD">
            <w:pPr>
              <w:jc w:val="center"/>
              <w:rPr>
                <w:rFonts w:hint="eastAsia" w:ascii="Times New Roman" w:hAnsi="Times New Roman" w:eastAsia="宋体" w:cs="Times New Roman"/>
                <w:bCs/>
                <w:color w:val="auto"/>
                <w:kern w:val="21"/>
                <w:sz w:val="24"/>
                <w:szCs w:val="24"/>
                <w:highlight w:val="none"/>
                <w:lang w:val="en-US" w:eastAsia="zh-CN"/>
              </w:rPr>
            </w:pPr>
            <w:r>
              <w:rPr>
                <w:rFonts w:hint="eastAsia" w:cs="Times New Roman"/>
                <w:bCs/>
                <w:color w:val="auto"/>
                <w:kern w:val="21"/>
                <w:sz w:val="24"/>
                <w:szCs w:val="24"/>
                <w:highlight w:val="none"/>
                <w:lang w:val="en-US" w:eastAsia="zh-CN"/>
              </w:rPr>
              <w:t>/</w:t>
            </w:r>
          </w:p>
        </w:tc>
        <w:tc>
          <w:tcPr>
            <w:tcW w:w="438" w:type="pct"/>
            <w:noWrap w:val="0"/>
            <w:vAlign w:val="center"/>
          </w:tcPr>
          <w:p w14:paraId="0F891A41">
            <w:pPr>
              <w:jc w:val="center"/>
              <w:rPr>
                <w:rFonts w:hint="eastAsia" w:ascii="Times New Roman" w:hAnsi="Times New Roman" w:eastAsia="宋体" w:cs="Times New Roman"/>
                <w:bCs/>
                <w:color w:val="auto"/>
                <w:kern w:val="21"/>
                <w:sz w:val="24"/>
                <w:szCs w:val="24"/>
                <w:highlight w:val="none"/>
                <w:lang w:val="en-US" w:eastAsia="zh-CN"/>
              </w:rPr>
            </w:pPr>
            <w:r>
              <w:rPr>
                <w:rFonts w:hint="eastAsia" w:cs="Times New Roman"/>
                <w:bCs/>
                <w:color w:val="auto"/>
                <w:kern w:val="21"/>
                <w:sz w:val="24"/>
                <w:szCs w:val="24"/>
                <w:highlight w:val="none"/>
                <w:lang w:val="en-US" w:eastAsia="zh-CN"/>
              </w:rPr>
              <w:t>/</w:t>
            </w:r>
          </w:p>
        </w:tc>
        <w:tc>
          <w:tcPr>
            <w:tcW w:w="593" w:type="pct"/>
            <w:noWrap w:val="0"/>
            <w:vAlign w:val="center"/>
          </w:tcPr>
          <w:p w14:paraId="2BB50BD0">
            <w:pPr>
              <w:jc w:val="center"/>
              <w:rPr>
                <w:rFonts w:hint="eastAsia" w:ascii="Times New Roman" w:hAnsi="Times New Roman" w:eastAsia="宋体" w:cs="Times New Roman"/>
                <w:bCs/>
                <w:color w:val="auto"/>
                <w:kern w:val="21"/>
                <w:sz w:val="24"/>
                <w:szCs w:val="24"/>
                <w:highlight w:val="none"/>
                <w:lang w:val="en-US" w:eastAsia="zh-CN"/>
              </w:rPr>
            </w:pPr>
            <w:r>
              <w:rPr>
                <w:rFonts w:hint="eastAsia" w:cs="Times New Roman"/>
                <w:bCs/>
                <w:color w:val="auto"/>
                <w:kern w:val="21"/>
                <w:sz w:val="24"/>
                <w:szCs w:val="24"/>
                <w:highlight w:val="none"/>
                <w:lang w:val="en-US" w:eastAsia="zh-CN"/>
              </w:rPr>
              <w:t>/</w:t>
            </w:r>
          </w:p>
        </w:tc>
        <w:tc>
          <w:tcPr>
            <w:tcW w:w="544" w:type="pct"/>
            <w:noWrap w:val="0"/>
            <w:vAlign w:val="center"/>
          </w:tcPr>
          <w:p w14:paraId="3787FAC3">
            <w:pPr>
              <w:pStyle w:val="60"/>
              <w:spacing w:line="20" w:lineRule="atLeast"/>
              <w:jc w:val="center"/>
              <w:rPr>
                <w:rFonts w:hint="eastAsia" w:ascii="Times New Roman" w:cs="Times New Roman"/>
                <w:bCs/>
                <w:color w:val="auto"/>
                <w:kern w:val="21"/>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88.8t/a</w:t>
            </w:r>
          </w:p>
        </w:tc>
        <w:tc>
          <w:tcPr>
            <w:tcW w:w="618" w:type="pct"/>
            <w:noWrap w:val="0"/>
            <w:vAlign w:val="center"/>
          </w:tcPr>
          <w:p w14:paraId="517FF368">
            <w:pPr>
              <w:pStyle w:val="69"/>
              <w:spacing w:beforeLines="0" w:afterLines="0" w:line="240" w:lineRule="auto"/>
              <w:ind w:firstLine="0" w:firstLineChars="0"/>
              <w:jc w:val="center"/>
              <w:rPr>
                <w:rFonts w:hint="eastAsia"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w:t>
            </w:r>
          </w:p>
        </w:tc>
        <w:tc>
          <w:tcPr>
            <w:tcW w:w="688" w:type="pct"/>
            <w:noWrap w:val="0"/>
            <w:vAlign w:val="center"/>
          </w:tcPr>
          <w:p w14:paraId="323949C1">
            <w:pPr>
              <w:pStyle w:val="60"/>
              <w:spacing w:line="20" w:lineRule="atLeast"/>
              <w:jc w:val="center"/>
              <w:rPr>
                <w:rFonts w:hint="eastAsia" w:ascii="Times New Roman" w:cs="Times New Roman"/>
                <w:bCs/>
                <w:color w:val="auto"/>
                <w:kern w:val="21"/>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88.8t/a</w:t>
            </w:r>
          </w:p>
        </w:tc>
        <w:tc>
          <w:tcPr>
            <w:tcW w:w="481" w:type="pct"/>
            <w:noWrap w:val="0"/>
            <w:vAlign w:val="center"/>
          </w:tcPr>
          <w:p w14:paraId="458C2E02">
            <w:pPr>
              <w:pStyle w:val="69"/>
              <w:spacing w:beforeLines="0" w:afterLines="0" w:line="240" w:lineRule="auto"/>
              <w:ind w:firstLine="0" w:firstLineChars="0"/>
              <w:jc w:val="center"/>
              <w:rPr>
                <w:rFonts w:hint="eastAsia"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w:t>
            </w:r>
          </w:p>
        </w:tc>
      </w:tr>
      <w:tr w14:paraId="6E71A9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47" w:type="pct"/>
            <w:noWrap w:val="0"/>
            <w:vAlign w:val="center"/>
          </w:tcPr>
          <w:p w14:paraId="737B4301">
            <w:pPr>
              <w:pStyle w:val="69"/>
              <w:spacing w:beforeLines="0" w:afterLines="0" w:line="240" w:lineRule="auto"/>
              <w:ind w:firstLine="0" w:firstLineChars="0"/>
              <w:jc w:val="center"/>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危险废物</w:t>
            </w:r>
          </w:p>
        </w:tc>
        <w:tc>
          <w:tcPr>
            <w:tcW w:w="593" w:type="pct"/>
            <w:noWrap w:val="0"/>
            <w:vAlign w:val="center"/>
          </w:tcPr>
          <w:p w14:paraId="5621219E">
            <w:pPr>
              <w:pStyle w:val="69"/>
              <w:spacing w:beforeLines="0" w:afterLines="0" w:line="240" w:lineRule="auto"/>
              <w:ind w:firstLine="0" w:firstLineChars="0"/>
              <w:jc w:val="center"/>
              <w:rPr>
                <w:rFonts w:hint="default" w:ascii="Times New Roman" w:hAnsi="Times New Roman" w:eastAsia="宋体" w:cs="Times New Roman"/>
                <w:bCs/>
                <w:color w:val="auto"/>
                <w:kern w:val="21"/>
                <w:sz w:val="24"/>
                <w:szCs w:val="24"/>
                <w:highlight w:val="none"/>
                <w:lang w:val="en-US" w:eastAsia="zh-CN"/>
              </w:rPr>
            </w:pPr>
            <w:r>
              <w:rPr>
                <w:rFonts w:hint="eastAsia" w:ascii="Times New Roman" w:cs="Times New Roman"/>
                <w:bCs/>
                <w:color w:val="auto"/>
                <w:kern w:val="21"/>
                <w:sz w:val="24"/>
                <w:szCs w:val="24"/>
                <w:highlight w:val="none"/>
                <w:lang w:val="en-US" w:eastAsia="zh-CN"/>
              </w:rPr>
              <w:t>废润滑油</w:t>
            </w:r>
          </w:p>
        </w:tc>
        <w:tc>
          <w:tcPr>
            <w:tcW w:w="593" w:type="pct"/>
            <w:noWrap w:val="0"/>
            <w:vAlign w:val="center"/>
          </w:tcPr>
          <w:p w14:paraId="4F9C9389">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438" w:type="pct"/>
            <w:noWrap w:val="0"/>
            <w:vAlign w:val="center"/>
          </w:tcPr>
          <w:p w14:paraId="7CFD1E3C">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593" w:type="pct"/>
            <w:noWrap w:val="0"/>
            <w:vAlign w:val="center"/>
          </w:tcPr>
          <w:p w14:paraId="1427F96A">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544" w:type="pct"/>
            <w:noWrap w:val="0"/>
            <w:vAlign w:val="center"/>
          </w:tcPr>
          <w:p w14:paraId="4488CC65">
            <w:pPr>
              <w:jc w:val="center"/>
              <w:rPr>
                <w:rFonts w:hint="default" w:ascii="Times New Roman" w:hAnsi="Times New Roman" w:eastAsia="宋体" w:cs="Times New Roman"/>
                <w:bCs/>
                <w:color w:val="auto"/>
                <w:kern w:val="21"/>
                <w:sz w:val="24"/>
                <w:szCs w:val="24"/>
                <w:highlight w:val="none"/>
                <w:lang w:val="en-US" w:eastAsia="zh-CN"/>
              </w:rPr>
            </w:pPr>
            <w:r>
              <w:rPr>
                <w:rFonts w:hint="eastAsia" w:cs="Times New Roman"/>
                <w:bCs/>
                <w:color w:val="auto"/>
                <w:kern w:val="21"/>
                <w:sz w:val="24"/>
                <w:szCs w:val="24"/>
                <w:highlight w:val="none"/>
                <w:lang w:val="en-US" w:eastAsia="zh-CN"/>
              </w:rPr>
              <w:t>0.4t/a</w:t>
            </w:r>
          </w:p>
        </w:tc>
        <w:tc>
          <w:tcPr>
            <w:tcW w:w="618" w:type="pct"/>
            <w:noWrap w:val="0"/>
            <w:vAlign w:val="center"/>
          </w:tcPr>
          <w:p w14:paraId="7D5CAB4A">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c>
          <w:tcPr>
            <w:tcW w:w="688" w:type="pct"/>
            <w:noWrap w:val="0"/>
            <w:vAlign w:val="center"/>
          </w:tcPr>
          <w:p w14:paraId="3A038C20">
            <w:pPr>
              <w:jc w:val="center"/>
              <w:rPr>
                <w:rFonts w:hint="default" w:ascii="Times New Roman" w:hAnsi="Times New Roman" w:eastAsia="宋体" w:cs="Times New Roman"/>
                <w:bCs/>
                <w:color w:val="auto"/>
                <w:kern w:val="21"/>
                <w:sz w:val="24"/>
                <w:szCs w:val="24"/>
                <w:highlight w:val="none"/>
                <w:lang w:val="en-US" w:eastAsia="zh-CN"/>
              </w:rPr>
            </w:pPr>
            <w:r>
              <w:rPr>
                <w:rFonts w:hint="eastAsia" w:cs="Times New Roman"/>
                <w:bCs/>
                <w:color w:val="auto"/>
                <w:kern w:val="21"/>
                <w:sz w:val="24"/>
                <w:szCs w:val="24"/>
                <w:highlight w:val="none"/>
                <w:lang w:val="en-US" w:eastAsia="zh-CN"/>
              </w:rPr>
              <w:t>0.4t/a</w:t>
            </w:r>
          </w:p>
        </w:tc>
        <w:tc>
          <w:tcPr>
            <w:tcW w:w="481" w:type="pct"/>
            <w:noWrap w:val="0"/>
            <w:vAlign w:val="center"/>
          </w:tcPr>
          <w:p w14:paraId="3FD0C17A">
            <w:pPr>
              <w:jc w:val="center"/>
              <w:rPr>
                <w:rFonts w:hint="default" w:ascii="Times New Roman" w:hAnsi="Times New Roman" w:cs="Times New Roman"/>
                <w:bCs/>
                <w:color w:val="auto"/>
                <w:kern w:val="21"/>
                <w:sz w:val="24"/>
                <w:szCs w:val="24"/>
                <w:highlight w:val="none"/>
              </w:rPr>
            </w:pPr>
            <w:r>
              <w:rPr>
                <w:rFonts w:hint="default" w:ascii="Times New Roman" w:hAnsi="Times New Roman" w:cs="Times New Roman"/>
                <w:bCs/>
                <w:color w:val="auto"/>
                <w:kern w:val="21"/>
                <w:sz w:val="24"/>
                <w:szCs w:val="24"/>
                <w:highlight w:val="none"/>
              </w:rPr>
              <w:t>/</w:t>
            </w:r>
          </w:p>
        </w:tc>
      </w:tr>
    </w:tbl>
    <w:p w14:paraId="1F58E1E7">
      <w:pPr>
        <w:pStyle w:val="69"/>
        <w:spacing w:before="192" w:beforeLines="80" w:after="24" w:line="260" w:lineRule="auto"/>
        <w:ind w:firstLine="400"/>
        <w:jc w:val="left"/>
        <w:rPr>
          <w:rFonts w:hint="default" w:ascii="Times New Roman" w:hAnsi="Times New Roman" w:cs="Times New Roman"/>
          <w:color w:val="auto"/>
          <w:spacing w:val="-6"/>
          <w:kern w:val="21"/>
          <w:sz w:val="21"/>
          <w:szCs w:val="21"/>
          <w:highlight w:val="none"/>
        </w:rPr>
        <w:sectPr>
          <w:pgSz w:w="16838" w:h="11906" w:orient="landscape"/>
          <w:pgMar w:top="1134" w:right="1418" w:bottom="1134"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kern w:val="21"/>
          <w:sz w:val="21"/>
          <w:szCs w:val="21"/>
          <w:highlight w:val="none"/>
        </w:rPr>
        <w:t>注：</w:t>
      </w:r>
      <w:r>
        <w:rPr>
          <w:rFonts w:hint="default" w:ascii="Times New Roman" w:hAnsi="Times New Roman" w:cs="Times New Roman"/>
          <w:color w:val="auto"/>
          <w:spacing w:val="-16"/>
          <w:kern w:val="21"/>
          <w:sz w:val="21"/>
          <w:szCs w:val="21"/>
          <w:highlight w:val="none"/>
        </w:rPr>
        <w:fldChar w:fldCharType="begin"/>
      </w:r>
      <w:r>
        <w:rPr>
          <w:rFonts w:hint="default" w:ascii="Times New Roman" w:hAnsi="Times New Roman" w:cs="Times New Roman"/>
          <w:color w:val="auto"/>
          <w:spacing w:val="-16"/>
          <w:kern w:val="21"/>
          <w:sz w:val="21"/>
          <w:szCs w:val="21"/>
          <w:highlight w:val="none"/>
        </w:rPr>
        <w:instrText xml:space="preserve"> = 6 \* GB3 \* MERGEFORMAT </w:instrText>
      </w:r>
      <w:r>
        <w:rPr>
          <w:rFonts w:hint="default" w:ascii="Times New Roman" w:hAnsi="Times New Roman" w:cs="Times New Roman"/>
          <w:color w:val="auto"/>
          <w:spacing w:val="-16"/>
          <w:kern w:val="21"/>
          <w:sz w:val="21"/>
          <w:szCs w:val="21"/>
          <w:highlight w:val="none"/>
        </w:rPr>
        <w:fldChar w:fldCharType="separate"/>
      </w:r>
      <w:r>
        <w:rPr>
          <w:rFonts w:hint="default" w:ascii="Times New Roman" w:hAnsi="Times New Roman" w:cs="Times New Roman"/>
          <w:color w:val="auto"/>
          <w:sz w:val="21"/>
          <w:szCs w:val="21"/>
          <w:highlight w:val="none"/>
        </w:rPr>
        <w:t>⑥</w:t>
      </w:r>
      <w:r>
        <w:rPr>
          <w:rFonts w:hint="default" w:ascii="Times New Roman" w:hAnsi="Times New Roman" w:cs="Times New Roman"/>
          <w:color w:val="auto"/>
          <w:spacing w:val="-16"/>
          <w:kern w:val="21"/>
          <w:sz w:val="21"/>
          <w:szCs w:val="21"/>
          <w:highlight w:val="none"/>
        </w:rPr>
        <w:fldChar w:fldCharType="end"/>
      </w:r>
      <w:r>
        <w:rPr>
          <w:rFonts w:hint="default" w:ascii="Times New Roman" w:hAnsi="Times New Roman" w:cs="Times New Roman"/>
          <w:color w:val="auto"/>
          <w:spacing w:val="-16"/>
          <w:kern w:val="21"/>
          <w:sz w:val="21"/>
          <w:szCs w:val="21"/>
          <w:highlight w:val="none"/>
        </w:rPr>
        <w:t>=</w:t>
      </w:r>
      <w:r>
        <w:rPr>
          <w:rFonts w:hint="default" w:ascii="Times New Roman" w:hAnsi="Times New Roman" w:cs="Times New Roman"/>
          <w:color w:val="auto"/>
          <w:spacing w:val="-6"/>
          <w:kern w:val="21"/>
          <w:sz w:val="21"/>
          <w:szCs w:val="21"/>
          <w:highlight w:val="none"/>
        </w:rPr>
        <w:fldChar w:fldCharType="begin"/>
      </w:r>
      <w:r>
        <w:rPr>
          <w:rFonts w:hint="default" w:ascii="Times New Roman" w:hAnsi="Times New Roman" w:cs="Times New Roman"/>
          <w:color w:val="auto"/>
          <w:spacing w:val="-6"/>
          <w:kern w:val="21"/>
          <w:sz w:val="21"/>
          <w:szCs w:val="21"/>
          <w:highlight w:val="none"/>
        </w:rPr>
        <w:instrText xml:space="preserve"> = 1 \* GB3 \* MERGEFORMAT </w:instrText>
      </w:r>
      <w:r>
        <w:rPr>
          <w:rFonts w:hint="default" w:ascii="Times New Roman" w:hAnsi="Times New Roman" w:cs="Times New Roman"/>
          <w:color w:val="auto"/>
          <w:spacing w:val="-6"/>
          <w:kern w:val="21"/>
          <w:sz w:val="21"/>
          <w:szCs w:val="21"/>
          <w:highlight w:val="none"/>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color w:val="auto"/>
          <w:spacing w:val="-6"/>
          <w:kern w:val="21"/>
          <w:sz w:val="21"/>
          <w:szCs w:val="21"/>
          <w:highlight w:val="none"/>
        </w:rPr>
        <w:fldChar w:fldCharType="end"/>
      </w:r>
      <w:r>
        <w:rPr>
          <w:rFonts w:hint="default" w:ascii="Times New Roman" w:hAnsi="Times New Roman" w:cs="Times New Roman"/>
          <w:color w:val="auto"/>
          <w:spacing w:val="-6"/>
          <w:kern w:val="21"/>
          <w:sz w:val="21"/>
          <w:szCs w:val="21"/>
          <w:highlight w:val="none"/>
        </w:rPr>
        <w:t>+</w:t>
      </w:r>
      <w:r>
        <w:rPr>
          <w:rFonts w:hint="default" w:ascii="Times New Roman" w:hAnsi="Times New Roman" w:cs="Times New Roman"/>
          <w:color w:val="auto"/>
          <w:spacing w:val="-6"/>
          <w:kern w:val="21"/>
          <w:sz w:val="21"/>
          <w:szCs w:val="21"/>
          <w:highlight w:val="none"/>
        </w:rPr>
        <w:fldChar w:fldCharType="begin"/>
      </w:r>
      <w:r>
        <w:rPr>
          <w:rFonts w:hint="default" w:ascii="Times New Roman" w:hAnsi="Times New Roman" w:cs="Times New Roman"/>
          <w:color w:val="auto"/>
          <w:spacing w:val="-6"/>
          <w:kern w:val="21"/>
          <w:sz w:val="21"/>
          <w:szCs w:val="21"/>
          <w:highlight w:val="none"/>
        </w:rPr>
        <w:instrText xml:space="preserve"> = 3 \* GB3 \* MERGEFORMAT </w:instrText>
      </w:r>
      <w:r>
        <w:rPr>
          <w:rFonts w:hint="default" w:ascii="Times New Roman" w:hAnsi="Times New Roman" w:cs="Times New Roman"/>
          <w:color w:val="auto"/>
          <w:spacing w:val="-6"/>
          <w:kern w:val="21"/>
          <w:sz w:val="21"/>
          <w:szCs w:val="21"/>
          <w:highlight w:val="none"/>
        </w:rPr>
        <w:fldChar w:fldCharType="separate"/>
      </w:r>
      <w:r>
        <w:rPr>
          <w:rFonts w:hint="default" w:ascii="Times New Roman" w:hAnsi="Times New Roman" w:cs="Times New Roman"/>
          <w:color w:val="auto"/>
          <w:sz w:val="21"/>
          <w:szCs w:val="21"/>
          <w:highlight w:val="none"/>
        </w:rPr>
        <w:t>③</w:t>
      </w:r>
      <w:r>
        <w:rPr>
          <w:rFonts w:hint="default" w:ascii="Times New Roman" w:hAnsi="Times New Roman" w:cs="Times New Roman"/>
          <w:color w:val="auto"/>
          <w:spacing w:val="-6"/>
          <w:kern w:val="21"/>
          <w:sz w:val="21"/>
          <w:szCs w:val="21"/>
          <w:highlight w:val="none"/>
        </w:rPr>
        <w:fldChar w:fldCharType="end"/>
      </w:r>
      <w:r>
        <w:rPr>
          <w:rFonts w:hint="default" w:ascii="Times New Roman" w:hAnsi="Times New Roman" w:cs="Times New Roman"/>
          <w:color w:val="auto"/>
          <w:spacing w:val="-6"/>
          <w:kern w:val="21"/>
          <w:sz w:val="21"/>
          <w:szCs w:val="21"/>
          <w:highlight w:val="none"/>
        </w:rPr>
        <w:t>+</w:t>
      </w:r>
      <w:r>
        <w:rPr>
          <w:rFonts w:hint="default" w:ascii="Times New Roman" w:hAnsi="Times New Roman" w:cs="Times New Roman"/>
          <w:color w:val="auto"/>
          <w:spacing w:val="-6"/>
          <w:kern w:val="21"/>
          <w:sz w:val="21"/>
          <w:szCs w:val="21"/>
          <w:highlight w:val="none"/>
        </w:rPr>
        <w:fldChar w:fldCharType="begin"/>
      </w:r>
      <w:r>
        <w:rPr>
          <w:rFonts w:hint="default" w:ascii="Times New Roman" w:hAnsi="Times New Roman" w:cs="Times New Roman"/>
          <w:color w:val="auto"/>
          <w:spacing w:val="-6"/>
          <w:kern w:val="21"/>
          <w:sz w:val="21"/>
          <w:szCs w:val="21"/>
          <w:highlight w:val="none"/>
        </w:rPr>
        <w:instrText xml:space="preserve"> = 4 \* GB3 \* MERGEFORMAT </w:instrText>
      </w:r>
      <w:r>
        <w:rPr>
          <w:rFonts w:hint="default" w:ascii="Times New Roman" w:hAnsi="Times New Roman" w:cs="Times New Roman"/>
          <w:color w:val="auto"/>
          <w:spacing w:val="-6"/>
          <w:kern w:val="21"/>
          <w:sz w:val="21"/>
          <w:szCs w:val="21"/>
          <w:highlight w:val="none"/>
        </w:rPr>
        <w:fldChar w:fldCharType="separate"/>
      </w:r>
      <w:r>
        <w:rPr>
          <w:rFonts w:hint="default" w:ascii="Times New Roman" w:hAnsi="Times New Roman" w:cs="Times New Roman"/>
          <w:color w:val="auto"/>
          <w:sz w:val="21"/>
          <w:szCs w:val="21"/>
          <w:highlight w:val="none"/>
        </w:rPr>
        <w:t>④</w:t>
      </w:r>
      <w:r>
        <w:rPr>
          <w:rFonts w:hint="default" w:ascii="Times New Roman" w:hAnsi="Times New Roman" w:cs="Times New Roman"/>
          <w:color w:val="auto"/>
          <w:spacing w:val="-6"/>
          <w:kern w:val="21"/>
          <w:sz w:val="21"/>
          <w:szCs w:val="21"/>
          <w:highlight w:val="none"/>
        </w:rPr>
        <w:fldChar w:fldCharType="end"/>
      </w:r>
      <w:r>
        <w:rPr>
          <w:rFonts w:hint="default" w:ascii="Times New Roman" w:hAnsi="Times New Roman" w:cs="Times New Roman"/>
          <w:color w:val="auto"/>
          <w:spacing w:val="-6"/>
          <w:kern w:val="21"/>
          <w:sz w:val="21"/>
          <w:szCs w:val="21"/>
          <w:highlight w:val="none"/>
        </w:rPr>
        <w:t>-</w:t>
      </w:r>
      <w:r>
        <w:rPr>
          <w:rFonts w:hint="default" w:ascii="Times New Roman" w:hAnsi="Times New Roman" w:cs="Times New Roman"/>
          <w:color w:val="auto"/>
          <w:spacing w:val="-16"/>
          <w:kern w:val="21"/>
          <w:sz w:val="21"/>
          <w:szCs w:val="21"/>
          <w:highlight w:val="none"/>
        </w:rPr>
        <w:fldChar w:fldCharType="begin"/>
      </w:r>
      <w:r>
        <w:rPr>
          <w:rFonts w:hint="default" w:ascii="Times New Roman" w:hAnsi="Times New Roman" w:cs="Times New Roman"/>
          <w:color w:val="auto"/>
          <w:spacing w:val="-16"/>
          <w:kern w:val="21"/>
          <w:sz w:val="21"/>
          <w:szCs w:val="21"/>
          <w:highlight w:val="none"/>
        </w:rPr>
        <w:instrText xml:space="preserve"> = 5 \* GB3 \* MERGEFORMAT </w:instrText>
      </w:r>
      <w:r>
        <w:rPr>
          <w:rFonts w:hint="default" w:ascii="Times New Roman" w:hAnsi="Times New Roman" w:cs="Times New Roman"/>
          <w:color w:val="auto"/>
          <w:spacing w:val="-16"/>
          <w:kern w:val="21"/>
          <w:sz w:val="21"/>
          <w:szCs w:val="21"/>
          <w:highlight w:val="none"/>
        </w:rPr>
        <w:fldChar w:fldCharType="separate"/>
      </w:r>
      <w:r>
        <w:rPr>
          <w:rFonts w:hint="default" w:ascii="Times New Roman" w:hAnsi="Times New Roman" w:cs="Times New Roman"/>
          <w:color w:val="auto"/>
          <w:sz w:val="21"/>
          <w:szCs w:val="21"/>
          <w:highlight w:val="none"/>
        </w:rPr>
        <w:t>⑤</w:t>
      </w:r>
      <w:r>
        <w:rPr>
          <w:rFonts w:hint="default" w:ascii="Times New Roman" w:hAnsi="Times New Roman" w:cs="Times New Roman"/>
          <w:color w:val="auto"/>
          <w:spacing w:val="-16"/>
          <w:kern w:val="21"/>
          <w:sz w:val="21"/>
          <w:szCs w:val="21"/>
          <w:highlight w:val="none"/>
        </w:rPr>
        <w:fldChar w:fldCharType="end"/>
      </w:r>
      <w:r>
        <w:rPr>
          <w:rFonts w:hint="default" w:ascii="Times New Roman" w:hAnsi="Times New Roman" w:cs="Times New Roman"/>
          <w:color w:val="auto"/>
          <w:spacing w:val="-16"/>
          <w:kern w:val="21"/>
          <w:sz w:val="21"/>
          <w:szCs w:val="21"/>
          <w:highlight w:val="none"/>
        </w:rPr>
        <w:t>；</w:t>
      </w:r>
      <w:r>
        <w:rPr>
          <w:rFonts w:hint="default" w:ascii="Times New Roman" w:hAnsi="Times New Roman" w:cs="Times New Roman"/>
          <w:color w:val="auto"/>
          <w:spacing w:val="-6"/>
          <w:kern w:val="21"/>
          <w:sz w:val="21"/>
          <w:szCs w:val="21"/>
          <w:highlight w:val="none"/>
        </w:rPr>
        <w:fldChar w:fldCharType="begin"/>
      </w:r>
      <w:r>
        <w:rPr>
          <w:rFonts w:hint="default" w:ascii="Times New Roman" w:hAnsi="Times New Roman" w:cs="Times New Roman"/>
          <w:color w:val="auto"/>
          <w:spacing w:val="-6"/>
          <w:kern w:val="21"/>
          <w:sz w:val="21"/>
          <w:szCs w:val="21"/>
          <w:highlight w:val="none"/>
        </w:rPr>
        <w:instrText xml:space="preserve"> = 7 \* GB3 \* MERGEFORMAT </w:instrText>
      </w:r>
      <w:r>
        <w:rPr>
          <w:rFonts w:hint="default" w:ascii="Times New Roman" w:hAnsi="Times New Roman" w:cs="Times New Roman"/>
          <w:color w:val="auto"/>
          <w:spacing w:val="-6"/>
          <w:kern w:val="21"/>
          <w:sz w:val="21"/>
          <w:szCs w:val="21"/>
          <w:highlight w:val="none"/>
        </w:rPr>
        <w:fldChar w:fldCharType="separate"/>
      </w:r>
      <w:r>
        <w:rPr>
          <w:rFonts w:hint="default" w:ascii="Times New Roman" w:hAnsi="Times New Roman" w:cs="Times New Roman"/>
          <w:color w:val="auto"/>
          <w:sz w:val="21"/>
          <w:szCs w:val="21"/>
          <w:highlight w:val="none"/>
        </w:rPr>
        <w:t>⑦</w:t>
      </w:r>
      <w:r>
        <w:rPr>
          <w:rFonts w:hint="default" w:ascii="Times New Roman" w:hAnsi="Times New Roman" w:cs="Times New Roman"/>
          <w:color w:val="auto"/>
          <w:spacing w:val="-6"/>
          <w:kern w:val="21"/>
          <w:sz w:val="21"/>
          <w:szCs w:val="21"/>
          <w:highlight w:val="none"/>
        </w:rPr>
        <w:fldChar w:fldCharType="end"/>
      </w:r>
      <w:r>
        <w:rPr>
          <w:rFonts w:hint="default" w:ascii="Times New Roman" w:hAnsi="Times New Roman" w:cs="Times New Roman"/>
          <w:color w:val="auto"/>
          <w:spacing w:val="-6"/>
          <w:kern w:val="21"/>
          <w:sz w:val="21"/>
          <w:szCs w:val="21"/>
          <w:highlight w:val="none"/>
        </w:rPr>
        <w:t>=</w:t>
      </w:r>
      <w:r>
        <w:rPr>
          <w:rFonts w:hint="default" w:ascii="Times New Roman" w:hAnsi="Times New Roman" w:cs="Times New Roman"/>
          <w:color w:val="auto"/>
          <w:spacing w:val="-16"/>
          <w:kern w:val="21"/>
          <w:sz w:val="21"/>
          <w:szCs w:val="21"/>
          <w:highlight w:val="none"/>
        </w:rPr>
        <w:fldChar w:fldCharType="begin"/>
      </w:r>
      <w:r>
        <w:rPr>
          <w:rFonts w:hint="default" w:ascii="Times New Roman" w:hAnsi="Times New Roman" w:cs="Times New Roman"/>
          <w:color w:val="auto"/>
          <w:spacing w:val="-16"/>
          <w:kern w:val="21"/>
          <w:sz w:val="21"/>
          <w:szCs w:val="21"/>
          <w:highlight w:val="none"/>
        </w:rPr>
        <w:instrText xml:space="preserve"> = 6 \* GB3 \* MERGEFORMAT </w:instrText>
      </w:r>
      <w:r>
        <w:rPr>
          <w:rFonts w:hint="default" w:ascii="Times New Roman" w:hAnsi="Times New Roman" w:cs="Times New Roman"/>
          <w:color w:val="auto"/>
          <w:spacing w:val="-16"/>
          <w:kern w:val="21"/>
          <w:sz w:val="21"/>
          <w:szCs w:val="21"/>
          <w:highlight w:val="none"/>
        </w:rPr>
        <w:fldChar w:fldCharType="separate"/>
      </w:r>
      <w:r>
        <w:rPr>
          <w:rFonts w:hint="default" w:ascii="Times New Roman" w:hAnsi="Times New Roman" w:cs="Times New Roman"/>
          <w:color w:val="auto"/>
          <w:sz w:val="21"/>
          <w:szCs w:val="21"/>
          <w:highlight w:val="none"/>
        </w:rPr>
        <w:t>⑥</w:t>
      </w:r>
      <w:r>
        <w:rPr>
          <w:rFonts w:hint="default" w:ascii="Times New Roman" w:hAnsi="Times New Roman" w:cs="Times New Roman"/>
          <w:color w:val="auto"/>
          <w:spacing w:val="-16"/>
          <w:kern w:val="21"/>
          <w:sz w:val="21"/>
          <w:szCs w:val="21"/>
          <w:highlight w:val="none"/>
        </w:rPr>
        <w:fldChar w:fldCharType="end"/>
      </w:r>
      <w:r>
        <w:rPr>
          <w:rFonts w:hint="default" w:ascii="Times New Roman" w:hAnsi="Times New Roman" w:cs="Times New Roman"/>
          <w:color w:val="auto"/>
          <w:spacing w:val="-16"/>
          <w:kern w:val="21"/>
          <w:sz w:val="21"/>
          <w:szCs w:val="21"/>
          <w:highlight w:val="none"/>
        </w:rPr>
        <w:t>-</w:t>
      </w:r>
      <w:r>
        <w:rPr>
          <w:rFonts w:hint="default" w:ascii="Times New Roman" w:hAnsi="Times New Roman" w:cs="Times New Roman"/>
          <w:color w:val="auto"/>
          <w:spacing w:val="-6"/>
          <w:kern w:val="21"/>
          <w:sz w:val="21"/>
          <w:szCs w:val="21"/>
          <w:highlight w:val="none"/>
        </w:rPr>
        <w:fldChar w:fldCharType="begin"/>
      </w:r>
      <w:r>
        <w:rPr>
          <w:rFonts w:hint="default" w:ascii="Times New Roman" w:hAnsi="Times New Roman" w:cs="Times New Roman"/>
          <w:color w:val="auto"/>
          <w:spacing w:val="-6"/>
          <w:kern w:val="21"/>
          <w:sz w:val="21"/>
          <w:szCs w:val="21"/>
          <w:highlight w:val="none"/>
        </w:rPr>
        <w:instrText xml:space="preserve"> = 1 \* GB3 \* MERGEFORMAT </w:instrText>
      </w:r>
      <w:r>
        <w:rPr>
          <w:rFonts w:hint="default" w:ascii="Times New Roman" w:hAnsi="Times New Roman" w:cs="Times New Roman"/>
          <w:color w:val="auto"/>
          <w:spacing w:val="-6"/>
          <w:kern w:val="21"/>
          <w:sz w:val="21"/>
          <w:szCs w:val="21"/>
          <w:highlight w:val="none"/>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color w:val="auto"/>
          <w:spacing w:val="-6"/>
          <w:kern w:val="21"/>
          <w:sz w:val="21"/>
          <w:szCs w:val="21"/>
          <w:highlight w:val="none"/>
        </w:rPr>
        <w:fldChar w:fldCharType="end"/>
      </w:r>
    </w:p>
    <w:p w14:paraId="79325C8F">
      <w:pPr>
        <w:adjustRightInd w:val="0"/>
        <w:snapToGrid w:val="0"/>
        <w:spacing w:line="360" w:lineRule="auto"/>
        <w:jc w:val="both"/>
        <w:rPr>
          <w:rFonts w:hint="eastAsia" w:ascii="Times New Roman" w:hAnsi="Times New Roman" w:eastAsia="宋体" w:cs="Times New Roman"/>
          <w:b/>
          <w:bCs/>
          <w:color w:val="auto"/>
          <w:sz w:val="24"/>
          <w:highlight w:val="none"/>
          <w:lang w:eastAsia="zh-CN"/>
        </w:rPr>
      </w:pPr>
      <w:r>
        <w:rPr>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3048000</wp:posOffset>
                </wp:positionH>
                <wp:positionV relativeFrom="paragraph">
                  <wp:posOffset>3927475</wp:posOffset>
                </wp:positionV>
                <wp:extent cx="1066165" cy="419100"/>
                <wp:effectExtent l="209550" t="6350" r="19685" b="431800"/>
                <wp:wrapNone/>
                <wp:docPr id="63" name="圆角矩形标注 63"/>
                <wp:cNvGraphicFramePr/>
                <a:graphic xmlns:a="http://schemas.openxmlformats.org/drawingml/2006/main">
                  <a:graphicData uri="http://schemas.microsoft.com/office/word/2010/wordprocessingShape">
                    <wps:wsp>
                      <wps:cNvSpPr/>
                      <wps:spPr>
                        <a:xfrm>
                          <a:off x="3404870" y="4142740"/>
                          <a:ext cx="1066165" cy="419100"/>
                        </a:xfrm>
                        <a:prstGeom prst="wedgeRoundRectCallout">
                          <a:avLst>
                            <a:gd name="adj1" fmla="val -69058"/>
                            <a:gd name="adj2" fmla="val 151212"/>
                            <a:gd name="adj3" fmla="val 16667"/>
                          </a:avLst>
                        </a:prstGeom>
                        <a:solidFill>
                          <a:schemeClr val="bg1"/>
                        </a:solid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C2487E2">
                            <w:pPr>
                              <w:jc w:val="center"/>
                              <w:rPr>
                                <w:rFonts w:hint="eastAsia" w:ascii="黑体" w:hAnsi="黑体" w:eastAsia="黑体" w:cs="黑体"/>
                                <w:b w:val="0"/>
                                <w:bCs w:val="0"/>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0pt;margin-top:309.25pt;height:33pt;width:83.95pt;z-index:251666432;v-text-anchor:middle;mso-width-relative:page;mso-height-relative:page;" fillcolor="#FFFFFF [3212]" filled="t" stroked="t" coordsize="21600,21600" o:gfxdata="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upWMQdsA&#10;AAALAQAADwAAAAAAAAABACAAAAAiAAAAZHJzL2Rvd25yZXYueG1sUEsBAhQAFAAAAAgAh07iQF0J&#10;EjHHAgAAigUAAA4AAAAAAAAAAQAgAAAAKgEAAGRycy9lMm9Eb2MueG1sUEsFBgAAAAAGAAYAWQEA&#10;AGMGAAAAAA==&#10;" adj="-4117,43462,14400">
                <v:fill on="t" focussize="0,0"/>
                <v:stroke weight="1pt" color="#FF0000 [2404]" joinstyle="round"/>
                <v:imagedata o:title=""/>
                <o:lock v:ext="edit" aspectratio="f"/>
                <v:textbox>
                  <w:txbxContent>
                    <w:p w14:paraId="1C2487E2">
                      <w:pPr>
                        <w:jc w:val="center"/>
                        <w:rPr>
                          <w:rFonts w:hint="eastAsia" w:ascii="黑体" w:hAnsi="黑体" w:eastAsia="黑体" w:cs="黑体"/>
                          <w:b w:val="0"/>
                          <w:bCs w:val="0"/>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本项目位置</w:t>
                      </w:r>
                    </w:p>
                  </w:txbxContent>
                </v:textbox>
              </v:shape>
            </w:pict>
          </mc:Fallback>
        </mc:AlternateContent>
      </w:r>
      <w:r>
        <w:rPr>
          <w:rFonts w:hint="eastAsia" w:ascii="Times New Roman" w:hAnsi="Times New Roman" w:eastAsia="宋体" w:cs="Times New Roman"/>
          <w:b/>
          <w:bCs/>
          <w:color w:val="auto"/>
          <w:sz w:val="24"/>
          <w:highlight w:val="none"/>
          <w:lang w:eastAsia="zh-CN"/>
        </w:rPr>
        <w:drawing>
          <wp:inline distT="0" distB="0" distL="114300" distR="114300">
            <wp:extent cx="5757545" cy="8139430"/>
            <wp:effectExtent l="0" t="0" r="14605" b="13970"/>
            <wp:docPr id="60" name="图片 60" descr="磴口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磴口地图"/>
                    <pic:cNvPicPr>
                      <a:picLocks noChangeAspect="1"/>
                    </pic:cNvPicPr>
                  </pic:nvPicPr>
                  <pic:blipFill>
                    <a:blip r:embed="rId22"/>
                    <a:stretch>
                      <a:fillRect/>
                    </a:stretch>
                  </pic:blipFill>
                  <pic:spPr>
                    <a:xfrm>
                      <a:off x="0" y="0"/>
                      <a:ext cx="5757545" cy="8139430"/>
                    </a:xfrm>
                    <a:prstGeom prst="rect">
                      <a:avLst/>
                    </a:prstGeom>
                  </pic:spPr>
                </pic:pic>
              </a:graphicData>
            </a:graphic>
          </wp:inline>
        </w:drawing>
      </w:r>
      <w:r>
        <w:rPr>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2723515</wp:posOffset>
                </wp:positionH>
                <wp:positionV relativeFrom="paragraph">
                  <wp:posOffset>4651375</wp:posOffset>
                </wp:positionV>
                <wp:extent cx="200025" cy="152400"/>
                <wp:effectExtent l="12700" t="12700" r="15875" b="25400"/>
                <wp:wrapNone/>
                <wp:docPr id="62" name="矩形 62"/>
                <wp:cNvGraphicFramePr/>
                <a:graphic xmlns:a="http://schemas.openxmlformats.org/drawingml/2006/main">
                  <a:graphicData uri="http://schemas.microsoft.com/office/word/2010/wordprocessingShape">
                    <wps:wsp>
                      <wps:cNvSpPr/>
                      <wps:spPr>
                        <a:xfrm>
                          <a:off x="3623945" y="5371465"/>
                          <a:ext cx="200025" cy="1524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4.45pt;margin-top:366.25pt;height:12pt;width:15.75pt;z-index:251665408;v-text-anchor:middle;mso-width-relative:page;mso-height-relative:page;" filled="f" stroked="t" coordsize="21600,21600" o:gfxdata="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794LB9oAAAALAQAADwAAAAAAAAABACAAAAAiAAAAZHJzL2Rvd25yZXYu&#10;eG1sUEsBAhQAFAAAAAgAh07iQCXPPlFrAgAAwQQAAA4AAAAAAAAAAQAgAAAAKQEAAGRycy9lMm9E&#10;b2MueG1sUEsFBgAAAAAGAAYAWQEAAAYGAAAAAA==&#10;">
                <v:fill on="f" focussize="0,0"/>
                <v:stroke weight="2pt" color="#FF0000 [2404]" joinstyle="round"/>
                <v:imagedata o:title=""/>
                <o:lock v:ext="edit" aspectratio="f"/>
              </v:rect>
            </w:pict>
          </mc:Fallback>
        </mc:AlternateContent>
      </w:r>
    </w:p>
    <w:p w14:paraId="2B9E7DBA">
      <w:pPr>
        <w:adjustRightInd w:val="0"/>
        <w:snapToGrid w:val="0"/>
        <w:spacing w:line="360" w:lineRule="auto"/>
        <w:ind w:firstLine="482" w:firstLineChars="200"/>
        <w:jc w:val="center"/>
        <w:rPr>
          <w:rFonts w:hint="default" w:ascii="Times New Roman" w:hAnsi="Times New Roman" w:cs="Times New Roman"/>
          <w:b/>
          <w:bCs/>
          <w:color w:val="auto"/>
          <w:sz w:val="24"/>
          <w:highlight w:val="none"/>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b/>
          <w:bCs/>
          <w:color w:val="auto"/>
          <w:sz w:val="24"/>
          <w:highlight w:val="none"/>
        </w:rPr>
        <w:t>附图1   项目地理位置</w:t>
      </w:r>
    </w:p>
    <w:p w14:paraId="2EA8C496">
      <w:pPr>
        <w:adjustRightInd w:val="0"/>
        <w:snapToGrid w:val="0"/>
        <w:spacing w:line="360" w:lineRule="auto"/>
        <w:ind w:firstLine="482" w:firstLineChars="200"/>
        <w:jc w:val="center"/>
        <w:rPr>
          <w:rFonts w:hint="default"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附图2</w:t>
      </w:r>
      <w:r>
        <w:rPr>
          <w:rFonts w:hint="eastAsia" w:cs="Times New Roman"/>
          <w:b/>
          <w:bCs/>
          <w:color w:val="auto"/>
          <w:sz w:val="24"/>
          <w:highlight w:val="none"/>
          <w:lang w:val="en-US" w:eastAsia="zh-CN"/>
        </w:rPr>
        <w:t>-1 厂界四周现状图</w:t>
      </w:r>
    </w:p>
    <w:tbl>
      <w:tblPr>
        <w:tblStyle w:val="33"/>
        <w:tblW w:w="14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50"/>
        <w:gridCol w:w="7450"/>
      </w:tblGrid>
      <w:tr w14:paraId="24BA1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98" w:hRule="atLeast"/>
        </w:trPr>
        <w:tc>
          <w:tcPr>
            <w:tcW w:w="7450" w:type="dxa"/>
            <w:tcBorders>
              <w:tl2br w:val="nil"/>
              <w:tr2bl w:val="nil"/>
            </w:tcBorders>
            <w:vAlign w:val="center"/>
          </w:tcPr>
          <w:p w14:paraId="108AFA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color w:val="auto"/>
                <w:sz w:val="24"/>
                <w:highlight w:val="none"/>
                <w:vertAlign w:val="baseline"/>
                <w:lang w:val="en-US" w:eastAsia="zh-CN"/>
              </w:rPr>
            </w:pPr>
            <w:r>
              <w:rPr>
                <w:rFonts w:hint="eastAsia" w:cs="Times New Roman"/>
                <w:b/>
                <w:bCs/>
                <w:color w:val="auto"/>
                <w:sz w:val="24"/>
                <w:highlight w:val="none"/>
                <w:vertAlign w:val="baseline"/>
                <w:lang w:val="en-US" w:eastAsia="zh-CN"/>
              </w:rPr>
              <w:drawing>
                <wp:inline distT="0" distB="0" distL="114300" distR="114300">
                  <wp:extent cx="4312285" cy="2199005"/>
                  <wp:effectExtent l="0" t="0" r="0" b="0"/>
                  <wp:docPr id="44" name="图片 44" descr="c981a46ab5e7c529f704912834753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981a46ab5e7c529f704912834753cc5"/>
                          <pic:cNvPicPr>
                            <a:picLocks noChangeAspect="1"/>
                          </pic:cNvPicPr>
                        </pic:nvPicPr>
                        <pic:blipFill>
                          <a:blip r:embed="rId23"/>
                          <a:srcRect t="16944" b="44829"/>
                          <a:stretch>
                            <a:fillRect/>
                          </a:stretch>
                        </pic:blipFill>
                        <pic:spPr>
                          <a:xfrm>
                            <a:off x="0" y="0"/>
                            <a:ext cx="4312285" cy="2199005"/>
                          </a:xfrm>
                          <a:prstGeom prst="rect">
                            <a:avLst/>
                          </a:prstGeom>
                        </pic:spPr>
                      </pic:pic>
                    </a:graphicData>
                  </a:graphic>
                </wp:inline>
              </w:drawing>
            </w:r>
          </w:p>
          <w:p w14:paraId="3EEFD0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sz w:val="24"/>
                <w:highlight w:val="none"/>
                <w:vertAlign w:val="baseline"/>
                <w:lang w:val="en-US" w:eastAsia="zh-CN"/>
              </w:rPr>
            </w:pPr>
            <w:r>
              <w:rPr>
                <w:rFonts w:hint="eastAsia" w:cs="Times New Roman"/>
                <w:b/>
                <w:bCs/>
                <w:color w:val="auto"/>
                <w:sz w:val="24"/>
                <w:highlight w:val="none"/>
                <w:vertAlign w:val="baseline"/>
                <w:lang w:val="en-US" w:eastAsia="zh-CN"/>
              </w:rPr>
              <w:t>厂界东</w:t>
            </w:r>
          </w:p>
        </w:tc>
        <w:tc>
          <w:tcPr>
            <w:tcW w:w="7450" w:type="dxa"/>
            <w:tcBorders>
              <w:tl2br w:val="nil"/>
              <w:tr2bl w:val="nil"/>
            </w:tcBorders>
            <w:vAlign w:val="center"/>
          </w:tcPr>
          <w:p w14:paraId="52D55E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color w:val="auto"/>
                <w:sz w:val="24"/>
                <w:highlight w:val="none"/>
                <w:vertAlign w:val="baseline"/>
                <w:lang w:val="en-US" w:eastAsia="zh-CN"/>
              </w:rPr>
            </w:pPr>
            <w:r>
              <w:rPr>
                <w:rFonts w:hint="eastAsia" w:cs="Times New Roman"/>
                <w:b/>
                <w:bCs/>
                <w:color w:val="auto"/>
                <w:sz w:val="24"/>
                <w:highlight w:val="none"/>
                <w:vertAlign w:val="baseline"/>
                <w:lang w:val="en-US" w:eastAsia="zh-CN"/>
              </w:rPr>
              <w:drawing>
                <wp:inline distT="0" distB="0" distL="114300" distR="114300">
                  <wp:extent cx="3285490" cy="2380615"/>
                  <wp:effectExtent l="0" t="0" r="10160" b="635"/>
                  <wp:docPr id="34" name="图片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
                          <pic:cNvPicPr>
                            <a:picLocks noChangeAspect="1"/>
                          </pic:cNvPicPr>
                        </pic:nvPicPr>
                        <pic:blipFill>
                          <a:blip r:embed="rId24"/>
                          <a:srcRect t="29507" b="13379"/>
                          <a:stretch>
                            <a:fillRect/>
                          </a:stretch>
                        </pic:blipFill>
                        <pic:spPr>
                          <a:xfrm>
                            <a:off x="0" y="0"/>
                            <a:ext cx="3285490" cy="2380615"/>
                          </a:xfrm>
                          <a:prstGeom prst="rect">
                            <a:avLst/>
                          </a:prstGeom>
                        </pic:spPr>
                      </pic:pic>
                    </a:graphicData>
                  </a:graphic>
                </wp:inline>
              </w:drawing>
            </w:r>
          </w:p>
          <w:p w14:paraId="202E68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sz w:val="24"/>
                <w:highlight w:val="none"/>
                <w:vertAlign w:val="baseline"/>
                <w:lang w:val="en-US" w:eastAsia="zh-CN"/>
              </w:rPr>
            </w:pPr>
            <w:r>
              <w:rPr>
                <w:rFonts w:hint="eastAsia" w:cs="Times New Roman"/>
                <w:b/>
                <w:bCs/>
                <w:color w:val="auto"/>
                <w:sz w:val="24"/>
                <w:highlight w:val="none"/>
                <w:vertAlign w:val="baseline"/>
                <w:lang w:val="en-US" w:eastAsia="zh-CN"/>
              </w:rPr>
              <w:t>厂界南</w:t>
            </w:r>
          </w:p>
        </w:tc>
      </w:tr>
      <w:tr w14:paraId="41A52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960" w:hRule="atLeast"/>
        </w:trPr>
        <w:tc>
          <w:tcPr>
            <w:tcW w:w="7450" w:type="dxa"/>
            <w:tcBorders>
              <w:tl2br w:val="nil"/>
              <w:tr2bl w:val="nil"/>
            </w:tcBorders>
            <w:vAlign w:val="center"/>
          </w:tcPr>
          <w:p w14:paraId="0033D4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color w:val="auto"/>
                <w:sz w:val="24"/>
                <w:highlight w:val="none"/>
                <w:vertAlign w:val="baseline"/>
                <w:lang w:val="en-US" w:eastAsia="zh-CN"/>
              </w:rPr>
            </w:pPr>
            <w:r>
              <w:rPr>
                <w:rFonts w:hint="eastAsia" w:cs="Times New Roman"/>
                <w:b/>
                <w:bCs/>
                <w:color w:val="auto"/>
                <w:sz w:val="24"/>
                <w:highlight w:val="none"/>
                <w:vertAlign w:val="baseline"/>
                <w:lang w:val="en-US" w:eastAsia="zh-CN"/>
              </w:rPr>
              <w:drawing>
                <wp:inline distT="0" distB="0" distL="114300" distR="114300">
                  <wp:extent cx="3323590" cy="2650490"/>
                  <wp:effectExtent l="0" t="0" r="10160" b="16510"/>
                  <wp:docPr id="35" name="图片 35" descr="4d6e3bc334ab4b9f671b8011b7e85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d6e3bc334ab4b9f671b8011b7e85cce"/>
                          <pic:cNvPicPr>
                            <a:picLocks noChangeAspect="1"/>
                          </pic:cNvPicPr>
                        </pic:nvPicPr>
                        <pic:blipFill>
                          <a:blip r:embed="rId25"/>
                          <a:srcRect t="23181" b="17044"/>
                          <a:stretch>
                            <a:fillRect/>
                          </a:stretch>
                        </pic:blipFill>
                        <pic:spPr>
                          <a:xfrm>
                            <a:off x="0" y="0"/>
                            <a:ext cx="3323590" cy="2650490"/>
                          </a:xfrm>
                          <a:prstGeom prst="rect">
                            <a:avLst/>
                          </a:prstGeom>
                        </pic:spPr>
                      </pic:pic>
                    </a:graphicData>
                  </a:graphic>
                </wp:inline>
              </w:drawing>
            </w:r>
          </w:p>
          <w:p w14:paraId="04FD1A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sz w:val="24"/>
                <w:highlight w:val="none"/>
                <w:vertAlign w:val="baseline"/>
                <w:lang w:val="en-US" w:eastAsia="zh-CN"/>
              </w:rPr>
            </w:pPr>
            <w:r>
              <w:rPr>
                <w:rFonts w:hint="eastAsia" w:cs="Times New Roman"/>
                <w:b/>
                <w:bCs/>
                <w:color w:val="auto"/>
                <w:sz w:val="24"/>
                <w:highlight w:val="none"/>
                <w:vertAlign w:val="baseline"/>
                <w:lang w:val="en-US" w:eastAsia="zh-CN"/>
              </w:rPr>
              <w:t>厂界西</w:t>
            </w:r>
          </w:p>
        </w:tc>
        <w:tc>
          <w:tcPr>
            <w:tcW w:w="7450" w:type="dxa"/>
            <w:tcBorders>
              <w:tl2br w:val="nil"/>
              <w:tr2bl w:val="nil"/>
            </w:tcBorders>
            <w:vAlign w:val="center"/>
          </w:tcPr>
          <w:p w14:paraId="05584D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color w:val="auto"/>
                <w:sz w:val="24"/>
                <w:highlight w:val="none"/>
                <w:vertAlign w:val="baseline"/>
                <w:lang w:val="en-US" w:eastAsia="zh-CN"/>
              </w:rPr>
            </w:pPr>
            <w:r>
              <w:rPr>
                <w:rFonts w:hint="eastAsia" w:cs="Times New Roman"/>
                <w:b/>
                <w:bCs/>
                <w:color w:val="auto"/>
                <w:sz w:val="24"/>
                <w:highlight w:val="none"/>
                <w:vertAlign w:val="baseline"/>
                <w:lang w:val="en-US" w:eastAsia="zh-CN"/>
              </w:rPr>
              <w:drawing>
                <wp:inline distT="0" distB="0" distL="114300" distR="114300">
                  <wp:extent cx="3225800" cy="2600960"/>
                  <wp:effectExtent l="0" t="0" r="12700" b="8890"/>
                  <wp:docPr id="40" name="图片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
                          <pic:cNvPicPr>
                            <a:picLocks noChangeAspect="1"/>
                          </pic:cNvPicPr>
                        </pic:nvPicPr>
                        <pic:blipFill>
                          <a:blip r:embed="rId26"/>
                          <a:srcRect t="26327" b="13235"/>
                          <a:stretch>
                            <a:fillRect/>
                          </a:stretch>
                        </pic:blipFill>
                        <pic:spPr>
                          <a:xfrm>
                            <a:off x="0" y="0"/>
                            <a:ext cx="3225800" cy="2600960"/>
                          </a:xfrm>
                          <a:prstGeom prst="rect">
                            <a:avLst/>
                          </a:prstGeom>
                        </pic:spPr>
                      </pic:pic>
                    </a:graphicData>
                  </a:graphic>
                </wp:inline>
              </w:drawing>
            </w:r>
          </w:p>
          <w:p w14:paraId="5895E8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sz w:val="24"/>
                <w:highlight w:val="none"/>
                <w:vertAlign w:val="baseline"/>
                <w:lang w:val="en-US" w:eastAsia="zh-CN"/>
              </w:rPr>
            </w:pPr>
            <w:r>
              <w:rPr>
                <w:rFonts w:hint="eastAsia" w:cs="Times New Roman"/>
                <w:b/>
                <w:bCs/>
                <w:color w:val="auto"/>
                <w:sz w:val="24"/>
                <w:highlight w:val="none"/>
                <w:vertAlign w:val="baseline"/>
                <w:lang w:val="en-US" w:eastAsia="zh-CN"/>
              </w:rPr>
              <w:t>厂界北</w:t>
            </w:r>
          </w:p>
        </w:tc>
      </w:tr>
    </w:tbl>
    <w:p w14:paraId="1290524C">
      <w:pPr>
        <w:adjustRightInd w:val="0"/>
        <w:snapToGrid w:val="0"/>
        <w:spacing w:line="360" w:lineRule="auto"/>
        <w:ind w:firstLine="482" w:firstLineChars="200"/>
        <w:jc w:val="center"/>
        <w:rPr>
          <w:rFonts w:hint="eastAsia" w:cs="Times New Roman"/>
          <w:b/>
          <w:bCs/>
          <w:color w:val="auto"/>
          <w:sz w:val="24"/>
          <w:highlight w:val="none"/>
          <w:lang w:val="en-US" w:eastAsia="zh-CN"/>
        </w:rPr>
      </w:pPr>
    </w:p>
    <w:p w14:paraId="0891DC62">
      <w:pPr>
        <w:adjustRightInd w:val="0"/>
        <w:snapToGrid w:val="0"/>
        <w:spacing w:line="360" w:lineRule="auto"/>
        <w:ind w:firstLine="482" w:firstLineChars="200"/>
        <w:jc w:val="center"/>
        <w:rPr>
          <w:rFonts w:hint="default" w:ascii="Times New Roman" w:hAnsi="Times New Roman" w:cs="Times New Roman"/>
          <w:b/>
          <w:bCs/>
          <w:color w:val="auto"/>
          <w:sz w:val="24"/>
          <w:highlight w:val="none"/>
          <w:lang w:val="en-US" w:eastAsia="zh-CN"/>
        </w:rPr>
      </w:pPr>
      <w:r>
        <w:rPr>
          <w:rFonts w:hint="eastAsia" w:cs="Times New Roman"/>
          <w:b/>
          <w:bCs/>
          <w:color w:val="auto"/>
          <w:sz w:val="24"/>
          <w:highlight w:val="none"/>
          <w:lang w:val="en-US" w:eastAsia="zh-CN"/>
        </w:rPr>
        <w:t xml:space="preserve">附图2-2 </w:t>
      </w:r>
      <w:r>
        <w:rPr>
          <w:rFonts w:hint="default" w:ascii="Times New Roman" w:hAnsi="Times New Roman" w:cs="Times New Roman"/>
          <w:b/>
          <w:bCs/>
          <w:color w:val="auto"/>
          <w:sz w:val="24"/>
          <w:highlight w:val="none"/>
          <w:lang w:val="en-US" w:eastAsia="zh-CN"/>
        </w:rPr>
        <w:t xml:space="preserve"> </w:t>
      </w:r>
      <w:r>
        <w:rPr>
          <w:rFonts w:hint="eastAsia" w:cs="Times New Roman"/>
          <w:b/>
          <w:bCs/>
          <w:color w:val="auto"/>
          <w:sz w:val="24"/>
          <w:highlight w:val="none"/>
          <w:lang w:val="en-US" w:eastAsia="zh-CN"/>
        </w:rPr>
        <w:t>厂区</w:t>
      </w:r>
      <w:r>
        <w:rPr>
          <w:rFonts w:hint="default" w:ascii="Times New Roman" w:hAnsi="Times New Roman" w:cs="Times New Roman"/>
          <w:b/>
          <w:bCs/>
          <w:color w:val="auto"/>
          <w:sz w:val="24"/>
          <w:highlight w:val="none"/>
          <w:lang w:val="en-US" w:eastAsia="zh-CN"/>
        </w:rPr>
        <w:t>四邻关系图</w:t>
      </w:r>
    </w:p>
    <w:p w14:paraId="5BB75E8F">
      <w:pPr>
        <w:adjustRightInd w:val="0"/>
        <w:snapToGrid w:val="0"/>
        <w:spacing w:line="360" w:lineRule="auto"/>
        <w:ind w:firstLine="420" w:firstLineChars="200"/>
        <w:jc w:val="center"/>
        <w:rPr>
          <w:rFonts w:hint="default" w:ascii="Times New Roman" w:hAnsi="Times New Roman" w:cs="Times New Roman"/>
          <w:b/>
          <w:bCs/>
          <w:color w:val="auto"/>
          <w:sz w:val="24"/>
          <w:highlight w:val="none"/>
          <w:lang w:val="en-US" w:eastAsia="zh-CN"/>
        </w:rPr>
        <w:sectPr>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12" w:charSpace="0"/>
        </w:sectPr>
      </w:pPr>
      <w:r>
        <w:rPr>
          <w:color w:val="auto"/>
          <w:highlight w:val="none"/>
        </w:rPr>
        <w:drawing>
          <wp:inline distT="0" distB="0" distL="114300" distR="114300">
            <wp:extent cx="7180580" cy="5062220"/>
            <wp:effectExtent l="0" t="0" r="1270" b="508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7"/>
                    <a:stretch>
                      <a:fillRect/>
                    </a:stretch>
                  </pic:blipFill>
                  <pic:spPr>
                    <a:xfrm>
                      <a:off x="0" y="0"/>
                      <a:ext cx="7180580" cy="5062220"/>
                    </a:xfrm>
                    <a:prstGeom prst="rect">
                      <a:avLst/>
                    </a:prstGeom>
                    <a:noFill/>
                    <a:ln>
                      <a:noFill/>
                    </a:ln>
                  </pic:spPr>
                </pic:pic>
              </a:graphicData>
            </a:graphic>
          </wp:inline>
        </w:drawing>
      </w:r>
    </w:p>
    <w:p w14:paraId="74C24B79">
      <w:pPr>
        <w:adjustRightInd w:val="0"/>
        <w:snapToGrid w:val="0"/>
        <w:spacing w:line="360" w:lineRule="auto"/>
        <w:ind w:firstLine="482" w:firstLineChars="20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 xml:space="preserve">附图3  </w:t>
      </w:r>
      <w:r>
        <w:rPr>
          <w:rFonts w:hint="eastAsia" w:cs="Times New Roman"/>
          <w:b/>
          <w:bCs/>
          <w:color w:val="auto"/>
          <w:sz w:val="24"/>
          <w:highlight w:val="none"/>
          <w:lang w:val="en-US" w:eastAsia="zh-CN"/>
        </w:rPr>
        <w:t>与生态环境分区管控</w:t>
      </w:r>
      <w:r>
        <w:rPr>
          <w:rFonts w:hint="default" w:ascii="Times New Roman" w:hAnsi="Times New Roman" w:cs="Times New Roman"/>
          <w:b/>
          <w:bCs/>
          <w:color w:val="auto"/>
          <w:sz w:val="24"/>
          <w:highlight w:val="none"/>
        </w:rPr>
        <w:t>位置关系图</w:t>
      </w:r>
    </w:p>
    <w:p w14:paraId="7A131FC7">
      <w:pPr>
        <w:adjustRightInd w:val="0"/>
        <w:snapToGrid w:val="0"/>
        <w:spacing w:line="360" w:lineRule="auto"/>
        <w:ind w:firstLine="482" w:firstLineChars="200"/>
        <w:jc w:val="center"/>
        <w:rPr>
          <w:rFonts w:hint="default" w:ascii="Times New Roman" w:hAnsi="Times New Roman" w:cs="Times New Roman"/>
          <w:b/>
          <w:bCs/>
          <w:color w:val="auto"/>
          <w:sz w:val="24"/>
          <w:highlight w:val="none"/>
          <w:lang w:val="en-US" w:eastAsia="zh-CN"/>
        </w:rPr>
        <w:sectPr>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b/>
          <w:bCs/>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4460240</wp:posOffset>
                </wp:positionH>
                <wp:positionV relativeFrom="paragraph">
                  <wp:posOffset>1229360</wp:posOffset>
                </wp:positionV>
                <wp:extent cx="1028700" cy="313690"/>
                <wp:effectExtent l="205740" t="4445" r="22860" b="367665"/>
                <wp:wrapNone/>
                <wp:docPr id="1" name="自选图形 136"/>
                <wp:cNvGraphicFramePr/>
                <a:graphic xmlns:a="http://schemas.openxmlformats.org/drawingml/2006/main">
                  <a:graphicData uri="http://schemas.microsoft.com/office/word/2010/wordprocessingShape">
                    <wps:wsp>
                      <wps:cNvSpPr/>
                      <wps:spPr>
                        <a:xfrm>
                          <a:off x="0" y="0"/>
                          <a:ext cx="1028700" cy="313690"/>
                        </a:xfrm>
                        <a:prstGeom prst="wedgeRoundRectCallout">
                          <a:avLst>
                            <a:gd name="adj1" fmla="val -67106"/>
                            <a:gd name="adj2" fmla="val 156208"/>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66250FA4">
                            <w:pPr>
                              <w:rPr>
                                <w:rFonts w:hint="default" w:eastAsia="宋体"/>
                                <w:b/>
                                <w:bCs/>
                                <w:sz w:val="24"/>
                                <w:szCs w:val="24"/>
                                <w:lang w:val="en-US" w:eastAsia="zh-CN"/>
                              </w:rPr>
                            </w:pPr>
                            <w:r>
                              <w:rPr>
                                <w:rFonts w:hint="eastAsia"/>
                                <w:b/>
                                <w:bCs/>
                                <w:sz w:val="24"/>
                                <w:szCs w:val="24"/>
                                <w:lang w:val="en-US" w:eastAsia="zh-CN"/>
                              </w:rPr>
                              <w:t>本项目位置</w:t>
                            </w:r>
                          </w:p>
                        </w:txbxContent>
                      </wps:txbx>
                      <wps:bodyPr wrap="square" upright="1"/>
                    </wps:wsp>
                  </a:graphicData>
                </a:graphic>
              </wp:anchor>
            </w:drawing>
          </mc:Choice>
          <mc:Fallback>
            <w:pict>
              <v:shape id="自选图形 136" o:spid="_x0000_s1026" o:spt="62" type="#_x0000_t62" style="position:absolute;left:0pt;margin-left:351.2pt;margin-top:96.8pt;height:24.7pt;width:81pt;z-index:251663360;mso-width-relative:page;mso-height-relative:page;" fillcolor="#FFFFFF" filled="t" stroked="t" coordsize="21600,21600" o:gfxdata="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jS5R7WAAAACwEA&#10;AA8AAAAAAAAAAQAgAAAAIgAAAGRycy9kb3ducmV2LnhtbFBLAQIUABQAAAAIAIdO4kBhWSezVQIA&#10;AMcEAAAOAAAAAAAAAAEAIAAAACUBAABkcnMvZTJvRG9jLnhtbFBLBQYAAAAABgAGAFkBAADsBQAA&#10;AAA=&#10;" adj="-3695,44541,14400">
                <v:fill on="t" focussize="0,0"/>
                <v:stroke color="#000000" joinstyle="miter"/>
                <v:imagedata o:title=""/>
                <o:lock v:ext="edit" aspectratio="f"/>
                <v:textbox>
                  <w:txbxContent>
                    <w:p w14:paraId="66250FA4">
                      <w:pPr>
                        <w:rPr>
                          <w:rFonts w:hint="default" w:eastAsia="宋体"/>
                          <w:b/>
                          <w:bCs/>
                          <w:sz w:val="24"/>
                          <w:szCs w:val="24"/>
                          <w:lang w:val="en-US" w:eastAsia="zh-CN"/>
                        </w:rPr>
                      </w:pPr>
                      <w:r>
                        <w:rPr>
                          <w:rFonts w:hint="eastAsia"/>
                          <w:b/>
                          <w:bCs/>
                          <w:sz w:val="24"/>
                          <w:szCs w:val="24"/>
                          <w:lang w:val="en-US" w:eastAsia="zh-CN"/>
                        </w:rPr>
                        <w:t>本项目位置</w:t>
                      </w:r>
                    </w:p>
                  </w:txbxContent>
                </v:textbox>
              </v:shape>
            </w:pict>
          </mc:Fallback>
        </mc:AlternateContent>
      </w:r>
      <w:r>
        <w:rPr>
          <w:rFonts w:hint="default" w:ascii="Times New Roman" w:hAnsi="Times New Roman" w:cs="Times New Roman"/>
          <w:b/>
          <w:bCs/>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3898265</wp:posOffset>
                </wp:positionH>
                <wp:positionV relativeFrom="paragraph">
                  <wp:posOffset>1743075</wp:posOffset>
                </wp:positionV>
                <wp:extent cx="523875" cy="390525"/>
                <wp:effectExtent l="9525" t="9525" r="19050" b="19050"/>
                <wp:wrapNone/>
                <wp:docPr id="2" name="矩形 137"/>
                <wp:cNvGraphicFramePr/>
                <a:graphic xmlns:a="http://schemas.openxmlformats.org/drawingml/2006/main">
                  <a:graphicData uri="http://schemas.microsoft.com/office/word/2010/wordprocessingShape">
                    <wps:wsp>
                      <wps:cNvSpPr/>
                      <wps:spPr>
                        <a:xfrm>
                          <a:off x="0" y="0"/>
                          <a:ext cx="523875" cy="390525"/>
                        </a:xfrm>
                        <a:prstGeom prst="rect">
                          <a:avLst/>
                        </a:prstGeom>
                        <a:noFill/>
                        <a:ln w="19050" cap="flat" cmpd="sng">
                          <a:solidFill>
                            <a:srgbClr val="FF0000"/>
                          </a:solidFill>
                          <a:prstDash val="solid"/>
                          <a:miter/>
                          <a:headEnd type="none" w="med" len="med"/>
                          <a:tailEnd type="none" w="med" len="med"/>
                        </a:ln>
                      </wps:spPr>
                      <wps:bodyPr wrap="square" upright="1"/>
                    </wps:wsp>
                  </a:graphicData>
                </a:graphic>
              </wp:anchor>
            </w:drawing>
          </mc:Choice>
          <mc:Fallback>
            <w:pict>
              <v:rect id="矩形 137" o:spid="_x0000_s1026" o:spt="1" style="position:absolute;left:0pt;margin-left:306.95pt;margin-top:137.25pt;height:30.75pt;width:41.25pt;z-index:251664384;mso-width-relative:page;mso-height-relative:page;" filled="f" stroked="t" coordsize="21600,21600" o:gfxdata="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oeiu/aAAAACwEAAA8AAAAAAAAAAQAgAAAAIgAAAGRy&#10;cy9kb3ducmV2LnhtbFBLAQIUABQAAAAIAIdO4kDxnq2vAwIAAAUEAAAOAAAAAAAAAAEAIAAAACkB&#10;AABkcnMvZTJvRG9jLnhtbFBLBQYAAAAABgAGAFkBAACeBQAAAAA=&#10;">
                <v:fill on="f" focussize="0,0"/>
                <v:stroke weight="1.5pt" color="#FF0000" joinstyle="miter"/>
                <v:imagedata o:title=""/>
                <o:lock v:ext="edit" aspectratio="f"/>
              </v:rect>
            </w:pict>
          </mc:Fallback>
        </mc:AlternateContent>
      </w:r>
      <w:r>
        <w:rPr>
          <w:color w:val="auto"/>
          <w:highlight w:val="none"/>
        </w:rPr>
        <w:drawing>
          <wp:inline distT="0" distB="0" distL="114300" distR="114300">
            <wp:extent cx="8762365" cy="5326380"/>
            <wp:effectExtent l="0" t="0" r="635"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8"/>
                    <a:stretch>
                      <a:fillRect/>
                    </a:stretch>
                  </pic:blipFill>
                  <pic:spPr>
                    <a:xfrm>
                      <a:off x="0" y="0"/>
                      <a:ext cx="8762365" cy="5326380"/>
                    </a:xfrm>
                    <a:prstGeom prst="rect">
                      <a:avLst/>
                    </a:prstGeom>
                    <a:noFill/>
                    <a:ln>
                      <a:noFill/>
                    </a:ln>
                  </pic:spPr>
                </pic:pic>
              </a:graphicData>
            </a:graphic>
          </wp:inline>
        </w:drawing>
      </w:r>
    </w:p>
    <w:p w14:paraId="24A3CEB2">
      <w:pPr>
        <w:adjustRightInd w:val="0"/>
        <w:snapToGrid w:val="0"/>
        <w:spacing w:line="360" w:lineRule="auto"/>
        <w:jc w:val="center"/>
        <w:rPr>
          <w:rFonts w:hint="default" w:ascii="Times New Roman" w:hAnsi="Times New Roman" w:cs="Times New Roman"/>
          <w:b/>
          <w:bCs/>
          <w:color w:val="auto"/>
          <w:sz w:val="24"/>
          <w:highlight w:val="none"/>
        </w:rPr>
      </w:pPr>
      <w:r>
        <w:rPr>
          <w:color w:val="auto"/>
          <w:highlight w:val="none"/>
        </w:rPr>
        <w:drawing>
          <wp:inline distT="0" distB="0" distL="114300" distR="114300">
            <wp:extent cx="7404735" cy="5455920"/>
            <wp:effectExtent l="0" t="0" r="5715" b="1143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29"/>
                    <a:stretch>
                      <a:fillRect/>
                    </a:stretch>
                  </pic:blipFill>
                  <pic:spPr>
                    <a:xfrm>
                      <a:off x="0" y="0"/>
                      <a:ext cx="7404735" cy="5455920"/>
                    </a:xfrm>
                    <a:prstGeom prst="rect">
                      <a:avLst/>
                    </a:prstGeom>
                    <a:noFill/>
                    <a:ln>
                      <a:noFill/>
                    </a:ln>
                  </pic:spPr>
                </pic:pic>
              </a:graphicData>
            </a:graphic>
          </wp:inline>
        </w:drawing>
      </w:r>
    </w:p>
    <w:p w14:paraId="36E4BD31">
      <w:pPr>
        <w:adjustRightInd w:val="0"/>
        <w:snapToGrid w:val="0"/>
        <w:spacing w:line="360" w:lineRule="auto"/>
        <w:ind w:firstLine="482" w:firstLineChars="200"/>
        <w:jc w:val="center"/>
        <w:rPr>
          <w:rFonts w:hint="eastAsia"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rPr>
        <w:t>附图</w:t>
      </w:r>
      <w:r>
        <w:rPr>
          <w:rFonts w:hint="eastAsia" w:ascii="Times New Roman" w:hAnsi="Times New Roman" w:cs="Times New Roman"/>
          <w:b/>
          <w:bCs/>
          <w:color w:val="auto"/>
          <w:sz w:val="24"/>
          <w:highlight w:val="none"/>
          <w:lang w:val="en-US" w:eastAsia="zh-CN"/>
        </w:rPr>
        <w:t>4</w:t>
      </w:r>
      <w:r>
        <w:rPr>
          <w:rFonts w:hint="default" w:ascii="Times New Roman" w:hAnsi="Times New Roman" w:cs="Times New Roman"/>
          <w:b/>
          <w:bCs/>
          <w:color w:val="auto"/>
          <w:sz w:val="24"/>
          <w:highlight w:val="none"/>
        </w:rPr>
        <w:t xml:space="preserve">  </w:t>
      </w:r>
      <w:r>
        <w:rPr>
          <w:rFonts w:hint="eastAsia" w:ascii="Times New Roman" w:hAnsi="Times New Roman" w:cs="Times New Roman"/>
          <w:b/>
          <w:bCs/>
          <w:color w:val="auto"/>
          <w:sz w:val="24"/>
          <w:highlight w:val="none"/>
          <w:lang w:val="en-US" w:eastAsia="zh-CN"/>
        </w:rPr>
        <w:t>项目平面布置图</w:t>
      </w:r>
    </w:p>
    <w:p w14:paraId="1C96F8B3">
      <w:pPr>
        <w:adjustRightInd w:val="0"/>
        <w:snapToGrid w:val="0"/>
        <w:spacing w:line="360" w:lineRule="auto"/>
        <w:jc w:val="both"/>
        <w:rPr>
          <w:rFonts w:hint="default" w:ascii="Times New Roman" w:hAnsi="Times New Roman" w:eastAsia="宋体" w:cs="Times New Roman"/>
          <w:b/>
          <w:bCs/>
          <w:color w:val="auto"/>
          <w:sz w:val="24"/>
          <w:highlight w:val="none"/>
          <w:lang w:val="en-US" w:eastAsia="zh-CN"/>
        </w:rPr>
        <w:sectPr>
          <w:footerReference r:id="rId7" w:type="default"/>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12" w:charSpace="0"/>
        </w:sectPr>
      </w:pPr>
    </w:p>
    <w:p w14:paraId="1C0CF01E">
      <w:pPr>
        <w:adjustRightInd w:val="0"/>
        <w:snapToGrid w:val="0"/>
        <w:spacing w:line="360" w:lineRule="auto"/>
        <w:ind w:firstLine="420" w:firstLineChars="200"/>
        <w:jc w:val="center"/>
        <w:rPr>
          <w:rFonts w:hint="default" w:ascii="Times New Roman" w:hAnsi="Times New Roman" w:cs="Times New Roman"/>
          <w:b/>
          <w:bCs/>
          <w:color w:val="auto"/>
          <w:sz w:val="24"/>
          <w:highlight w:val="none"/>
        </w:rPr>
      </w:pPr>
      <w:r>
        <w:rPr>
          <w:color w:val="auto"/>
          <w:highlight w:val="none"/>
        </w:rPr>
        <w:drawing>
          <wp:inline distT="0" distB="0" distL="114300" distR="114300">
            <wp:extent cx="7524750" cy="5276850"/>
            <wp:effectExtent l="0" t="0" r="0" b="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30"/>
                    <a:stretch>
                      <a:fillRect/>
                    </a:stretch>
                  </pic:blipFill>
                  <pic:spPr>
                    <a:xfrm>
                      <a:off x="0" y="0"/>
                      <a:ext cx="7524750" cy="5276850"/>
                    </a:xfrm>
                    <a:prstGeom prst="rect">
                      <a:avLst/>
                    </a:prstGeom>
                    <a:noFill/>
                    <a:ln>
                      <a:noFill/>
                    </a:ln>
                  </pic:spPr>
                </pic:pic>
              </a:graphicData>
            </a:graphic>
          </wp:inline>
        </w:drawing>
      </w:r>
    </w:p>
    <w:p w14:paraId="4EA317C9">
      <w:pPr>
        <w:adjustRightInd w:val="0"/>
        <w:snapToGrid w:val="0"/>
        <w:spacing w:line="360" w:lineRule="auto"/>
        <w:ind w:firstLine="482" w:firstLineChars="200"/>
        <w:jc w:val="center"/>
        <w:rPr>
          <w:rFonts w:hint="default" w:ascii="Times New Roman" w:hAnsi="Times New Roman" w:cs="Times New Roman"/>
          <w:b/>
          <w:bCs/>
          <w:color w:val="auto"/>
          <w:sz w:val="24"/>
          <w:highlight w:val="none"/>
        </w:rPr>
        <w:sectPr>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b/>
          <w:bCs/>
          <w:color w:val="auto"/>
          <w:sz w:val="24"/>
          <w:highlight w:val="none"/>
        </w:rPr>
        <w:t xml:space="preserve">附图5  </w:t>
      </w:r>
      <w:r>
        <w:rPr>
          <w:rFonts w:hint="eastAsia" w:ascii="Times New Roman" w:hAnsi="Times New Roman" w:cs="Times New Roman"/>
          <w:b/>
          <w:bCs/>
          <w:color w:val="auto"/>
          <w:sz w:val="24"/>
          <w:highlight w:val="none"/>
          <w:lang w:val="en-US" w:eastAsia="zh-CN"/>
        </w:rPr>
        <w:t>环境</w:t>
      </w:r>
      <w:r>
        <w:rPr>
          <w:rFonts w:hint="default" w:ascii="Times New Roman" w:hAnsi="Times New Roman" w:cs="Times New Roman"/>
          <w:b/>
          <w:bCs/>
          <w:color w:val="auto"/>
          <w:sz w:val="24"/>
          <w:highlight w:val="none"/>
        </w:rPr>
        <w:t>保护目标图</w:t>
      </w:r>
    </w:p>
    <w:p w14:paraId="04D27C7C">
      <w:pPr>
        <w:adjustRightInd w:val="0"/>
        <w:snapToGrid w:val="0"/>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drawing>
          <wp:inline distT="0" distB="0" distL="114300" distR="114300">
            <wp:extent cx="8689340" cy="3437255"/>
            <wp:effectExtent l="0" t="0" r="16510" b="10795"/>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31"/>
                    <a:stretch>
                      <a:fillRect/>
                    </a:stretch>
                  </pic:blipFill>
                  <pic:spPr>
                    <a:xfrm>
                      <a:off x="0" y="0"/>
                      <a:ext cx="8689340" cy="3437255"/>
                    </a:xfrm>
                    <a:prstGeom prst="rect">
                      <a:avLst/>
                    </a:prstGeom>
                    <a:noFill/>
                    <a:ln>
                      <a:noFill/>
                    </a:ln>
                  </pic:spPr>
                </pic:pic>
              </a:graphicData>
            </a:graphic>
          </wp:inline>
        </w:drawing>
      </w:r>
    </w:p>
    <w:p w14:paraId="6DCEDC99">
      <w:pPr>
        <w:adjustRightInd w:val="0"/>
        <w:snapToGrid w:val="0"/>
        <w:spacing w:line="360" w:lineRule="auto"/>
        <w:jc w:val="center"/>
        <w:rPr>
          <w:rFonts w:hint="default" w:ascii="宋体" w:hAnsi="宋体" w:eastAsia="宋体" w:cs="宋体"/>
          <w:color w:val="auto"/>
          <w:sz w:val="24"/>
          <w:szCs w:val="24"/>
          <w:highlight w:val="none"/>
          <w:lang w:val="en-US" w:eastAsia="zh-CN"/>
        </w:rPr>
        <w:sectPr>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bCs/>
          <w:color w:val="auto"/>
          <w:sz w:val="24"/>
          <w:szCs w:val="24"/>
          <w:highlight w:val="none"/>
          <w:lang w:val="en-US" w:eastAsia="zh-CN"/>
        </w:rPr>
        <w:t>附图6  其他项目纳米膜发酵车间参考图片</w:t>
      </w:r>
    </w:p>
    <w:p w14:paraId="1E0A8DCC">
      <w:pPr>
        <w:jc w:val="both"/>
        <w:rPr>
          <w:rFonts w:hint="default" w:ascii="Times New Roman" w:hAnsi="Times New Roman" w:cs="Times New Roman"/>
          <w:b/>
          <w:bCs/>
          <w:color w:val="auto"/>
          <w:sz w:val="36"/>
          <w:szCs w:val="36"/>
          <w:highlight w:val="none"/>
        </w:rPr>
      </w:pPr>
    </w:p>
    <w:p w14:paraId="4363D5D7">
      <w:pPr>
        <w:adjustRightInd w:val="0"/>
        <w:snapToGrid w:val="0"/>
        <w:spacing w:line="360" w:lineRule="auto"/>
        <w:ind w:firstLine="420" w:firstLineChars="200"/>
        <w:jc w:val="center"/>
      </w:pPr>
      <w:r>
        <w:drawing>
          <wp:inline distT="0" distB="0" distL="114300" distR="114300">
            <wp:extent cx="5539105" cy="8134350"/>
            <wp:effectExtent l="0" t="0" r="4445" b="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32"/>
                    <a:stretch>
                      <a:fillRect/>
                    </a:stretch>
                  </pic:blipFill>
                  <pic:spPr>
                    <a:xfrm>
                      <a:off x="0" y="0"/>
                      <a:ext cx="5539105" cy="8134350"/>
                    </a:xfrm>
                    <a:prstGeom prst="rect">
                      <a:avLst/>
                    </a:prstGeom>
                    <a:noFill/>
                    <a:ln>
                      <a:noFill/>
                    </a:ln>
                  </pic:spPr>
                </pic:pic>
              </a:graphicData>
            </a:graphic>
          </wp:inline>
        </w:drawing>
      </w:r>
    </w:p>
    <w:p w14:paraId="4F044C3B">
      <w:pPr>
        <w:adjustRightInd w:val="0"/>
        <w:snapToGrid w:val="0"/>
        <w:spacing w:line="360" w:lineRule="auto"/>
        <w:ind w:firstLine="420" w:firstLineChars="200"/>
        <w:jc w:val="center"/>
      </w:pPr>
    </w:p>
    <w:p w14:paraId="05D9A526">
      <w:pPr>
        <w:adjustRightInd w:val="0"/>
        <w:snapToGrid w:val="0"/>
        <w:spacing w:line="360" w:lineRule="auto"/>
        <w:ind w:firstLine="420" w:firstLineChars="200"/>
        <w:jc w:val="center"/>
      </w:pPr>
    </w:p>
    <w:p w14:paraId="599A1D4A">
      <w:pPr>
        <w:adjustRightInd w:val="0"/>
        <w:snapToGrid w:val="0"/>
        <w:spacing w:line="360" w:lineRule="auto"/>
        <w:ind w:firstLine="420" w:firstLineChars="200"/>
        <w:jc w:val="center"/>
      </w:pPr>
    </w:p>
    <w:p w14:paraId="05781E8F">
      <w:pPr>
        <w:adjustRightInd w:val="0"/>
        <w:snapToGrid w:val="0"/>
        <w:spacing w:line="360" w:lineRule="auto"/>
        <w:ind w:firstLine="420" w:firstLineChars="200"/>
        <w:jc w:val="center"/>
      </w:pPr>
    </w:p>
    <w:p w14:paraId="187BE32F">
      <w:pPr>
        <w:adjustRightInd w:val="0"/>
        <w:snapToGrid w:val="0"/>
        <w:spacing w:line="360" w:lineRule="auto"/>
        <w:ind w:firstLine="482" w:firstLineChars="200"/>
        <w:jc w:val="center"/>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附件1 项目备案告知书</w:t>
      </w:r>
    </w:p>
    <w:p w14:paraId="111451D8">
      <w:pPr>
        <w:adjustRightInd w:val="0"/>
        <w:snapToGrid w:val="0"/>
        <w:spacing w:line="360" w:lineRule="auto"/>
        <w:ind w:firstLine="420" w:firstLineChars="200"/>
        <w:jc w:val="center"/>
        <w:rPr>
          <w:color w:val="auto"/>
          <w:highlight w:val="none"/>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color w:val="auto"/>
          <w:highlight w:val="none"/>
        </w:rPr>
        <w:drawing>
          <wp:inline distT="0" distB="0" distL="114300" distR="114300">
            <wp:extent cx="5505450" cy="7743825"/>
            <wp:effectExtent l="0" t="0" r="0" b="952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33"/>
                    <a:stretch>
                      <a:fillRect/>
                    </a:stretch>
                  </pic:blipFill>
                  <pic:spPr>
                    <a:xfrm>
                      <a:off x="0" y="0"/>
                      <a:ext cx="5505450" cy="7743825"/>
                    </a:xfrm>
                    <a:prstGeom prst="rect">
                      <a:avLst/>
                    </a:prstGeom>
                    <a:noFill/>
                    <a:ln>
                      <a:noFill/>
                    </a:ln>
                  </pic:spPr>
                </pic:pic>
              </a:graphicData>
            </a:graphic>
          </wp:inline>
        </w:drawing>
      </w:r>
    </w:p>
    <w:p w14:paraId="03AC0EA7">
      <w:pPr>
        <w:adjustRightInd w:val="0"/>
        <w:snapToGrid w:val="0"/>
        <w:spacing w:line="360" w:lineRule="auto"/>
        <w:ind w:firstLine="482" w:firstLineChars="200"/>
        <w:jc w:val="center"/>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b/>
          <w:bCs/>
          <w:color w:val="auto"/>
          <w:sz w:val="24"/>
          <w:szCs w:val="24"/>
          <w:highlight w:val="none"/>
          <w:lang w:val="en-US" w:eastAsia="zh-CN"/>
        </w:rPr>
        <w:t>附件2 项目用地</w:t>
      </w:r>
      <w:r>
        <w:rPr>
          <w:rFonts w:hint="eastAsia" w:cs="Times New Roman"/>
          <w:b/>
          <w:bCs/>
          <w:color w:val="auto"/>
          <w:sz w:val="24"/>
          <w:szCs w:val="24"/>
          <w:highlight w:val="none"/>
          <w:lang w:val="en-US" w:eastAsia="zh-CN"/>
        </w:rPr>
        <w:t>证明</w:t>
      </w:r>
    </w:p>
    <w:p w14:paraId="6241E2A3">
      <w:pPr>
        <w:pStyle w:val="31"/>
        <w:spacing w:after="0" w:line="240" w:lineRule="auto"/>
        <w:ind w:left="0" w:leftChars="0" w:firstLine="0" w:firstLineChars="0"/>
        <w:jc w:val="center"/>
        <w:rPr>
          <w:color w:val="auto"/>
          <w:highlight w:val="none"/>
        </w:rPr>
      </w:pPr>
      <w:r>
        <w:rPr>
          <w:color w:val="auto"/>
          <w:highlight w:val="none"/>
        </w:rPr>
        <w:drawing>
          <wp:inline distT="0" distB="0" distL="114300" distR="114300">
            <wp:extent cx="5586730" cy="7914005"/>
            <wp:effectExtent l="0" t="0" r="13970" b="1079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4"/>
                    <a:stretch>
                      <a:fillRect/>
                    </a:stretch>
                  </pic:blipFill>
                  <pic:spPr>
                    <a:xfrm>
                      <a:off x="0" y="0"/>
                      <a:ext cx="5586730" cy="7914005"/>
                    </a:xfrm>
                    <a:prstGeom prst="rect">
                      <a:avLst/>
                    </a:prstGeom>
                    <a:noFill/>
                    <a:ln>
                      <a:noFill/>
                    </a:ln>
                  </pic:spPr>
                </pic:pic>
              </a:graphicData>
            </a:graphic>
          </wp:inline>
        </w:drawing>
      </w:r>
    </w:p>
    <w:p w14:paraId="011FAD11">
      <w:pPr>
        <w:jc w:val="center"/>
        <w:rPr>
          <w:rFonts w:hint="default" w:ascii="Times New Roman" w:hAnsi="Times New Roman" w:cs="Times New Roman"/>
          <w:color w:val="auto"/>
          <w:highlight w:val="none"/>
        </w:rPr>
      </w:pPr>
      <w:r>
        <w:rPr>
          <w:color w:val="auto"/>
          <w:highlight w:val="none"/>
        </w:rPr>
        <w:drawing>
          <wp:inline distT="0" distB="0" distL="114300" distR="114300">
            <wp:extent cx="5786755" cy="7933690"/>
            <wp:effectExtent l="0" t="0" r="4445" b="1016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5"/>
                    <a:stretch>
                      <a:fillRect/>
                    </a:stretch>
                  </pic:blipFill>
                  <pic:spPr>
                    <a:xfrm>
                      <a:off x="0" y="0"/>
                      <a:ext cx="5786755" cy="7933690"/>
                    </a:xfrm>
                    <a:prstGeom prst="rect">
                      <a:avLst/>
                    </a:prstGeom>
                    <a:noFill/>
                    <a:ln>
                      <a:noFill/>
                    </a:ln>
                  </pic:spPr>
                </pic:pic>
              </a:graphicData>
            </a:graphic>
          </wp:inline>
        </w:drawing>
      </w:r>
    </w:p>
    <w:p w14:paraId="403D8D16">
      <w:pPr>
        <w:jc w:val="center"/>
        <w:rPr>
          <w:color w:val="auto"/>
          <w:highlight w:val="none"/>
        </w:rPr>
      </w:pPr>
      <w:r>
        <w:rPr>
          <w:color w:val="auto"/>
          <w:highlight w:val="none"/>
        </w:rPr>
        <w:drawing>
          <wp:inline distT="0" distB="0" distL="114300" distR="114300">
            <wp:extent cx="5564505" cy="7663180"/>
            <wp:effectExtent l="0" t="0" r="17145" b="1397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6"/>
                    <a:stretch>
                      <a:fillRect/>
                    </a:stretch>
                  </pic:blipFill>
                  <pic:spPr>
                    <a:xfrm>
                      <a:off x="0" y="0"/>
                      <a:ext cx="5564505" cy="7663180"/>
                    </a:xfrm>
                    <a:prstGeom prst="rect">
                      <a:avLst/>
                    </a:prstGeom>
                    <a:noFill/>
                    <a:ln>
                      <a:noFill/>
                    </a:ln>
                  </pic:spPr>
                </pic:pic>
              </a:graphicData>
            </a:graphic>
          </wp:inline>
        </w:drawing>
      </w:r>
    </w:p>
    <w:p w14:paraId="65A2BCED">
      <w:pPr>
        <w:jc w:val="center"/>
        <w:rPr>
          <w:color w:val="auto"/>
          <w:highlight w:val="none"/>
        </w:rPr>
      </w:pPr>
    </w:p>
    <w:p w14:paraId="2F9BAD5E">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676BADA2">
      <w:pPr>
        <w:pStyle w:val="6"/>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附件3 项目占地类型</w:t>
      </w:r>
    </w:p>
    <w:p w14:paraId="564C982A">
      <w:pPr>
        <w:pStyle w:val="6"/>
        <w:rPr>
          <w:color w:val="auto"/>
          <w:highlight w:val="none"/>
        </w:rPr>
        <w:sectPr>
          <w:footerReference r:id="rId8" w:type="default"/>
          <w:pgSz w:w="11906" w:h="16838"/>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12" w:charSpace="0"/>
        </w:sectPr>
      </w:pPr>
      <w:r>
        <w:rPr>
          <w:color w:val="auto"/>
          <w:highlight w:val="none"/>
        </w:rPr>
        <w:drawing>
          <wp:inline distT="0" distB="0" distL="114300" distR="114300">
            <wp:extent cx="5353050" cy="746760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7"/>
                    <a:stretch>
                      <a:fillRect/>
                    </a:stretch>
                  </pic:blipFill>
                  <pic:spPr>
                    <a:xfrm>
                      <a:off x="0" y="0"/>
                      <a:ext cx="5353050" cy="7467600"/>
                    </a:xfrm>
                    <a:prstGeom prst="rect">
                      <a:avLst/>
                    </a:prstGeom>
                    <a:noFill/>
                    <a:ln>
                      <a:noFill/>
                    </a:ln>
                  </pic:spPr>
                </pic:pic>
              </a:graphicData>
            </a:graphic>
          </wp:inline>
        </w:drawing>
      </w:r>
    </w:p>
    <w:p w14:paraId="07DD92A6">
      <w:pPr>
        <w:pStyle w:val="6"/>
        <w:jc w:val="center"/>
        <w:rPr>
          <w:rFonts w:hint="eastAsia"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附件</w:t>
      </w:r>
      <w:r>
        <w:rPr>
          <w:rFonts w:hint="eastAsia" w:cs="Times New Roman"/>
          <w:b/>
          <w:bCs/>
          <w:color w:val="auto"/>
          <w:sz w:val="24"/>
          <w:szCs w:val="24"/>
          <w:highlight w:val="none"/>
          <w:lang w:val="en-US" w:eastAsia="zh-CN"/>
        </w:rPr>
        <w:t xml:space="preserve">4 </w:t>
      </w:r>
      <w:r>
        <w:rPr>
          <w:rFonts w:hint="default" w:ascii="Times New Roman" w:hAnsi="Times New Roman" w:eastAsia="宋体" w:cs="Times New Roman"/>
          <w:b/>
          <w:bCs/>
          <w:color w:val="auto"/>
          <w:sz w:val="24"/>
          <w:szCs w:val="24"/>
          <w:highlight w:val="none"/>
          <w:lang w:val="en-US" w:eastAsia="zh-CN"/>
        </w:rPr>
        <w:t>项目</w:t>
      </w:r>
      <w:r>
        <w:rPr>
          <w:rFonts w:hint="eastAsia" w:cs="Times New Roman"/>
          <w:b/>
          <w:bCs/>
          <w:color w:val="auto"/>
          <w:sz w:val="24"/>
          <w:szCs w:val="24"/>
          <w:highlight w:val="none"/>
          <w:lang w:val="en-US" w:eastAsia="zh-CN"/>
        </w:rPr>
        <w:t>不</w:t>
      </w:r>
      <w:r>
        <w:rPr>
          <w:rFonts w:hint="default" w:ascii="Times New Roman" w:hAnsi="Times New Roman" w:eastAsia="宋体" w:cs="Times New Roman"/>
          <w:b/>
          <w:bCs/>
          <w:color w:val="auto"/>
          <w:sz w:val="24"/>
          <w:szCs w:val="24"/>
          <w:highlight w:val="none"/>
          <w:lang w:val="en-US" w:eastAsia="zh-CN"/>
        </w:rPr>
        <w:t>占</w:t>
      </w:r>
      <w:r>
        <w:rPr>
          <w:rFonts w:hint="eastAsia" w:cs="Times New Roman"/>
          <w:b/>
          <w:bCs/>
          <w:color w:val="auto"/>
          <w:sz w:val="24"/>
          <w:szCs w:val="24"/>
          <w:highlight w:val="none"/>
          <w:lang w:val="en-US" w:eastAsia="zh-CN"/>
        </w:rPr>
        <w:t>红线的复函</w:t>
      </w:r>
    </w:p>
    <w:p w14:paraId="45C2EAE7">
      <w:pPr>
        <w:pStyle w:val="6"/>
        <w:jc w:val="center"/>
        <w:rPr>
          <w:rFonts w:hint="default" w:cs="Times New Roman"/>
          <w:b/>
          <w:bCs/>
          <w:color w:val="auto"/>
          <w:sz w:val="24"/>
          <w:szCs w:val="24"/>
          <w:highlight w:val="none"/>
          <w:lang w:val="en-US" w:eastAsia="zh-CN"/>
        </w:rPr>
        <w:sectPr>
          <w:pgSz w:w="11906" w:h="16838"/>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cs="Times New Roman"/>
          <w:b/>
          <w:bCs/>
          <w:color w:val="auto"/>
          <w:sz w:val="24"/>
          <w:szCs w:val="24"/>
          <w:highlight w:val="none"/>
          <w:lang w:val="en-US" w:eastAsia="zh-CN"/>
        </w:rPr>
        <w:drawing>
          <wp:inline distT="0" distB="0" distL="114300" distR="114300">
            <wp:extent cx="6108065" cy="8637270"/>
            <wp:effectExtent l="0" t="0" r="6985" b="11430"/>
            <wp:docPr id="42" name="图片 42" descr="12c58063b473e7dd8464addc97575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2c58063b473e7dd8464addc9757548c"/>
                    <pic:cNvPicPr>
                      <a:picLocks noChangeAspect="1"/>
                    </pic:cNvPicPr>
                  </pic:nvPicPr>
                  <pic:blipFill>
                    <a:blip r:embed="rId38"/>
                    <a:stretch>
                      <a:fillRect/>
                    </a:stretch>
                  </pic:blipFill>
                  <pic:spPr>
                    <a:xfrm>
                      <a:off x="0" y="0"/>
                      <a:ext cx="6108065" cy="8637270"/>
                    </a:xfrm>
                    <a:prstGeom prst="rect">
                      <a:avLst/>
                    </a:prstGeom>
                  </pic:spPr>
                </pic:pic>
              </a:graphicData>
            </a:graphic>
          </wp:inline>
        </w:drawing>
      </w:r>
      <w:r>
        <w:rPr>
          <w:rFonts w:hint="default" w:cs="Times New Roman"/>
          <w:b/>
          <w:bCs/>
          <w:color w:val="auto"/>
          <w:sz w:val="24"/>
          <w:szCs w:val="24"/>
          <w:highlight w:val="none"/>
          <w:lang w:val="en-US" w:eastAsia="zh-CN"/>
        </w:rPr>
        <w:drawing>
          <wp:inline distT="0" distB="0" distL="114300" distR="114300">
            <wp:extent cx="6022975" cy="8874125"/>
            <wp:effectExtent l="0" t="0" r="15875" b="3175"/>
            <wp:docPr id="43" name="图片 43" descr="413ea7509091f742d3639cad5e5dff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13ea7509091f742d3639cad5e5dffa5"/>
                    <pic:cNvPicPr>
                      <a:picLocks noChangeAspect="1"/>
                    </pic:cNvPicPr>
                  </pic:nvPicPr>
                  <pic:blipFill>
                    <a:blip r:embed="rId39"/>
                    <a:stretch>
                      <a:fillRect/>
                    </a:stretch>
                  </pic:blipFill>
                  <pic:spPr>
                    <a:xfrm>
                      <a:off x="0" y="0"/>
                      <a:ext cx="6022975" cy="8874125"/>
                    </a:xfrm>
                    <a:prstGeom prst="rect">
                      <a:avLst/>
                    </a:prstGeom>
                  </pic:spPr>
                </pic:pic>
              </a:graphicData>
            </a:graphic>
          </wp:inline>
        </w:drawing>
      </w:r>
    </w:p>
    <w:p w14:paraId="5FC85F0B">
      <w:pPr>
        <w:pStyle w:val="6"/>
        <w:jc w:val="center"/>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附件5 现状监测报告</w:t>
      </w:r>
    </w:p>
    <w:p w14:paraId="4BC92426">
      <w:pPr>
        <w:pStyle w:val="6"/>
        <w:jc w:val="center"/>
        <w:rPr>
          <w:rFonts w:hint="default" w:cs="Times New Roman"/>
          <w:b/>
          <w:bCs/>
          <w:color w:val="auto"/>
          <w:sz w:val="24"/>
          <w:szCs w:val="24"/>
          <w:highlight w:val="none"/>
          <w:lang w:val="en-US" w:eastAsia="zh-CN"/>
        </w:rPr>
      </w:pPr>
      <w:r>
        <w:rPr>
          <w:color w:val="auto"/>
          <w:highlight w:val="none"/>
        </w:rPr>
        <w:drawing>
          <wp:inline distT="0" distB="0" distL="114300" distR="114300">
            <wp:extent cx="5738495" cy="8143240"/>
            <wp:effectExtent l="0" t="0" r="14605" b="1016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40"/>
                    <a:stretch>
                      <a:fillRect/>
                    </a:stretch>
                  </pic:blipFill>
                  <pic:spPr>
                    <a:xfrm>
                      <a:off x="0" y="0"/>
                      <a:ext cx="5738495" cy="8143240"/>
                    </a:xfrm>
                    <a:prstGeom prst="rect">
                      <a:avLst/>
                    </a:prstGeom>
                    <a:noFill/>
                    <a:ln>
                      <a:noFill/>
                    </a:ln>
                  </pic:spPr>
                </pic:pic>
              </a:graphicData>
            </a:graphic>
          </wp:inline>
        </w:drawing>
      </w:r>
      <w:r>
        <w:rPr>
          <w:color w:val="auto"/>
          <w:highlight w:val="none"/>
        </w:rPr>
        <w:drawing>
          <wp:inline distT="0" distB="0" distL="114300" distR="114300">
            <wp:extent cx="5920105" cy="8428355"/>
            <wp:effectExtent l="0" t="0" r="4445" b="1079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41"/>
                    <a:stretch>
                      <a:fillRect/>
                    </a:stretch>
                  </pic:blipFill>
                  <pic:spPr>
                    <a:xfrm>
                      <a:off x="0" y="0"/>
                      <a:ext cx="5920105" cy="8428355"/>
                    </a:xfrm>
                    <a:prstGeom prst="rect">
                      <a:avLst/>
                    </a:prstGeom>
                    <a:noFill/>
                    <a:ln>
                      <a:noFill/>
                    </a:ln>
                  </pic:spPr>
                </pic:pic>
              </a:graphicData>
            </a:graphic>
          </wp:inline>
        </w:drawing>
      </w:r>
      <w:r>
        <w:rPr>
          <w:color w:val="auto"/>
          <w:highlight w:val="none"/>
        </w:rPr>
        <w:drawing>
          <wp:inline distT="0" distB="0" distL="114300" distR="114300">
            <wp:extent cx="5884545" cy="8353425"/>
            <wp:effectExtent l="0" t="0" r="1905" b="952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42"/>
                    <a:stretch>
                      <a:fillRect/>
                    </a:stretch>
                  </pic:blipFill>
                  <pic:spPr>
                    <a:xfrm>
                      <a:off x="0" y="0"/>
                      <a:ext cx="5884545" cy="8353425"/>
                    </a:xfrm>
                    <a:prstGeom prst="rect">
                      <a:avLst/>
                    </a:prstGeom>
                    <a:noFill/>
                    <a:ln>
                      <a:noFill/>
                    </a:ln>
                  </pic:spPr>
                </pic:pic>
              </a:graphicData>
            </a:graphic>
          </wp:inline>
        </w:drawing>
      </w:r>
      <w:r>
        <w:rPr>
          <w:color w:val="auto"/>
          <w:highlight w:val="none"/>
        </w:rPr>
        <w:drawing>
          <wp:inline distT="0" distB="0" distL="114300" distR="114300">
            <wp:extent cx="5772150" cy="8228965"/>
            <wp:effectExtent l="0" t="0" r="0" b="63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43"/>
                    <a:stretch>
                      <a:fillRect/>
                    </a:stretch>
                  </pic:blipFill>
                  <pic:spPr>
                    <a:xfrm>
                      <a:off x="0" y="0"/>
                      <a:ext cx="5772150" cy="8228965"/>
                    </a:xfrm>
                    <a:prstGeom prst="rect">
                      <a:avLst/>
                    </a:prstGeom>
                    <a:noFill/>
                    <a:ln>
                      <a:noFill/>
                    </a:ln>
                  </pic:spPr>
                </pic:pic>
              </a:graphicData>
            </a:graphic>
          </wp:inline>
        </w:drawing>
      </w:r>
      <w:r>
        <w:rPr>
          <w:color w:val="auto"/>
          <w:highlight w:val="none"/>
        </w:rPr>
        <w:drawing>
          <wp:inline distT="0" distB="0" distL="114300" distR="114300">
            <wp:extent cx="6038215" cy="8496300"/>
            <wp:effectExtent l="0" t="0" r="635" b="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44"/>
                    <a:stretch>
                      <a:fillRect/>
                    </a:stretch>
                  </pic:blipFill>
                  <pic:spPr>
                    <a:xfrm>
                      <a:off x="0" y="0"/>
                      <a:ext cx="6038215" cy="8496300"/>
                    </a:xfrm>
                    <a:prstGeom prst="rect">
                      <a:avLst/>
                    </a:prstGeom>
                    <a:noFill/>
                    <a:ln>
                      <a:noFill/>
                    </a:ln>
                  </pic:spPr>
                </pic:pic>
              </a:graphicData>
            </a:graphic>
          </wp:inline>
        </w:drawing>
      </w:r>
      <w:r>
        <w:rPr>
          <w:color w:val="auto"/>
          <w:highlight w:val="none"/>
        </w:rPr>
        <w:drawing>
          <wp:inline distT="0" distB="0" distL="114300" distR="114300">
            <wp:extent cx="6126480" cy="8688070"/>
            <wp:effectExtent l="0" t="0" r="7620" b="1778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45"/>
                    <a:stretch>
                      <a:fillRect/>
                    </a:stretch>
                  </pic:blipFill>
                  <pic:spPr>
                    <a:xfrm>
                      <a:off x="0" y="0"/>
                      <a:ext cx="6126480" cy="8688070"/>
                    </a:xfrm>
                    <a:prstGeom prst="rect">
                      <a:avLst/>
                    </a:prstGeom>
                    <a:noFill/>
                    <a:ln>
                      <a:noFill/>
                    </a:ln>
                  </pic:spPr>
                </pic:pic>
              </a:graphicData>
            </a:graphic>
          </wp:inline>
        </w:drawing>
      </w:r>
    </w:p>
    <w:sectPr>
      <w:pgSz w:w="11906" w:h="16838"/>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2010600030101010101"/>
    <w:charset w:val="02"/>
    <w:family w:val="roman"/>
    <w:pitch w:val="default"/>
    <w:sig w:usb0="00000000" w:usb1="0000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0000000" w:usb3="00000000" w:csb0="2000019F" w:csb1="00000000"/>
  </w:font>
  <w:font w:name="FreeSerif">
    <w:panose1 w:val="02020603050405020304"/>
    <w:charset w:val="00"/>
    <w:family w:val="auto"/>
    <w:pitch w:val="default"/>
    <w:sig w:usb0="E59FAFFF" w:usb1="C200FDFF" w:usb2="43501B29" w:usb3="04000043" w:csb0="600101FF" w:csb1="FFFF0000"/>
  </w:font>
  <w:font w:name="方正黑体_GBK">
    <w:panose1 w:val="02000000000000000000"/>
    <w:charset w:val="86"/>
    <w:family w:val="auto"/>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Times">
    <w:altName w:val="DejaVu Sans"/>
    <w:panose1 w:val="02020603050405020304"/>
    <w:charset w:val="00"/>
    <w:family w:val="roman"/>
    <w:pitch w:val="default"/>
    <w:sig w:usb0="00000000" w:usb1="00000000" w:usb2="00000009" w:usb3="00000000" w:csb0="000001FF" w:csb1="00000000"/>
  </w:font>
  <w:font w:name="微软雅黑">
    <w:altName w:val="方正黑体_GBK"/>
    <w:panose1 w:val="020B0503020204020204"/>
    <w:charset w:val="86"/>
    <w:family w:val="swiss"/>
    <w:pitch w:val="default"/>
    <w:sig w:usb0="00000000" w:usb1="00000000" w:usb2="00000016" w:usb3="00000000" w:csb0="0004001F" w:csb1="00000000"/>
  </w:font>
  <w:font w:name="Tahoma">
    <w:altName w:val="noto sans thai"/>
    <w:panose1 w:val="020B0604030504040204"/>
    <w:charset w:val="00"/>
    <w:family w:val="swiss"/>
    <w:pitch w:val="default"/>
    <w:sig w:usb0="00000000" w:usb1="00000000" w:usb2="00000029" w:usb3="00000000" w:csb0="200101FF" w:csb1="20280000"/>
  </w:font>
  <w:font w:name="noto sans thai">
    <w:panose1 w:val="020B0502040504020204"/>
    <w:charset w:val="00"/>
    <w:family w:val="auto"/>
    <w:pitch w:val="default"/>
    <w:sig w:usb0="81000063" w:usb1="00002000" w:usb2="00000000" w:usb3="00000000" w:csb0="00010000" w:csb1="0000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B7474">
    <w:pPr>
      <w:pStyle w:val="21"/>
      <w:adjustRightInd w:val="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E769C">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300" cy="1828800"/>
              <wp:effectExtent l="0" t="0" r="0" b="0"/>
              <wp:wrapNone/>
              <wp:docPr id="37" name="文本框 1"/>
              <wp:cNvGraphicFramePr/>
              <a:graphic xmlns:a="http://schemas.openxmlformats.org/drawingml/2006/main">
                <a:graphicData uri="http://schemas.microsoft.com/office/word/2010/wordprocessingShape">
                  <wps:wsp>
                    <wps:cNvSpPr txBox="1"/>
                    <wps:spPr>
                      <a:xfrm>
                        <a:off x="0" y="0"/>
                        <a:ext cx="114300" cy="1828800"/>
                      </a:xfrm>
                      <a:prstGeom prst="rect">
                        <a:avLst/>
                      </a:prstGeom>
                      <a:noFill/>
                      <a:ln>
                        <a:noFill/>
                      </a:ln>
                    </wps:spPr>
                    <wps:txbx>
                      <w:txbxContent>
                        <w:p w14:paraId="554CD1E9">
                          <w:pPr>
                            <w:pStyle w:val="21"/>
                          </w:pPr>
                          <w:r>
                            <w:fldChar w:fldCharType="begin"/>
                          </w:r>
                          <w:r>
                            <w:instrText xml:space="preserve"> PAGE  \* MERGEFORMAT </w:instrText>
                          </w:r>
                          <w:r>
                            <w:fldChar w:fldCharType="separate"/>
                          </w:r>
                          <w:r>
                            <w:t>9</w:t>
                          </w:r>
                          <w:r>
                            <w:fldChar w:fldCharType="end"/>
                          </w:r>
                        </w:p>
                      </w:txbxContent>
                    </wps:txbx>
                    <wps:bodyPr vert="horz" wrap="square" lIns="0" tIns="0" rIns="0" bIns="0" anchor="t" anchorCtr="0" upright="0">
                      <a:spAutoFit/>
                    </wps:bodyPr>
                  </wps:wsp>
                </a:graphicData>
              </a:graphic>
            </wp:anchor>
          </w:drawing>
        </mc:Choice>
        <mc:Fallback>
          <w:pict>
            <v:shape id="文本框 1" o:spid="_x0000_s1026" o:spt="202" type="#_x0000_t202" style="position:absolute;left:0pt;margin-top:0pt;height:144pt;width:9pt;mso-position-horizontal:center;mso-position-horizontal-relative:margin;z-index:251660288;mso-width-relative:page;mso-height-relative:page;" filled="f" stroked="f" coordsize="21600,21600" o:gfxdata="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BRT7tEAAAAEAQAADwAA&#10;AAAAAAABACAAAAAiAAAAZHJzL2Rvd25yZXYueG1sUEsBAhQAFAAAAAgAh07iQB50ud3kAQAAwAMA&#10;AA4AAAAAAAAAAQAgAAAAIAEAAGRycy9lMm9Eb2MueG1sUEsFBgAAAAAGAAYAWQEAAHYFAAAAAA==&#10;">
              <v:fill on="f" focussize="0,0"/>
              <v:stroke on="f"/>
              <v:imagedata o:title=""/>
              <o:lock v:ext="edit" aspectratio="f"/>
              <v:textbox inset="0mm,0mm,0mm,0mm" style="mso-fit-shape-to-text:t;">
                <w:txbxContent>
                  <w:p w14:paraId="554CD1E9">
                    <w:pPr>
                      <w:pStyle w:val="21"/>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2F5BC">
    <w:pPr>
      <w:pStyle w:val="21"/>
      <w:jc w:val="center"/>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7E8D5A">
                          <w:pPr>
                            <w:pStyle w:val="2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45</w:t>
                          </w:r>
                          <w:r>
                            <w:rPr>
                              <w:sz w:val="21"/>
                              <w:szCs w:val="21"/>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QSQt4BAAC/AwAADgAAAGRycy9lMm9Eb2MueG1srVPBjtMwEL0j8Q+W&#10;7zTZroS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pf09ydsDTx8/dv5x+/zj+/&#10;smXSp/exorR7T4k4vIaBtmb2R3Im2kMbbPoTIUZxUvd0UVcNyGS6tFquViWFJMXmA+EXD9d9iPhG&#10;gWXJqHmg8WVVxfFdxDF1TknVHNxpY/IIjfvLQZjJU6Texx6ThcNumAjtoDkRH3oHVKeD8IWznrag&#10;5o6WnjPz1pHIaWFmI8zGbjaEk3Sx5sjZaN7iuFgHH/S+y6uWmor+1QGp00wgtTHWnrqjuWYJph1M&#10;i/PnOWc9vLv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8FBJC3gEAAL8DAAAOAAAAAAAA&#10;AAEAIAAAAB4BAABkcnMvZTJvRG9jLnhtbFBLBQYAAAAABgAGAFkBAABuBQAAAAA=&#10;">
              <v:fill on="f" focussize="0,0"/>
              <v:stroke on="f"/>
              <v:imagedata o:title=""/>
              <o:lock v:ext="edit" aspectratio="f"/>
              <v:textbox inset="0mm,0mm,0mm,0mm" style="mso-fit-shape-to-text:t;">
                <w:txbxContent>
                  <w:p w14:paraId="7A7E8D5A">
                    <w:pPr>
                      <w:pStyle w:val="2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45</w:t>
                    </w:r>
                    <w:r>
                      <w:rPr>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84B14">
    <w:pPr>
      <w:pStyle w:val="21"/>
      <w:jc w:val="center"/>
      <w:rPr>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EBE156">
                          <w:pPr>
                            <w:pStyle w:val="21"/>
                          </w:pPr>
                          <w:r>
                            <w:fldChar w:fldCharType="begin"/>
                          </w:r>
                          <w:r>
                            <w:instrText xml:space="preserve"> PAGE  \* MERGEFORMAT </w:instrText>
                          </w:r>
                          <w:r>
                            <w:fldChar w:fldCharType="separate"/>
                          </w:r>
                          <w:r>
                            <w:t>64</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854Bt8BAAC/AwAADgAAAAAA&#10;AAABACAAAAAeAQAAZHJzL2Uyb0RvYy54bWxQSwUGAAAAAAYABgBZAQAAbwUAAAAA&#10;">
              <v:fill on="f" focussize="0,0"/>
              <v:stroke on="f"/>
              <v:imagedata o:title=""/>
              <o:lock v:ext="edit" aspectratio="f"/>
              <v:textbox inset="0mm,0mm,0mm,0mm" style="mso-fit-shape-to-text:t;">
                <w:txbxContent>
                  <w:p w14:paraId="56EBE156">
                    <w:pPr>
                      <w:pStyle w:val="2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7D4D9">
    <w:pPr>
      <w:pStyle w:val="21"/>
      <w:jc w:val="center"/>
      <w:rPr>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AC6733">
                          <w:pPr>
                            <w:pStyle w:val="21"/>
                          </w:pPr>
                          <w:r>
                            <w:fldChar w:fldCharType="begin"/>
                          </w:r>
                          <w:r>
                            <w:instrText xml:space="preserve"> PAGE  \* MERGEFORMAT </w:instrText>
                          </w:r>
                          <w:r>
                            <w:fldChar w:fldCharType="separate"/>
                          </w:r>
                          <w:r>
                            <w:t>64</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SchRo98BAAC/AwAADgAAAAAA&#10;AAABACAAAAAeAQAAZHJzL2Uyb0RvYy54bWxQSwUGAAAAAAYABgBZAQAAbwUAAAAA&#10;">
              <v:fill on="f" focussize="0,0"/>
              <v:stroke on="f"/>
              <v:imagedata o:title=""/>
              <o:lock v:ext="edit" aspectratio="f"/>
              <v:textbox inset="0mm,0mm,0mm,0mm" style="mso-fit-shape-to-text:t;">
                <w:txbxContent>
                  <w:p w14:paraId="4EAC6733">
                    <w:pPr>
                      <w:pStyle w:val="2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4A293">
    <w:pPr>
      <w:adjustRightInd w:val="0"/>
      <w:snapToGrid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 w:name="KSO_WPS_MARK_KEY" w:val="e928867d-da26-4d7a-9632-ff359b7540ec"/>
  </w:docVars>
  <w:rsids>
    <w:rsidRoot w:val="00172A27"/>
    <w:rsid w:val="00002A52"/>
    <w:rsid w:val="00006DE2"/>
    <w:rsid w:val="00007EB8"/>
    <w:rsid w:val="0001086D"/>
    <w:rsid w:val="00010AFA"/>
    <w:rsid w:val="00020523"/>
    <w:rsid w:val="00024E04"/>
    <w:rsid w:val="00026017"/>
    <w:rsid w:val="00052DDB"/>
    <w:rsid w:val="000544B8"/>
    <w:rsid w:val="00057BA8"/>
    <w:rsid w:val="000603C0"/>
    <w:rsid w:val="000607D0"/>
    <w:rsid w:val="00075958"/>
    <w:rsid w:val="000766E3"/>
    <w:rsid w:val="00081F57"/>
    <w:rsid w:val="000843BD"/>
    <w:rsid w:val="000A1B54"/>
    <w:rsid w:val="000A1BD3"/>
    <w:rsid w:val="000A52CE"/>
    <w:rsid w:val="000C594B"/>
    <w:rsid w:val="000D04FA"/>
    <w:rsid w:val="000D3310"/>
    <w:rsid w:val="000D4D37"/>
    <w:rsid w:val="000E14D7"/>
    <w:rsid w:val="000F40E1"/>
    <w:rsid w:val="001129AB"/>
    <w:rsid w:val="0011630F"/>
    <w:rsid w:val="00124D5B"/>
    <w:rsid w:val="00132142"/>
    <w:rsid w:val="00132C0A"/>
    <w:rsid w:val="00133397"/>
    <w:rsid w:val="00136767"/>
    <w:rsid w:val="00145650"/>
    <w:rsid w:val="00147691"/>
    <w:rsid w:val="001505EE"/>
    <w:rsid w:val="00150B4C"/>
    <w:rsid w:val="00151F3E"/>
    <w:rsid w:val="00152A61"/>
    <w:rsid w:val="00156B68"/>
    <w:rsid w:val="00162595"/>
    <w:rsid w:val="00172A27"/>
    <w:rsid w:val="00172DAC"/>
    <w:rsid w:val="00173CD6"/>
    <w:rsid w:val="00183F35"/>
    <w:rsid w:val="00194398"/>
    <w:rsid w:val="00195273"/>
    <w:rsid w:val="001A0428"/>
    <w:rsid w:val="001A52BD"/>
    <w:rsid w:val="001A6F5A"/>
    <w:rsid w:val="001C01BB"/>
    <w:rsid w:val="001C3FBF"/>
    <w:rsid w:val="001D3422"/>
    <w:rsid w:val="001E7B81"/>
    <w:rsid w:val="001F1999"/>
    <w:rsid w:val="001F1DBE"/>
    <w:rsid w:val="001F2695"/>
    <w:rsid w:val="001F3F1B"/>
    <w:rsid w:val="00206316"/>
    <w:rsid w:val="00216222"/>
    <w:rsid w:val="00221673"/>
    <w:rsid w:val="00241CB1"/>
    <w:rsid w:val="002702D4"/>
    <w:rsid w:val="0027136F"/>
    <w:rsid w:val="00276FC1"/>
    <w:rsid w:val="00284455"/>
    <w:rsid w:val="00291317"/>
    <w:rsid w:val="00293F6B"/>
    <w:rsid w:val="00297EF7"/>
    <w:rsid w:val="002A2175"/>
    <w:rsid w:val="002A494B"/>
    <w:rsid w:val="002A62C6"/>
    <w:rsid w:val="002B3949"/>
    <w:rsid w:val="002C26A8"/>
    <w:rsid w:val="002D3F70"/>
    <w:rsid w:val="002F45A7"/>
    <w:rsid w:val="002F4E2C"/>
    <w:rsid w:val="00306B4B"/>
    <w:rsid w:val="003133D7"/>
    <w:rsid w:val="00314CA9"/>
    <w:rsid w:val="0031564C"/>
    <w:rsid w:val="00320EFB"/>
    <w:rsid w:val="00324E25"/>
    <w:rsid w:val="00337EC6"/>
    <w:rsid w:val="003405C9"/>
    <w:rsid w:val="003454E3"/>
    <w:rsid w:val="00345EA9"/>
    <w:rsid w:val="00346443"/>
    <w:rsid w:val="00362DBF"/>
    <w:rsid w:val="003644ED"/>
    <w:rsid w:val="00370547"/>
    <w:rsid w:val="00372FDF"/>
    <w:rsid w:val="00374581"/>
    <w:rsid w:val="0038296E"/>
    <w:rsid w:val="00386CE8"/>
    <w:rsid w:val="00387278"/>
    <w:rsid w:val="003A0DC0"/>
    <w:rsid w:val="003A3547"/>
    <w:rsid w:val="003A4D67"/>
    <w:rsid w:val="003A6AB7"/>
    <w:rsid w:val="003B102D"/>
    <w:rsid w:val="003B2DE7"/>
    <w:rsid w:val="003B4613"/>
    <w:rsid w:val="003D06F3"/>
    <w:rsid w:val="003D139B"/>
    <w:rsid w:val="003D5508"/>
    <w:rsid w:val="003E3849"/>
    <w:rsid w:val="003E3AE3"/>
    <w:rsid w:val="003E6BD2"/>
    <w:rsid w:val="003F0414"/>
    <w:rsid w:val="003F6658"/>
    <w:rsid w:val="003F6BEB"/>
    <w:rsid w:val="00400D44"/>
    <w:rsid w:val="00411C83"/>
    <w:rsid w:val="00425B4A"/>
    <w:rsid w:val="00460AA8"/>
    <w:rsid w:val="00471F15"/>
    <w:rsid w:val="00476488"/>
    <w:rsid w:val="00480CF7"/>
    <w:rsid w:val="004904E9"/>
    <w:rsid w:val="00493091"/>
    <w:rsid w:val="004A22A0"/>
    <w:rsid w:val="004A22F7"/>
    <w:rsid w:val="004B0E56"/>
    <w:rsid w:val="004C6CC0"/>
    <w:rsid w:val="004C760A"/>
    <w:rsid w:val="004C7CB1"/>
    <w:rsid w:val="004D308F"/>
    <w:rsid w:val="004E499A"/>
    <w:rsid w:val="004F58C6"/>
    <w:rsid w:val="004F7E47"/>
    <w:rsid w:val="0050072C"/>
    <w:rsid w:val="00501BDC"/>
    <w:rsid w:val="00505B79"/>
    <w:rsid w:val="005175CB"/>
    <w:rsid w:val="00540BBC"/>
    <w:rsid w:val="00545C27"/>
    <w:rsid w:val="00545DA7"/>
    <w:rsid w:val="00557826"/>
    <w:rsid w:val="005650F3"/>
    <w:rsid w:val="00587B00"/>
    <w:rsid w:val="00587C5C"/>
    <w:rsid w:val="00594346"/>
    <w:rsid w:val="005B41B8"/>
    <w:rsid w:val="005B6153"/>
    <w:rsid w:val="005B6CBE"/>
    <w:rsid w:val="005B7643"/>
    <w:rsid w:val="005C2105"/>
    <w:rsid w:val="005C2817"/>
    <w:rsid w:val="005D4414"/>
    <w:rsid w:val="005E54C4"/>
    <w:rsid w:val="005F5E6F"/>
    <w:rsid w:val="005F709C"/>
    <w:rsid w:val="00606AB2"/>
    <w:rsid w:val="006072F3"/>
    <w:rsid w:val="0062033B"/>
    <w:rsid w:val="00641978"/>
    <w:rsid w:val="00643E0E"/>
    <w:rsid w:val="0064488C"/>
    <w:rsid w:val="00647EAE"/>
    <w:rsid w:val="00651E62"/>
    <w:rsid w:val="00661F15"/>
    <w:rsid w:val="0066696F"/>
    <w:rsid w:val="00666BE0"/>
    <w:rsid w:val="00667598"/>
    <w:rsid w:val="00677EEE"/>
    <w:rsid w:val="006A065D"/>
    <w:rsid w:val="006A0B2E"/>
    <w:rsid w:val="006A12AF"/>
    <w:rsid w:val="006A1983"/>
    <w:rsid w:val="006C1D35"/>
    <w:rsid w:val="006C1E43"/>
    <w:rsid w:val="006D1D04"/>
    <w:rsid w:val="006E094B"/>
    <w:rsid w:val="006E67DE"/>
    <w:rsid w:val="006F06B8"/>
    <w:rsid w:val="006F09B7"/>
    <w:rsid w:val="006F648C"/>
    <w:rsid w:val="007055F6"/>
    <w:rsid w:val="00725F09"/>
    <w:rsid w:val="007356D3"/>
    <w:rsid w:val="00741540"/>
    <w:rsid w:val="00743734"/>
    <w:rsid w:val="0075512A"/>
    <w:rsid w:val="00757A01"/>
    <w:rsid w:val="00764DC8"/>
    <w:rsid w:val="00772C77"/>
    <w:rsid w:val="0077602A"/>
    <w:rsid w:val="0078387F"/>
    <w:rsid w:val="00795DFA"/>
    <w:rsid w:val="00797886"/>
    <w:rsid w:val="007C12ED"/>
    <w:rsid w:val="007D00C0"/>
    <w:rsid w:val="007D5970"/>
    <w:rsid w:val="007F0869"/>
    <w:rsid w:val="007F53C3"/>
    <w:rsid w:val="00807F0C"/>
    <w:rsid w:val="00832770"/>
    <w:rsid w:val="0083382F"/>
    <w:rsid w:val="00844420"/>
    <w:rsid w:val="008457BC"/>
    <w:rsid w:val="00873004"/>
    <w:rsid w:val="008736F6"/>
    <w:rsid w:val="008776A2"/>
    <w:rsid w:val="008834C2"/>
    <w:rsid w:val="00890BA8"/>
    <w:rsid w:val="008B494E"/>
    <w:rsid w:val="008B7458"/>
    <w:rsid w:val="008D6323"/>
    <w:rsid w:val="008E258C"/>
    <w:rsid w:val="008E7D34"/>
    <w:rsid w:val="008F29E4"/>
    <w:rsid w:val="008F537F"/>
    <w:rsid w:val="008F68D1"/>
    <w:rsid w:val="009140B5"/>
    <w:rsid w:val="00917A78"/>
    <w:rsid w:val="009215AF"/>
    <w:rsid w:val="00924D37"/>
    <w:rsid w:val="00927779"/>
    <w:rsid w:val="009377C5"/>
    <w:rsid w:val="00945A6F"/>
    <w:rsid w:val="00946118"/>
    <w:rsid w:val="00954ADA"/>
    <w:rsid w:val="0096541F"/>
    <w:rsid w:val="00966140"/>
    <w:rsid w:val="0099128C"/>
    <w:rsid w:val="00991E2C"/>
    <w:rsid w:val="0099779C"/>
    <w:rsid w:val="009C50BB"/>
    <w:rsid w:val="009D5292"/>
    <w:rsid w:val="009E0C1E"/>
    <w:rsid w:val="009F2521"/>
    <w:rsid w:val="009F3B65"/>
    <w:rsid w:val="009F72AD"/>
    <w:rsid w:val="00A044C0"/>
    <w:rsid w:val="00A05FC0"/>
    <w:rsid w:val="00A33D5D"/>
    <w:rsid w:val="00A354BD"/>
    <w:rsid w:val="00A62854"/>
    <w:rsid w:val="00A6297B"/>
    <w:rsid w:val="00A6516E"/>
    <w:rsid w:val="00A660DE"/>
    <w:rsid w:val="00A675AF"/>
    <w:rsid w:val="00A72F83"/>
    <w:rsid w:val="00A74C89"/>
    <w:rsid w:val="00A91137"/>
    <w:rsid w:val="00A913B2"/>
    <w:rsid w:val="00A92097"/>
    <w:rsid w:val="00AB1C1F"/>
    <w:rsid w:val="00AC0043"/>
    <w:rsid w:val="00AD2338"/>
    <w:rsid w:val="00AE25FD"/>
    <w:rsid w:val="00AF1A73"/>
    <w:rsid w:val="00AF3983"/>
    <w:rsid w:val="00B024C1"/>
    <w:rsid w:val="00B043A1"/>
    <w:rsid w:val="00B071BC"/>
    <w:rsid w:val="00B15992"/>
    <w:rsid w:val="00B253AA"/>
    <w:rsid w:val="00B52690"/>
    <w:rsid w:val="00B5439C"/>
    <w:rsid w:val="00B54AE2"/>
    <w:rsid w:val="00B55B84"/>
    <w:rsid w:val="00B904D0"/>
    <w:rsid w:val="00B924A3"/>
    <w:rsid w:val="00B9322B"/>
    <w:rsid w:val="00BA0246"/>
    <w:rsid w:val="00BA10DF"/>
    <w:rsid w:val="00BA1ED4"/>
    <w:rsid w:val="00BA2695"/>
    <w:rsid w:val="00BA7F70"/>
    <w:rsid w:val="00BB59D4"/>
    <w:rsid w:val="00BC0D29"/>
    <w:rsid w:val="00BD4221"/>
    <w:rsid w:val="00BE06A1"/>
    <w:rsid w:val="00BE787C"/>
    <w:rsid w:val="00BF0425"/>
    <w:rsid w:val="00BF0747"/>
    <w:rsid w:val="00BF215B"/>
    <w:rsid w:val="00BF4989"/>
    <w:rsid w:val="00C07417"/>
    <w:rsid w:val="00C100EE"/>
    <w:rsid w:val="00C13D55"/>
    <w:rsid w:val="00C269AA"/>
    <w:rsid w:val="00C32614"/>
    <w:rsid w:val="00C42E3C"/>
    <w:rsid w:val="00C45FB7"/>
    <w:rsid w:val="00C5123E"/>
    <w:rsid w:val="00C52B06"/>
    <w:rsid w:val="00C53703"/>
    <w:rsid w:val="00C53F29"/>
    <w:rsid w:val="00C606CC"/>
    <w:rsid w:val="00C7045E"/>
    <w:rsid w:val="00C911C7"/>
    <w:rsid w:val="00C918D7"/>
    <w:rsid w:val="00CA1FAF"/>
    <w:rsid w:val="00CA7B60"/>
    <w:rsid w:val="00CB324F"/>
    <w:rsid w:val="00CB6151"/>
    <w:rsid w:val="00CC336D"/>
    <w:rsid w:val="00CD0A5C"/>
    <w:rsid w:val="00CF2FC6"/>
    <w:rsid w:val="00CF3238"/>
    <w:rsid w:val="00CF4E13"/>
    <w:rsid w:val="00D005F9"/>
    <w:rsid w:val="00D0121A"/>
    <w:rsid w:val="00D06852"/>
    <w:rsid w:val="00D21A89"/>
    <w:rsid w:val="00D2565C"/>
    <w:rsid w:val="00D32628"/>
    <w:rsid w:val="00D3381F"/>
    <w:rsid w:val="00D431C4"/>
    <w:rsid w:val="00D43D57"/>
    <w:rsid w:val="00D471F7"/>
    <w:rsid w:val="00D63D7E"/>
    <w:rsid w:val="00D6668B"/>
    <w:rsid w:val="00D67845"/>
    <w:rsid w:val="00D7016D"/>
    <w:rsid w:val="00D755A8"/>
    <w:rsid w:val="00D8122E"/>
    <w:rsid w:val="00D90F2E"/>
    <w:rsid w:val="00DB14A9"/>
    <w:rsid w:val="00DC4BCA"/>
    <w:rsid w:val="00DD3A14"/>
    <w:rsid w:val="00DE5FA5"/>
    <w:rsid w:val="00DE7267"/>
    <w:rsid w:val="00E065F6"/>
    <w:rsid w:val="00E1649D"/>
    <w:rsid w:val="00E20FA2"/>
    <w:rsid w:val="00E3402E"/>
    <w:rsid w:val="00E422BB"/>
    <w:rsid w:val="00E50D1B"/>
    <w:rsid w:val="00E637D5"/>
    <w:rsid w:val="00E80E32"/>
    <w:rsid w:val="00E86763"/>
    <w:rsid w:val="00E869A6"/>
    <w:rsid w:val="00E87291"/>
    <w:rsid w:val="00E879E9"/>
    <w:rsid w:val="00E91E97"/>
    <w:rsid w:val="00E94BEF"/>
    <w:rsid w:val="00E967B7"/>
    <w:rsid w:val="00EB23A7"/>
    <w:rsid w:val="00ED5BC7"/>
    <w:rsid w:val="00ED7071"/>
    <w:rsid w:val="00EF1FF9"/>
    <w:rsid w:val="00EF535B"/>
    <w:rsid w:val="00EF665A"/>
    <w:rsid w:val="00F04F6E"/>
    <w:rsid w:val="00F14934"/>
    <w:rsid w:val="00F15710"/>
    <w:rsid w:val="00F202B5"/>
    <w:rsid w:val="00F403AD"/>
    <w:rsid w:val="00F4426A"/>
    <w:rsid w:val="00F46735"/>
    <w:rsid w:val="00F63891"/>
    <w:rsid w:val="00F656CA"/>
    <w:rsid w:val="00F67A78"/>
    <w:rsid w:val="00F8005B"/>
    <w:rsid w:val="00F81FD2"/>
    <w:rsid w:val="00F82477"/>
    <w:rsid w:val="00F82668"/>
    <w:rsid w:val="00F83B82"/>
    <w:rsid w:val="00F9089F"/>
    <w:rsid w:val="00F91D35"/>
    <w:rsid w:val="00FA557A"/>
    <w:rsid w:val="00FB0CA9"/>
    <w:rsid w:val="00FC676E"/>
    <w:rsid w:val="00FD0106"/>
    <w:rsid w:val="00FF355C"/>
    <w:rsid w:val="010815BD"/>
    <w:rsid w:val="011441E3"/>
    <w:rsid w:val="0117225E"/>
    <w:rsid w:val="011B0BE7"/>
    <w:rsid w:val="01227D26"/>
    <w:rsid w:val="01242FAB"/>
    <w:rsid w:val="012810B4"/>
    <w:rsid w:val="012A6A09"/>
    <w:rsid w:val="012D5C29"/>
    <w:rsid w:val="01310644"/>
    <w:rsid w:val="01396E1E"/>
    <w:rsid w:val="013C246A"/>
    <w:rsid w:val="01474DD9"/>
    <w:rsid w:val="014F03EF"/>
    <w:rsid w:val="01543C57"/>
    <w:rsid w:val="01625345"/>
    <w:rsid w:val="01897A55"/>
    <w:rsid w:val="019462D8"/>
    <w:rsid w:val="01A14621"/>
    <w:rsid w:val="01A219EF"/>
    <w:rsid w:val="01A93FA3"/>
    <w:rsid w:val="01B13A81"/>
    <w:rsid w:val="01B97F5E"/>
    <w:rsid w:val="01BF37C7"/>
    <w:rsid w:val="01C62A5D"/>
    <w:rsid w:val="01C8120F"/>
    <w:rsid w:val="01D1410B"/>
    <w:rsid w:val="01D71AA2"/>
    <w:rsid w:val="01E2152F"/>
    <w:rsid w:val="01ED3FA5"/>
    <w:rsid w:val="01F45FC2"/>
    <w:rsid w:val="01F5545C"/>
    <w:rsid w:val="01FF3BC3"/>
    <w:rsid w:val="02040DDC"/>
    <w:rsid w:val="020932F2"/>
    <w:rsid w:val="021138F7"/>
    <w:rsid w:val="021464A0"/>
    <w:rsid w:val="02181129"/>
    <w:rsid w:val="021B4FD3"/>
    <w:rsid w:val="022003FE"/>
    <w:rsid w:val="022950E4"/>
    <w:rsid w:val="02353A89"/>
    <w:rsid w:val="02383A9F"/>
    <w:rsid w:val="023C6E50"/>
    <w:rsid w:val="023D2916"/>
    <w:rsid w:val="02466519"/>
    <w:rsid w:val="025536E3"/>
    <w:rsid w:val="02555E0A"/>
    <w:rsid w:val="02635483"/>
    <w:rsid w:val="026631A3"/>
    <w:rsid w:val="02664E64"/>
    <w:rsid w:val="026659F0"/>
    <w:rsid w:val="026B1259"/>
    <w:rsid w:val="02755707"/>
    <w:rsid w:val="027C6214"/>
    <w:rsid w:val="02802F95"/>
    <w:rsid w:val="02991AAA"/>
    <w:rsid w:val="029F46AA"/>
    <w:rsid w:val="02A07707"/>
    <w:rsid w:val="02A65506"/>
    <w:rsid w:val="02B26B53"/>
    <w:rsid w:val="02B764BA"/>
    <w:rsid w:val="02C20F7E"/>
    <w:rsid w:val="02C34FED"/>
    <w:rsid w:val="02C37326"/>
    <w:rsid w:val="02CA434C"/>
    <w:rsid w:val="02CE256F"/>
    <w:rsid w:val="02DD27B4"/>
    <w:rsid w:val="02EA1D19"/>
    <w:rsid w:val="02EB070E"/>
    <w:rsid w:val="02F8690B"/>
    <w:rsid w:val="02FC1F43"/>
    <w:rsid w:val="02FD4204"/>
    <w:rsid w:val="03183031"/>
    <w:rsid w:val="03215DBB"/>
    <w:rsid w:val="032C56E1"/>
    <w:rsid w:val="032F04D8"/>
    <w:rsid w:val="03305436"/>
    <w:rsid w:val="033B1269"/>
    <w:rsid w:val="033F4339"/>
    <w:rsid w:val="035317A5"/>
    <w:rsid w:val="03564697"/>
    <w:rsid w:val="035665E7"/>
    <w:rsid w:val="036B7036"/>
    <w:rsid w:val="03726445"/>
    <w:rsid w:val="03756275"/>
    <w:rsid w:val="037800D1"/>
    <w:rsid w:val="037830CE"/>
    <w:rsid w:val="03925EFB"/>
    <w:rsid w:val="039772DC"/>
    <w:rsid w:val="03A05B7A"/>
    <w:rsid w:val="03BC7BF9"/>
    <w:rsid w:val="03BE3114"/>
    <w:rsid w:val="03C26CC0"/>
    <w:rsid w:val="03C87D16"/>
    <w:rsid w:val="03D64DF8"/>
    <w:rsid w:val="03DE3E30"/>
    <w:rsid w:val="03E30DBA"/>
    <w:rsid w:val="03EB3FD8"/>
    <w:rsid w:val="03EC63C9"/>
    <w:rsid w:val="03FE6823"/>
    <w:rsid w:val="040C727D"/>
    <w:rsid w:val="041D6583"/>
    <w:rsid w:val="04207F7E"/>
    <w:rsid w:val="04264660"/>
    <w:rsid w:val="042C4A18"/>
    <w:rsid w:val="0438285F"/>
    <w:rsid w:val="0439648F"/>
    <w:rsid w:val="043A3ABC"/>
    <w:rsid w:val="043B7FDC"/>
    <w:rsid w:val="0442389F"/>
    <w:rsid w:val="044C7BCA"/>
    <w:rsid w:val="04500A4D"/>
    <w:rsid w:val="04545D1C"/>
    <w:rsid w:val="04575FB0"/>
    <w:rsid w:val="04585F75"/>
    <w:rsid w:val="04714B20"/>
    <w:rsid w:val="04781CC1"/>
    <w:rsid w:val="047839EA"/>
    <w:rsid w:val="047C7FFD"/>
    <w:rsid w:val="047F3707"/>
    <w:rsid w:val="048136BE"/>
    <w:rsid w:val="04876D6F"/>
    <w:rsid w:val="04882E1A"/>
    <w:rsid w:val="049125AB"/>
    <w:rsid w:val="04966335"/>
    <w:rsid w:val="049A650E"/>
    <w:rsid w:val="049F7ED1"/>
    <w:rsid w:val="04A314FA"/>
    <w:rsid w:val="04A621EC"/>
    <w:rsid w:val="04A66578"/>
    <w:rsid w:val="04AE18D1"/>
    <w:rsid w:val="04B61230"/>
    <w:rsid w:val="04C84AE0"/>
    <w:rsid w:val="04D05CEB"/>
    <w:rsid w:val="04D07505"/>
    <w:rsid w:val="04E0457F"/>
    <w:rsid w:val="04EE2F52"/>
    <w:rsid w:val="04F96FF0"/>
    <w:rsid w:val="05037275"/>
    <w:rsid w:val="05137986"/>
    <w:rsid w:val="0522754A"/>
    <w:rsid w:val="054459CC"/>
    <w:rsid w:val="05453FE3"/>
    <w:rsid w:val="0566751F"/>
    <w:rsid w:val="05685F23"/>
    <w:rsid w:val="0569770A"/>
    <w:rsid w:val="056A6038"/>
    <w:rsid w:val="056B499D"/>
    <w:rsid w:val="056C2924"/>
    <w:rsid w:val="057F168D"/>
    <w:rsid w:val="058B4D26"/>
    <w:rsid w:val="058F552C"/>
    <w:rsid w:val="059E2BC7"/>
    <w:rsid w:val="05AD1B88"/>
    <w:rsid w:val="05B00D44"/>
    <w:rsid w:val="05BF70EF"/>
    <w:rsid w:val="05CA7AF0"/>
    <w:rsid w:val="05D5738F"/>
    <w:rsid w:val="05DF6DE6"/>
    <w:rsid w:val="05E27113"/>
    <w:rsid w:val="05E541E6"/>
    <w:rsid w:val="05EE338F"/>
    <w:rsid w:val="05F14926"/>
    <w:rsid w:val="05F908CF"/>
    <w:rsid w:val="05FF70F4"/>
    <w:rsid w:val="060B26E3"/>
    <w:rsid w:val="06136115"/>
    <w:rsid w:val="06164185"/>
    <w:rsid w:val="062F07EF"/>
    <w:rsid w:val="06352876"/>
    <w:rsid w:val="0636392C"/>
    <w:rsid w:val="063E4E6F"/>
    <w:rsid w:val="06485C90"/>
    <w:rsid w:val="06494BA3"/>
    <w:rsid w:val="064B0A03"/>
    <w:rsid w:val="064E0198"/>
    <w:rsid w:val="065B48EF"/>
    <w:rsid w:val="0667072F"/>
    <w:rsid w:val="06684230"/>
    <w:rsid w:val="069006FA"/>
    <w:rsid w:val="06982838"/>
    <w:rsid w:val="06A53EA0"/>
    <w:rsid w:val="06AD639E"/>
    <w:rsid w:val="06B85A80"/>
    <w:rsid w:val="06C66480"/>
    <w:rsid w:val="06EA517D"/>
    <w:rsid w:val="06EB53E9"/>
    <w:rsid w:val="06F02F69"/>
    <w:rsid w:val="06F12AD1"/>
    <w:rsid w:val="06F3113D"/>
    <w:rsid w:val="06F909A4"/>
    <w:rsid w:val="070C0DEF"/>
    <w:rsid w:val="070D6D82"/>
    <w:rsid w:val="070E78A0"/>
    <w:rsid w:val="07110358"/>
    <w:rsid w:val="07121355"/>
    <w:rsid w:val="07124F0D"/>
    <w:rsid w:val="07144A20"/>
    <w:rsid w:val="07395CFF"/>
    <w:rsid w:val="073B46FA"/>
    <w:rsid w:val="07493BEC"/>
    <w:rsid w:val="0749572A"/>
    <w:rsid w:val="074A494A"/>
    <w:rsid w:val="074C1277"/>
    <w:rsid w:val="075320FD"/>
    <w:rsid w:val="0763102A"/>
    <w:rsid w:val="07646AA2"/>
    <w:rsid w:val="076626EC"/>
    <w:rsid w:val="07735B9E"/>
    <w:rsid w:val="07736157"/>
    <w:rsid w:val="07761240"/>
    <w:rsid w:val="078477B1"/>
    <w:rsid w:val="07921036"/>
    <w:rsid w:val="07921A26"/>
    <w:rsid w:val="07943D2D"/>
    <w:rsid w:val="0795583B"/>
    <w:rsid w:val="079F0EF6"/>
    <w:rsid w:val="07A10088"/>
    <w:rsid w:val="07A50AEA"/>
    <w:rsid w:val="07A60EF3"/>
    <w:rsid w:val="07AA0860"/>
    <w:rsid w:val="07AB0349"/>
    <w:rsid w:val="07AC0D79"/>
    <w:rsid w:val="07AC3AE9"/>
    <w:rsid w:val="07AC46EA"/>
    <w:rsid w:val="07B84521"/>
    <w:rsid w:val="07B9471A"/>
    <w:rsid w:val="07BA7FBE"/>
    <w:rsid w:val="07C210A3"/>
    <w:rsid w:val="07C84BB8"/>
    <w:rsid w:val="07CF794E"/>
    <w:rsid w:val="07D2646F"/>
    <w:rsid w:val="07D929EA"/>
    <w:rsid w:val="07DD6E5B"/>
    <w:rsid w:val="07DE24CD"/>
    <w:rsid w:val="07DF2714"/>
    <w:rsid w:val="07E071FA"/>
    <w:rsid w:val="07E441CD"/>
    <w:rsid w:val="07E44FED"/>
    <w:rsid w:val="07EA182A"/>
    <w:rsid w:val="07F36916"/>
    <w:rsid w:val="07F4764F"/>
    <w:rsid w:val="07F81671"/>
    <w:rsid w:val="08051957"/>
    <w:rsid w:val="08145EEF"/>
    <w:rsid w:val="081F1FD3"/>
    <w:rsid w:val="08211817"/>
    <w:rsid w:val="08344470"/>
    <w:rsid w:val="0837658A"/>
    <w:rsid w:val="083D6CE1"/>
    <w:rsid w:val="085245E8"/>
    <w:rsid w:val="08525A3E"/>
    <w:rsid w:val="085C1A5C"/>
    <w:rsid w:val="085D2B61"/>
    <w:rsid w:val="0873532F"/>
    <w:rsid w:val="08830A69"/>
    <w:rsid w:val="08835A7B"/>
    <w:rsid w:val="088570D7"/>
    <w:rsid w:val="08911BBF"/>
    <w:rsid w:val="08947A4D"/>
    <w:rsid w:val="089773F0"/>
    <w:rsid w:val="089F3D1E"/>
    <w:rsid w:val="08A2799E"/>
    <w:rsid w:val="08A6123D"/>
    <w:rsid w:val="08AD003A"/>
    <w:rsid w:val="08BA7A87"/>
    <w:rsid w:val="08BC7CC8"/>
    <w:rsid w:val="08BF3C51"/>
    <w:rsid w:val="08C377F7"/>
    <w:rsid w:val="08C758BE"/>
    <w:rsid w:val="08CF4189"/>
    <w:rsid w:val="08E4342C"/>
    <w:rsid w:val="08E51989"/>
    <w:rsid w:val="08E53E93"/>
    <w:rsid w:val="08E900C6"/>
    <w:rsid w:val="08EF6D66"/>
    <w:rsid w:val="090221EB"/>
    <w:rsid w:val="09043CB6"/>
    <w:rsid w:val="090715AF"/>
    <w:rsid w:val="090B3A81"/>
    <w:rsid w:val="09181A0E"/>
    <w:rsid w:val="09212671"/>
    <w:rsid w:val="093268FE"/>
    <w:rsid w:val="093525C0"/>
    <w:rsid w:val="09465076"/>
    <w:rsid w:val="09473DCF"/>
    <w:rsid w:val="095C5ACD"/>
    <w:rsid w:val="095F0D49"/>
    <w:rsid w:val="09695634"/>
    <w:rsid w:val="096C34E4"/>
    <w:rsid w:val="097C1297"/>
    <w:rsid w:val="097F1A8E"/>
    <w:rsid w:val="09885A2E"/>
    <w:rsid w:val="09906E40"/>
    <w:rsid w:val="09981712"/>
    <w:rsid w:val="099C619C"/>
    <w:rsid w:val="099E1F14"/>
    <w:rsid w:val="09A57878"/>
    <w:rsid w:val="09A85673"/>
    <w:rsid w:val="09AF2373"/>
    <w:rsid w:val="09AF5ECF"/>
    <w:rsid w:val="09B47989"/>
    <w:rsid w:val="09BA1909"/>
    <w:rsid w:val="09BD7309"/>
    <w:rsid w:val="09C82713"/>
    <w:rsid w:val="09C9280D"/>
    <w:rsid w:val="09E0168C"/>
    <w:rsid w:val="09EE4050"/>
    <w:rsid w:val="09F076F7"/>
    <w:rsid w:val="09F25085"/>
    <w:rsid w:val="0A0B50CF"/>
    <w:rsid w:val="0A0C17EE"/>
    <w:rsid w:val="0A0D714B"/>
    <w:rsid w:val="0A1003E0"/>
    <w:rsid w:val="0A1A2AD0"/>
    <w:rsid w:val="0A1F61AB"/>
    <w:rsid w:val="0A265207"/>
    <w:rsid w:val="0A2A1592"/>
    <w:rsid w:val="0A300E3A"/>
    <w:rsid w:val="0A3323B7"/>
    <w:rsid w:val="0A393703"/>
    <w:rsid w:val="0A430D0D"/>
    <w:rsid w:val="0A43460C"/>
    <w:rsid w:val="0A451B9D"/>
    <w:rsid w:val="0A4774DD"/>
    <w:rsid w:val="0A48414E"/>
    <w:rsid w:val="0A4B1C7D"/>
    <w:rsid w:val="0A4D4361"/>
    <w:rsid w:val="0A577E23"/>
    <w:rsid w:val="0A5D080F"/>
    <w:rsid w:val="0A6B16C2"/>
    <w:rsid w:val="0A6B61DB"/>
    <w:rsid w:val="0A6F0DF5"/>
    <w:rsid w:val="0A7C685F"/>
    <w:rsid w:val="0A7D47D1"/>
    <w:rsid w:val="0A807AAC"/>
    <w:rsid w:val="0A877B5C"/>
    <w:rsid w:val="0A906E71"/>
    <w:rsid w:val="0A934F07"/>
    <w:rsid w:val="0A992B5B"/>
    <w:rsid w:val="0AA03B6F"/>
    <w:rsid w:val="0AA409F7"/>
    <w:rsid w:val="0ABA11FF"/>
    <w:rsid w:val="0AC10529"/>
    <w:rsid w:val="0AC513DB"/>
    <w:rsid w:val="0AC659BA"/>
    <w:rsid w:val="0AC746E3"/>
    <w:rsid w:val="0AD365D9"/>
    <w:rsid w:val="0ADA77F5"/>
    <w:rsid w:val="0AE3645A"/>
    <w:rsid w:val="0AE53B72"/>
    <w:rsid w:val="0AE91E42"/>
    <w:rsid w:val="0AEA63B7"/>
    <w:rsid w:val="0B077F8D"/>
    <w:rsid w:val="0B102D9C"/>
    <w:rsid w:val="0B332DB3"/>
    <w:rsid w:val="0B3411EA"/>
    <w:rsid w:val="0B4755AF"/>
    <w:rsid w:val="0B4E0D63"/>
    <w:rsid w:val="0B5E6887"/>
    <w:rsid w:val="0B635AD7"/>
    <w:rsid w:val="0B6B6D5B"/>
    <w:rsid w:val="0B6C778F"/>
    <w:rsid w:val="0B90093A"/>
    <w:rsid w:val="0B900F77"/>
    <w:rsid w:val="0B910C74"/>
    <w:rsid w:val="0B9323ED"/>
    <w:rsid w:val="0B983D15"/>
    <w:rsid w:val="0BA252A9"/>
    <w:rsid w:val="0BAC4797"/>
    <w:rsid w:val="0BAD344F"/>
    <w:rsid w:val="0BAE7D0C"/>
    <w:rsid w:val="0BCA5242"/>
    <w:rsid w:val="0BD01F0B"/>
    <w:rsid w:val="0BD9759D"/>
    <w:rsid w:val="0BE37A71"/>
    <w:rsid w:val="0BEA149C"/>
    <w:rsid w:val="0BF25644"/>
    <w:rsid w:val="0BF479A0"/>
    <w:rsid w:val="0BF55F7B"/>
    <w:rsid w:val="0BF71DAF"/>
    <w:rsid w:val="0BFB245B"/>
    <w:rsid w:val="0C054F16"/>
    <w:rsid w:val="0C1B5AE1"/>
    <w:rsid w:val="0C1E10EA"/>
    <w:rsid w:val="0C2336ED"/>
    <w:rsid w:val="0C26044F"/>
    <w:rsid w:val="0C3C5A14"/>
    <w:rsid w:val="0C460910"/>
    <w:rsid w:val="0C4E28CC"/>
    <w:rsid w:val="0C5327FF"/>
    <w:rsid w:val="0C5954DB"/>
    <w:rsid w:val="0C5D29A4"/>
    <w:rsid w:val="0C6266EA"/>
    <w:rsid w:val="0C6E4D28"/>
    <w:rsid w:val="0C7B43B7"/>
    <w:rsid w:val="0C816678"/>
    <w:rsid w:val="0C8C239B"/>
    <w:rsid w:val="0C940FD0"/>
    <w:rsid w:val="0C971D29"/>
    <w:rsid w:val="0C99663D"/>
    <w:rsid w:val="0CAF4438"/>
    <w:rsid w:val="0CB57D20"/>
    <w:rsid w:val="0CB9588D"/>
    <w:rsid w:val="0CBA59DC"/>
    <w:rsid w:val="0CBB4B8B"/>
    <w:rsid w:val="0CBC02EC"/>
    <w:rsid w:val="0CCA6D91"/>
    <w:rsid w:val="0CD10852"/>
    <w:rsid w:val="0CD6458A"/>
    <w:rsid w:val="0CE57752"/>
    <w:rsid w:val="0CE86625"/>
    <w:rsid w:val="0CF14AEA"/>
    <w:rsid w:val="0D2369F9"/>
    <w:rsid w:val="0D3D56E0"/>
    <w:rsid w:val="0D42546F"/>
    <w:rsid w:val="0D4412DA"/>
    <w:rsid w:val="0D512529"/>
    <w:rsid w:val="0D5A7267"/>
    <w:rsid w:val="0D7750FB"/>
    <w:rsid w:val="0D7A559D"/>
    <w:rsid w:val="0D7C2B0E"/>
    <w:rsid w:val="0D7D4536"/>
    <w:rsid w:val="0D7D6D8E"/>
    <w:rsid w:val="0D804A02"/>
    <w:rsid w:val="0D850517"/>
    <w:rsid w:val="0D8C3453"/>
    <w:rsid w:val="0D913B3D"/>
    <w:rsid w:val="0D951880"/>
    <w:rsid w:val="0DAA5876"/>
    <w:rsid w:val="0DAE3D0E"/>
    <w:rsid w:val="0DD56120"/>
    <w:rsid w:val="0DD93ED5"/>
    <w:rsid w:val="0DDA6E64"/>
    <w:rsid w:val="0DE42703"/>
    <w:rsid w:val="0E026851"/>
    <w:rsid w:val="0E110BE9"/>
    <w:rsid w:val="0E1622F0"/>
    <w:rsid w:val="0E1C68F4"/>
    <w:rsid w:val="0E2075B1"/>
    <w:rsid w:val="0E2C6E27"/>
    <w:rsid w:val="0E30540A"/>
    <w:rsid w:val="0E330271"/>
    <w:rsid w:val="0E332A20"/>
    <w:rsid w:val="0E39240E"/>
    <w:rsid w:val="0E441697"/>
    <w:rsid w:val="0E486A1F"/>
    <w:rsid w:val="0E545297"/>
    <w:rsid w:val="0E601E8E"/>
    <w:rsid w:val="0E610CD3"/>
    <w:rsid w:val="0E6A1FD0"/>
    <w:rsid w:val="0E73464B"/>
    <w:rsid w:val="0E743564"/>
    <w:rsid w:val="0E8107A1"/>
    <w:rsid w:val="0E841C91"/>
    <w:rsid w:val="0E903460"/>
    <w:rsid w:val="0E9F7940"/>
    <w:rsid w:val="0EA051BA"/>
    <w:rsid w:val="0EAC15F9"/>
    <w:rsid w:val="0EB835FB"/>
    <w:rsid w:val="0EC37A4B"/>
    <w:rsid w:val="0ED5798B"/>
    <w:rsid w:val="0ED9579C"/>
    <w:rsid w:val="0EE526E5"/>
    <w:rsid w:val="0EF3596E"/>
    <w:rsid w:val="0F037349"/>
    <w:rsid w:val="0F04659A"/>
    <w:rsid w:val="0F0A0311"/>
    <w:rsid w:val="0F0E18EA"/>
    <w:rsid w:val="0F1A2DAB"/>
    <w:rsid w:val="0F281D0B"/>
    <w:rsid w:val="0F3207DF"/>
    <w:rsid w:val="0F331226"/>
    <w:rsid w:val="0F366C5A"/>
    <w:rsid w:val="0F3E7483"/>
    <w:rsid w:val="0F4277E5"/>
    <w:rsid w:val="0F473062"/>
    <w:rsid w:val="0F4B48EC"/>
    <w:rsid w:val="0F4C256A"/>
    <w:rsid w:val="0F587009"/>
    <w:rsid w:val="0F6067E8"/>
    <w:rsid w:val="0F680128"/>
    <w:rsid w:val="0F683169"/>
    <w:rsid w:val="0F715C35"/>
    <w:rsid w:val="0F753717"/>
    <w:rsid w:val="0F864617"/>
    <w:rsid w:val="0F911629"/>
    <w:rsid w:val="0F9F1F07"/>
    <w:rsid w:val="0F9F5C40"/>
    <w:rsid w:val="0FAE484B"/>
    <w:rsid w:val="0FB13802"/>
    <w:rsid w:val="0FC05773"/>
    <w:rsid w:val="0FC24963"/>
    <w:rsid w:val="0FC26A0E"/>
    <w:rsid w:val="0FC70306"/>
    <w:rsid w:val="0FD1178B"/>
    <w:rsid w:val="0FD31FAB"/>
    <w:rsid w:val="0FDB2509"/>
    <w:rsid w:val="0FE27A12"/>
    <w:rsid w:val="0FEC7FCC"/>
    <w:rsid w:val="0FEF7138"/>
    <w:rsid w:val="0FF11AFC"/>
    <w:rsid w:val="0FFE51E7"/>
    <w:rsid w:val="1000133C"/>
    <w:rsid w:val="100F40A5"/>
    <w:rsid w:val="101303C2"/>
    <w:rsid w:val="102D5D9F"/>
    <w:rsid w:val="102E6872"/>
    <w:rsid w:val="105F3D72"/>
    <w:rsid w:val="106B0658"/>
    <w:rsid w:val="106D005D"/>
    <w:rsid w:val="10756F6E"/>
    <w:rsid w:val="10A03F83"/>
    <w:rsid w:val="10A217D3"/>
    <w:rsid w:val="10A64838"/>
    <w:rsid w:val="10C1538B"/>
    <w:rsid w:val="10CC1CCC"/>
    <w:rsid w:val="10CD534F"/>
    <w:rsid w:val="10CE0CAA"/>
    <w:rsid w:val="10D34B99"/>
    <w:rsid w:val="10D4446D"/>
    <w:rsid w:val="10DF0323"/>
    <w:rsid w:val="10EA5A3E"/>
    <w:rsid w:val="10EB0078"/>
    <w:rsid w:val="10F52230"/>
    <w:rsid w:val="10FB0B72"/>
    <w:rsid w:val="10FB1A89"/>
    <w:rsid w:val="11001415"/>
    <w:rsid w:val="111E768F"/>
    <w:rsid w:val="11233C94"/>
    <w:rsid w:val="1128369D"/>
    <w:rsid w:val="112A65C6"/>
    <w:rsid w:val="112F191A"/>
    <w:rsid w:val="11324E8D"/>
    <w:rsid w:val="11330036"/>
    <w:rsid w:val="1149798D"/>
    <w:rsid w:val="114E5C03"/>
    <w:rsid w:val="114F22CF"/>
    <w:rsid w:val="11551A52"/>
    <w:rsid w:val="115708DB"/>
    <w:rsid w:val="115775F8"/>
    <w:rsid w:val="116051D3"/>
    <w:rsid w:val="11645F10"/>
    <w:rsid w:val="11770DC0"/>
    <w:rsid w:val="118216AC"/>
    <w:rsid w:val="1186624C"/>
    <w:rsid w:val="118C2C07"/>
    <w:rsid w:val="118E6D12"/>
    <w:rsid w:val="119831D8"/>
    <w:rsid w:val="1199781B"/>
    <w:rsid w:val="11A068BF"/>
    <w:rsid w:val="11B51BA7"/>
    <w:rsid w:val="11BF559F"/>
    <w:rsid w:val="11BF627B"/>
    <w:rsid w:val="11E60B5A"/>
    <w:rsid w:val="11F03E25"/>
    <w:rsid w:val="120D4CF4"/>
    <w:rsid w:val="12185953"/>
    <w:rsid w:val="12190600"/>
    <w:rsid w:val="123B4E7F"/>
    <w:rsid w:val="12401ECB"/>
    <w:rsid w:val="12443874"/>
    <w:rsid w:val="124570E7"/>
    <w:rsid w:val="12476A9B"/>
    <w:rsid w:val="12487755"/>
    <w:rsid w:val="125677E5"/>
    <w:rsid w:val="1257299F"/>
    <w:rsid w:val="12660DA6"/>
    <w:rsid w:val="12695089"/>
    <w:rsid w:val="126A39E8"/>
    <w:rsid w:val="127015DF"/>
    <w:rsid w:val="12782A57"/>
    <w:rsid w:val="127A0BD8"/>
    <w:rsid w:val="128008FD"/>
    <w:rsid w:val="12854304"/>
    <w:rsid w:val="12861C28"/>
    <w:rsid w:val="12916842"/>
    <w:rsid w:val="129F356E"/>
    <w:rsid w:val="12A408CE"/>
    <w:rsid w:val="12A54313"/>
    <w:rsid w:val="12B7360E"/>
    <w:rsid w:val="12C450B6"/>
    <w:rsid w:val="12C61BBA"/>
    <w:rsid w:val="12C95CBC"/>
    <w:rsid w:val="12D6161C"/>
    <w:rsid w:val="12D74658"/>
    <w:rsid w:val="12E13B1A"/>
    <w:rsid w:val="12E6572F"/>
    <w:rsid w:val="12EC4107"/>
    <w:rsid w:val="12F774F4"/>
    <w:rsid w:val="13011DA1"/>
    <w:rsid w:val="130532D2"/>
    <w:rsid w:val="13130211"/>
    <w:rsid w:val="1314328B"/>
    <w:rsid w:val="131E65BF"/>
    <w:rsid w:val="132C5D2B"/>
    <w:rsid w:val="132C60A7"/>
    <w:rsid w:val="133A75CD"/>
    <w:rsid w:val="13402AD0"/>
    <w:rsid w:val="13405DEA"/>
    <w:rsid w:val="13500ADB"/>
    <w:rsid w:val="136128A0"/>
    <w:rsid w:val="13631AD8"/>
    <w:rsid w:val="13666438"/>
    <w:rsid w:val="136C755B"/>
    <w:rsid w:val="137B61F6"/>
    <w:rsid w:val="138C190E"/>
    <w:rsid w:val="138F28CD"/>
    <w:rsid w:val="13A11320"/>
    <w:rsid w:val="13AB4E7C"/>
    <w:rsid w:val="13BD743A"/>
    <w:rsid w:val="13C16461"/>
    <w:rsid w:val="13C46A1B"/>
    <w:rsid w:val="13C62436"/>
    <w:rsid w:val="13C7140C"/>
    <w:rsid w:val="13CD3FA3"/>
    <w:rsid w:val="13D965B6"/>
    <w:rsid w:val="13E04ECD"/>
    <w:rsid w:val="13E7631D"/>
    <w:rsid w:val="13F35552"/>
    <w:rsid w:val="13FC02B0"/>
    <w:rsid w:val="140436BE"/>
    <w:rsid w:val="14070D94"/>
    <w:rsid w:val="140D7E73"/>
    <w:rsid w:val="14132078"/>
    <w:rsid w:val="141C534B"/>
    <w:rsid w:val="142527EE"/>
    <w:rsid w:val="142C11F3"/>
    <w:rsid w:val="14304D33"/>
    <w:rsid w:val="14395247"/>
    <w:rsid w:val="143A6619"/>
    <w:rsid w:val="143E54FD"/>
    <w:rsid w:val="144C7873"/>
    <w:rsid w:val="146B039C"/>
    <w:rsid w:val="146C286A"/>
    <w:rsid w:val="14701038"/>
    <w:rsid w:val="1471119E"/>
    <w:rsid w:val="14722AA1"/>
    <w:rsid w:val="147A6546"/>
    <w:rsid w:val="147D6BCA"/>
    <w:rsid w:val="148069F4"/>
    <w:rsid w:val="148F06DB"/>
    <w:rsid w:val="149E7AC0"/>
    <w:rsid w:val="14A271DA"/>
    <w:rsid w:val="14B10AA1"/>
    <w:rsid w:val="14B922F8"/>
    <w:rsid w:val="14B97D03"/>
    <w:rsid w:val="14BC2B24"/>
    <w:rsid w:val="14BC5944"/>
    <w:rsid w:val="14C64D08"/>
    <w:rsid w:val="14CB2DC3"/>
    <w:rsid w:val="14CC2425"/>
    <w:rsid w:val="14CD48BC"/>
    <w:rsid w:val="14E909E5"/>
    <w:rsid w:val="14EB6229"/>
    <w:rsid w:val="14EC097E"/>
    <w:rsid w:val="1511467F"/>
    <w:rsid w:val="1515052B"/>
    <w:rsid w:val="15223F0E"/>
    <w:rsid w:val="152754B3"/>
    <w:rsid w:val="15467F7D"/>
    <w:rsid w:val="15482F26"/>
    <w:rsid w:val="15510DD5"/>
    <w:rsid w:val="15595889"/>
    <w:rsid w:val="15596D43"/>
    <w:rsid w:val="155F3B6A"/>
    <w:rsid w:val="156206A5"/>
    <w:rsid w:val="156A6D57"/>
    <w:rsid w:val="156D6C3E"/>
    <w:rsid w:val="157476B1"/>
    <w:rsid w:val="15776E87"/>
    <w:rsid w:val="157955E3"/>
    <w:rsid w:val="158233A3"/>
    <w:rsid w:val="1583372E"/>
    <w:rsid w:val="15886AD0"/>
    <w:rsid w:val="158A7B9A"/>
    <w:rsid w:val="158F3E65"/>
    <w:rsid w:val="159140C6"/>
    <w:rsid w:val="159E2945"/>
    <w:rsid w:val="15A303F9"/>
    <w:rsid w:val="15A73A19"/>
    <w:rsid w:val="15AF04A2"/>
    <w:rsid w:val="15B4342B"/>
    <w:rsid w:val="15DA2525"/>
    <w:rsid w:val="15EB4733"/>
    <w:rsid w:val="15EE5FD1"/>
    <w:rsid w:val="15F97F90"/>
    <w:rsid w:val="15FA4099"/>
    <w:rsid w:val="15FB149D"/>
    <w:rsid w:val="1606156C"/>
    <w:rsid w:val="160830F9"/>
    <w:rsid w:val="16096967"/>
    <w:rsid w:val="16096FDE"/>
    <w:rsid w:val="16231562"/>
    <w:rsid w:val="162C08A7"/>
    <w:rsid w:val="16353835"/>
    <w:rsid w:val="16373090"/>
    <w:rsid w:val="16390DE2"/>
    <w:rsid w:val="163A4C68"/>
    <w:rsid w:val="16462DDB"/>
    <w:rsid w:val="16492F29"/>
    <w:rsid w:val="164B1A97"/>
    <w:rsid w:val="164D742F"/>
    <w:rsid w:val="16685041"/>
    <w:rsid w:val="16685D83"/>
    <w:rsid w:val="166B6F22"/>
    <w:rsid w:val="168A08AF"/>
    <w:rsid w:val="16934F9E"/>
    <w:rsid w:val="16A11295"/>
    <w:rsid w:val="16AA4DAF"/>
    <w:rsid w:val="16B05169"/>
    <w:rsid w:val="16B533F9"/>
    <w:rsid w:val="16CA3BD8"/>
    <w:rsid w:val="16CA65AE"/>
    <w:rsid w:val="16D16D88"/>
    <w:rsid w:val="16D47D80"/>
    <w:rsid w:val="16DE6AAE"/>
    <w:rsid w:val="16DF1916"/>
    <w:rsid w:val="16DF3B6C"/>
    <w:rsid w:val="16E333A9"/>
    <w:rsid w:val="16F13FCB"/>
    <w:rsid w:val="16FE65D1"/>
    <w:rsid w:val="16FF0A3A"/>
    <w:rsid w:val="16FF7D6A"/>
    <w:rsid w:val="17000E49"/>
    <w:rsid w:val="171C1EAC"/>
    <w:rsid w:val="17210C7D"/>
    <w:rsid w:val="172377DF"/>
    <w:rsid w:val="172A1000"/>
    <w:rsid w:val="17373283"/>
    <w:rsid w:val="173C4304"/>
    <w:rsid w:val="17401A72"/>
    <w:rsid w:val="17422E0D"/>
    <w:rsid w:val="17464313"/>
    <w:rsid w:val="174A18FB"/>
    <w:rsid w:val="17587BAF"/>
    <w:rsid w:val="17600302"/>
    <w:rsid w:val="17606A5A"/>
    <w:rsid w:val="17683F11"/>
    <w:rsid w:val="176A5B2B"/>
    <w:rsid w:val="177A138D"/>
    <w:rsid w:val="177B63C6"/>
    <w:rsid w:val="177F3F8A"/>
    <w:rsid w:val="178A30CD"/>
    <w:rsid w:val="178C5AA1"/>
    <w:rsid w:val="179407DF"/>
    <w:rsid w:val="17946734"/>
    <w:rsid w:val="179F71A0"/>
    <w:rsid w:val="17A07C81"/>
    <w:rsid w:val="17A21E34"/>
    <w:rsid w:val="17A93682"/>
    <w:rsid w:val="17B01889"/>
    <w:rsid w:val="17B8364B"/>
    <w:rsid w:val="17D06DDB"/>
    <w:rsid w:val="17D336D0"/>
    <w:rsid w:val="17EA1C76"/>
    <w:rsid w:val="17F77241"/>
    <w:rsid w:val="17FA76A4"/>
    <w:rsid w:val="17FD216D"/>
    <w:rsid w:val="18003D99"/>
    <w:rsid w:val="18123349"/>
    <w:rsid w:val="182E4DAB"/>
    <w:rsid w:val="18376CC4"/>
    <w:rsid w:val="18383E49"/>
    <w:rsid w:val="18414ADE"/>
    <w:rsid w:val="18457C1E"/>
    <w:rsid w:val="18472318"/>
    <w:rsid w:val="184A4E79"/>
    <w:rsid w:val="18552337"/>
    <w:rsid w:val="18587ECA"/>
    <w:rsid w:val="185E3970"/>
    <w:rsid w:val="18695DE3"/>
    <w:rsid w:val="186C7681"/>
    <w:rsid w:val="18702E37"/>
    <w:rsid w:val="187441D3"/>
    <w:rsid w:val="187565E9"/>
    <w:rsid w:val="187F4862"/>
    <w:rsid w:val="188320FF"/>
    <w:rsid w:val="1886535B"/>
    <w:rsid w:val="188E5FEF"/>
    <w:rsid w:val="188F1E77"/>
    <w:rsid w:val="1893775C"/>
    <w:rsid w:val="189C25E9"/>
    <w:rsid w:val="189E5490"/>
    <w:rsid w:val="18A932EA"/>
    <w:rsid w:val="18B9352D"/>
    <w:rsid w:val="18B95AF2"/>
    <w:rsid w:val="18CF4978"/>
    <w:rsid w:val="18DF706A"/>
    <w:rsid w:val="18F75266"/>
    <w:rsid w:val="18FC6157"/>
    <w:rsid w:val="1907085F"/>
    <w:rsid w:val="190D171E"/>
    <w:rsid w:val="190D49C0"/>
    <w:rsid w:val="190E33B2"/>
    <w:rsid w:val="190F0A5B"/>
    <w:rsid w:val="19107B2B"/>
    <w:rsid w:val="1915582E"/>
    <w:rsid w:val="191A552A"/>
    <w:rsid w:val="191C08A4"/>
    <w:rsid w:val="19281EA7"/>
    <w:rsid w:val="19376AA4"/>
    <w:rsid w:val="193E101D"/>
    <w:rsid w:val="193E687B"/>
    <w:rsid w:val="193F1F9D"/>
    <w:rsid w:val="19401BB8"/>
    <w:rsid w:val="194313B9"/>
    <w:rsid w:val="19442E75"/>
    <w:rsid w:val="194A79C2"/>
    <w:rsid w:val="195132C8"/>
    <w:rsid w:val="195558B8"/>
    <w:rsid w:val="195953A0"/>
    <w:rsid w:val="196524ED"/>
    <w:rsid w:val="196B16E7"/>
    <w:rsid w:val="196B294F"/>
    <w:rsid w:val="196D0760"/>
    <w:rsid w:val="19827115"/>
    <w:rsid w:val="19861EA5"/>
    <w:rsid w:val="198945B7"/>
    <w:rsid w:val="19895F3D"/>
    <w:rsid w:val="198D4818"/>
    <w:rsid w:val="199F3382"/>
    <w:rsid w:val="19A01950"/>
    <w:rsid w:val="19A45AB9"/>
    <w:rsid w:val="19B546CA"/>
    <w:rsid w:val="19C459EF"/>
    <w:rsid w:val="19C46A13"/>
    <w:rsid w:val="19CA5520"/>
    <w:rsid w:val="19CD043D"/>
    <w:rsid w:val="19D07909"/>
    <w:rsid w:val="19D10C3A"/>
    <w:rsid w:val="19D84556"/>
    <w:rsid w:val="19D95AC5"/>
    <w:rsid w:val="19DF37F7"/>
    <w:rsid w:val="19E544FB"/>
    <w:rsid w:val="19E67437"/>
    <w:rsid w:val="19E84CE0"/>
    <w:rsid w:val="19E934D4"/>
    <w:rsid w:val="19EA1D8E"/>
    <w:rsid w:val="19EA288C"/>
    <w:rsid w:val="19EA6CD0"/>
    <w:rsid w:val="19EE47F1"/>
    <w:rsid w:val="1A02660C"/>
    <w:rsid w:val="1A1638FA"/>
    <w:rsid w:val="1A226249"/>
    <w:rsid w:val="1A247813"/>
    <w:rsid w:val="1A271AB1"/>
    <w:rsid w:val="1A355F3A"/>
    <w:rsid w:val="1A36212C"/>
    <w:rsid w:val="1A3A17A7"/>
    <w:rsid w:val="1A4062ED"/>
    <w:rsid w:val="1A4268EB"/>
    <w:rsid w:val="1A4408B5"/>
    <w:rsid w:val="1A463612"/>
    <w:rsid w:val="1A4745EF"/>
    <w:rsid w:val="1A492881"/>
    <w:rsid w:val="1A5342D1"/>
    <w:rsid w:val="1A5A24D6"/>
    <w:rsid w:val="1A5B61A9"/>
    <w:rsid w:val="1A62764B"/>
    <w:rsid w:val="1A627D81"/>
    <w:rsid w:val="1A6848DC"/>
    <w:rsid w:val="1A7116AC"/>
    <w:rsid w:val="1A7504D5"/>
    <w:rsid w:val="1A755E95"/>
    <w:rsid w:val="1A860666"/>
    <w:rsid w:val="1A8A3C15"/>
    <w:rsid w:val="1AA93FFD"/>
    <w:rsid w:val="1AAB4490"/>
    <w:rsid w:val="1AAD0F0E"/>
    <w:rsid w:val="1AAF3949"/>
    <w:rsid w:val="1AB17A0C"/>
    <w:rsid w:val="1AB3395D"/>
    <w:rsid w:val="1AB36C5E"/>
    <w:rsid w:val="1AB6249B"/>
    <w:rsid w:val="1ABF717E"/>
    <w:rsid w:val="1ACD08AB"/>
    <w:rsid w:val="1ACD7DE4"/>
    <w:rsid w:val="1AE47069"/>
    <w:rsid w:val="1AF57098"/>
    <w:rsid w:val="1AF827AB"/>
    <w:rsid w:val="1AFF6198"/>
    <w:rsid w:val="1B032812"/>
    <w:rsid w:val="1B0353F5"/>
    <w:rsid w:val="1B052676"/>
    <w:rsid w:val="1B0D00A7"/>
    <w:rsid w:val="1B156BCD"/>
    <w:rsid w:val="1B194D32"/>
    <w:rsid w:val="1B19589E"/>
    <w:rsid w:val="1B1D1709"/>
    <w:rsid w:val="1B1F2A66"/>
    <w:rsid w:val="1B373F76"/>
    <w:rsid w:val="1B3B1CB8"/>
    <w:rsid w:val="1B3D17C3"/>
    <w:rsid w:val="1B6044CB"/>
    <w:rsid w:val="1B62527C"/>
    <w:rsid w:val="1B697EA8"/>
    <w:rsid w:val="1B6A2CD5"/>
    <w:rsid w:val="1B730ED9"/>
    <w:rsid w:val="1B73270A"/>
    <w:rsid w:val="1B79633D"/>
    <w:rsid w:val="1B7E5BB5"/>
    <w:rsid w:val="1B7F74AC"/>
    <w:rsid w:val="1B8B3937"/>
    <w:rsid w:val="1B94312A"/>
    <w:rsid w:val="1B961B24"/>
    <w:rsid w:val="1B973CC9"/>
    <w:rsid w:val="1B982ED9"/>
    <w:rsid w:val="1B9E0A03"/>
    <w:rsid w:val="1BA13B7A"/>
    <w:rsid w:val="1BA869C7"/>
    <w:rsid w:val="1BB66BBE"/>
    <w:rsid w:val="1BC021BE"/>
    <w:rsid w:val="1BCC3990"/>
    <w:rsid w:val="1BCC5982"/>
    <w:rsid w:val="1BD70A51"/>
    <w:rsid w:val="1BD86309"/>
    <w:rsid w:val="1BE720BB"/>
    <w:rsid w:val="1BE7599C"/>
    <w:rsid w:val="1BF037AB"/>
    <w:rsid w:val="1BF86901"/>
    <w:rsid w:val="1BFA2FC3"/>
    <w:rsid w:val="1C006333"/>
    <w:rsid w:val="1C024C6C"/>
    <w:rsid w:val="1C0916F9"/>
    <w:rsid w:val="1C104276"/>
    <w:rsid w:val="1C122796"/>
    <w:rsid w:val="1C185145"/>
    <w:rsid w:val="1C20383A"/>
    <w:rsid w:val="1C2269D4"/>
    <w:rsid w:val="1C294A3E"/>
    <w:rsid w:val="1C305C06"/>
    <w:rsid w:val="1C4E1075"/>
    <w:rsid w:val="1C4F52EF"/>
    <w:rsid w:val="1C5447D4"/>
    <w:rsid w:val="1C546BFA"/>
    <w:rsid w:val="1C5E220F"/>
    <w:rsid w:val="1C5E68C5"/>
    <w:rsid w:val="1C5E7E41"/>
    <w:rsid w:val="1C625023"/>
    <w:rsid w:val="1C6C645D"/>
    <w:rsid w:val="1C721930"/>
    <w:rsid w:val="1C734D5A"/>
    <w:rsid w:val="1C794746"/>
    <w:rsid w:val="1C7D5CD8"/>
    <w:rsid w:val="1C81077B"/>
    <w:rsid w:val="1C8B4DD3"/>
    <w:rsid w:val="1C8F480F"/>
    <w:rsid w:val="1C9A47BD"/>
    <w:rsid w:val="1CAB4C1C"/>
    <w:rsid w:val="1CAC01BF"/>
    <w:rsid w:val="1CB4405D"/>
    <w:rsid w:val="1CB51FF4"/>
    <w:rsid w:val="1CB77C5F"/>
    <w:rsid w:val="1CBB1EBF"/>
    <w:rsid w:val="1CC07ED6"/>
    <w:rsid w:val="1CC72BA7"/>
    <w:rsid w:val="1CCA5A62"/>
    <w:rsid w:val="1CE464BD"/>
    <w:rsid w:val="1CE91924"/>
    <w:rsid w:val="1CEC4052"/>
    <w:rsid w:val="1CF64647"/>
    <w:rsid w:val="1CF82E13"/>
    <w:rsid w:val="1D0165EA"/>
    <w:rsid w:val="1D0C7C22"/>
    <w:rsid w:val="1D1D2D8E"/>
    <w:rsid w:val="1D1E20C6"/>
    <w:rsid w:val="1D2642A2"/>
    <w:rsid w:val="1D2B1F4F"/>
    <w:rsid w:val="1D2D5293"/>
    <w:rsid w:val="1D3A2DD7"/>
    <w:rsid w:val="1D502CD9"/>
    <w:rsid w:val="1D514663"/>
    <w:rsid w:val="1D541554"/>
    <w:rsid w:val="1D5C3B15"/>
    <w:rsid w:val="1D5C4168"/>
    <w:rsid w:val="1D692534"/>
    <w:rsid w:val="1D74268D"/>
    <w:rsid w:val="1D7517BD"/>
    <w:rsid w:val="1D7641D2"/>
    <w:rsid w:val="1D771552"/>
    <w:rsid w:val="1D7B180C"/>
    <w:rsid w:val="1D81772B"/>
    <w:rsid w:val="1D98579D"/>
    <w:rsid w:val="1D9907A0"/>
    <w:rsid w:val="1D9C087E"/>
    <w:rsid w:val="1DAA6ECD"/>
    <w:rsid w:val="1DB97384"/>
    <w:rsid w:val="1DBC4052"/>
    <w:rsid w:val="1DC271B9"/>
    <w:rsid w:val="1DC80AFE"/>
    <w:rsid w:val="1DD563A1"/>
    <w:rsid w:val="1DE06B47"/>
    <w:rsid w:val="1DE13602"/>
    <w:rsid w:val="1E012619"/>
    <w:rsid w:val="1E0D3539"/>
    <w:rsid w:val="1E1118FC"/>
    <w:rsid w:val="1E1D5F91"/>
    <w:rsid w:val="1E265554"/>
    <w:rsid w:val="1E2A794C"/>
    <w:rsid w:val="1E2C5D70"/>
    <w:rsid w:val="1E302B54"/>
    <w:rsid w:val="1E3E5CEA"/>
    <w:rsid w:val="1E41469F"/>
    <w:rsid w:val="1E527D62"/>
    <w:rsid w:val="1E5B6A16"/>
    <w:rsid w:val="1E647865"/>
    <w:rsid w:val="1E73165F"/>
    <w:rsid w:val="1E7A2AF8"/>
    <w:rsid w:val="1E8547E9"/>
    <w:rsid w:val="1E86139B"/>
    <w:rsid w:val="1E8E7692"/>
    <w:rsid w:val="1E9573CB"/>
    <w:rsid w:val="1E962D37"/>
    <w:rsid w:val="1E983C7F"/>
    <w:rsid w:val="1E9A2FEA"/>
    <w:rsid w:val="1EA31339"/>
    <w:rsid w:val="1EA42C1A"/>
    <w:rsid w:val="1EAF189B"/>
    <w:rsid w:val="1ECA26D7"/>
    <w:rsid w:val="1ECF2C1D"/>
    <w:rsid w:val="1EE261C9"/>
    <w:rsid w:val="1EF92C1F"/>
    <w:rsid w:val="1EFD0D34"/>
    <w:rsid w:val="1F015E12"/>
    <w:rsid w:val="1F0E0944"/>
    <w:rsid w:val="1F111909"/>
    <w:rsid w:val="1F142FF0"/>
    <w:rsid w:val="1F234F3D"/>
    <w:rsid w:val="1F27282F"/>
    <w:rsid w:val="1F2F009C"/>
    <w:rsid w:val="1F492C4B"/>
    <w:rsid w:val="1F5862FB"/>
    <w:rsid w:val="1F5F1E05"/>
    <w:rsid w:val="1F883861"/>
    <w:rsid w:val="1F8A1181"/>
    <w:rsid w:val="1F8A1CEB"/>
    <w:rsid w:val="1F8F1673"/>
    <w:rsid w:val="1F8F5CCC"/>
    <w:rsid w:val="1FAD3EB1"/>
    <w:rsid w:val="1FB75686"/>
    <w:rsid w:val="1FB83217"/>
    <w:rsid w:val="1FBF453A"/>
    <w:rsid w:val="1FC13788"/>
    <w:rsid w:val="1FC5678A"/>
    <w:rsid w:val="1FD7411E"/>
    <w:rsid w:val="1FD84865"/>
    <w:rsid w:val="1FD9384E"/>
    <w:rsid w:val="1FDD3E9E"/>
    <w:rsid w:val="1FDF29D6"/>
    <w:rsid w:val="1FE174D0"/>
    <w:rsid w:val="1FE83804"/>
    <w:rsid w:val="1FEA254F"/>
    <w:rsid w:val="1FEC17D3"/>
    <w:rsid w:val="1FED2A7D"/>
    <w:rsid w:val="1FED5F70"/>
    <w:rsid w:val="1FF40688"/>
    <w:rsid w:val="1FF57E1A"/>
    <w:rsid w:val="1FFF4F51"/>
    <w:rsid w:val="20032CFE"/>
    <w:rsid w:val="20134369"/>
    <w:rsid w:val="201E3957"/>
    <w:rsid w:val="202172BE"/>
    <w:rsid w:val="202413D0"/>
    <w:rsid w:val="20386CA7"/>
    <w:rsid w:val="203A042A"/>
    <w:rsid w:val="206D10C6"/>
    <w:rsid w:val="207B55DB"/>
    <w:rsid w:val="207F61ED"/>
    <w:rsid w:val="20823312"/>
    <w:rsid w:val="20872FBE"/>
    <w:rsid w:val="20940D9B"/>
    <w:rsid w:val="2096219A"/>
    <w:rsid w:val="209A0F98"/>
    <w:rsid w:val="20A60157"/>
    <w:rsid w:val="20B62A43"/>
    <w:rsid w:val="20BB2CAB"/>
    <w:rsid w:val="20C52024"/>
    <w:rsid w:val="20C9745F"/>
    <w:rsid w:val="20D977BE"/>
    <w:rsid w:val="20EB6662"/>
    <w:rsid w:val="20FD3EB3"/>
    <w:rsid w:val="21035DB2"/>
    <w:rsid w:val="210D55EE"/>
    <w:rsid w:val="21101659"/>
    <w:rsid w:val="211304EC"/>
    <w:rsid w:val="211615EA"/>
    <w:rsid w:val="212C3E51"/>
    <w:rsid w:val="212F2F09"/>
    <w:rsid w:val="213F68EC"/>
    <w:rsid w:val="2143291A"/>
    <w:rsid w:val="21503138"/>
    <w:rsid w:val="21527FB9"/>
    <w:rsid w:val="215E6820"/>
    <w:rsid w:val="21612C5F"/>
    <w:rsid w:val="21656224"/>
    <w:rsid w:val="21656DF2"/>
    <w:rsid w:val="216D0269"/>
    <w:rsid w:val="21763523"/>
    <w:rsid w:val="21786371"/>
    <w:rsid w:val="217D38DC"/>
    <w:rsid w:val="2185680F"/>
    <w:rsid w:val="21887C26"/>
    <w:rsid w:val="218C669E"/>
    <w:rsid w:val="218D5007"/>
    <w:rsid w:val="2198563F"/>
    <w:rsid w:val="219C0FD7"/>
    <w:rsid w:val="21A165ED"/>
    <w:rsid w:val="21AA411B"/>
    <w:rsid w:val="21AA5F2B"/>
    <w:rsid w:val="21AC03C6"/>
    <w:rsid w:val="21AF0E24"/>
    <w:rsid w:val="21B21B74"/>
    <w:rsid w:val="21B77E39"/>
    <w:rsid w:val="21BE719F"/>
    <w:rsid w:val="21C43484"/>
    <w:rsid w:val="21C755F5"/>
    <w:rsid w:val="21CB12F9"/>
    <w:rsid w:val="21CF4F08"/>
    <w:rsid w:val="21D30BD2"/>
    <w:rsid w:val="21D4251F"/>
    <w:rsid w:val="21D95D87"/>
    <w:rsid w:val="21DE15EF"/>
    <w:rsid w:val="21DE6100"/>
    <w:rsid w:val="21E2159F"/>
    <w:rsid w:val="21EC6215"/>
    <w:rsid w:val="21FB5B4F"/>
    <w:rsid w:val="21FC29A6"/>
    <w:rsid w:val="21FC73D2"/>
    <w:rsid w:val="220A61FB"/>
    <w:rsid w:val="221C438E"/>
    <w:rsid w:val="22225103"/>
    <w:rsid w:val="2228286B"/>
    <w:rsid w:val="22291DDB"/>
    <w:rsid w:val="222963F2"/>
    <w:rsid w:val="22315562"/>
    <w:rsid w:val="223538F6"/>
    <w:rsid w:val="223B156C"/>
    <w:rsid w:val="223B61C6"/>
    <w:rsid w:val="22430866"/>
    <w:rsid w:val="22445508"/>
    <w:rsid w:val="22536C96"/>
    <w:rsid w:val="225919A4"/>
    <w:rsid w:val="225A144F"/>
    <w:rsid w:val="225A25FA"/>
    <w:rsid w:val="225D1819"/>
    <w:rsid w:val="225E2F5F"/>
    <w:rsid w:val="22637ACB"/>
    <w:rsid w:val="226A5F26"/>
    <w:rsid w:val="22701B07"/>
    <w:rsid w:val="2271258C"/>
    <w:rsid w:val="22723AE6"/>
    <w:rsid w:val="22786CF2"/>
    <w:rsid w:val="22850224"/>
    <w:rsid w:val="22A65691"/>
    <w:rsid w:val="22AC75C1"/>
    <w:rsid w:val="22AD573E"/>
    <w:rsid w:val="22B365D8"/>
    <w:rsid w:val="22BF025E"/>
    <w:rsid w:val="22C66A04"/>
    <w:rsid w:val="22D878E5"/>
    <w:rsid w:val="22DF6408"/>
    <w:rsid w:val="22E91B93"/>
    <w:rsid w:val="22EA3023"/>
    <w:rsid w:val="22EE751D"/>
    <w:rsid w:val="22F352A6"/>
    <w:rsid w:val="22F94C0A"/>
    <w:rsid w:val="231A5989"/>
    <w:rsid w:val="231D523A"/>
    <w:rsid w:val="23201794"/>
    <w:rsid w:val="23202E00"/>
    <w:rsid w:val="23236D92"/>
    <w:rsid w:val="232748D0"/>
    <w:rsid w:val="232D2D4C"/>
    <w:rsid w:val="233432D9"/>
    <w:rsid w:val="233C0087"/>
    <w:rsid w:val="2344759A"/>
    <w:rsid w:val="2346744C"/>
    <w:rsid w:val="23471D6F"/>
    <w:rsid w:val="23486C82"/>
    <w:rsid w:val="234C377C"/>
    <w:rsid w:val="234E1617"/>
    <w:rsid w:val="235D109C"/>
    <w:rsid w:val="235D2C72"/>
    <w:rsid w:val="235F3A21"/>
    <w:rsid w:val="237C58F1"/>
    <w:rsid w:val="237E4B3F"/>
    <w:rsid w:val="237E7A1A"/>
    <w:rsid w:val="238A7775"/>
    <w:rsid w:val="238C4BF2"/>
    <w:rsid w:val="23946C1E"/>
    <w:rsid w:val="239C0738"/>
    <w:rsid w:val="239D40D2"/>
    <w:rsid w:val="23B97F9D"/>
    <w:rsid w:val="23BC71BD"/>
    <w:rsid w:val="23BC770E"/>
    <w:rsid w:val="23CA6A66"/>
    <w:rsid w:val="23CF1846"/>
    <w:rsid w:val="23D75E19"/>
    <w:rsid w:val="23D83FC0"/>
    <w:rsid w:val="23DB47D5"/>
    <w:rsid w:val="23F05042"/>
    <w:rsid w:val="23F75669"/>
    <w:rsid w:val="23F92881"/>
    <w:rsid w:val="23FF4A2C"/>
    <w:rsid w:val="240176EB"/>
    <w:rsid w:val="2418575A"/>
    <w:rsid w:val="24187ECF"/>
    <w:rsid w:val="241A135A"/>
    <w:rsid w:val="241E082C"/>
    <w:rsid w:val="241F452F"/>
    <w:rsid w:val="242E417A"/>
    <w:rsid w:val="243E6627"/>
    <w:rsid w:val="24442F1B"/>
    <w:rsid w:val="244506F9"/>
    <w:rsid w:val="24474DE5"/>
    <w:rsid w:val="2448004A"/>
    <w:rsid w:val="244A5EE0"/>
    <w:rsid w:val="245142FB"/>
    <w:rsid w:val="24526AB8"/>
    <w:rsid w:val="24581E4D"/>
    <w:rsid w:val="245C50AD"/>
    <w:rsid w:val="246425B1"/>
    <w:rsid w:val="24661428"/>
    <w:rsid w:val="246F263F"/>
    <w:rsid w:val="24715847"/>
    <w:rsid w:val="24763D61"/>
    <w:rsid w:val="249442F3"/>
    <w:rsid w:val="24B11C2B"/>
    <w:rsid w:val="24B24BA1"/>
    <w:rsid w:val="24BA5BD3"/>
    <w:rsid w:val="24C06D8A"/>
    <w:rsid w:val="24C345B4"/>
    <w:rsid w:val="24C5698F"/>
    <w:rsid w:val="24D64800"/>
    <w:rsid w:val="24E05D18"/>
    <w:rsid w:val="24E3336C"/>
    <w:rsid w:val="24F17DA3"/>
    <w:rsid w:val="24F522CF"/>
    <w:rsid w:val="24F82CDA"/>
    <w:rsid w:val="2503311B"/>
    <w:rsid w:val="25063A71"/>
    <w:rsid w:val="25073CF8"/>
    <w:rsid w:val="25231A08"/>
    <w:rsid w:val="252559ED"/>
    <w:rsid w:val="252625AC"/>
    <w:rsid w:val="252D313D"/>
    <w:rsid w:val="252E7B0D"/>
    <w:rsid w:val="25322709"/>
    <w:rsid w:val="25435E00"/>
    <w:rsid w:val="25440DF8"/>
    <w:rsid w:val="25495698"/>
    <w:rsid w:val="255353C8"/>
    <w:rsid w:val="25651E9D"/>
    <w:rsid w:val="256D4F0E"/>
    <w:rsid w:val="25764036"/>
    <w:rsid w:val="257805DC"/>
    <w:rsid w:val="25796BC7"/>
    <w:rsid w:val="25892E2E"/>
    <w:rsid w:val="25897AC4"/>
    <w:rsid w:val="258A1146"/>
    <w:rsid w:val="25A674B5"/>
    <w:rsid w:val="25C12E06"/>
    <w:rsid w:val="25C722E2"/>
    <w:rsid w:val="25C73A16"/>
    <w:rsid w:val="25CE2F1A"/>
    <w:rsid w:val="25D8024F"/>
    <w:rsid w:val="25E00B77"/>
    <w:rsid w:val="25E113B2"/>
    <w:rsid w:val="25EC42FB"/>
    <w:rsid w:val="25F34F3E"/>
    <w:rsid w:val="25F53B80"/>
    <w:rsid w:val="25F653CA"/>
    <w:rsid w:val="25FE27E4"/>
    <w:rsid w:val="26001DF0"/>
    <w:rsid w:val="260138AD"/>
    <w:rsid w:val="260B4649"/>
    <w:rsid w:val="260D7104"/>
    <w:rsid w:val="260F621B"/>
    <w:rsid w:val="261A0A6D"/>
    <w:rsid w:val="261C3652"/>
    <w:rsid w:val="261D4DB8"/>
    <w:rsid w:val="261D58A8"/>
    <w:rsid w:val="261E645E"/>
    <w:rsid w:val="2624038B"/>
    <w:rsid w:val="262C110C"/>
    <w:rsid w:val="2645681A"/>
    <w:rsid w:val="264D3371"/>
    <w:rsid w:val="2656611E"/>
    <w:rsid w:val="265B406F"/>
    <w:rsid w:val="26634665"/>
    <w:rsid w:val="266510D2"/>
    <w:rsid w:val="26651DF3"/>
    <w:rsid w:val="267051AF"/>
    <w:rsid w:val="267507F0"/>
    <w:rsid w:val="267A2285"/>
    <w:rsid w:val="26802C75"/>
    <w:rsid w:val="268232C4"/>
    <w:rsid w:val="268319F3"/>
    <w:rsid w:val="268E3B7D"/>
    <w:rsid w:val="26915546"/>
    <w:rsid w:val="269828AD"/>
    <w:rsid w:val="26983290"/>
    <w:rsid w:val="269E498B"/>
    <w:rsid w:val="26A34BB6"/>
    <w:rsid w:val="26A6764A"/>
    <w:rsid w:val="26AB7111"/>
    <w:rsid w:val="26AE24DE"/>
    <w:rsid w:val="26B60095"/>
    <w:rsid w:val="26B62D84"/>
    <w:rsid w:val="26B66DA0"/>
    <w:rsid w:val="26B71CCE"/>
    <w:rsid w:val="26B74F19"/>
    <w:rsid w:val="26C24BC9"/>
    <w:rsid w:val="26CE6E96"/>
    <w:rsid w:val="26D23572"/>
    <w:rsid w:val="26D92385"/>
    <w:rsid w:val="26DD3C04"/>
    <w:rsid w:val="26E0411C"/>
    <w:rsid w:val="26E75358"/>
    <w:rsid w:val="26E76673"/>
    <w:rsid w:val="26F306A2"/>
    <w:rsid w:val="26F616B6"/>
    <w:rsid w:val="27036E2C"/>
    <w:rsid w:val="27060BEE"/>
    <w:rsid w:val="2716657E"/>
    <w:rsid w:val="272028EB"/>
    <w:rsid w:val="27247AA4"/>
    <w:rsid w:val="27411396"/>
    <w:rsid w:val="27431F44"/>
    <w:rsid w:val="27454484"/>
    <w:rsid w:val="274C2B57"/>
    <w:rsid w:val="274F2647"/>
    <w:rsid w:val="274F54DD"/>
    <w:rsid w:val="2753563C"/>
    <w:rsid w:val="275C26B9"/>
    <w:rsid w:val="275E338B"/>
    <w:rsid w:val="27633ED8"/>
    <w:rsid w:val="276F4C52"/>
    <w:rsid w:val="27722E08"/>
    <w:rsid w:val="277613DF"/>
    <w:rsid w:val="277827A8"/>
    <w:rsid w:val="277C73A5"/>
    <w:rsid w:val="279C33C8"/>
    <w:rsid w:val="27A7278D"/>
    <w:rsid w:val="27BB7CDD"/>
    <w:rsid w:val="27CB1617"/>
    <w:rsid w:val="27D007CD"/>
    <w:rsid w:val="27D52814"/>
    <w:rsid w:val="27D843EB"/>
    <w:rsid w:val="27EC53B9"/>
    <w:rsid w:val="27F0702C"/>
    <w:rsid w:val="27FE54A0"/>
    <w:rsid w:val="280021A3"/>
    <w:rsid w:val="28073F8F"/>
    <w:rsid w:val="280E4926"/>
    <w:rsid w:val="28126F2A"/>
    <w:rsid w:val="2813011D"/>
    <w:rsid w:val="281B57ED"/>
    <w:rsid w:val="281D669F"/>
    <w:rsid w:val="282633A8"/>
    <w:rsid w:val="282B0C03"/>
    <w:rsid w:val="28330FA9"/>
    <w:rsid w:val="283B2A76"/>
    <w:rsid w:val="28417B4C"/>
    <w:rsid w:val="284B2CED"/>
    <w:rsid w:val="284F6948"/>
    <w:rsid w:val="285C6DCA"/>
    <w:rsid w:val="28604E7D"/>
    <w:rsid w:val="28687E40"/>
    <w:rsid w:val="28687E65"/>
    <w:rsid w:val="28754CEB"/>
    <w:rsid w:val="28801E23"/>
    <w:rsid w:val="28804EFC"/>
    <w:rsid w:val="288E0FB4"/>
    <w:rsid w:val="28A65FBE"/>
    <w:rsid w:val="28AC6012"/>
    <w:rsid w:val="28B95EC5"/>
    <w:rsid w:val="28C51372"/>
    <w:rsid w:val="28C927F4"/>
    <w:rsid w:val="28DD784C"/>
    <w:rsid w:val="28DE6858"/>
    <w:rsid w:val="28E96F90"/>
    <w:rsid w:val="28F33BD2"/>
    <w:rsid w:val="29135680"/>
    <w:rsid w:val="29183769"/>
    <w:rsid w:val="292A154C"/>
    <w:rsid w:val="292C7AD8"/>
    <w:rsid w:val="29344870"/>
    <w:rsid w:val="295039FA"/>
    <w:rsid w:val="29761756"/>
    <w:rsid w:val="29785E86"/>
    <w:rsid w:val="298011DE"/>
    <w:rsid w:val="298A59D2"/>
    <w:rsid w:val="2990542A"/>
    <w:rsid w:val="29915199"/>
    <w:rsid w:val="299A100C"/>
    <w:rsid w:val="299C2A61"/>
    <w:rsid w:val="29A02E73"/>
    <w:rsid w:val="29A54CCF"/>
    <w:rsid w:val="29A70356"/>
    <w:rsid w:val="29A86C80"/>
    <w:rsid w:val="29B109B0"/>
    <w:rsid w:val="29B133D8"/>
    <w:rsid w:val="29B27D0E"/>
    <w:rsid w:val="29BB1EFB"/>
    <w:rsid w:val="29BB579B"/>
    <w:rsid w:val="29C46F85"/>
    <w:rsid w:val="29D56645"/>
    <w:rsid w:val="29E36683"/>
    <w:rsid w:val="29ED1F3B"/>
    <w:rsid w:val="29F45D1A"/>
    <w:rsid w:val="2A0B5FA6"/>
    <w:rsid w:val="2A0C38C4"/>
    <w:rsid w:val="2A254529"/>
    <w:rsid w:val="2A267271"/>
    <w:rsid w:val="2A297AFB"/>
    <w:rsid w:val="2A344557"/>
    <w:rsid w:val="2A361B14"/>
    <w:rsid w:val="2A413BAD"/>
    <w:rsid w:val="2A473AAA"/>
    <w:rsid w:val="2A475858"/>
    <w:rsid w:val="2A4B0EB3"/>
    <w:rsid w:val="2A620501"/>
    <w:rsid w:val="2A622D7A"/>
    <w:rsid w:val="2A6E2A3E"/>
    <w:rsid w:val="2A783EED"/>
    <w:rsid w:val="2A846C30"/>
    <w:rsid w:val="2A9610AE"/>
    <w:rsid w:val="2A9C2048"/>
    <w:rsid w:val="2AA02968"/>
    <w:rsid w:val="2AA14CAC"/>
    <w:rsid w:val="2AAA756B"/>
    <w:rsid w:val="2AB447F6"/>
    <w:rsid w:val="2ABF799F"/>
    <w:rsid w:val="2ACD21FC"/>
    <w:rsid w:val="2ACE1AF8"/>
    <w:rsid w:val="2AD43590"/>
    <w:rsid w:val="2AD70D2B"/>
    <w:rsid w:val="2ADF27E6"/>
    <w:rsid w:val="2ADF3266"/>
    <w:rsid w:val="2AFD3181"/>
    <w:rsid w:val="2B10609C"/>
    <w:rsid w:val="2B141BDE"/>
    <w:rsid w:val="2B191E82"/>
    <w:rsid w:val="2B203036"/>
    <w:rsid w:val="2B262AA7"/>
    <w:rsid w:val="2B4101B8"/>
    <w:rsid w:val="2B476392"/>
    <w:rsid w:val="2B4B5034"/>
    <w:rsid w:val="2B4F3D4E"/>
    <w:rsid w:val="2B555B32"/>
    <w:rsid w:val="2B5562B4"/>
    <w:rsid w:val="2B5D6DC4"/>
    <w:rsid w:val="2B626DED"/>
    <w:rsid w:val="2B630D6A"/>
    <w:rsid w:val="2B6D1E51"/>
    <w:rsid w:val="2B7B5F9F"/>
    <w:rsid w:val="2B8603A9"/>
    <w:rsid w:val="2B8C58B9"/>
    <w:rsid w:val="2B902B4F"/>
    <w:rsid w:val="2B987A49"/>
    <w:rsid w:val="2B9C2470"/>
    <w:rsid w:val="2B9D7E25"/>
    <w:rsid w:val="2BA9086C"/>
    <w:rsid w:val="2BA93DB0"/>
    <w:rsid w:val="2BA974B3"/>
    <w:rsid w:val="2BB02ABD"/>
    <w:rsid w:val="2BB532F3"/>
    <w:rsid w:val="2BBC6F50"/>
    <w:rsid w:val="2BC27F72"/>
    <w:rsid w:val="2BCC070B"/>
    <w:rsid w:val="2BD82AC8"/>
    <w:rsid w:val="2BD903B1"/>
    <w:rsid w:val="2BE167EC"/>
    <w:rsid w:val="2BE20C23"/>
    <w:rsid w:val="2BE27F2E"/>
    <w:rsid w:val="2BE54AD2"/>
    <w:rsid w:val="2BEE242F"/>
    <w:rsid w:val="2BF519F5"/>
    <w:rsid w:val="2C08264E"/>
    <w:rsid w:val="2C0B73FC"/>
    <w:rsid w:val="2C0C5182"/>
    <w:rsid w:val="2C0E428B"/>
    <w:rsid w:val="2C183950"/>
    <w:rsid w:val="2C187D70"/>
    <w:rsid w:val="2C1C3067"/>
    <w:rsid w:val="2C3342E6"/>
    <w:rsid w:val="2C393DDD"/>
    <w:rsid w:val="2C3B67BC"/>
    <w:rsid w:val="2C3C6C8B"/>
    <w:rsid w:val="2C4222B2"/>
    <w:rsid w:val="2C481190"/>
    <w:rsid w:val="2C4A6633"/>
    <w:rsid w:val="2C4D0BC4"/>
    <w:rsid w:val="2C4E53A0"/>
    <w:rsid w:val="2C52106F"/>
    <w:rsid w:val="2C6A77BB"/>
    <w:rsid w:val="2C6C6494"/>
    <w:rsid w:val="2C6F2904"/>
    <w:rsid w:val="2C7638AD"/>
    <w:rsid w:val="2C7B4589"/>
    <w:rsid w:val="2C7B695C"/>
    <w:rsid w:val="2C7F5A34"/>
    <w:rsid w:val="2C871A1E"/>
    <w:rsid w:val="2C88567E"/>
    <w:rsid w:val="2C894FAB"/>
    <w:rsid w:val="2C8B5ED0"/>
    <w:rsid w:val="2C8E3C12"/>
    <w:rsid w:val="2C917A37"/>
    <w:rsid w:val="2CA02869"/>
    <w:rsid w:val="2CA47B99"/>
    <w:rsid w:val="2CA51F5C"/>
    <w:rsid w:val="2CB2345D"/>
    <w:rsid w:val="2CB3515C"/>
    <w:rsid w:val="2CBF201D"/>
    <w:rsid w:val="2CC2263C"/>
    <w:rsid w:val="2CC41ABC"/>
    <w:rsid w:val="2CC773A0"/>
    <w:rsid w:val="2CD32A53"/>
    <w:rsid w:val="2CD36733"/>
    <w:rsid w:val="2CD666E1"/>
    <w:rsid w:val="2CE30DFB"/>
    <w:rsid w:val="2CEB474D"/>
    <w:rsid w:val="2CF56201"/>
    <w:rsid w:val="2D0814AB"/>
    <w:rsid w:val="2D0B0D38"/>
    <w:rsid w:val="2D0E1E0E"/>
    <w:rsid w:val="2D151C3D"/>
    <w:rsid w:val="2D180898"/>
    <w:rsid w:val="2D276C0C"/>
    <w:rsid w:val="2D325BC1"/>
    <w:rsid w:val="2D34446E"/>
    <w:rsid w:val="2D3674D5"/>
    <w:rsid w:val="2D3A1F56"/>
    <w:rsid w:val="2D4926A3"/>
    <w:rsid w:val="2D4B38B1"/>
    <w:rsid w:val="2D4C11AD"/>
    <w:rsid w:val="2D4E1D0E"/>
    <w:rsid w:val="2D605605"/>
    <w:rsid w:val="2D661B79"/>
    <w:rsid w:val="2D735942"/>
    <w:rsid w:val="2D7C0905"/>
    <w:rsid w:val="2D820DFF"/>
    <w:rsid w:val="2D8370EB"/>
    <w:rsid w:val="2D86690A"/>
    <w:rsid w:val="2D895E08"/>
    <w:rsid w:val="2D8A4E75"/>
    <w:rsid w:val="2D9215BE"/>
    <w:rsid w:val="2D9506F6"/>
    <w:rsid w:val="2D9629D0"/>
    <w:rsid w:val="2D9908B0"/>
    <w:rsid w:val="2D990AC0"/>
    <w:rsid w:val="2D9B2018"/>
    <w:rsid w:val="2DA84860"/>
    <w:rsid w:val="2DAD1E76"/>
    <w:rsid w:val="2DBB4593"/>
    <w:rsid w:val="2DC31328"/>
    <w:rsid w:val="2DD76A2C"/>
    <w:rsid w:val="2DE040E8"/>
    <w:rsid w:val="2DF61A6F"/>
    <w:rsid w:val="2DF67829"/>
    <w:rsid w:val="2DFA55CA"/>
    <w:rsid w:val="2E0503C0"/>
    <w:rsid w:val="2E096C47"/>
    <w:rsid w:val="2E0E0F03"/>
    <w:rsid w:val="2E251101"/>
    <w:rsid w:val="2E254102"/>
    <w:rsid w:val="2E2755B1"/>
    <w:rsid w:val="2E2A04CA"/>
    <w:rsid w:val="2E2D5D1D"/>
    <w:rsid w:val="2E311DCA"/>
    <w:rsid w:val="2E3373AA"/>
    <w:rsid w:val="2E3B0B21"/>
    <w:rsid w:val="2E486E4B"/>
    <w:rsid w:val="2E651228"/>
    <w:rsid w:val="2E75700F"/>
    <w:rsid w:val="2E7A3A6F"/>
    <w:rsid w:val="2E83638A"/>
    <w:rsid w:val="2E8F6C07"/>
    <w:rsid w:val="2E961996"/>
    <w:rsid w:val="2E987165"/>
    <w:rsid w:val="2EA22FE3"/>
    <w:rsid w:val="2EAC3779"/>
    <w:rsid w:val="2EAE2629"/>
    <w:rsid w:val="2EB6415A"/>
    <w:rsid w:val="2EB81A38"/>
    <w:rsid w:val="2EDC035E"/>
    <w:rsid w:val="2EDD4490"/>
    <w:rsid w:val="2EED4C20"/>
    <w:rsid w:val="2EF44200"/>
    <w:rsid w:val="2EFA0C70"/>
    <w:rsid w:val="2EFA1E44"/>
    <w:rsid w:val="2F036BF4"/>
    <w:rsid w:val="2F0D407F"/>
    <w:rsid w:val="2F0F45A5"/>
    <w:rsid w:val="2F1370D8"/>
    <w:rsid w:val="2F24136A"/>
    <w:rsid w:val="2F2D326E"/>
    <w:rsid w:val="2F2F5238"/>
    <w:rsid w:val="2F365579"/>
    <w:rsid w:val="2F366FCE"/>
    <w:rsid w:val="2F386871"/>
    <w:rsid w:val="2F3A2C00"/>
    <w:rsid w:val="2F466F71"/>
    <w:rsid w:val="2F527179"/>
    <w:rsid w:val="2F534FB6"/>
    <w:rsid w:val="2F5471D3"/>
    <w:rsid w:val="2F6B0833"/>
    <w:rsid w:val="2F784F99"/>
    <w:rsid w:val="2F797A5E"/>
    <w:rsid w:val="2F807842"/>
    <w:rsid w:val="2F8B1481"/>
    <w:rsid w:val="2F8C4BF3"/>
    <w:rsid w:val="2F96406F"/>
    <w:rsid w:val="2F9A1A61"/>
    <w:rsid w:val="2FB335EA"/>
    <w:rsid w:val="2FBB2F70"/>
    <w:rsid w:val="2FC9064B"/>
    <w:rsid w:val="2FED0161"/>
    <w:rsid w:val="2FF6325E"/>
    <w:rsid w:val="300D3B90"/>
    <w:rsid w:val="300F4E9A"/>
    <w:rsid w:val="30140A13"/>
    <w:rsid w:val="30142A48"/>
    <w:rsid w:val="301601A6"/>
    <w:rsid w:val="30201531"/>
    <w:rsid w:val="30291255"/>
    <w:rsid w:val="3034687E"/>
    <w:rsid w:val="30387808"/>
    <w:rsid w:val="3043019B"/>
    <w:rsid w:val="304B3294"/>
    <w:rsid w:val="304C4DBB"/>
    <w:rsid w:val="304F4CFA"/>
    <w:rsid w:val="30506D4B"/>
    <w:rsid w:val="3053261B"/>
    <w:rsid w:val="305A00A0"/>
    <w:rsid w:val="30690089"/>
    <w:rsid w:val="30705B08"/>
    <w:rsid w:val="3079343F"/>
    <w:rsid w:val="307D5139"/>
    <w:rsid w:val="307F5CA7"/>
    <w:rsid w:val="30810F0E"/>
    <w:rsid w:val="308323B9"/>
    <w:rsid w:val="30857FA1"/>
    <w:rsid w:val="30935FF9"/>
    <w:rsid w:val="309677D4"/>
    <w:rsid w:val="30AA06A6"/>
    <w:rsid w:val="30B54DDE"/>
    <w:rsid w:val="30C41557"/>
    <w:rsid w:val="30CB3B9B"/>
    <w:rsid w:val="30CB73F1"/>
    <w:rsid w:val="30D01B04"/>
    <w:rsid w:val="30D8576D"/>
    <w:rsid w:val="30E1720D"/>
    <w:rsid w:val="30E4441B"/>
    <w:rsid w:val="30E91417"/>
    <w:rsid w:val="30EE68F0"/>
    <w:rsid w:val="30F70392"/>
    <w:rsid w:val="30F73B34"/>
    <w:rsid w:val="30FC794F"/>
    <w:rsid w:val="3102157D"/>
    <w:rsid w:val="310A4AD7"/>
    <w:rsid w:val="31127A53"/>
    <w:rsid w:val="31173DE3"/>
    <w:rsid w:val="311E25E4"/>
    <w:rsid w:val="311F2379"/>
    <w:rsid w:val="3127080F"/>
    <w:rsid w:val="312F300D"/>
    <w:rsid w:val="31491D16"/>
    <w:rsid w:val="314B4B31"/>
    <w:rsid w:val="315417CE"/>
    <w:rsid w:val="31564BA3"/>
    <w:rsid w:val="315E0E80"/>
    <w:rsid w:val="31623237"/>
    <w:rsid w:val="316F2E56"/>
    <w:rsid w:val="31750EFD"/>
    <w:rsid w:val="317A4B67"/>
    <w:rsid w:val="317F7412"/>
    <w:rsid w:val="31873691"/>
    <w:rsid w:val="318915F7"/>
    <w:rsid w:val="318F79B0"/>
    <w:rsid w:val="319165D2"/>
    <w:rsid w:val="31AA504A"/>
    <w:rsid w:val="31BC4D27"/>
    <w:rsid w:val="31C210EB"/>
    <w:rsid w:val="31D10829"/>
    <w:rsid w:val="31D373E3"/>
    <w:rsid w:val="31D4412B"/>
    <w:rsid w:val="31DC1994"/>
    <w:rsid w:val="31E173C0"/>
    <w:rsid w:val="31E97034"/>
    <w:rsid w:val="31F3044F"/>
    <w:rsid w:val="31F340BE"/>
    <w:rsid w:val="31F66EC5"/>
    <w:rsid w:val="31FF18D4"/>
    <w:rsid w:val="32116C0A"/>
    <w:rsid w:val="321429E9"/>
    <w:rsid w:val="321A0799"/>
    <w:rsid w:val="32221995"/>
    <w:rsid w:val="324221D3"/>
    <w:rsid w:val="324542D1"/>
    <w:rsid w:val="325A4C20"/>
    <w:rsid w:val="3261203E"/>
    <w:rsid w:val="326571C3"/>
    <w:rsid w:val="327E784F"/>
    <w:rsid w:val="32965BC7"/>
    <w:rsid w:val="32A13C57"/>
    <w:rsid w:val="32A157F9"/>
    <w:rsid w:val="32B31841"/>
    <w:rsid w:val="32B9445C"/>
    <w:rsid w:val="32C94B30"/>
    <w:rsid w:val="32DA2CED"/>
    <w:rsid w:val="32DA70AF"/>
    <w:rsid w:val="32DB47CF"/>
    <w:rsid w:val="32E620B2"/>
    <w:rsid w:val="32E77BD8"/>
    <w:rsid w:val="32EB1476"/>
    <w:rsid w:val="32F543D1"/>
    <w:rsid w:val="32F63364"/>
    <w:rsid w:val="32FA4E0B"/>
    <w:rsid w:val="33053382"/>
    <w:rsid w:val="330F23E6"/>
    <w:rsid w:val="33105381"/>
    <w:rsid w:val="331304E7"/>
    <w:rsid w:val="3316086F"/>
    <w:rsid w:val="3320098C"/>
    <w:rsid w:val="33204C86"/>
    <w:rsid w:val="33223530"/>
    <w:rsid w:val="33235CFC"/>
    <w:rsid w:val="33307F8D"/>
    <w:rsid w:val="333306C2"/>
    <w:rsid w:val="3333088D"/>
    <w:rsid w:val="3336553C"/>
    <w:rsid w:val="33387594"/>
    <w:rsid w:val="33452471"/>
    <w:rsid w:val="334C1FAB"/>
    <w:rsid w:val="335971FA"/>
    <w:rsid w:val="335C671D"/>
    <w:rsid w:val="3360117D"/>
    <w:rsid w:val="336216D4"/>
    <w:rsid w:val="336932CF"/>
    <w:rsid w:val="337A615D"/>
    <w:rsid w:val="338238C6"/>
    <w:rsid w:val="338342F2"/>
    <w:rsid w:val="33857B1D"/>
    <w:rsid w:val="33884504"/>
    <w:rsid w:val="33921EC0"/>
    <w:rsid w:val="33924788"/>
    <w:rsid w:val="339A1585"/>
    <w:rsid w:val="339D4CDD"/>
    <w:rsid w:val="33AA1EF2"/>
    <w:rsid w:val="33AC4E07"/>
    <w:rsid w:val="33B84284"/>
    <w:rsid w:val="33C27633"/>
    <w:rsid w:val="33D96754"/>
    <w:rsid w:val="33DE5B69"/>
    <w:rsid w:val="33EF0EFF"/>
    <w:rsid w:val="33F41CCA"/>
    <w:rsid w:val="33F524A8"/>
    <w:rsid w:val="33F667B8"/>
    <w:rsid w:val="34104FC8"/>
    <w:rsid w:val="341E3D8F"/>
    <w:rsid w:val="34302178"/>
    <w:rsid w:val="343B467F"/>
    <w:rsid w:val="343E62A0"/>
    <w:rsid w:val="34433534"/>
    <w:rsid w:val="344B52D7"/>
    <w:rsid w:val="344F012B"/>
    <w:rsid w:val="34615DD5"/>
    <w:rsid w:val="34645984"/>
    <w:rsid w:val="34735BC7"/>
    <w:rsid w:val="348040D0"/>
    <w:rsid w:val="349802EA"/>
    <w:rsid w:val="349D0E96"/>
    <w:rsid w:val="349D5F0F"/>
    <w:rsid w:val="34A33234"/>
    <w:rsid w:val="34A9711E"/>
    <w:rsid w:val="34AE08A1"/>
    <w:rsid w:val="34B211A9"/>
    <w:rsid w:val="34BD04F2"/>
    <w:rsid w:val="34BF31F6"/>
    <w:rsid w:val="34C1068D"/>
    <w:rsid w:val="34C452BE"/>
    <w:rsid w:val="34C66957"/>
    <w:rsid w:val="34C87616"/>
    <w:rsid w:val="34CC3529"/>
    <w:rsid w:val="35093AD2"/>
    <w:rsid w:val="351244D7"/>
    <w:rsid w:val="351626CE"/>
    <w:rsid w:val="35163368"/>
    <w:rsid w:val="351D2129"/>
    <w:rsid w:val="351F1DB3"/>
    <w:rsid w:val="353A5F2C"/>
    <w:rsid w:val="354C4FE6"/>
    <w:rsid w:val="355157DD"/>
    <w:rsid w:val="35623464"/>
    <w:rsid w:val="356F11B5"/>
    <w:rsid w:val="356F3C26"/>
    <w:rsid w:val="35717762"/>
    <w:rsid w:val="357B6F3C"/>
    <w:rsid w:val="357D3DF5"/>
    <w:rsid w:val="358402B8"/>
    <w:rsid w:val="358B09F8"/>
    <w:rsid w:val="35926521"/>
    <w:rsid w:val="359307D2"/>
    <w:rsid w:val="35947D22"/>
    <w:rsid w:val="35A76E5D"/>
    <w:rsid w:val="35AA4013"/>
    <w:rsid w:val="35AB2FE2"/>
    <w:rsid w:val="35BA2F35"/>
    <w:rsid w:val="35C34243"/>
    <w:rsid w:val="35C53A96"/>
    <w:rsid w:val="35CA5D57"/>
    <w:rsid w:val="35D00EA7"/>
    <w:rsid w:val="35D1489C"/>
    <w:rsid w:val="35D408E8"/>
    <w:rsid w:val="35F800BF"/>
    <w:rsid w:val="35F9379A"/>
    <w:rsid w:val="35F958AF"/>
    <w:rsid w:val="35FB0BDA"/>
    <w:rsid w:val="35FE21C1"/>
    <w:rsid w:val="36057402"/>
    <w:rsid w:val="36070CBD"/>
    <w:rsid w:val="360E0992"/>
    <w:rsid w:val="360E58E3"/>
    <w:rsid w:val="361138EA"/>
    <w:rsid w:val="361E236E"/>
    <w:rsid w:val="36206E72"/>
    <w:rsid w:val="3624187A"/>
    <w:rsid w:val="362E69CC"/>
    <w:rsid w:val="3630679E"/>
    <w:rsid w:val="364C1600"/>
    <w:rsid w:val="364E5613"/>
    <w:rsid w:val="36634F79"/>
    <w:rsid w:val="36643418"/>
    <w:rsid w:val="366B3375"/>
    <w:rsid w:val="366D1C16"/>
    <w:rsid w:val="36725FA3"/>
    <w:rsid w:val="3680514F"/>
    <w:rsid w:val="36814164"/>
    <w:rsid w:val="368B2D4D"/>
    <w:rsid w:val="369167D9"/>
    <w:rsid w:val="36966BC7"/>
    <w:rsid w:val="369D63D9"/>
    <w:rsid w:val="369F4B49"/>
    <w:rsid w:val="36B50719"/>
    <w:rsid w:val="36BC4E5E"/>
    <w:rsid w:val="36C5421F"/>
    <w:rsid w:val="36CC1563"/>
    <w:rsid w:val="36D76C05"/>
    <w:rsid w:val="36E56B24"/>
    <w:rsid w:val="36E745A2"/>
    <w:rsid w:val="36F61CD9"/>
    <w:rsid w:val="37075185"/>
    <w:rsid w:val="370B285A"/>
    <w:rsid w:val="371B60A2"/>
    <w:rsid w:val="37257FB3"/>
    <w:rsid w:val="37267231"/>
    <w:rsid w:val="37270E5F"/>
    <w:rsid w:val="372B0BBF"/>
    <w:rsid w:val="372C6658"/>
    <w:rsid w:val="37350F4B"/>
    <w:rsid w:val="373C2378"/>
    <w:rsid w:val="373E2B94"/>
    <w:rsid w:val="37420A57"/>
    <w:rsid w:val="3755362F"/>
    <w:rsid w:val="37583A33"/>
    <w:rsid w:val="37584715"/>
    <w:rsid w:val="375D1849"/>
    <w:rsid w:val="37627C59"/>
    <w:rsid w:val="37653290"/>
    <w:rsid w:val="377273E4"/>
    <w:rsid w:val="377F43CA"/>
    <w:rsid w:val="37822F74"/>
    <w:rsid w:val="378325C5"/>
    <w:rsid w:val="37857D0B"/>
    <w:rsid w:val="378C3919"/>
    <w:rsid w:val="378C4518"/>
    <w:rsid w:val="378F628E"/>
    <w:rsid w:val="379A16BD"/>
    <w:rsid w:val="37A04B01"/>
    <w:rsid w:val="37A64282"/>
    <w:rsid w:val="37A95DA4"/>
    <w:rsid w:val="37B65893"/>
    <w:rsid w:val="37C30C14"/>
    <w:rsid w:val="37CB2316"/>
    <w:rsid w:val="37CF2E19"/>
    <w:rsid w:val="37EB78FA"/>
    <w:rsid w:val="38063C7D"/>
    <w:rsid w:val="380A7AF1"/>
    <w:rsid w:val="381041CF"/>
    <w:rsid w:val="38162B55"/>
    <w:rsid w:val="381A3930"/>
    <w:rsid w:val="382E766B"/>
    <w:rsid w:val="38311822"/>
    <w:rsid w:val="38347044"/>
    <w:rsid w:val="383E3420"/>
    <w:rsid w:val="38404A00"/>
    <w:rsid w:val="384E7A5D"/>
    <w:rsid w:val="38532FC6"/>
    <w:rsid w:val="385D7B42"/>
    <w:rsid w:val="385F3DA8"/>
    <w:rsid w:val="38722CA6"/>
    <w:rsid w:val="38736E39"/>
    <w:rsid w:val="38747E15"/>
    <w:rsid w:val="388760E5"/>
    <w:rsid w:val="388E2DFE"/>
    <w:rsid w:val="389752C2"/>
    <w:rsid w:val="38A81BB8"/>
    <w:rsid w:val="38B02E86"/>
    <w:rsid w:val="38BA390E"/>
    <w:rsid w:val="38BB18EB"/>
    <w:rsid w:val="38C157B9"/>
    <w:rsid w:val="38C57E70"/>
    <w:rsid w:val="38CD5B52"/>
    <w:rsid w:val="38CF2543"/>
    <w:rsid w:val="38D4106E"/>
    <w:rsid w:val="38D428CC"/>
    <w:rsid w:val="38DB1F8D"/>
    <w:rsid w:val="38DE0B1A"/>
    <w:rsid w:val="38E059A5"/>
    <w:rsid w:val="38E10C48"/>
    <w:rsid w:val="38E452E6"/>
    <w:rsid w:val="38F665E1"/>
    <w:rsid w:val="3903063D"/>
    <w:rsid w:val="39041477"/>
    <w:rsid w:val="390A2872"/>
    <w:rsid w:val="390A7639"/>
    <w:rsid w:val="390C65EA"/>
    <w:rsid w:val="390E3C00"/>
    <w:rsid w:val="391E32EE"/>
    <w:rsid w:val="394A0EC1"/>
    <w:rsid w:val="394D54C5"/>
    <w:rsid w:val="394E1668"/>
    <w:rsid w:val="39521B6F"/>
    <w:rsid w:val="39537453"/>
    <w:rsid w:val="395F272E"/>
    <w:rsid w:val="39612934"/>
    <w:rsid w:val="39621000"/>
    <w:rsid w:val="3964328D"/>
    <w:rsid w:val="39762BD6"/>
    <w:rsid w:val="3977749B"/>
    <w:rsid w:val="39787D00"/>
    <w:rsid w:val="397E0A16"/>
    <w:rsid w:val="398150A4"/>
    <w:rsid w:val="3985687B"/>
    <w:rsid w:val="399A07FC"/>
    <w:rsid w:val="399A5181"/>
    <w:rsid w:val="399E0EE7"/>
    <w:rsid w:val="39AE65FD"/>
    <w:rsid w:val="39B103B8"/>
    <w:rsid w:val="39B41B33"/>
    <w:rsid w:val="39C649EB"/>
    <w:rsid w:val="39CF6697"/>
    <w:rsid w:val="39D54C2E"/>
    <w:rsid w:val="39D673CB"/>
    <w:rsid w:val="39DF6AE2"/>
    <w:rsid w:val="39E4541B"/>
    <w:rsid w:val="39F24635"/>
    <w:rsid w:val="39F30B82"/>
    <w:rsid w:val="39F97DB5"/>
    <w:rsid w:val="3A0B2BF8"/>
    <w:rsid w:val="3A1409EA"/>
    <w:rsid w:val="3A1702EB"/>
    <w:rsid w:val="3A1F40FB"/>
    <w:rsid w:val="3A2B4968"/>
    <w:rsid w:val="3A387E6A"/>
    <w:rsid w:val="3A3F78B1"/>
    <w:rsid w:val="3A410516"/>
    <w:rsid w:val="3A4D0C68"/>
    <w:rsid w:val="3A4D4DE8"/>
    <w:rsid w:val="3A4E5453"/>
    <w:rsid w:val="3A5958D6"/>
    <w:rsid w:val="3A5C7AF1"/>
    <w:rsid w:val="3A61709E"/>
    <w:rsid w:val="3A6727EE"/>
    <w:rsid w:val="3A7466E3"/>
    <w:rsid w:val="3A765147"/>
    <w:rsid w:val="3A7A797D"/>
    <w:rsid w:val="3A7E49DA"/>
    <w:rsid w:val="3A803B3B"/>
    <w:rsid w:val="3A8964B5"/>
    <w:rsid w:val="3A952F57"/>
    <w:rsid w:val="3AA20FB4"/>
    <w:rsid w:val="3AB05274"/>
    <w:rsid w:val="3AB457D6"/>
    <w:rsid w:val="3ABB55FB"/>
    <w:rsid w:val="3AC2354B"/>
    <w:rsid w:val="3AC32C4B"/>
    <w:rsid w:val="3AC36277"/>
    <w:rsid w:val="3AD13648"/>
    <w:rsid w:val="3ADB6274"/>
    <w:rsid w:val="3AE67CDD"/>
    <w:rsid w:val="3AEC231A"/>
    <w:rsid w:val="3AF5487A"/>
    <w:rsid w:val="3AFD268F"/>
    <w:rsid w:val="3B0B4C13"/>
    <w:rsid w:val="3B10415B"/>
    <w:rsid w:val="3B191BDE"/>
    <w:rsid w:val="3B2220F5"/>
    <w:rsid w:val="3B287F4C"/>
    <w:rsid w:val="3B2D3D1C"/>
    <w:rsid w:val="3B304E48"/>
    <w:rsid w:val="3B3C7FE4"/>
    <w:rsid w:val="3B4262F3"/>
    <w:rsid w:val="3B4869A0"/>
    <w:rsid w:val="3B4B19DA"/>
    <w:rsid w:val="3B4B32A9"/>
    <w:rsid w:val="3B605EC0"/>
    <w:rsid w:val="3B610C01"/>
    <w:rsid w:val="3B6A6876"/>
    <w:rsid w:val="3B6B5A28"/>
    <w:rsid w:val="3B723F43"/>
    <w:rsid w:val="3B7340D1"/>
    <w:rsid w:val="3B86087B"/>
    <w:rsid w:val="3B9715D4"/>
    <w:rsid w:val="3BAF2DFE"/>
    <w:rsid w:val="3BB05B0B"/>
    <w:rsid w:val="3BB519A6"/>
    <w:rsid w:val="3BC17641"/>
    <w:rsid w:val="3BC35686"/>
    <w:rsid w:val="3BCC3553"/>
    <w:rsid w:val="3BD55F00"/>
    <w:rsid w:val="3BD76990"/>
    <w:rsid w:val="3BD86C58"/>
    <w:rsid w:val="3BE92C13"/>
    <w:rsid w:val="3BF0408B"/>
    <w:rsid w:val="3BF55114"/>
    <w:rsid w:val="3BFB5FBA"/>
    <w:rsid w:val="3C025882"/>
    <w:rsid w:val="3C047279"/>
    <w:rsid w:val="3C092EDD"/>
    <w:rsid w:val="3C0D3D68"/>
    <w:rsid w:val="3C1F20F8"/>
    <w:rsid w:val="3C1F50AE"/>
    <w:rsid w:val="3C215F09"/>
    <w:rsid w:val="3C2457C4"/>
    <w:rsid w:val="3C265C15"/>
    <w:rsid w:val="3C307FFD"/>
    <w:rsid w:val="3C51503A"/>
    <w:rsid w:val="3C527EB0"/>
    <w:rsid w:val="3C5B366D"/>
    <w:rsid w:val="3C6F42CF"/>
    <w:rsid w:val="3C7F1F50"/>
    <w:rsid w:val="3C88242C"/>
    <w:rsid w:val="3C8D7A42"/>
    <w:rsid w:val="3C945C10"/>
    <w:rsid w:val="3C9B57EB"/>
    <w:rsid w:val="3CA035E0"/>
    <w:rsid w:val="3CB43D47"/>
    <w:rsid w:val="3CB604EB"/>
    <w:rsid w:val="3CC40AFB"/>
    <w:rsid w:val="3CC66AB0"/>
    <w:rsid w:val="3CC93A02"/>
    <w:rsid w:val="3CD30F9C"/>
    <w:rsid w:val="3CE44F8B"/>
    <w:rsid w:val="3CE83271"/>
    <w:rsid w:val="3CFA69BC"/>
    <w:rsid w:val="3D0E0FD3"/>
    <w:rsid w:val="3D1B29F8"/>
    <w:rsid w:val="3D1B5100"/>
    <w:rsid w:val="3D1B6A64"/>
    <w:rsid w:val="3D1D3DF0"/>
    <w:rsid w:val="3D230B1A"/>
    <w:rsid w:val="3D2371AA"/>
    <w:rsid w:val="3D276864"/>
    <w:rsid w:val="3D5843F5"/>
    <w:rsid w:val="3D5E4F3B"/>
    <w:rsid w:val="3D5F09CF"/>
    <w:rsid w:val="3D730F3C"/>
    <w:rsid w:val="3D734FA7"/>
    <w:rsid w:val="3D74475E"/>
    <w:rsid w:val="3D76552B"/>
    <w:rsid w:val="3D8B1A95"/>
    <w:rsid w:val="3D917929"/>
    <w:rsid w:val="3D97782C"/>
    <w:rsid w:val="3DA276DF"/>
    <w:rsid w:val="3DAA108B"/>
    <w:rsid w:val="3DAA609C"/>
    <w:rsid w:val="3DB73559"/>
    <w:rsid w:val="3DBE1EF9"/>
    <w:rsid w:val="3DC033D1"/>
    <w:rsid w:val="3DC254CA"/>
    <w:rsid w:val="3DD67BAD"/>
    <w:rsid w:val="3DD82F3F"/>
    <w:rsid w:val="3E0378CA"/>
    <w:rsid w:val="3E093F30"/>
    <w:rsid w:val="3E0B611A"/>
    <w:rsid w:val="3E1A36D8"/>
    <w:rsid w:val="3E1A5784"/>
    <w:rsid w:val="3E2274A8"/>
    <w:rsid w:val="3E2C636E"/>
    <w:rsid w:val="3E2D45D8"/>
    <w:rsid w:val="3E2F724E"/>
    <w:rsid w:val="3E3C050B"/>
    <w:rsid w:val="3E412B94"/>
    <w:rsid w:val="3E433C84"/>
    <w:rsid w:val="3E595E2E"/>
    <w:rsid w:val="3E5D6903"/>
    <w:rsid w:val="3E731CE0"/>
    <w:rsid w:val="3E745FA0"/>
    <w:rsid w:val="3E773F11"/>
    <w:rsid w:val="3E7C4249"/>
    <w:rsid w:val="3E7F29BB"/>
    <w:rsid w:val="3E942B4C"/>
    <w:rsid w:val="3EAA77C2"/>
    <w:rsid w:val="3EB151D9"/>
    <w:rsid w:val="3EB236BD"/>
    <w:rsid w:val="3EC51715"/>
    <w:rsid w:val="3ECD34FB"/>
    <w:rsid w:val="3ECE7A06"/>
    <w:rsid w:val="3ED67416"/>
    <w:rsid w:val="3EED57BB"/>
    <w:rsid w:val="3F095559"/>
    <w:rsid w:val="3F18035B"/>
    <w:rsid w:val="3F1A398B"/>
    <w:rsid w:val="3F20595F"/>
    <w:rsid w:val="3F221EEC"/>
    <w:rsid w:val="3F2D72BA"/>
    <w:rsid w:val="3F2E53D7"/>
    <w:rsid w:val="3F2F3033"/>
    <w:rsid w:val="3F377F25"/>
    <w:rsid w:val="3F4A6C79"/>
    <w:rsid w:val="3F5B05BD"/>
    <w:rsid w:val="3F5B3E28"/>
    <w:rsid w:val="3F610784"/>
    <w:rsid w:val="3F65663F"/>
    <w:rsid w:val="3F776A54"/>
    <w:rsid w:val="3F785717"/>
    <w:rsid w:val="3F814FC4"/>
    <w:rsid w:val="3F832671"/>
    <w:rsid w:val="3F990FA8"/>
    <w:rsid w:val="3F9B06C8"/>
    <w:rsid w:val="3F9E018F"/>
    <w:rsid w:val="3F9F3672"/>
    <w:rsid w:val="3FAD60D0"/>
    <w:rsid w:val="3FAF4430"/>
    <w:rsid w:val="3FB13A48"/>
    <w:rsid w:val="3FB44558"/>
    <w:rsid w:val="3FB45412"/>
    <w:rsid w:val="3FC82DB6"/>
    <w:rsid w:val="3FCA1877"/>
    <w:rsid w:val="3FCF2120"/>
    <w:rsid w:val="3FE55DD5"/>
    <w:rsid w:val="3FEE6BFE"/>
    <w:rsid w:val="3FF027C2"/>
    <w:rsid w:val="3FF138BA"/>
    <w:rsid w:val="3FF15CE8"/>
    <w:rsid w:val="3FF24B89"/>
    <w:rsid w:val="3FFA1020"/>
    <w:rsid w:val="400718BA"/>
    <w:rsid w:val="400A3657"/>
    <w:rsid w:val="400D6B20"/>
    <w:rsid w:val="400F31E4"/>
    <w:rsid w:val="400F548C"/>
    <w:rsid w:val="40183C43"/>
    <w:rsid w:val="40221F38"/>
    <w:rsid w:val="40277339"/>
    <w:rsid w:val="402D7572"/>
    <w:rsid w:val="4030539C"/>
    <w:rsid w:val="40313923"/>
    <w:rsid w:val="40334EB1"/>
    <w:rsid w:val="403A0C10"/>
    <w:rsid w:val="40491450"/>
    <w:rsid w:val="40502771"/>
    <w:rsid w:val="405E0D86"/>
    <w:rsid w:val="405E7EFE"/>
    <w:rsid w:val="405F4FAD"/>
    <w:rsid w:val="40647E75"/>
    <w:rsid w:val="407056B1"/>
    <w:rsid w:val="407718FE"/>
    <w:rsid w:val="408A6EDE"/>
    <w:rsid w:val="408D4B01"/>
    <w:rsid w:val="40905D53"/>
    <w:rsid w:val="409273D5"/>
    <w:rsid w:val="409A640B"/>
    <w:rsid w:val="40A66E4F"/>
    <w:rsid w:val="40A71F63"/>
    <w:rsid w:val="40AE6C10"/>
    <w:rsid w:val="40B32EF6"/>
    <w:rsid w:val="40B81BCE"/>
    <w:rsid w:val="40C12DD7"/>
    <w:rsid w:val="40C55FE0"/>
    <w:rsid w:val="40CD5225"/>
    <w:rsid w:val="40D90C89"/>
    <w:rsid w:val="40DA1FD4"/>
    <w:rsid w:val="40DB6250"/>
    <w:rsid w:val="40E34E7B"/>
    <w:rsid w:val="40E50387"/>
    <w:rsid w:val="40F52E55"/>
    <w:rsid w:val="40F71E37"/>
    <w:rsid w:val="40F81B3E"/>
    <w:rsid w:val="410448CA"/>
    <w:rsid w:val="410514A9"/>
    <w:rsid w:val="411F6914"/>
    <w:rsid w:val="411F6CC2"/>
    <w:rsid w:val="41237D59"/>
    <w:rsid w:val="412A2C1A"/>
    <w:rsid w:val="412B12FB"/>
    <w:rsid w:val="412D5350"/>
    <w:rsid w:val="4130770B"/>
    <w:rsid w:val="413C6FAF"/>
    <w:rsid w:val="413D7979"/>
    <w:rsid w:val="414657C4"/>
    <w:rsid w:val="414C6E20"/>
    <w:rsid w:val="41547EEF"/>
    <w:rsid w:val="415550F2"/>
    <w:rsid w:val="415A710B"/>
    <w:rsid w:val="41650F8E"/>
    <w:rsid w:val="41663C6B"/>
    <w:rsid w:val="416C231C"/>
    <w:rsid w:val="417C08E0"/>
    <w:rsid w:val="418C673B"/>
    <w:rsid w:val="419D595D"/>
    <w:rsid w:val="41AB219B"/>
    <w:rsid w:val="41B03D78"/>
    <w:rsid w:val="41B10037"/>
    <w:rsid w:val="41BD3B10"/>
    <w:rsid w:val="41BD5AA0"/>
    <w:rsid w:val="41C061C4"/>
    <w:rsid w:val="41C0776A"/>
    <w:rsid w:val="41CB2730"/>
    <w:rsid w:val="41CE00AB"/>
    <w:rsid w:val="41CF6407"/>
    <w:rsid w:val="41D02DBB"/>
    <w:rsid w:val="41DB6827"/>
    <w:rsid w:val="41EA594B"/>
    <w:rsid w:val="41EA5B09"/>
    <w:rsid w:val="41EE53F4"/>
    <w:rsid w:val="41F12D7C"/>
    <w:rsid w:val="42010CB6"/>
    <w:rsid w:val="42057A37"/>
    <w:rsid w:val="420C3459"/>
    <w:rsid w:val="42134546"/>
    <w:rsid w:val="42175750"/>
    <w:rsid w:val="421A1F83"/>
    <w:rsid w:val="421C1463"/>
    <w:rsid w:val="421D3616"/>
    <w:rsid w:val="422A006B"/>
    <w:rsid w:val="422B3AB4"/>
    <w:rsid w:val="422C1AAB"/>
    <w:rsid w:val="42352595"/>
    <w:rsid w:val="42360BC9"/>
    <w:rsid w:val="423B16D9"/>
    <w:rsid w:val="42466EEC"/>
    <w:rsid w:val="424742CB"/>
    <w:rsid w:val="424F43F6"/>
    <w:rsid w:val="42570746"/>
    <w:rsid w:val="42666B81"/>
    <w:rsid w:val="42701998"/>
    <w:rsid w:val="427031F2"/>
    <w:rsid w:val="427E2307"/>
    <w:rsid w:val="427F7EC6"/>
    <w:rsid w:val="42841BC5"/>
    <w:rsid w:val="42896420"/>
    <w:rsid w:val="429121CF"/>
    <w:rsid w:val="429A327A"/>
    <w:rsid w:val="429D02FD"/>
    <w:rsid w:val="429E3201"/>
    <w:rsid w:val="42B712B6"/>
    <w:rsid w:val="42B754E6"/>
    <w:rsid w:val="42BA7145"/>
    <w:rsid w:val="42CA061D"/>
    <w:rsid w:val="42CC7A4E"/>
    <w:rsid w:val="42CD4A84"/>
    <w:rsid w:val="42D12157"/>
    <w:rsid w:val="42D134D3"/>
    <w:rsid w:val="42D261AF"/>
    <w:rsid w:val="42D855B4"/>
    <w:rsid w:val="42E14644"/>
    <w:rsid w:val="42E650A6"/>
    <w:rsid w:val="42E7540A"/>
    <w:rsid w:val="42EB0546"/>
    <w:rsid w:val="42EF2FDE"/>
    <w:rsid w:val="42F70C67"/>
    <w:rsid w:val="42F74527"/>
    <w:rsid w:val="42F82437"/>
    <w:rsid w:val="42FB7852"/>
    <w:rsid w:val="43032432"/>
    <w:rsid w:val="4305331E"/>
    <w:rsid w:val="4321130E"/>
    <w:rsid w:val="432E3DDB"/>
    <w:rsid w:val="43397944"/>
    <w:rsid w:val="43427DDA"/>
    <w:rsid w:val="434934AC"/>
    <w:rsid w:val="434A7F46"/>
    <w:rsid w:val="4353258D"/>
    <w:rsid w:val="4356219C"/>
    <w:rsid w:val="43580E0A"/>
    <w:rsid w:val="43595A87"/>
    <w:rsid w:val="435F03D3"/>
    <w:rsid w:val="43621A35"/>
    <w:rsid w:val="43625D61"/>
    <w:rsid w:val="436E2D22"/>
    <w:rsid w:val="437454B8"/>
    <w:rsid w:val="43775B51"/>
    <w:rsid w:val="437E3DAB"/>
    <w:rsid w:val="43813DED"/>
    <w:rsid w:val="438508CB"/>
    <w:rsid w:val="43881737"/>
    <w:rsid w:val="43925C75"/>
    <w:rsid w:val="43B56181"/>
    <w:rsid w:val="43B65B4C"/>
    <w:rsid w:val="43BC2914"/>
    <w:rsid w:val="43BD6E7C"/>
    <w:rsid w:val="43BE6733"/>
    <w:rsid w:val="43C7383A"/>
    <w:rsid w:val="43CD117F"/>
    <w:rsid w:val="43CD4ACE"/>
    <w:rsid w:val="43D94F95"/>
    <w:rsid w:val="43E22A9A"/>
    <w:rsid w:val="43EC2F3B"/>
    <w:rsid w:val="43F63B87"/>
    <w:rsid w:val="43F73E1A"/>
    <w:rsid w:val="44052B72"/>
    <w:rsid w:val="440700DA"/>
    <w:rsid w:val="440B04FD"/>
    <w:rsid w:val="440D7822"/>
    <w:rsid w:val="4418568A"/>
    <w:rsid w:val="44304AC8"/>
    <w:rsid w:val="44382379"/>
    <w:rsid w:val="443E4503"/>
    <w:rsid w:val="445376BD"/>
    <w:rsid w:val="44547CED"/>
    <w:rsid w:val="44585541"/>
    <w:rsid w:val="44632615"/>
    <w:rsid w:val="44674F5C"/>
    <w:rsid w:val="446A2B74"/>
    <w:rsid w:val="447031D1"/>
    <w:rsid w:val="44726699"/>
    <w:rsid w:val="447304A3"/>
    <w:rsid w:val="44781E36"/>
    <w:rsid w:val="448B17CA"/>
    <w:rsid w:val="4493617F"/>
    <w:rsid w:val="44962477"/>
    <w:rsid w:val="449649FB"/>
    <w:rsid w:val="44995DC1"/>
    <w:rsid w:val="44B52020"/>
    <w:rsid w:val="44B571C6"/>
    <w:rsid w:val="44BC6D99"/>
    <w:rsid w:val="44C34D14"/>
    <w:rsid w:val="44C8759E"/>
    <w:rsid w:val="44CB0252"/>
    <w:rsid w:val="44D142B6"/>
    <w:rsid w:val="44DA134B"/>
    <w:rsid w:val="44E02932"/>
    <w:rsid w:val="44E65F41"/>
    <w:rsid w:val="44F02538"/>
    <w:rsid w:val="44FFC764"/>
    <w:rsid w:val="45023FC8"/>
    <w:rsid w:val="45034D45"/>
    <w:rsid w:val="45054711"/>
    <w:rsid w:val="45090158"/>
    <w:rsid w:val="450A6565"/>
    <w:rsid w:val="45140D01"/>
    <w:rsid w:val="45191BF7"/>
    <w:rsid w:val="451D10F4"/>
    <w:rsid w:val="45240524"/>
    <w:rsid w:val="45251D96"/>
    <w:rsid w:val="45284001"/>
    <w:rsid w:val="452873A4"/>
    <w:rsid w:val="45335771"/>
    <w:rsid w:val="45335838"/>
    <w:rsid w:val="45416EE3"/>
    <w:rsid w:val="45473043"/>
    <w:rsid w:val="454870DC"/>
    <w:rsid w:val="454A0C83"/>
    <w:rsid w:val="45530034"/>
    <w:rsid w:val="45623A56"/>
    <w:rsid w:val="45633856"/>
    <w:rsid w:val="456A2ADE"/>
    <w:rsid w:val="456F49DB"/>
    <w:rsid w:val="458B1CA5"/>
    <w:rsid w:val="45982387"/>
    <w:rsid w:val="45A86640"/>
    <w:rsid w:val="45BA4045"/>
    <w:rsid w:val="45BC5F18"/>
    <w:rsid w:val="45C244F1"/>
    <w:rsid w:val="45C80EC5"/>
    <w:rsid w:val="45CE0D03"/>
    <w:rsid w:val="45E53FDF"/>
    <w:rsid w:val="45F20916"/>
    <w:rsid w:val="46080139"/>
    <w:rsid w:val="46091ED9"/>
    <w:rsid w:val="46283D0A"/>
    <w:rsid w:val="462B72AD"/>
    <w:rsid w:val="46336D0D"/>
    <w:rsid w:val="46410B55"/>
    <w:rsid w:val="464B1202"/>
    <w:rsid w:val="464D3AD6"/>
    <w:rsid w:val="465A4BC4"/>
    <w:rsid w:val="466C6EB4"/>
    <w:rsid w:val="466F391B"/>
    <w:rsid w:val="46726B71"/>
    <w:rsid w:val="46791522"/>
    <w:rsid w:val="467D119F"/>
    <w:rsid w:val="46886F5B"/>
    <w:rsid w:val="468F2F23"/>
    <w:rsid w:val="468F6B67"/>
    <w:rsid w:val="469C37C0"/>
    <w:rsid w:val="46A3395D"/>
    <w:rsid w:val="46C2653A"/>
    <w:rsid w:val="46C86443"/>
    <w:rsid w:val="46C87FF5"/>
    <w:rsid w:val="46DC3AA0"/>
    <w:rsid w:val="46DF5460"/>
    <w:rsid w:val="46E542D7"/>
    <w:rsid w:val="46E81905"/>
    <w:rsid w:val="46FD7A2A"/>
    <w:rsid w:val="4701162F"/>
    <w:rsid w:val="47053CD0"/>
    <w:rsid w:val="47086791"/>
    <w:rsid w:val="47094169"/>
    <w:rsid w:val="4710374A"/>
    <w:rsid w:val="47264AC6"/>
    <w:rsid w:val="473D11CD"/>
    <w:rsid w:val="47451D27"/>
    <w:rsid w:val="475B2785"/>
    <w:rsid w:val="47743CD8"/>
    <w:rsid w:val="47897DD0"/>
    <w:rsid w:val="478A6A6F"/>
    <w:rsid w:val="478B308C"/>
    <w:rsid w:val="4793009C"/>
    <w:rsid w:val="47953C4F"/>
    <w:rsid w:val="47A3215E"/>
    <w:rsid w:val="47A73961"/>
    <w:rsid w:val="47A83982"/>
    <w:rsid w:val="47AC663F"/>
    <w:rsid w:val="47B40579"/>
    <w:rsid w:val="47C01CC7"/>
    <w:rsid w:val="47C4023C"/>
    <w:rsid w:val="47D429C9"/>
    <w:rsid w:val="47D65A28"/>
    <w:rsid w:val="47DC1DB3"/>
    <w:rsid w:val="47DD219D"/>
    <w:rsid w:val="47EB56BC"/>
    <w:rsid w:val="47F21D09"/>
    <w:rsid w:val="47FB4FBA"/>
    <w:rsid w:val="48013092"/>
    <w:rsid w:val="480D7570"/>
    <w:rsid w:val="481234C4"/>
    <w:rsid w:val="48133FAD"/>
    <w:rsid w:val="481439BD"/>
    <w:rsid w:val="4819662E"/>
    <w:rsid w:val="481A4DA4"/>
    <w:rsid w:val="481B5F19"/>
    <w:rsid w:val="48305572"/>
    <w:rsid w:val="48320AF0"/>
    <w:rsid w:val="484F7E16"/>
    <w:rsid w:val="48524506"/>
    <w:rsid w:val="48530D49"/>
    <w:rsid w:val="48531B40"/>
    <w:rsid w:val="4856111D"/>
    <w:rsid w:val="485756B9"/>
    <w:rsid w:val="485B17B4"/>
    <w:rsid w:val="48621D83"/>
    <w:rsid w:val="4867383D"/>
    <w:rsid w:val="48677399"/>
    <w:rsid w:val="48735068"/>
    <w:rsid w:val="48735D3E"/>
    <w:rsid w:val="48793E24"/>
    <w:rsid w:val="48804725"/>
    <w:rsid w:val="4882392D"/>
    <w:rsid w:val="48867B25"/>
    <w:rsid w:val="488C45CD"/>
    <w:rsid w:val="48952158"/>
    <w:rsid w:val="48975EE9"/>
    <w:rsid w:val="489D07F2"/>
    <w:rsid w:val="48A0452D"/>
    <w:rsid w:val="48A60A0F"/>
    <w:rsid w:val="48A779BA"/>
    <w:rsid w:val="48B7173D"/>
    <w:rsid w:val="48B93B3A"/>
    <w:rsid w:val="48B9450D"/>
    <w:rsid w:val="48BF221E"/>
    <w:rsid w:val="48BF4A4F"/>
    <w:rsid w:val="48C63949"/>
    <w:rsid w:val="48D16F41"/>
    <w:rsid w:val="48D50F8C"/>
    <w:rsid w:val="48E52321"/>
    <w:rsid w:val="48E62BF9"/>
    <w:rsid w:val="48F0472C"/>
    <w:rsid w:val="48FB1A36"/>
    <w:rsid w:val="490F23C1"/>
    <w:rsid w:val="49180694"/>
    <w:rsid w:val="491A3183"/>
    <w:rsid w:val="491F5E88"/>
    <w:rsid w:val="49242F6E"/>
    <w:rsid w:val="49251C1E"/>
    <w:rsid w:val="492545A8"/>
    <w:rsid w:val="49324115"/>
    <w:rsid w:val="493D66ED"/>
    <w:rsid w:val="49400F13"/>
    <w:rsid w:val="49887C6B"/>
    <w:rsid w:val="498A3F51"/>
    <w:rsid w:val="498D00F0"/>
    <w:rsid w:val="498F51BD"/>
    <w:rsid w:val="49984DDB"/>
    <w:rsid w:val="499B68FD"/>
    <w:rsid w:val="499F391A"/>
    <w:rsid w:val="49A62736"/>
    <w:rsid w:val="49B31060"/>
    <w:rsid w:val="49B33A71"/>
    <w:rsid w:val="49BC3715"/>
    <w:rsid w:val="49BE4BC6"/>
    <w:rsid w:val="49C11245"/>
    <w:rsid w:val="49D55214"/>
    <w:rsid w:val="49D81328"/>
    <w:rsid w:val="49DA282D"/>
    <w:rsid w:val="49DA6A7B"/>
    <w:rsid w:val="49EC3FFA"/>
    <w:rsid w:val="49F53FDD"/>
    <w:rsid w:val="49F83D29"/>
    <w:rsid w:val="4A00739B"/>
    <w:rsid w:val="4A011472"/>
    <w:rsid w:val="4A093D45"/>
    <w:rsid w:val="4A0C430C"/>
    <w:rsid w:val="4A142614"/>
    <w:rsid w:val="4A204AFC"/>
    <w:rsid w:val="4A390BBD"/>
    <w:rsid w:val="4A3A104D"/>
    <w:rsid w:val="4A3F4DF3"/>
    <w:rsid w:val="4A526941"/>
    <w:rsid w:val="4A570839"/>
    <w:rsid w:val="4A5B4CDC"/>
    <w:rsid w:val="4A5C2391"/>
    <w:rsid w:val="4A6041DB"/>
    <w:rsid w:val="4A6C16EB"/>
    <w:rsid w:val="4A6F39D2"/>
    <w:rsid w:val="4A7408A1"/>
    <w:rsid w:val="4A7A436F"/>
    <w:rsid w:val="4A7F653C"/>
    <w:rsid w:val="4A8871B9"/>
    <w:rsid w:val="4A8E6D93"/>
    <w:rsid w:val="4A953A0B"/>
    <w:rsid w:val="4AA04DE4"/>
    <w:rsid w:val="4AA50D63"/>
    <w:rsid w:val="4AB16FF2"/>
    <w:rsid w:val="4AB907BB"/>
    <w:rsid w:val="4AC10346"/>
    <w:rsid w:val="4AC3180F"/>
    <w:rsid w:val="4AC54891"/>
    <w:rsid w:val="4AC67EDC"/>
    <w:rsid w:val="4AD33960"/>
    <w:rsid w:val="4AD724E2"/>
    <w:rsid w:val="4AE90857"/>
    <w:rsid w:val="4AF56EDE"/>
    <w:rsid w:val="4AFD1BF3"/>
    <w:rsid w:val="4B04492D"/>
    <w:rsid w:val="4B05432C"/>
    <w:rsid w:val="4B11578A"/>
    <w:rsid w:val="4B1756CD"/>
    <w:rsid w:val="4B23424F"/>
    <w:rsid w:val="4B300A18"/>
    <w:rsid w:val="4B3A28B9"/>
    <w:rsid w:val="4B3D0602"/>
    <w:rsid w:val="4B41733E"/>
    <w:rsid w:val="4B453E5B"/>
    <w:rsid w:val="4B47560D"/>
    <w:rsid w:val="4B517E8D"/>
    <w:rsid w:val="4B5A31E5"/>
    <w:rsid w:val="4B5B2DAA"/>
    <w:rsid w:val="4B5D73FC"/>
    <w:rsid w:val="4B6166C2"/>
    <w:rsid w:val="4B6261D0"/>
    <w:rsid w:val="4B7A5D29"/>
    <w:rsid w:val="4B830F43"/>
    <w:rsid w:val="4B90625D"/>
    <w:rsid w:val="4B920BD1"/>
    <w:rsid w:val="4B954854"/>
    <w:rsid w:val="4B9C5FD0"/>
    <w:rsid w:val="4BA17066"/>
    <w:rsid w:val="4BB67DE5"/>
    <w:rsid w:val="4BC10256"/>
    <w:rsid w:val="4BCB5E91"/>
    <w:rsid w:val="4BCF402D"/>
    <w:rsid w:val="4BE07976"/>
    <w:rsid w:val="4BE551D7"/>
    <w:rsid w:val="4BEA31DE"/>
    <w:rsid w:val="4BEC598C"/>
    <w:rsid w:val="4BF14FED"/>
    <w:rsid w:val="4BFA506D"/>
    <w:rsid w:val="4C003ED5"/>
    <w:rsid w:val="4C0B35F5"/>
    <w:rsid w:val="4C0C2A53"/>
    <w:rsid w:val="4C0F2222"/>
    <w:rsid w:val="4C105921"/>
    <w:rsid w:val="4C1865DB"/>
    <w:rsid w:val="4C1B1A40"/>
    <w:rsid w:val="4C21665B"/>
    <w:rsid w:val="4C285E62"/>
    <w:rsid w:val="4C2A2851"/>
    <w:rsid w:val="4C353070"/>
    <w:rsid w:val="4C545E87"/>
    <w:rsid w:val="4C5871BA"/>
    <w:rsid w:val="4C5A7AD7"/>
    <w:rsid w:val="4C5B47B8"/>
    <w:rsid w:val="4C5B4AEF"/>
    <w:rsid w:val="4C5D5078"/>
    <w:rsid w:val="4C60482B"/>
    <w:rsid w:val="4C613078"/>
    <w:rsid w:val="4C617FE2"/>
    <w:rsid w:val="4C6A7458"/>
    <w:rsid w:val="4C800A2A"/>
    <w:rsid w:val="4C816CB4"/>
    <w:rsid w:val="4C8A15C4"/>
    <w:rsid w:val="4C8A7AFA"/>
    <w:rsid w:val="4C954001"/>
    <w:rsid w:val="4C9810A7"/>
    <w:rsid w:val="4C9813EB"/>
    <w:rsid w:val="4C9E51C0"/>
    <w:rsid w:val="4CB12474"/>
    <w:rsid w:val="4CB30DFF"/>
    <w:rsid w:val="4CB93F3C"/>
    <w:rsid w:val="4CBD61AA"/>
    <w:rsid w:val="4CBF0301"/>
    <w:rsid w:val="4CC27294"/>
    <w:rsid w:val="4CCE1107"/>
    <w:rsid w:val="4CD41741"/>
    <w:rsid w:val="4CD51E99"/>
    <w:rsid w:val="4CD63C72"/>
    <w:rsid w:val="4CDF3CC9"/>
    <w:rsid w:val="4CE863C1"/>
    <w:rsid w:val="4CEB6BD1"/>
    <w:rsid w:val="4CED6D40"/>
    <w:rsid w:val="4CF317D0"/>
    <w:rsid w:val="4D0D6065"/>
    <w:rsid w:val="4D0F1DAD"/>
    <w:rsid w:val="4D110FBB"/>
    <w:rsid w:val="4D164AFA"/>
    <w:rsid w:val="4D261EAC"/>
    <w:rsid w:val="4D2C6F2C"/>
    <w:rsid w:val="4D386F94"/>
    <w:rsid w:val="4D40507F"/>
    <w:rsid w:val="4D421C08"/>
    <w:rsid w:val="4D482550"/>
    <w:rsid w:val="4D4D2F0B"/>
    <w:rsid w:val="4D4E6D7A"/>
    <w:rsid w:val="4D510EBD"/>
    <w:rsid w:val="4D537EEC"/>
    <w:rsid w:val="4D5F2FC7"/>
    <w:rsid w:val="4D626325"/>
    <w:rsid w:val="4D721834"/>
    <w:rsid w:val="4D744DBE"/>
    <w:rsid w:val="4D7A13B3"/>
    <w:rsid w:val="4D7C2170"/>
    <w:rsid w:val="4D830DDF"/>
    <w:rsid w:val="4D841978"/>
    <w:rsid w:val="4D842396"/>
    <w:rsid w:val="4D857384"/>
    <w:rsid w:val="4DA1395F"/>
    <w:rsid w:val="4DA42E3E"/>
    <w:rsid w:val="4DB46613"/>
    <w:rsid w:val="4DC31516"/>
    <w:rsid w:val="4DC63A2E"/>
    <w:rsid w:val="4DD13F47"/>
    <w:rsid w:val="4DD23895"/>
    <w:rsid w:val="4DD804BA"/>
    <w:rsid w:val="4DE81588"/>
    <w:rsid w:val="4DEE5E67"/>
    <w:rsid w:val="4DEF40B9"/>
    <w:rsid w:val="4DF81A75"/>
    <w:rsid w:val="4E0009F8"/>
    <w:rsid w:val="4E0066F2"/>
    <w:rsid w:val="4E0D2201"/>
    <w:rsid w:val="4E113914"/>
    <w:rsid w:val="4E151645"/>
    <w:rsid w:val="4E177C16"/>
    <w:rsid w:val="4E1B27F1"/>
    <w:rsid w:val="4E1C2A12"/>
    <w:rsid w:val="4E1F1BDC"/>
    <w:rsid w:val="4E2849B1"/>
    <w:rsid w:val="4E2A2B2A"/>
    <w:rsid w:val="4E353A96"/>
    <w:rsid w:val="4E362A8C"/>
    <w:rsid w:val="4E416FD5"/>
    <w:rsid w:val="4E513F18"/>
    <w:rsid w:val="4E696E03"/>
    <w:rsid w:val="4E721129"/>
    <w:rsid w:val="4E763E9A"/>
    <w:rsid w:val="4E872543"/>
    <w:rsid w:val="4E8D62EF"/>
    <w:rsid w:val="4E913046"/>
    <w:rsid w:val="4E97567D"/>
    <w:rsid w:val="4EA10E47"/>
    <w:rsid w:val="4EA4188F"/>
    <w:rsid w:val="4EA503D4"/>
    <w:rsid w:val="4EAA5E27"/>
    <w:rsid w:val="4EC63829"/>
    <w:rsid w:val="4EC77E93"/>
    <w:rsid w:val="4EC92B5C"/>
    <w:rsid w:val="4ECA6815"/>
    <w:rsid w:val="4ECA7021"/>
    <w:rsid w:val="4ED27537"/>
    <w:rsid w:val="4ED53A48"/>
    <w:rsid w:val="4ED7502F"/>
    <w:rsid w:val="4EE267B9"/>
    <w:rsid w:val="4EE41A34"/>
    <w:rsid w:val="4F082DCE"/>
    <w:rsid w:val="4F1931A5"/>
    <w:rsid w:val="4F1B2C8C"/>
    <w:rsid w:val="4F1B3F4A"/>
    <w:rsid w:val="4F1D6A04"/>
    <w:rsid w:val="4F1E07C8"/>
    <w:rsid w:val="4F2C6BA7"/>
    <w:rsid w:val="4F301627"/>
    <w:rsid w:val="4F3A1A7F"/>
    <w:rsid w:val="4F4005ED"/>
    <w:rsid w:val="4F4148EE"/>
    <w:rsid w:val="4F517200"/>
    <w:rsid w:val="4F5432B3"/>
    <w:rsid w:val="4F56666E"/>
    <w:rsid w:val="4F59189E"/>
    <w:rsid w:val="4F624D5E"/>
    <w:rsid w:val="4F6261A7"/>
    <w:rsid w:val="4F650612"/>
    <w:rsid w:val="4F771E39"/>
    <w:rsid w:val="4F990F95"/>
    <w:rsid w:val="4FA650C6"/>
    <w:rsid w:val="4FAC4ED0"/>
    <w:rsid w:val="4FB4474F"/>
    <w:rsid w:val="4FB73C0F"/>
    <w:rsid w:val="4FB82BD0"/>
    <w:rsid w:val="4FC610F0"/>
    <w:rsid w:val="4FC74A00"/>
    <w:rsid w:val="4FCB5C40"/>
    <w:rsid w:val="4FDD43E5"/>
    <w:rsid w:val="4FE7339C"/>
    <w:rsid w:val="50015E6F"/>
    <w:rsid w:val="500B3D8B"/>
    <w:rsid w:val="501174D1"/>
    <w:rsid w:val="50135AD5"/>
    <w:rsid w:val="501C44E9"/>
    <w:rsid w:val="502C1C6D"/>
    <w:rsid w:val="502E177D"/>
    <w:rsid w:val="50304C81"/>
    <w:rsid w:val="50312E12"/>
    <w:rsid w:val="50324731"/>
    <w:rsid w:val="50341D02"/>
    <w:rsid w:val="503673B3"/>
    <w:rsid w:val="50370434"/>
    <w:rsid w:val="503B479E"/>
    <w:rsid w:val="503C00F4"/>
    <w:rsid w:val="5042537A"/>
    <w:rsid w:val="50440564"/>
    <w:rsid w:val="50487235"/>
    <w:rsid w:val="505F234C"/>
    <w:rsid w:val="505F5DAF"/>
    <w:rsid w:val="506348EA"/>
    <w:rsid w:val="506D39BB"/>
    <w:rsid w:val="5076626F"/>
    <w:rsid w:val="507A16D4"/>
    <w:rsid w:val="507C1E50"/>
    <w:rsid w:val="50821BD0"/>
    <w:rsid w:val="50850DFC"/>
    <w:rsid w:val="508A0D19"/>
    <w:rsid w:val="508E20BB"/>
    <w:rsid w:val="508F56DF"/>
    <w:rsid w:val="50903FCF"/>
    <w:rsid w:val="50AD2009"/>
    <w:rsid w:val="50E059B5"/>
    <w:rsid w:val="50E622DF"/>
    <w:rsid w:val="50ED2C12"/>
    <w:rsid w:val="50EE678E"/>
    <w:rsid w:val="50FA747F"/>
    <w:rsid w:val="510215EA"/>
    <w:rsid w:val="51072F02"/>
    <w:rsid w:val="51077983"/>
    <w:rsid w:val="510D04CA"/>
    <w:rsid w:val="5113007B"/>
    <w:rsid w:val="51191B79"/>
    <w:rsid w:val="51226EE4"/>
    <w:rsid w:val="51244F57"/>
    <w:rsid w:val="51435BF0"/>
    <w:rsid w:val="51440978"/>
    <w:rsid w:val="51535A6C"/>
    <w:rsid w:val="51642A74"/>
    <w:rsid w:val="5169648F"/>
    <w:rsid w:val="51703361"/>
    <w:rsid w:val="51754422"/>
    <w:rsid w:val="51773BD8"/>
    <w:rsid w:val="51775A0F"/>
    <w:rsid w:val="518963F3"/>
    <w:rsid w:val="51907700"/>
    <w:rsid w:val="51972664"/>
    <w:rsid w:val="519C0AB5"/>
    <w:rsid w:val="51A03087"/>
    <w:rsid w:val="51A91D1B"/>
    <w:rsid w:val="51AF00E2"/>
    <w:rsid w:val="51BB0450"/>
    <w:rsid w:val="51D427A1"/>
    <w:rsid w:val="51DC1685"/>
    <w:rsid w:val="51EA6637"/>
    <w:rsid w:val="51F139A6"/>
    <w:rsid w:val="51F15ECC"/>
    <w:rsid w:val="51FB1611"/>
    <w:rsid w:val="51FF645C"/>
    <w:rsid w:val="520211AD"/>
    <w:rsid w:val="520A3512"/>
    <w:rsid w:val="520C318F"/>
    <w:rsid w:val="520D5BFF"/>
    <w:rsid w:val="520E138F"/>
    <w:rsid w:val="52105B50"/>
    <w:rsid w:val="522143CF"/>
    <w:rsid w:val="52287C67"/>
    <w:rsid w:val="522B5C19"/>
    <w:rsid w:val="523D570D"/>
    <w:rsid w:val="523E2950"/>
    <w:rsid w:val="526B3F2A"/>
    <w:rsid w:val="527B32BB"/>
    <w:rsid w:val="5281301C"/>
    <w:rsid w:val="52837A06"/>
    <w:rsid w:val="528648C0"/>
    <w:rsid w:val="52867E66"/>
    <w:rsid w:val="52877452"/>
    <w:rsid w:val="528A6D1D"/>
    <w:rsid w:val="52911BE2"/>
    <w:rsid w:val="52A4537B"/>
    <w:rsid w:val="52B02D40"/>
    <w:rsid w:val="52BE7B42"/>
    <w:rsid w:val="52BF0352"/>
    <w:rsid w:val="52D9396F"/>
    <w:rsid w:val="52E31C5F"/>
    <w:rsid w:val="52EA71AE"/>
    <w:rsid w:val="52EB69AA"/>
    <w:rsid w:val="52F374DD"/>
    <w:rsid w:val="52FD3D96"/>
    <w:rsid w:val="53145CAE"/>
    <w:rsid w:val="53177B94"/>
    <w:rsid w:val="5325057D"/>
    <w:rsid w:val="5333563D"/>
    <w:rsid w:val="534D6DD8"/>
    <w:rsid w:val="534E00AE"/>
    <w:rsid w:val="5358625C"/>
    <w:rsid w:val="53623553"/>
    <w:rsid w:val="536A3796"/>
    <w:rsid w:val="536E0167"/>
    <w:rsid w:val="537B60D8"/>
    <w:rsid w:val="5385053F"/>
    <w:rsid w:val="538708F0"/>
    <w:rsid w:val="53894668"/>
    <w:rsid w:val="5392254C"/>
    <w:rsid w:val="53937719"/>
    <w:rsid w:val="53937B84"/>
    <w:rsid w:val="53990B87"/>
    <w:rsid w:val="53A46094"/>
    <w:rsid w:val="53A8286F"/>
    <w:rsid w:val="53AC0356"/>
    <w:rsid w:val="53C22A2C"/>
    <w:rsid w:val="53DA0256"/>
    <w:rsid w:val="53DB5AD4"/>
    <w:rsid w:val="53DD249C"/>
    <w:rsid w:val="53E20FFD"/>
    <w:rsid w:val="53E41FC3"/>
    <w:rsid w:val="53EE136D"/>
    <w:rsid w:val="53F62AAC"/>
    <w:rsid w:val="53FC7F95"/>
    <w:rsid w:val="54013925"/>
    <w:rsid w:val="5403590F"/>
    <w:rsid w:val="54291968"/>
    <w:rsid w:val="542A5BF1"/>
    <w:rsid w:val="54457D04"/>
    <w:rsid w:val="54500BFF"/>
    <w:rsid w:val="5454111A"/>
    <w:rsid w:val="54614C14"/>
    <w:rsid w:val="54630A90"/>
    <w:rsid w:val="54695382"/>
    <w:rsid w:val="54774E08"/>
    <w:rsid w:val="548A4B3B"/>
    <w:rsid w:val="548B32DE"/>
    <w:rsid w:val="548E3F00"/>
    <w:rsid w:val="5496050F"/>
    <w:rsid w:val="54997123"/>
    <w:rsid w:val="54A44DC8"/>
    <w:rsid w:val="54A60CB5"/>
    <w:rsid w:val="54AB7507"/>
    <w:rsid w:val="54B977FD"/>
    <w:rsid w:val="54BC44F9"/>
    <w:rsid w:val="54C7518F"/>
    <w:rsid w:val="54CA27C7"/>
    <w:rsid w:val="54DC3F88"/>
    <w:rsid w:val="54E16725"/>
    <w:rsid w:val="54E77BFC"/>
    <w:rsid w:val="54E9446B"/>
    <w:rsid w:val="54F34025"/>
    <w:rsid w:val="54F93A6F"/>
    <w:rsid w:val="54FD54F6"/>
    <w:rsid w:val="54FE754D"/>
    <w:rsid w:val="54FF7E6D"/>
    <w:rsid w:val="551960B5"/>
    <w:rsid w:val="551D33CA"/>
    <w:rsid w:val="55216926"/>
    <w:rsid w:val="55226911"/>
    <w:rsid w:val="552705DC"/>
    <w:rsid w:val="55314340"/>
    <w:rsid w:val="55376345"/>
    <w:rsid w:val="553C52A5"/>
    <w:rsid w:val="55421F6E"/>
    <w:rsid w:val="554D7917"/>
    <w:rsid w:val="55524F2D"/>
    <w:rsid w:val="555E68B0"/>
    <w:rsid w:val="5567453E"/>
    <w:rsid w:val="556B0811"/>
    <w:rsid w:val="556B61AC"/>
    <w:rsid w:val="556D1E80"/>
    <w:rsid w:val="557A0888"/>
    <w:rsid w:val="557A7658"/>
    <w:rsid w:val="55882BCC"/>
    <w:rsid w:val="558D02B0"/>
    <w:rsid w:val="558D768C"/>
    <w:rsid w:val="558E7711"/>
    <w:rsid w:val="55933CB3"/>
    <w:rsid w:val="559A1623"/>
    <w:rsid w:val="55BF24E8"/>
    <w:rsid w:val="55C713B9"/>
    <w:rsid w:val="55D93CDC"/>
    <w:rsid w:val="55E71C21"/>
    <w:rsid w:val="55EA472C"/>
    <w:rsid w:val="55F3226C"/>
    <w:rsid w:val="56054128"/>
    <w:rsid w:val="56073B0E"/>
    <w:rsid w:val="56186177"/>
    <w:rsid w:val="56273C8F"/>
    <w:rsid w:val="562D5A40"/>
    <w:rsid w:val="5632548A"/>
    <w:rsid w:val="56362899"/>
    <w:rsid w:val="56395404"/>
    <w:rsid w:val="564D0586"/>
    <w:rsid w:val="56506539"/>
    <w:rsid w:val="56554CD5"/>
    <w:rsid w:val="56684CFA"/>
    <w:rsid w:val="566C28C4"/>
    <w:rsid w:val="567F47FF"/>
    <w:rsid w:val="56837199"/>
    <w:rsid w:val="5684380C"/>
    <w:rsid w:val="569306BF"/>
    <w:rsid w:val="569D55FC"/>
    <w:rsid w:val="56A155F1"/>
    <w:rsid w:val="56A31EE4"/>
    <w:rsid w:val="56A36B96"/>
    <w:rsid w:val="56BB515F"/>
    <w:rsid w:val="56BD58E3"/>
    <w:rsid w:val="56C815B8"/>
    <w:rsid w:val="56C860DD"/>
    <w:rsid w:val="56D106EB"/>
    <w:rsid w:val="56E950F1"/>
    <w:rsid w:val="56EF512A"/>
    <w:rsid w:val="56EF772E"/>
    <w:rsid w:val="56FB1D20"/>
    <w:rsid w:val="56FF49DC"/>
    <w:rsid w:val="5704370E"/>
    <w:rsid w:val="5708527E"/>
    <w:rsid w:val="57101BE8"/>
    <w:rsid w:val="57173F87"/>
    <w:rsid w:val="571A0680"/>
    <w:rsid w:val="571D166C"/>
    <w:rsid w:val="57234756"/>
    <w:rsid w:val="572B3C88"/>
    <w:rsid w:val="572D18D3"/>
    <w:rsid w:val="57323268"/>
    <w:rsid w:val="573C7323"/>
    <w:rsid w:val="57477BBC"/>
    <w:rsid w:val="57520D09"/>
    <w:rsid w:val="57525385"/>
    <w:rsid w:val="575651A9"/>
    <w:rsid w:val="57584591"/>
    <w:rsid w:val="57687622"/>
    <w:rsid w:val="57752CCA"/>
    <w:rsid w:val="57912018"/>
    <w:rsid w:val="57962B25"/>
    <w:rsid w:val="579D16BA"/>
    <w:rsid w:val="57A05B86"/>
    <w:rsid w:val="57A203EE"/>
    <w:rsid w:val="57A35BA8"/>
    <w:rsid w:val="57AF2FA5"/>
    <w:rsid w:val="57B64A6D"/>
    <w:rsid w:val="57C02622"/>
    <w:rsid w:val="57C27C37"/>
    <w:rsid w:val="57C700F2"/>
    <w:rsid w:val="57CD627C"/>
    <w:rsid w:val="57D32355"/>
    <w:rsid w:val="57D855C7"/>
    <w:rsid w:val="57E54A33"/>
    <w:rsid w:val="57F1746E"/>
    <w:rsid w:val="580573C3"/>
    <w:rsid w:val="58085482"/>
    <w:rsid w:val="581454CB"/>
    <w:rsid w:val="582201DC"/>
    <w:rsid w:val="582941FF"/>
    <w:rsid w:val="58321718"/>
    <w:rsid w:val="58375C4D"/>
    <w:rsid w:val="583D39BF"/>
    <w:rsid w:val="58475F6E"/>
    <w:rsid w:val="58511B64"/>
    <w:rsid w:val="585641C3"/>
    <w:rsid w:val="58660EC4"/>
    <w:rsid w:val="58677081"/>
    <w:rsid w:val="58726025"/>
    <w:rsid w:val="58754F91"/>
    <w:rsid w:val="587A05B4"/>
    <w:rsid w:val="587B21AB"/>
    <w:rsid w:val="58861F7D"/>
    <w:rsid w:val="589F7F8E"/>
    <w:rsid w:val="58A32A9A"/>
    <w:rsid w:val="58A81A34"/>
    <w:rsid w:val="58B72D5D"/>
    <w:rsid w:val="58C44FA4"/>
    <w:rsid w:val="58CB127E"/>
    <w:rsid w:val="58CB74D0"/>
    <w:rsid w:val="58D00F8B"/>
    <w:rsid w:val="58D55409"/>
    <w:rsid w:val="58D72319"/>
    <w:rsid w:val="58DC16DE"/>
    <w:rsid w:val="58F00BC8"/>
    <w:rsid w:val="590D01B6"/>
    <w:rsid w:val="59165FDC"/>
    <w:rsid w:val="59221F13"/>
    <w:rsid w:val="5924533D"/>
    <w:rsid w:val="59271254"/>
    <w:rsid w:val="59276497"/>
    <w:rsid w:val="59277F15"/>
    <w:rsid w:val="592B4D98"/>
    <w:rsid w:val="59335878"/>
    <w:rsid w:val="59360CC7"/>
    <w:rsid w:val="593E4146"/>
    <w:rsid w:val="59453BA2"/>
    <w:rsid w:val="59456440"/>
    <w:rsid w:val="5947019A"/>
    <w:rsid w:val="59576FB6"/>
    <w:rsid w:val="596D1E67"/>
    <w:rsid w:val="59745DBA"/>
    <w:rsid w:val="59747B6B"/>
    <w:rsid w:val="597C6A1D"/>
    <w:rsid w:val="599053A2"/>
    <w:rsid w:val="5999137D"/>
    <w:rsid w:val="599D36A6"/>
    <w:rsid w:val="59A72923"/>
    <w:rsid w:val="59A97480"/>
    <w:rsid w:val="59AB2E57"/>
    <w:rsid w:val="59AC5554"/>
    <w:rsid w:val="59B51904"/>
    <w:rsid w:val="59B519D4"/>
    <w:rsid w:val="59B57018"/>
    <w:rsid w:val="59C86293"/>
    <w:rsid w:val="59CC1752"/>
    <w:rsid w:val="59D34DD0"/>
    <w:rsid w:val="59D440D5"/>
    <w:rsid w:val="59D656F3"/>
    <w:rsid w:val="59D914E4"/>
    <w:rsid w:val="59D979CB"/>
    <w:rsid w:val="59E3084A"/>
    <w:rsid w:val="59E85675"/>
    <w:rsid w:val="59EA3148"/>
    <w:rsid w:val="59EE2F1B"/>
    <w:rsid w:val="59F74C13"/>
    <w:rsid w:val="59FF7DE6"/>
    <w:rsid w:val="5A0A04CC"/>
    <w:rsid w:val="5A0C1EF9"/>
    <w:rsid w:val="5A0F163F"/>
    <w:rsid w:val="5A110DA3"/>
    <w:rsid w:val="5A1238DF"/>
    <w:rsid w:val="5A12684B"/>
    <w:rsid w:val="5A181F3E"/>
    <w:rsid w:val="5A1D1F5F"/>
    <w:rsid w:val="5A1F4574"/>
    <w:rsid w:val="5A317D15"/>
    <w:rsid w:val="5A3E2B84"/>
    <w:rsid w:val="5A4214BD"/>
    <w:rsid w:val="5A5139D5"/>
    <w:rsid w:val="5A6220B6"/>
    <w:rsid w:val="5A627AEF"/>
    <w:rsid w:val="5A6800D0"/>
    <w:rsid w:val="5A686217"/>
    <w:rsid w:val="5A6B4250"/>
    <w:rsid w:val="5A6C2099"/>
    <w:rsid w:val="5A747B30"/>
    <w:rsid w:val="5A77276D"/>
    <w:rsid w:val="5A780866"/>
    <w:rsid w:val="5A7A13F4"/>
    <w:rsid w:val="5A7F7364"/>
    <w:rsid w:val="5A887DA5"/>
    <w:rsid w:val="5A924ACA"/>
    <w:rsid w:val="5A955FE8"/>
    <w:rsid w:val="5A960324"/>
    <w:rsid w:val="5AA1278A"/>
    <w:rsid w:val="5AA5567D"/>
    <w:rsid w:val="5AA62E34"/>
    <w:rsid w:val="5AAE67FE"/>
    <w:rsid w:val="5AAF56CE"/>
    <w:rsid w:val="5ABD72ED"/>
    <w:rsid w:val="5ABF17A9"/>
    <w:rsid w:val="5ABF5D1B"/>
    <w:rsid w:val="5AC8262E"/>
    <w:rsid w:val="5AD10E92"/>
    <w:rsid w:val="5AD71D8D"/>
    <w:rsid w:val="5AE623A0"/>
    <w:rsid w:val="5AEB6F34"/>
    <w:rsid w:val="5AEF660C"/>
    <w:rsid w:val="5AF03D04"/>
    <w:rsid w:val="5AF65DFE"/>
    <w:rsid w:val="5AFA711E"/>
    <w:rsid w:val="5AFB02DD"/>
    <w:rsid w:val="5B087167"/>
    <w:rsid w:val="5B0B0058"/>
    <w:rsid w:val="5B0B65AF"/>
    <w:rsid w:val="5B0D2C64"/>
    <w:rsid w:val="5B1275B0"/>
    <w:rsid w:val="5B176884"/>
    <w:rsid w:val="5B19008E"/>
    <w:rsid w:val="5B1C7E9E"/>
    <w:rsid w:val="5B251221"/>
    <w:rsid w:val="5B2F5B34"/>
    <w:rsid w:val="5B3F2A25"/>
    <w:rsid w:val="5B461903"/>
    <w:rsid w:val="5B5152A0"/>
    <w:rsid w:val="5B565A33"/>
    <w:rsid w:val="5B5A56B7"/>
    <w:rsid w:val="5B5B2D41"/>
    <w:rsid w:val="5B5B7EA1"/>
    <w:rsid w:val="5B5E10B5"/>
    <w:rsid w:val="5B6249AF"/>
    <w:rsid w:val="5B6950FF"/>
    <w:rsid w:val="5B795F66"/>
    <w:rsid w:val="5B7E2C63"/>
    <w:rsid w:val="5B7E4CCE"/>
    <w:rsid w:val="5B952473"/>
    <w:rsid w:val="5B9576A9"/>
    <w:rsid w:val="5B9652F3"/>
    <w:rsid w:val="5B9E6D1D"/>
    <w:rsid w:val="5B9F0927"/>
    <w:rsid w:val="5BB03088"/>
    <w:rsid w:val="5BC66FB4"/>
    <w:rsid w:val="5BE0450C"/>
    <w:rsid w:val="5BE961AF"/>
    <w:rsid w:val="5BF671F1"/>
    <w:rsid w:val="5BF6753F"/>
    <w:rsid w:val="5BFE2A26"/>
    <w:rsid w:val="5BFF198E"/>
    <w:rsid w:val="5C0E6052"/>
    <w:rsid w:val="5C0F1B28"/>
    <w:rsid w:val="5C101D4C"/>
    <w:rsid w:val="5C141B8B"/>
    <w:rsid w:val="5C143196"/>
    <w:rsid w:val="5C241E11"/>
    <w:rsid w:val="5C2709F2"/>
    <w:rsid w:val="5C295F86"/>
    <w:rsid w:val="5C376C1D"/>
    <w:rsid w:val="5C3E0CC0"/>
    <w:rsid w:val="5C433189"/>
    <w:rsid w:val="5C51039B"/>
    <w:rsid w:val="5C530746"/>
    <w:rsid w:val="5C5773DE"/>
    <w:rsid w:val="5C7B120D"/>
    <w:rsid w:val="5C7F62B1"/>
    <w:rsid w:val="5C87682D"/>
    <w:rsid w:val="5C9D2F32"/>
    <w:rsid w:val="5C9E4AC6"/>
    <w:rsid w:val="5CA045A7"/>
    <w:rsid w:val="5CA72002"/>
    <w:rsid w:val="5CA93FCD"/>
    <w:rsid w:val="5CB54AC6"/>
    <w:rsid w:val="5CBB0496"/>
    <w:rsid w:val="5CBD5382"/>
    <w:rsid w:val="5CBF0B42"/>
    <w:rsid w:val="5CC06372"/>
    <w:rsid w:val="5CC517AF"/>
    <w:rsid w:val="5CC75C73"/>
    <w:rsid w:val="5CD70483"/>
    <w:rsid w:val="5CE06346"/>
    <w:rsid w:val="5CF33FB7"/>
    <w:rsid w:val="5D026BF9"/>
    <w:rsid w:val="5D086F45"/>
    <w:rsid w:val="5D0A7635"/>
    <w:rsid w:val="5D0E75E4"/>
    <w:rsid w:val="5D244F45"/>
    <w:rsid w:val="5D2723DB"/>
    <w:rsid w:val="5D2E1934"/>
    <w:rsid w:val="5D355F54"/>
    <w:rsid w:val="5D3A07F2"/>
    <w:rsid w:val="5D485F08"/>
    <w:rsid w:val="5D4D7AA3"/>
    <w:rsid w:val="5D5544B5"/>
    <w:rsid w:val="5D5B0296"/>
    <w:rsid w:val="5D6610B7"/>
    <w:rsid w:val="5D6B14B4"/>
    <w:rsid w:val="5D731134"/>
    <w:rsid w:val="5D7C1C5B"/>
    <w:rsid w:val="5D8F3050"/>
    <w:rsid w:val="5D9521A5"/>
    <w:rsid w:val="5DA02A5E"/>
    <w:rsid w:val="5DAA10C2"/>
    <w:rsid w:val="5DAA1521"/>
    <w:rsid w:val="5DB84DF3"/>
    <w:rsid w:val="5DBA429D"/>
    <w:rsid w:val="5DC10A20"/>
    <w:rsid w:val="5DD43128"/>
    <w:rsid w:val="5DE13E95"/>
    <w:rsid w:val="5DE200D3"/>
    <w:rsid w:val="5DE34E6E"/>
    <w:rsid w:val="5DE370A4"/>
    <w:rsid w:val="5DF6340B"/>
    <w:rsid w:val="5DF82D62"/>
    <w:rsid w:val="5DFB26F6"/>
    <w:rsid w:val="5DFE20F6"/>
    <w:rsid w:val="5E0D220E"/>
    <w:rsid w:val="5E1372C2"/>
    <w:rsid w:val="5E202597"/>
    <w:rsid w:val="5E220B77"/>
    <w:rsid w:val="5E2F75E0"/>
    <w:rsid w:val="5E394D41"/>
    <w:rsid w:val="5E3C677A"/>
    <w:rsid w:val="5E3F249C"/>
    <w:rsid w:val="5E4C10B3"/>
    <w:rsid w:val="5E5340F0"/>
    <w:rsid w:val="5E727D66"/>
    <w:rsid w:val="5E761B0E"/>
    <w:rsid w:val="5E7707F4"/>
    <w:rsid w:val="5E812E61"/>
    <w:rsid w:val="5E8818A7"/>
    <w:rsid w:val="5E8F2D4E"/>
    <w:rsid w:val="5E9345EC"/>
    <w:rsid w:val="5E9906EC"/>
    <w:rsid w:val="5EA60CC7"/>
    <w:rsid w:val="5EB41F16"/>
    <w:rsid w:val="5EB66C43"/>
    <w:rsid w:val="5EB87915"/>
    <w:rsid w:val="5ECB022A"/>
    <w:rsid w:val="5ECC1B20"/>
    <w:rsid w:val="5ECE40F1"/>
    <w:rsid w:val="5ED0260C"/>
    <w:rsid w:val="5ED864A3"/>
    <w:rsid w:val="5EDB5154"/>
    <w:rsid w:val="5EDD2E98"/>
    <w:rsid w:val="5EE32E36"/>
    <w:rsid w:val="5EED3180"/>
    <w:rsid w:val="5EF7640B"/>
    <w:rsid w:val="5F0E7F36"/>
    <w:rsid w:val="5F1224B4"/>
    <w:rsid w:val="5F123122"/>
    <w:rsid w:val="5F21609C"/>
    <w:rsid w:val="5F4B6BBE"/>
    <w:rsid w:val="5F5060C0"/>
    <w:rsid w:val="5F510B37"/>
    <w:rsid w:val="5F5E75E2"/>
    <w:rsid w:val="5F6A2C8A"/>
    <w:rsid w:val="5F6A7DCC"/>
    <w:rsid w:val="5F6C1F42"/>
    <w:rsid w:val="5F750ADC"/>
    <w:rsid w:val="5F763674"/>
    <w:rsid w:val="5F797649"/>
    <w:rsid w:val="5F7C16B8"/>
    <w:rsid w:val="5F812FDF"/>
    <w:rsid w:val="5F825F74"/>
    <w:rsid w:val="5F865410"/>
    <w:rsid w:val="5FA9144A"/>
    <w:rsid w:val="5FBF7663"/>
    <w:rsid w:val="5FC30E7A"/>
    <w:rsid w:val="5FC41398"/>
    <w:rsid w:val="5FCE5B6C"/>
    <w:rsid w:val="5FD30251"/>
    <w:rsid w:val="5FD30D7C"/>
    <w:rsid w:val="5FDA3FB1"/>
    <w:rsid w:val="5FE20055"/>
    <w:rsid w:val="5FF954A6"/>
    <w:rsid w:val="600357A2"/>
    <w:rsid w:val="600951E3"/>
    <w:rsid w:val="600A538E"/>
    <w:rsid w:val="60151D3A"/>
    <w:rsid w:val="602816AC"/>
    <w:rsid w:val="602A0B18"/>
    <w:rsid w:val="603126B1"/>
    <w:rsid w:val="60417395"/>
    <w:rsid w:val="604715FA"/>
    <w:rsid w:val="604804D4"/>
    <w:rsid w:val="604A517F"/>
    <w:rsid w:val="604A77F3"/>
    <w:rsid w:val="6055038D"/>
    <w:rsid w:val="6060516E"/>
    <w:rsid w:val="60683AA0"/>
    <w:rsid w:val="606F1262"/>
    <w:rsid w:val="60755336"/>
    <w:rsid w:val="60767200"/>
    <w:rsid w:val="6076786A"/>
    <w:rsid w:val="60771BFD"/>
    <w:rsid w:val="608A7377"/>
    <w:rsid w:val="608C1C3B"/>
    <w:rsid w:val="60963234"/>
    <w:rsid w:val="60A35E43"/>
    <w:rsid w:val="60AD13D3"/>
    <w:rsid w:val="60AE7E03"/>
    <w:rsid w:val="60AE7ECA"/>
    <w:rsid w:val="60BE341C"/>
    <w:rsid w:val="60C329BC"/>
    <w:rsid w:val="60C628A3"/>
    <w:rsid w:val="60CA51C4"/>
    <w:rsid w:val="60CB435A"/>
    <w:rsid w:val="60CB75AB"/>
    <w:rsid w:val="60D66458"/>
    <w:rsid w:val="60DB04CD"/>
    <w:rsid w:val="60DC288E"/>
    <w:rsid w:val="60DD764E"/>
    <w:rsid w:val="60E64610"/>
    <w:rsid w:val="60E64A91"/>
    <w:rsid w:val="60EB2416"/>
    <w:rsid w:val="60EE0200"/>
    <w:rsid w:val="60F5760B"/>
    <w:rsid w:val="60FA5FD0"/>
    <w:rsid w:val="61017180"/>
    <w:rsid w:val="61027E74"/>
    <w:rsid w:val="6104678B"/>
    <w:rsid w:val="61057647"/>
    <w:rsid w:val="61195413"/>
    <w:rsid w:val="611A2824"/>
    <w:rsid w:val="611D3637"/>
    <w:rsid w:val="611D739F"/>
    <w:rsid w:val="61215C8B"/>
    <w:rsid w:val="61266D23"/>
    <w:rsid w:val="612E5EB7"/>
    <w:rsid w:val="613A04C6"/>
    <w:rsid w:val="61433767"/>
    <w:rsid w:val="61446962"/>
    <w:rsid w:val="614E5143"/>
    <w:rsid w:val="6172061B"/>
    <w:rsid w:val="619A3EE4"/>
    <w:rsid w:val="619C5EAE"/>
    <w:rsid w:val="61AA1237"/>
    <w:rsid w:val="61B551C2"/>
    <w:rsid w:val="61B95014"/>
    <w:rsid w:val="61BE6540"/>
    <w:rsid w:val="61BF7DEE"/>
    <w:rsid w:val="61C164A8"/>
    <w:rsid w:val="61C3168D"/>
    <w:rsid w:val="61C5404A"/>
    <w:rsid w:val="61CD3005"/>
    <w:rsid w:val="61CF0031"/>
    <w:rsid w:val="61E85EDD"/>
    <w:rsid w:val="61EA3803"/>
    <w:rsid w:val="61F066BB"/>
    <w:rsid w:val="61F109A6"/>
    <w:rsid w:val="62057E19"/>
    <w:rsid w:val="620A443C"/>
    <w:rsid w:val="620D6DCF"/>
    <w:rsid w:val="62236C2A"/>
    <w:rsid w:val="62264F41"/>
    <w:rsid w:val="622F1AF4"/>
    <w:rsid w:val="623257F6"/>
    <w:rsid w:val="6236749E"/>
    <w:rsid w:val="62372704"/>
    <w:rsid w:val="626369CC"/>
    <w:rsid w:val="6264043A"/>
    <w:rsid w:val="6267207E"/>
    <w:rsid w:val="627961EF"/>
    <w:rsid w:val="62864468"/>
    <w:rsid w:val="628B2A85"/>
    <w:rsid w:val="6294442A"/>
    <w:rsid w:val="62965538"/>
    <w:rsid w:val="62984A3B"/>
    <w:rsid w:val="629A37E6"/>
    <w:rsid w:val="62A25BEB"/>
    <w:rsid w:val="62A35B22"/>
    <w:rsid w:val="62B61A07"/>
    <w:rsid w:val="62BB3AB1"/>
    <w:rsid w:val="62C236F2"/>
    <w:rsid w:val="62CC4695"/>
    <w:rsid w:val="62D13935"/>
    <w:rsid w:val="62E12177"/>
    <w:rsid w:val="62F53AC8"/>
    <w:rsid w:val="630755A9"/>
    <w:rsid w:val="63127A9E"/>
    <w:rsid w:val="631835B5"/>
    <w:rsid w:val="631E123C"/>
    <w:rsid w:val="631E3BC9"/>
    <w:rsid w:val="63230DDA"/>
    <w:rsid w:val="63283A59"/>
    <w:rsid w:val="633F4CF0"/>
    <w:rsid w:val="634C688B"/>
    <w:rsid w:val="634C6E4A"/>
    <w:rsid w:val="634E151A"/>
    <w:rsid w:val="635307EE"/>
    <w:rsid w:val="63562799"/>
    <w:rsid w:val="636706D4"/>
    <w:rsid w:val="63674B05"/>
    <w:rsid w:val="636E36F0"/>
    <w:rsid w:val="637B6B91"/>
    <w:rsid w:val="638047FF"/>
    <w:rsid w:val="63833BB7"/>
    <w:rsid w:val="63952D57"/>
    <w:rsid w:val="63993273"/>
    <w:rsid w:val="63A64809"/>
    <w:rsid w:val="63A9200C"/>
    <w:rsid w:val="63B2291C"/>
    <w:rsid w:val="63C62552"/>
    <w:rsid w:val="63CB59FD"/>
    <w:rsid w:val="63D00091"/>
    <w:rsid w:val="63D2198D"/>
    <w:rsid w:val="63DD455C"/>
    <w:rsid w:val="63DF56BE"/>
    <w:rsid w:val="63EC46FE"/>
    <w:rsid w:val="64003250"/>
    <w:rsid w:val="64041AE8"/>
    <w:rsid w:val="64060E49"/>
    <w:rsid w:val="64080323"/>
    <w:rsid w:val="64084AD9"/>
    <w:rsid w:val="640C1AC9"/>
    <w:rsid w:val="640D5C1D"/>
    <w:rsid w:val="64120130"/>
    <w:rsid w:val="641A04EC"/>
    <w:rsid w:val="64241FB7"/>
    <w:rsid w:val="6426395F"/>
    <w:rsid w:val="6427126F"/>
    <w:rsid w:val="642937EF"/>
    <w:rsid w:val="642A7D5B"/>
    <w:rsid w:val="64401DC4"/>
    <w:rsid w:val="6445282D"/>
    <w:rsid w:val="644669D2"/>
    <w:rsid w:val="644878C0"/>
    <w:rsid w:val="644C31ED"/>
    <w:rsid w:val="644D2835"/>
    <w:rsid w:val="64545BC8"/>
    <w:rsid w:val="64721148"/>
    <w:rsid w:val="6477050C"/>
    <w:rsid w:val="6477283B"/>
    <w:rsid w:val="647823C1"/>
    <w:rsid w:val="647A2A28"/>
    <w:rsid w:val="64841E9C"/>
    <w:rsid w:val="64857171"/>
    <w:rsid w:val="64942E6C"/>
    <w:rsid w:val="64A61988"/>
    <w:rsid w:val="64A812B5"/>
    <w:rsid w:val="64AD03D2"/>
    <w:rsid w:val="64B57114"/>
    <w:rsid w:val="64BB1E52"/>
    <w:rsid w:val="64BE61B5"/>
    <w:rsid w:val="64CE50A7"/>
    <w:rsid w:val="64E44053"/>
    <w:rsid w:val="64E6182C"/>
    <w:rsid w:val="64E738E4"/>
    <w:rsid w:val="64EE4AC3"/>
    <w:rsid w:val="64F54BD3"/>
    <w:rsid w:val="64F8126C"/>
    <w:rsid w:val="64F97173"/>
    <w:rsid w:val="6502118F"/>
    <w:rsid w:val="6509336F"/>
    <w:rsid w:val="65145D6D"/>
    <w:rsid w:val="65240694"/>
    <w:rsid w:val="65286AB8"/>
    <w:rsid w:val="652F2B95"/>
    <w:rsid w:val="653329DC"/>
    <w:rsid w:val="653A6372"/>
    <w:rsid w:val="65462803"/>
    <w:rsid w:val="655A134D"/>
    <w:rsid w:val="658E75D8"/>
    <w:rsid w:val="65A50C19"/>
    <w:rsid w:val="65A75204"/>
    <w:rsid w:val="65AC31E3"/>
    <w:rsid w:val="65AD777C"/>
    <w:rsid w:val="65B84C02"/>
    <w:rsid w:val="65BB759F"/>
    <w:rsid w:val="65C27E2F"/>
    <w:rsid w:val="65C81528"/>
    <w:rsid w:val="65CC0FDC"/>
    <w:rsid w:val="65CD16D9"/>
    <w:rsid w:val="65CE47BF"/>
    <w:rsid w:val="65D15710"/>
    <w:rsid w:val="65D425B6"/>
    <w:rsid w:val="65D842DC"/>
    <w:rsid w:val="65E56ECB"/>
    <w:rsid w:val="65E676F8"/>
    <w:rsid w:val="65F37841"/>
    <w:rsid w:val="65F74C97"/>
    <w:rsid w:val="66095129"/>
    <w:rsid w:val="661E19B4"/>
    <w:rsid w:val="661F031B"/>
    <w:rsid w:val="66344907"/>
    <w:rsid w:val="663725AF"/>
    <w:rsid w:val="66373E77"/>
    <w:rsid w:val="663C40B3"/>
    <w:rsid w:val="664C6E7D"/>
    <w:rsid w:val="666C129E"/>
    <w:rsid w:val="666D1791"/>
    <w:rsid w:val="66742F55"/>
    <w:rsid w:val="66776809"/>
    <w:rsid w:val="667947EE"/>
    <w:rsid w:val="667C62AE"/>
    <w:rsid w:val="6682144C"/>
    <w:rsid w:val="66927183"/>
    <w:rsid w:val="66952CC7"/>
    <w:rsid w:val="669C5429"/>
    <w:rsid w:val="66A23F66"/>
    <w:rsid w:val="66A55805"/>
    <w:rsid w:val="66AD2595"/>
    <w:rsid w:val="66AE5B30"/>
    <w:rsid w:val="66AE6626"/>
    <w:rsid w:val="66B75481"/>
    <w:rsid w:val="66C76E04"/>
    <w:rsid w:val="66C818B5"/>
    <w:rsid w:val="66CA2D2D"/>
    <w:rsid w:val="66D341DA"/>
    <w:rsid w:val="66E31E89"/>
    <w:rsid w:val="670C0284"/>
    <w:rsid w:val="671119E5"/>
    <w:rsid w:val="67156BFB"/>
    <w:rsid w:val="67227882"/>
    <w:rsid w:val="67241595"/>
    <w:rsid w:val="673A3C0E"/>
    <w:rsid w:val="673B1711"/>
    <w:rsid w:val="673B37EB"/>
    <w:rsid w:val="673C2C95"/>
    <w:rsid w:val="674E1E9C"/>
    <w:rsid w:val="6753146B"/>
    <w:rsid w:val="67564D51"/>
    <w:rsid w:val="67664CE3"/>
    <w:rsid w:val="676823C4"/>
    <w:rsid w:val="67696B52"/>
    <w:rsid w:val="676F196F"/>
    <w:rsid w:val="67742476"/>
    <w:rsid w:val="6775010B"/>
    <w:rsid w:val="67753AA1"/>
    <w:rsid w:val="677B0C49"/>
    <w:rsid w:val="677D0632"/>
    <w:rsid w:val="678E0047"/>
    <w:rsid w:val="67975A9B"/>
    <w:rsid w:val="67997BBD"/>
    <w:rsid w:val="67A11EFD"/>
    <w:rsid w:val="67A152A8"/>
    <w:rsid w:val="67AC671F"/>
    <w:rsid w:val="67AF30D5"/>
    <w:rsid w:val="67B06997"/>
    <w:rsid w:val="67B81568"/>
    <w:rsid w:val="67BE67A4"/>
    <w:rsid w:val="67C201A2"/>
    <w:rsid w:val="67C34D2F"/>
    <w:rsid w:val="67CA5271"/>
    <w:rsid w:val="67D52849"/>
    <w:rsid w:val="67D821B5"/>
    <w:rsid w:val="67E44212"/>
    <w:rsid w:val="67E532C0"/>
    <w:rsid w:val="67EC70A9"/>
    <w:rsid w:val="67F16426"/>
    <w:rsid w:val="67F26028"/>
    <w:rsid w:val="681C015C"/>
    <w:rsid w:val="68295ED4"/>
    <w:rsid w:val="68376930"/>
    <w:rsid w:val="683926A8"/>
    <w:rsid w:val="68487BFF"/>
    <w:rsid w:val="6860298C"/>
    <w:rsid w:val="686B4DAA"/>
    <w:rsid w:val="687C2D02"/>
    <w:rsid w:val="687F44F8"/>
    <w:rsid w:val="688119F5"/>
    <w:rsid w:val="68821DD3"/>
    <w:rsid w:val="688313AA"/>
    <w:rsid w:val="6884193E"/>
    <w:rsid w:val="68842D56"/>
    <w:rsid w:val="6888024C"/>
    <w:rsid w:val="68902A3B"/>
    <w:rsid w:val="68913EFC"/>
    <w:rsid w:val="68936CB9"/>
    <w:rsid w:val="68964CFA"/>
    <w:rsid w:val="689D55E4"/>
    <w:rsid w:val="68AA030F"/>
    <w:rsid w:val="68AB0EEF"/>
    <w:rsid w:val="68B4166D"/>
    <w:rsid w:val="68BC1402"/>
    <w:rsid w:val="68C61A62"/>
    <w:rsid w:val="68C746F7"/>
    <w:rsid w:val="68D907A6"/>
    <w:rsid w:val="68DF3C37"/>
    <w:rsid w:val="68E4573C"/>
    <w:rsid w:val="68F55EA4"/>
    <w:rsid w:val="68FE744E"/>
    <w:rsid w:val="690256E4"/>
    <w:rsid w:val="690507DD"/>
    <w:rsid w:val="691C29F2"/>
    <w:rsid w:val="692C00C6"/>
    <w:rsid w:val="69336EBB"/>
    <w:rsid w:val="69430B8B"/>
    <w:rsid w:val="69480D38"/>
    <w:rsid w:val="69481C7A"/>
    <w:rsid w:val="69482367"/>
    <w:rsid w:val="6950419B"/>
    <w:rsid w:val="69510AE7"/>
    <w:rsid w:val="69643860"/>
    <w:rsid w:val="696A6892"/>
    <w:rsid w:val="6975504B"/>
    <w:rsid w:val="697906F1"/>
    <w:rsid w:val="697B0AAD"/>
    <w:rsid w:val="697C7E6F"/>
    <w:rsid w:val="697D0373"/>
    <w:rsid w:val="69822524"/>
    <w:rsid w:val="69830354"/>
    <w:rsid w:val="69851EAB"/>
    <w:rsid w:val="69872B07"/>
    <w:rsid w:val="698A6F34"/>
    <w:rsid w:val="69951B60"/>
    <w:rsid w:val="6997797E"/>
    <w:rsid w:val="699F73F8"/>
    <w:rsid w:val="69A63E65"/>
    <w:rsid w:val="69A8427A"/>
    <w:rsid w:val="69AC0C58"/>
    <w:rsid w:val="69AC6392"/>
    <w:rsid w:val="69AD30E0"/>
    <w:rsid w:val="69B95BD2"/>
    <w:rsid w:val="69BF2200"/>
    <w:rsid w:val="69C2060B"/>
    <w:rsid w:val="69C2222A"/>
    <w:rsid w:val="69C77840"/>
    <w:rsid w:val="69C93BAD"/>
    <w:rsid w:val="69D00DEB"/>
    <w:rsid w:val="69D77CD8"/>
    <w:rsid w:val="69FD07FD"/>
    <w:rsid w:val="6A0E0FF7"/>
    <w:rsid w:val="6A162EF5"/>
    <w:rsid w:val="6A172DAD"/>
    <w:rsid w:val="6A1A6916"/>
    <w:rsid w:val="6A1B1555"/>
    <w:rsid w:val="6A1B7B8C"/>
    <w:rsid w:val="6A2356E9"/>
    <w:rsid w:val="6A242EE4"/>
    <w:rsid w:val="6A2C17E2"/>
    <w:rsid w:val="6A315FAD"/>
    <w:rsid w:val="6A38177B"/>
    <w:rsid w:val="6A391658"/>
    <w:rsid w:val="6A482A09"/>
    <w:rsid w:val="6A4A382E"/>
    <w:rsid w:val="6A5A06B4"/>
    <w:rsid w:val="6A642AED"/>
    <w:rsid w:val="6A6C7814"/>
    <w:rsid w:val="6A7A2B04"/>
    <w:rsid w:val="6A9254CA"/>
    <w:rsid w:val="6AA67D9D"/>
    <w:rsid w:val="6AC65D4A"/>
    <w:rsid w:val="6AD13942"/>
    <w:rsid w:val="6AD20EDA"/>
    <w:rsid w:val="6AE8389A"/>
    <w:rsid w:val="6AE96E2D"/>
    <w:rsid w:val="6AEC64DF"/>
    <w:rsid w:val="6AEF704E"/>
    <w:rsid w:val="6AF35C43"/>
    <w:rsid w:val="6B074A2B"/>
    <w:rsid w:val="6B1B7EAC"/>
    <w:rsid w:val="6B501E32"/>
    <w:rsid w:val="6B612F62"/>
    <w:rsid w:val="6B64573B"/>
    <w:rsid w:val="6B6541ED"/>
    <w:rsid w:val="6B706117"/>
    <w:rsid w:val="6B7100A6"/>
    <w:rsid w:val="6B737C7F"/>
    <w:rsid w:val="6B7B04F4"/>
    <w:rsid w:val="6B846121"/>
    <w:rsid w:val="6B8E255E"/>
    <w:rsid w:val="6B9064A9"/>
    <w:rsid w:val="6BAA4557"/>
    <w:rsid w:val="6BB250FD"/>
    <w:rsid w:val="6BB42046"/>
    <w:rsid w:val="6BBB0C3E"/>
    <w:rsid w:val="6BBE063E"/>
    <w:rsid w:val="6BC34D97"/>
    <w:rsid w:val="6BE20E01"/>
    <w:rsid w:val="6BE413C0"/>
    <w:rsid w:val="6BF30DC0"/>
    <w:rsid w:val="6BFD7983"/>
    <w:rsid w:val="6BFE2B75"/>
    <w:rsid w:val="6C21592D"/>
    <w:rsid w:val="6C260EA1"/>
    <w:rsid w:val="6C276F75"/>
    <w:rsid w:val="6C2A4CB2"/>
    <w:rsid w:val="6C2F06A5"/>
    <w:rsid w:val="6C3515B7"/>
    <w:rsid w:val="6C351770"/>
    <w:rsid w:val="6C3F66B8"/>
    <w:rsid w:val="6C413023"/>
    <w:rsid w:val="6C571D1A"/>
    <w:rsid w:val="6C6437B3"/>
    <w:rsid w:val="6C730AD3"/>
    <w:rsid w:val="6C7B60C3"/>
    <w:rsid w:val="6C7C0781"/>
    <w:rsid w:val="6C8859AD"/>
    <w:rsid w:val="6C930666"/>
    <w:rsid w:val="6C941A9D"/>
    <w:rsid w:val="6C996E72"/>
    <w:rsid w:val="6CAD3E49"/>
    <w:rsid w:val="6CB001A9"/>
    <w:rsid w:val="6CB5542F"/>
    <w:rsid w:val="6CB6263E"/>
    <w:rsid w:val="6CC07D5A"/>
    <w:rsid w:val="6CC20572"/>
    <w:rsid w:val="6CD52274"/>
    <w:rsid w:val="6CDE381E"/>
    <w:rsid w:val="6CE078E3"/>
    <w:rsid w:val="6D04702B"/>
    <w:rsid w:val="6D0E34C1"/>
    <w:rsid w:val="6D1254AA"/>
    <w:rsid w:val="6D186E2C"/>
    <w:rsid w:val="6D2220A5"/>
    <w:rsid w:val="6D303931"/>
    <w:rsid w:val="6D3464F7"/>
    <w:rsid w:val="6D373934"/>
    <w:rsid w:val="6D3A3B75"/>
    <w:rsid w:val="6D3D26F5"/>
    <w:rsid w:val="6D466FDE"/>
    <w:rsid w:val="6D5029B5"/>
    <w:rsid w:val="6D5856C0"/>
    <w:rsid w:val="6D5C487D"/>
    <w:rsid w:val="6D655CEE"/>
    <w:rsid w:val="6D661A92"/>
    <w:rsid w:val="6D664877"/>
    <w:rsid w:val="6D6F67A2"/>
    <w:rsid w:val="6D7E5DF9"/>
    <w:rsid w:val="6D821C6E"/>
    <w:rsid w:val="6D844EBD"/>
    <w:rsid w:val="6DA93A40"/>
    <w:rsid w:val="6DAD74F5"/>
    <w:rsid w:val="6DB1683D"/>
    <w:rsid w:val="6DBA3C38"/>
    <w:rsid w:val="6DC33C0F"/>
    <w:rsid w:val="6DC64078"/>
    <w:rsid w:val="6DDD4E0C"/>
    <w:rsid w:val="6DE47816"/>
    <w:rsid w:val="6DE47CF1"/>
    <w:rsid w:val="6DE742C6"/>
    <w:rsid w:val="6DE86553"/>
    <w:rsid w:val="6DF461A0"/>
    <w:rsid w:val="6DF80910"/>
    <w:rsid w:val="6DF8753D"/>
    <w:rsid w:val="6E106E75"/>
    <w:rsid w:val="6E140349"/>
    <w:rsid w:val="6E153270"/>
    <w:rsid w:val="6E274D51"/>
    <w:rsid w:val="6E29713C"/>
    <w:rsid w:val="6E2B1A58"/>
    <w:rsid w:val="6E336586"/>
    <w:rsid w:val="6E4227E0"/>
    <w:rsid w:val="6E4A514E"/>
    <w:rsid w:val="6E5042A8"/>
    <w:rsid w:val="6E513D9D"/>
    <w:rsid w:val="6E5317A3"/>
    <w:rsid w:val="6E534941"/>
    <w:rsid w:val="6E553430"/>
    <w:rsid w:val="6E560BE7"/>
    <w:rsid w:val="6E596DF5"/>
    <w:rsid w:val="6E60319C"/>
    <w:rsid w:val="6E7C7C79"/>
    <w:rsid w:val="6E8A3BC5"/>
    <w:rsid w:val="6E8E4388"/>
    <w:rsid w:val="6E9B337D"/>
    <w:rsid w:val="6EAA6A3D"/>
    <w:rsid w:val="6EC4643D"/>
    <w:rsid w:val="6EC92A6C"/>
    <w:rsid w:val="6ED50C51"/>
    <w:rsid w:val="6ED91F76"/>
    <w:rsid w:val="6EE931D6"/>
    <w:rsid w:val="6EEEFD74"/>
    <w:rsid w:val="6EF41160"/>
    <w:rsid w:val="6EF461C8"/>
    <w:rsid w:val="6EFA4AE8"/>
    <w:rsid w:val="6F0D4F21"/>
    <w:rsid w:val="6F182604"/>
    <w:rsid w:val="6F1C71C0"/>
    <w:rsid w:val="6F215C44"/>
    <w:rsid w:val="6F2968A7"/>
    <w:rsid w:val="6F371328"/>
    <w:rsid w:val="6F4B354E"/>
    <w:rsid w:val="6F502072"/>
    <w:rsid w:val="6F54688F"/>
    <w:rsid w:val="6F5C7D1E"/>
    <w:rsid w:val="6F5D4E25"/>
    <w:rsid w:val="6F66270A"/>
    <w:rsid w:val="6F6B13D1"/>
    <w:rsid w:val="6F891957"/>
    <w:rsid w:val="6F8A09AF"/>
    <w:rsid w:val="6F8C4DB8"/>
    <w:rsid w:val="6F8D09FA"/>
    <w:rsid w:val="6F96124F"/>
    <w:rsid w:val="6F9D176F"/>
    <w:rsid w:val="6FA36F95"/>
    <w:rsid w:val="6FA64AAB"/>
    <w:rsid w:val="6FAB5312"/>
    <w:rsid w:val="6FB70AF5"/>
    <w:rsid w:val="6FBF66D9"/>
    <w:rsid w:val="6FC14C19"/>
    <w:rsid w:val="6FC70809"/>
    <w:rsid w:val="6FE33A16"/>
    <w:rsid w:val="6FE3786B"/>
    <w:rsid w:val="6FF35F69"/>
    <w:rsid w:val="6FFC6BA2"/>
    <w:rsid w:val="7004595A"/>
    <w:rsid w:val="7005614C"/>
    <w:rsid w:val="700A17B9"/>
    <w:rsid w:val="700B74D8"/>
    <w:rsid w:val="700C2451"/>
    <w:rsid w:val="701464F6"/>
    <w:rsid w:val="701F71D4"/>
    <w:rsid w:val="70211C37"/>
    <w:rsid w:val="7022159C"/>
    <w:rsid w:val="702E0619"/>
    <w:rsid w:val="70313D85"/>
    <w:rsid w:val="703F1812"/>
    <w:rsid w:val="70586FB6"/>
    <w:rsid w:val="705D2CAC"/>
    <w:rsid w:val="70677B4D"/>
    <w:rsid w:val="708005E6"/>
    <w:rsid w:val="708765D0"/>
    <w:rsid w:val="708F4622"/>
    <w:rsid w:val="70926C1B"/>
    <w:rsid w:val="70943633"/>
    <w:rsid w:val="709A593C"/>
    <w:rsid w:val="709F1D6C"/>
    <w:rsid w:val="70A77EF4"/>
    <w:rsid w:val="70AA5C29"/>
    <w:rsid w:val="70B020E9"/>
    <w:rsid w:val="70B91F3D"/>
    <w:rsid w:val="70C8530E"/>
    <w:rsid w:val="70C95198"/>
    <w:rsid w:val="70D61D31"/>
    <w:rsid w:val="70E707C8"/>
    <w:rsid w:val="70F91757"/>
    <w:rsid w:val="710822C4"/>
    <w:rsid w:val="71115BC0"/>
    <w:rsid w:val="712A5284"/>
    <w:rsid w:val="712E13EB"/>
    <w:rsid w:val="713B61E0"/>
    <w:rsid w:val="7143539A"/>
    <w:rsid w:val="71436346"/>
    <w:rsid w:val="714D0F73"/>
    <w:rsid w:val="71516538"/>
    <w:rsid w:val="71573B9F"/>
    <w:rsid w:val="715E479F"/>
    <w:rsid w:val="716218C5"/>
    <w:rsid w:val="71691CEA"/>
    <w:rsid w:val="71692482"/>
    <w:rsid w:val="71692AF0"/>
    <w:rsid w:val="716B764B"/>
    <w:rsid w:val="717C1858"/>
    <w:rsid w:val="717E2EDA"/>
    <w:rsid w:val="718068F7"/>
    <w:rsid w:val="718449F5"/>
    <w:rsid w:val="71851539"/>
    <w:rsid w:val="7185238F"/>
    <w:rsid w:val="71881FAB"/>
    <w:rsid w:val="718E3B2A"/>
    <w:rsid w:val="71992739"/>
    <w:rsid w:val="719C7877"/>
    <w:rsid w:val="71BC681C"/>
    <w:rsid w:val="71C03D47"/>
    <w:rsid w:val="71D11DBA"/>
    <w:rsid w:val="71D1650D"/>
    <w:rsid w:val="71D368B4"/>
    <w:rsid w:val="71DB3AC2"/>
    <w:rsid w:val="71EE132F"/>
    <w:rsid w:val="71F31B1A"/>
    <w:rsid w:val="72111FA0"/>
    <w:rsid w:val="72333D8A"/>
    <w:rsid w:val="72361A07"/>
    <w:rsid w:val="724B1BE2"/>
    <w:rsid w:val="724C4C1B"/>
    <w:rsid w:val="72513250"/>
    <w:rsid w:val="72556A9E"/>
    <w:rsid w:val="72592E9F"/>
    <w:rsid w:val="726600EF"/>
    <w:rsid w:val="72677E12"/>
    <w:rsid w:val="726F4135"/>
    <w:rsid w:val="7289487C"/>
    <w:rsid w:val="728B2408"/>
    <w:rsid w:val="728B5A0E"/>
    <w:rsid w:val="72941CDE"/>
    <w:rsid w:val="72B017B9"/>
    <w:rsid w:val="72B5493F"/>
    <w:rsid w:val="72BC3969"/>
    <w:rsid w:val="72C60FDD"/>
    <w:rsid w:val="72C82ED0"/>
    <w:rsid w:val="72CB7B5C"/>
    <w:rsid w:val="72D35493"/>
    <w:rsid w:val="72DD425C"/>
    <w:rsid w:val="72EB1284"/>
    <w:rsid w:val="72EF66E2"/>
    <w:rsid w:val="730E4651"/>
    <w:rsid w:val="730E64E0"/>
    <w:rsid w:val="73172E9F"/>
    <w:rsid w:val="733D6F1C"/>
    <w:rsid w:val="733F4F98"/>
    <w:rsid w:val="734A2D98"/>
    <w:rsid w:val="734C5EEF"/>
    <w:rsid w:val="734E3B7A"/>
    <w:rsid w:val="73517C4A"/>
    <w:rsid w:val="73555D43"/>
    <w:rsid w:val="735F3F80"/>
    <w:rsid w:val="736D4A17"/>
    <w:rsid w:val="7380586F"/>
    <w:rsid w:val="73880E07"/>
    <w:rsid w:val="7388747A"/>
    <w:rsid w:val="738C0341"/>
    <w:rsid w:val="7394648F"/>
    <w:rsid w:val="739C7F8F"/>
    <w:rsid w:val="739D2420"/>
    <w:rsid w:val="73C179F6"/>
    <w:rsid w:val="73C673AD"/>
    <w:rsid w:val="73C91255"/>
    <w:rsid w:val="73CC2623"/>
    <w:rsid w:val="73D155B9"/>
    <w:rsid w:val="73DE034A"/>
    <w:rsid w:val="73E11809"/>
    <w:rsid w:val="73E814C6"/>
    <w:rsid w:val="73EE15A5"/>
    <w:rsid w:val="74057C52"/>
    <w:rsid w:val="74123DAE"/>
    <w:rsid w:val="74163EA5"/>
    <w:rsid w:val="74212D5F"/>
    <w:rsid w:val="74232FDA"/>
    <w:rsid w:val="7423420D"/>
    <w:rsid w:val="74245E0E"/>
    <w:rsid w:val="74263BAF"/>
    <w:rsid w:val="7426442E"/>
    <w:rsid w:val="742749D3"/>
    <w:rsid w:val="7428537F"/>
    <w:rsid w:val="74407304"/>
    <w:rsid w:val="74476DF1"/>
    <w:rsid w:val="744D696D"/>
    <w:rsid w:val="74555913"/>
    <w:rsid w:val="74600019"/>
    <w:rsid w:val="746677E7"/>
    <w:rsid w:val="746A2AF7"/>
    <w:rsid w:val="74886444"/>
    <w:rsid w:val="748D1686"/>
    <w:rsid w:val="74997160"/>
    <w:rsid w:val="749C5400"/>
    <w:rsid w:val="74A71267"/>
    <w:rsid w:val="74B44EC7"/>
    <w:rsid w:val="74BA06CD"/>
    <w:rsid w:val="74BD640F"/>
    <w:rsid w:val="74C65C3A"/>
    <w:rsid w:val="74C83AAD"/>
    <w:rsid w:val="74C96B62"/>
    <w:rsid w:val="74CA7613"/>
    <w:rsid w:val="74D07EF1"/>
    <w:rsid w:val="74D64F7A"/>
    <w:rsid w:val="74D75B11"/>
    <w:rsid w:val="74DF57CA"/>
    <w:rsid w:val="74E904A9"/>
    <w:rsid w:val="74ED04E0"/>
    <w:rsid w:val="74EE0377"/>
    <w:rsid w:val="74FC0A72"/>
    <w:rsid w:val="750B2F32"/>
    <w:rsid w:val="751D7794"/>
    <w:rsid w:val="75353D36"/>
    <w:rsid w:val="75366130"/>
    <w:rsid w:val="75421460"/>
    <w:rsid w:val="75481E2B"/>
    <w:rsid w:val="75496D61"/>
    <w:rsid w:val="754D1541"/>
    <w:rsid w:val="75587009"/>
    <w:rsid w:val="755C79D6"/>
    <w:rsid w:val="75702B92"/>
    <w:rsid w:val="7570455E"/>
    <w:rsid w:val="75752028"/>
    <w:rsid w:val="7577036C"/>
    <w:rsid w:val="757840E4"/>
    <w:rsid w:val="75832310"/>
    <w:rsid w:val="75850413"/>
    <w:rsid w:val="758810FE"/>
    <w:rsid w:val="759929D8"/>
    <w:rsid w:val="759A40AF"/>
    <w:rsid w:val="75AF2CD9"/>
    <w:rsid w:val="75B168C6"/>
    <w:rsid w:val="75C606DC"/>
    <w:rsid w:val="75CF63FA"/>
    <w:rsid w:val="75D14B31"/>
    <w:rsid w:val="75D21A46"/>
    <w:rsid w:val="75E019F1"/>
    <w:rsid w:val="75E31EA6"/>
    <w:rsid w:val="75E672A0"/>
    <w:rsid w:val="75F851D4"/>
    <w:rsid w:val="76052F8F"/>
    <w:rsid w:val="76190BBB"/>
    <w:rsid w:val="761E4C8C"/>
    <w:rsid w:val="762323C9"/>
    <w:rsid w:val="76372958"/>
    <w:rsid w:val="763910F4"/>
    <w:rsid w:val="7644581A"/>
    <w:rsid w:val="76486455"/>
    <w:rsid w:val="7649540B"/>
    <w:rsid w:val="76496A59"/>
    <w:rsid w:val="764A444A"/>
    <w:rsid w:val="764B7EF4"/>
    <w:rsid w:val="76511547"/>
    <w:rsid w:val="7654520B"/>
    <w:rsid w:val="765B396C"/>
    <w:rsid w:val="765C57B4"/>
    <w:rsid w:val="765D556D"/>
    <w:rsid w:val="765F0D81"/>
    <w:rsid w:val="766458CF"/>
    <w:rsid w:val="766651DB"/>
    <w:rsid w:val="76674885"/>
    <w:rsid w:val="766A6FB0"/>
    <w:rsid w:val="766C5B58"/>
    <w:rsid w:val="76700A2D"/>
    <w:rsid w:val="76714756"/>
    <w:rsid w:val="768A0D13"/>
    <w:rsid w:val="768B7979"/>
    <w:rsid w:val="768D3BBF"/>
    <w:rsid w:val="76970009"/>
    <w:rsid w:val="769D7609"/>
    <w:rsid w:val="76A96E4E"/>
    <w:rsid w:val="76AF327C"/>
    <w:rsid w:val="76BD59FA"/>
    <w:rsid w:val="76C50E7D"/>
    <w:rsid w:val="76D03688"/>
    <w:rsid w:val="76D22021"/>
    <w:rsid w:val="76D67CD0"/>
    <w:rsid w:val="76E05F23"/>
    <w:rsid w:val="76F13EA7"/>
    <w:rsid w:val="76F818A6"/>
    <w:rsid w:val="76FE5981"/>
    <w:rsid w:val="76FF010C"/>
    <w:rsid w:val="77040549"/>
    <w:rsid w:val="77167266"/>
    <w:rsid w:val="771816DB"/>
    <w:rsid w:val="77186B35"/>
    <w:rsid w:val="772540EB"/>
    <w:rsid w:val="77264EF3"/>
    <w:rsid w:val="773770A8"/>
    <w:rsid w:val="773A28A7"/>
    <w:rsid w:val="773D2AB7"/>
    <w:rsid w:val="77414932"/>
    <w:rsid w:val="774A385E"/>
    <w:rsid w:val="774B3F67"/>
    <w:rsid w:val="77500015"/>
    <w:rsid w:val="77533873"/>
    <w:rsid w:val="775761C7"/>
    <w:rsid w:val="775933FA"/>
    <w:rsid w:val="775D7BA9"/>
    <w:rsid w:val="7761110E"/>
    <w:rsid w:val="776604D8"/>
    <w:rsid w:val="776A48A8"/>
    <w:rsid w:val="776D2CB9"/>
    <w:rsid w:val="777E01D7"/>
    <w:rsid w:val="77896D95"/>
    <w:rsid w:val="778D4540"/>
    <w:rsid w:val="77A10B4E"/>
    <w:rsid w:val="77A42BAA"/>
    <w:rsid w:val="77A75DCA"/>
    <w:rsid w:val="77AA56BF"/>
    <w:rsid w:val="77BC1F58"/>
    <w:rsid w:val="77BF5DA5"/>
    <w:rsid w:val="77C322C9"/>
    <w:rsid w:val="77CB42C8"/>
    <w:rsid w:val="77D00208"/>
    <w:rsid w:val="77DA0571"/>
    <w:rsid w:val="77DE07D8"/>
    <w:rsid w:val="77E8671F"/>
    <w:rsid w:val="77F24622"/>
    <w:rsid w:val="77FF4F0B"/>
    <w:rsid w:val="78014865"/>
    <w:rsid w:val="78042432"/>
    <w:rsid w:val="78157B78"/>
    <w:rsid w:val="78194B2B"/>
    <w:rsid w:val="781D4C43"/>
    <w:rsid w:val="783562BD"/>
    <w:rsid w:val="783578AC"/>
    <w:rsid w:val="78623E94"/>
    <w:rsid w:val="786A065C"/>
    <w:rsid w:val="78730E25"/>
    <w:rsid w:val="78770163"/>
    <w:rsid w:val="7880578A"/>
    <w:rsid w:val="78880AE2"/>
    <w:rsid w:val="78A957D5"/>
    <w:rsid w:val="78AB2A40"/>
    <w:rsid w:val="78B77EE9"/>
    <w:rsid w:val="78C0722B"/>
    <w:rsid w:val="78C85A77"/>
    <w:rsid w:val="78C862B8"/>
    <w:rsid w:val="78D25C07"/>
    <w:rsid w:val="78D64C8F"/>
    <w:rsid w:val="78E421BD"/>
    <w:rsid w:val="78FB5758"/>
    <w:rsid w:val="79076B50"/>
    <w:rsid w:val="79097DE1"/>
    <w:rsid w:val="791E617E"/>
    <w:rsid w:val="792955DA"/>
    <w:rsid w:val="793252B5"/>
    <w:rsid w:val="793F5645"/>
    <w:rsid w:val="794618E1"/>
    <w:rsid w:val="794B61A4"/>
    <w:rsid w:val="79502D1E"/>
    <w:rsid w:val="795E7841"/>
    <w:rsid w:val="79695714"/>
    <w:rsid w:val="796B01E8"/>
    <w:rsid w:val="79763C96"/>
    <w:rsid w:val="799B7205"/>
    <w:rsid w:val="799C250D"/>
    <w:rsid w:val="799C6753"/>
    <w:rsid w:val="799E004E"/>
    <w:rsid w:val="79A43574"/>
    <w:rsid w:val="79B6099E"/>
    <w:rsid w:val="79B903B6"/>
    <w:rsid w:val="79C66D6E"/>
    <w:rsid w:val="79C9152C"/>
    <w:rsid w:val="79C9601C"/>
    <w:rsid w:val="79DF0BD6"/>
    <w:rsid w:val="79EB6081"/>
    <w:rsid w:val="79EC1128"/>
    <w:rsid w:val="7A030E9A"/>
    <w:rsid w:val="7A046449"/>
    <w:rsid w:val="7A050AC4"/>
    <w:rsid w:val="7A0731CE"/>
    <w:rsid w:val="7A161AA5"/>
    <w:rsid w:val="7A18187A"/>
    <w:rsid w:val="7A1C2712"/>
    <w:rsid w:val="7A1C5986"/>
    <w:rsid w:val="7A2E4DFB"/>
    <w:rsid w:val="7A3A0757"/>
    <w:rsid w:val="7A4A5B12"/>
    <w:rsid w:val="7A510518"/>
    <w:rsid w:val="7A547CF7"/>
    <w:rsid w:val="7A61783D"/>
    <w:rsid w:val="7A77216C"/>
    <w:rsid w:val="7A833E42"/>
    <w:rsid w:val="7A8A5D54"/>
    <w:rsid w:val="7AA0544A"/>
    <w:rsid w:val="7AA43E11"/>
    <w:rsid w:val="7AA71C21"/>
    <w:rsid w:val="7AA744C3"/>
    <w:rsid w:val="7AAF2356"/>
    <w:rsid w:val="7ABC3BE6"/>
    <w:rsid w:val="7AC047F9"/>
    <w:rsid w:val="7ACE1DC1"/>
    <w:rsid w:val="7AD20743"/>
    <w:rsid w:val="7AD220A5"/>
    <w:rsid w:val="7ADF1D23"/>
    <w:rsid w:val="7ADFFFDC"/>
    <w:rsid w:val="7AE265A9"/>
    <w:rsid w:val="7AEC578A"/>
    <w:rsid w:val="7AF4245F"/>
    <w:rsid w:val="7B0432CE"/>
    <w:rsid w:val="7B110B1A"/>
    <w:rsid w:val="7B173DBC"/>
    <w:rsid w:val="7B1F5F04"/>
    <w:rsid w:val="7B1F6738"/>
    <w:rsid w:val="7B235170"/>
    <w:rsid w:val="7B491F02"/>
    <w:rsid w:val="7B4F7695"/>
    <w:rsid w:val="7B5211AE"/>
    <w:rsid w:val="7B5F09CE"/>
    <w:rsid w:val="7B620B78"/>
    <w:rsid w:val="7B631169"/>
    <w:rsid w:val="7B695761"/>
    <w:rsid w:val="7B6F601E"/>
    <w:rsid w:val="7B742AC3"/>
    <w:rsid w:val="7B7517F2"/>
    <w:rsid w:val="7B7E5007"/>
    <w:rsid w:val="7B907018"/>
    <w:rsid w:val="7B9652C4"/>
    <w:rsid w:val="7B9832A2"/>
    <w:rsid w:val="7B9A103C"/>
    <w:rsid w:val="7BA65E1F"/>
    <w:rsid w:val="7BAA4093"/>
    <w:rsid w:val="7BBC2F7D"/>
    <w:rsid w:val="7BBD2674"/>
    <w:rsid w:val="7BBE4176"/>
    <w:rsid w:val="7BC02341"/>
    <w:rsid w:val="7BC57958"/>
    <w:rsid w:val="7BD17F86"/>
    <w:rsid w:val="7BE245B0"/>
    <w:rsid w:val="7BE851F1"/>
    <w:rsid w:val="7BEE30BB"/>
    <w:rsid w:val="7BEE3A21"/>
    <w:rsid w:val="7C216167"/>
    <w:rsid w:val="7C2A2F43"/>
    <w:rsid w:val="7C354148"/>
    <w:rsid w:val="7C40165F"/>
    <w:rsid w:val="7C470B7A"/>
    <w:rsid w:val="7C532F51"/>
    <w:rsid w:val="7C536CD7"/>
    <w:rsid w:val="7C605891"/>
    <w:rsid w:val="7C6D1AC3"/>
    <w:rsid w:val="7C7D5446"/>
    <w:rsid w:val="7C8E52E2"/>
    <w:rsid w:val="7C9B7036"/>
    <w:rsid w:val="7CA63399"/>
    <w:rsid w:val="7CAA3093"/>
    <w:rsid w:val="7CAA7283"/>
    <w:rsid w:val="7CAC75B7"/>
    <w:rsid w:val="7CDD6DA0"/>
    <w:rsid w:val="7CE7399F"/>
    <w:rsid w:val="7CED35BD"/>
    <w:rsid w:val="7CED360A"/>
    <w:rsid w:val="7CFA705C"/>
    <w:rsid w:val="7CFB7AD5"/>
    <w:rsid w:val="7CFF65DF"/>
    <w:rsid w:val="7D012C11"/>
    <w:rsid w:val="7D0151C6"/>
    <w:rsid w:val="7D1268AA"/>
    <w:rsid w:val="7D180687"/>
    <w:rsid w:val="7D195BEB"/>
    <w:rsid w:val="7D1A14CD"/>
    <w:rsid w:val="7D1D3EEF"/>
    <w:rsid w:val="7D1F02FF"/>
    <w:rsid w:val="7D234B10"/>
    <w:rsid w:val="7D431DFE"/>
    <w:rsid w:val="7D511DEB"/>
    <w:rsid w:val="7D517545"/>
    <w:rsid w:val="7D5611AF"/>
    <w:rsid w:val="7D5A1BE8"/>
    <w:rsid w:val="7D6707D6"/>
    <w:rsid w:val="7D687586"/>
    <w:rsid w:val="7D7430EB"/>
    <w:rsid w:val="7D7529E3"/>
    <w:rsid w:val="7D79468B"/>
    <w:rsid w:val="7D7C4FA3"/>
    <w:rsid w:val="7D80622C"/>
    <w:rsid w:val="7D8B5791"/>
    <w:rsid w:val="7D8E6B9B"/>
    <w:rsid w:val="7D962934"/>
    <w:rsid w:val="7D9B10D3"/>
    <w:rsid w:val="7DA1085A"/>
    <w:rsid w:val="7DA87106"/>
    <w:rsid w:val="7DB9125F"/>
    <w:rsid w:val="7DBF4E8C"/>
    <w:rsid w:val="7DCE51E9"/>
    <w:rsid w:val="7DD930A0"/>
    <w:rsid w:val="7DDF11A4"/>
    <w:rsid w:val="7DE72742"/>
    <w:rsid w:val="7DF25DA4"/>
    <w:rsid w:val="7DF643D7"/>
    <w:rsid w:val="7E030796"/>
    <w:rsid w:val="7E056B86"/>
    <w:rsid w:val="7E0A5CF3"/>
    <w:rsid w:val="7E245731"/>
    <w:rsid w:val="7E250F14"/>
    <w:rsid w:val="7E2E1961"/>
    <w:rsid w:val="7E3B0642"/>
    <w:rsid w:val="7E3B30DB"/>
    <w:rsid w:val="7E3C2153"/>
    <w:rsid w:val="7E4E1E03"/>
    <w:rsid w:val="7E6D727C"/>
    <w:rsid w:val="7E835FD4"/>
    <w:rsid w:val="7E8B30DA"/>
    <w:rsid w:val="7E8F5673"/>
    <w:rsid w:val="7E953F59"/>
    <w:rsid w:val="7E9847BE"/>
    <w:rsid w:val="7EAD4C51"/>
    <w:rsid w:val="7EAD5FB2"/>
    <w:rsid w:val="7EC033F3"/>
    <w:rsid w:val="7EC308D3"/>
    <w:rsid w:val="7ED32F15"/>
    <w:rsid w:val="7ED4682F"/>
    <w:rsid w:val="7ED607F9"/>
    <w:rsid w:val="7ED9463F"/>
    <w:rsid w:val="7EDD5095"/>
    <w:rsid w:val="7EEA43FC"/>
    <w:rsid w:val="7EEA6053"/>
    <w:rsid w:val="7EEC2B20"/>
    <w:rsid w:val="7EFF79DD"/>
    <w:rsid w:val="7F1C4F25"/>
    <w:rsid w:val="7F2B3C4C"/>
    <w:rsid w:val="7F2C6D7D"/>
    <w:rsid w:val="7F373DB3"/>
    <w:rsid w:val="7F40446B"/>
    <w:rsid w:val="7F45772D"/>
    <w:rsid w:val="7F4F3BE4"/>
    <w:rsid w:val="7F4F4108"/>
    <w:rsid w:val="7F4F4F38"/>
    <w:rsid w:val="7F554949"/>
    <w:rsid w:val="7F556756"/>
    <w:rsid w:val="7F5757F8"/>
    <w:rsid w:val="7F651B7D"/>
    <w:rsid w:val="7F673B41"/>
    <w:rsid w:val="7F73429A"/>
    <w:rsid w:val="7F7B385B"/>
    <w:rsid w:val="7F7F245C"/>
    <w:rsid w:val="7F852AF6"/>
    <w:rsid w:val="7F8671C2"/>
    <w:rsid w:val="7F920886"/>
    <w:rsid w:val="7F98170A"/>
    <w:rsid w:val="7FAF1B05"/>
    <w:rsid w:val="7FB5568E"/>
    <w:rsid w:val="7FB923B7"/>
    <w:rsid w:val="7FBA7044"/>
    <w:rsid w:val="7FC3657A"/>
    <w:rsid w:val="7FCC5C02"/>
    <w:rsid w:val="7FD140C9"/>
    <w:rsid w:val="7FD30873"/>
    <w:rsid w:val="7FDC68CC"/>
    <w:rsid w:val="7FDF5844"/>
    <w:rsid w:val="7FE66EAD"/>
    <w:rsid w:val="7FEC7BA9"/>
    <w:rsid w:val="7FED4AC9"/>
    <w:rsid w:val="7FF22041"/>
    <w:rsid w:val="7FFFC993"/>
    <w:rsid w:val="ADDA6358"/>
    <w:rsid w:val="CFFF1A28"/>
    <w:rsid w:val="D7EF2770"/>
    <w:rsid w:val="DBBEE187"/>
    <w:rsid w:val="EDFDF10E"/>
    <w:rsid w:val="EEDEBBA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9"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qFormat="1" w:unhideWhenUsed="0" w:uiPriority="0" w:semiHidden="0"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link w:val="40"/>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41"/>
    <w:qFormat/>
    <w:uiPriority w:val="99"/>
    <w:pPr>
      <w:keepNext/>
      <w:keepLines/>
      <w:spacing w:before="260" w:after="260" w:line="480" w:lineRule="exact"/>
      <w:ind w:firstLine="720" w:firstLineChars="200"/>
      <w:outlineLvl w:val="2"/>
    </w:pPr>
    <w:rPr>
      <w:rFonts w:eastAsia="黑体"/>
      <w:kern w:val="0"/>
      <w:sz w:val="20"/>
      <w:szCs w:val="20"/>
    </w:rPr>
  </w:style>
  <w:style w:type="paragraph" w:styleId="5">
    <w:name w:val="heading 5"/>
    <w:basedOn w:val="1"/>
    <w:next w:val="1"/>
    <w:qFormat/>
    <w:uiPriority w:val="0"/>
    <w:pPr>
      <w:keepNext/>
      <w:keepLines/>
      <w:widowControl w:val="0"/>
      <w:suppressLineNumbers w:val="0"/>
      <w:adjustRightInd w:val="0"/>
      <w:spacing w:before="0" w:beforeAutospacing="0" w:after="0" w:afterAutospacing="0" w:line="500" w:lineRule="exact"/>
      <w:ind w:left="200" w:leftChars="200" w:right="0"/>
      <w:jc w:val="left"/>
      <w:outlineLvl w:val="4"/>
    </w:pPr>
    <w:rPr>
      <w:rFonts w:hint="default" w:ascii="Times New Roman" w:hAnsi="Times New Roman" w:eastAsia="宋体" w:cs="Times New Roman"/>
      <w:bCs/>
      <w:kern w:val="2"/>
      <w:sz w:val="24"/>
      <w:szCs w:val="28"/>
      <w:lang w:val="en-US" w:eastAsia="zh-CN" w:bidi="ar"/>
    </w:rPr>
  </w:style>
  <w:style w:type="character" w:default="1" w:styleId="34">
    <w:name w:val="Default Paragraph Font"/>
    <w:unhideWhenUsed/>
    <w:qFormat/>
    <w:uiPriority w:val="1"/>
  </w:style>
  <w:style w:type="table" w:default="1" w:styleId="32">
    <w:name w:val="Normal Table"/>
    <w:unhideWhenUsed/>
    <w:qFormat/>
    <w:uiPriority w:val="99"/>
    <w:tblPr>
      <w:tblCellMar>
        <w:top w:w="0" w:type="dxa"/>
        <w:left w:w="108" w:type="dxa"/>
        <w:bottom w:w="0" w:type="dxa"/>
        <w:right w:w="108" w:type="dxa"/>
      </w:tblCellMar>
    </w:tblPr>
  </w:style>
  <w:style w:type="paragraph" w:styleId="6">
    <w:name w:val="Normal Indent"/>
    <w:basedOn w:val="1"/>
    <w:link w:val="42"/>
    <w:unhideWhenUsed/>
    <w:qFormat/>
    <w:uiPriority w:val="99"/>
    <w:pPr>
      <w:ind w:firstLine="420" w:firstLineChars="200"/>
    </w:pPr>
    <w:rPr>
      <w:kern w:val="0"/>
      <w:sz w:val="20"/>
    </w:rPr>
  </w:style>
  <w:style w:type="paragraph" w:styleId="7">
    <w:name w:val="caption"/>
    <w:basedOn w:val="1"/>
    <w:next w:val="1"/>
    <w:qFormat/>
    <w:uiPriority w:val="0"/>
    <w:pPr>
      <w:jc w:val="center"/>
    </w:pPr>
    <w:rPr>
      <w:b/>
      <w:sz w:val="24"/>
    </w:rPr>
  </w:style>
  <w:style w:type="paragraph" w:styleId="8">
    <w:name w:val="toa heading"/>
    <w:basedOn w:val="1"/>
    <w:next w:val="9"/>
    <w:qFormat/>
    <w:uiPriority w:val="0"/>
    <w:pPr>
      <w:spacing w:before="120" w:beforeLines="0" w:beforeAutospacing="0"/>
    </w:pPr>
    <w:rPr>
      <w:rFonts w:ascii="Arial" w:hAnsi="Arial"/>
      <w:sz w:val="24"/>
    </w:rPr>
  </w:style>
  <w:style w:type="paragraph" w:styleId="9">
    <w:name w:val="Body Text First Indent"/>
    <w:basedOn w:val="10"/>
    <w:next w:val="1"/>
    <w:link w:val="54"/>
    <w:unhideWhenUsed/>
    <w:qFormat/>
    <w:uiPriority w:val="99"/>
    <w:pPr>
      <w:spacing w:line="480" w:lineRule="exact"/>
      <w:ind w:firstLine="420" w:firstLineChars="100"/>
    </w:pPr>
    <w:rPr>
      <w:rFonts w:ascii="宋体" w:hAnsi="宋体"/>
      <w:kern w:val="36"/>
      <w:sz w:val="24"/>
    </w:rPr>
  </w:style>
  <w:style w:type="paragraph" w:styleId="10">
    <w:name w:val="Body Text"/>
    <w:basedOn w:val="1"/>
    <w:next w:val="11"/>
    <w:link w:val="45"/>
    <w:unhideWhenUsed/>
    <w:qFormat/>
    <w:uiPriority w:val="99"/>
    <w:pPr>
      <w:spacing w:after="120"/>
    </w:pPr>
    <w:rPr>
      <w:kern w:val="0"/>
      <w:sz w:val="20"/>
    </w:rPr>
  </w:style>
  <w:style w:type="paragraph" w:customStyle="1" w:styleId="11">
    <w:name w:val="xl27"/>
    <w:basedOn w:val="1"/>
    <w:qFormat/>
    <w:uiPriority w:val="0"/>
    <w:pPr>
      <w:widowControl/>
      <w:pBdr>
        <w:bottom w:val="single" w:color="auto" w:sz="12" w:space="0"/>
      </w:pBdr>
      <w:spacing w:before="100" w:after="100" w:line="480" w:lineRule="exact"/>
      <w:ind w:firstLine="720" w:firstLineChars="200"/>
      <w:jc w:val="center"/>
    </w:pPr>
    <w:rPr>
      <w:rFonts w:ascii="宋体" w:hAnsi="宋体" w:cs="宋体"/>
      <w:kern w:val="0"/>
      <w:szCs w:val="21"/>
    </w:rPr>
  </w:style>
  <w:style w:type="paragraph" w:styleId="12">
    <w:name w:val="annotation text"/>
    <w:basedOn w:val="1"/>
    <w:link w:val="43"/>
    <w:qFormat/>
    <w:uiPriority w:val="0"/>
    <w:pPr>
      <w:jc w:val="left"/>
    </w:pPr>
    <w:rPr>
      <w:kern w:val="0"/>
      <w:sz w:val="20"/>
    </w:rPr>
  </w:style>
  <w:style w:type="paragraph" w:styleId="13">
    <w:name w:val="Body Text 3"/>
    <w:basedOn w:val="1"/>
    <w:link w:val="44"/>
    <w:qFormat/>
    <w:uiPriority w:val="0"/>
    <w:pPr>
      <w:spacing w:after="120"/>
    </w:pPr>
    <w:rPr>
      <w:sz w:val="16"/>
      <w:szCs w:val="16"/>
    </w:rPr>
  </w:style>
  <w:style w:type="paragraph" w:styleId="14">
    <w:name w:val="Body Text Indent"/>
    <w:basedOn w:val="1"/>
    <w:next w:val="1"/>
    <w:link w:val="46"/>
    <w:unhideWhenUsed/>
    <w:qFormat/>
    <w:uiPriority w:val="0"/>
    <w:pPr>
      <w:spacing w:after="120"/>
      <w:ind w:left="420" w:leftChars="200"/>
    </w:pPr>
    <w:rPr>
      <w:kern w:val="0"/>
      <w:sz w:val="20"/>
    </w:rPr>
  </w:style>
  <w:style w:type="paragraph" w:styleId="15">
    <w:name w:val="Block Text"/>
    <w:basedOn w:val="1"/>
    <w:qFormat/>
    <w:uiPriority w:val="0"/>
    <w:pPr>
      <w:spacing w:line="360" w:lineRule="exact"/>
      <w:ind w:left="113" w:right="113"/>
      <w:jc w:val="center"/>
    </w:pPr>
    <w:rPr>
      <w:rFonts w:ascii="宋体" w:hAnsi="宋体"/>
      <w:color w:val="000000"/>
    </w:rPr>
  </w:style>
  <w:style w:type="paragraph" w:styleId="16">
    <w:name w:val="Plain Text"/>
    <w:basedOn w:val="1"/>
    <w:link w:val="47"/>
    <w:qFormat/>
    <w:uiPriority w:val="0"/>
    <w:pPr>
      <w:spacing w:line="480" w:lineRule="exact"/>
      <w:ind w:firstLine="720" w:firstLineChars="200"/>
    </w:pPr>
    <w:rPr>
      <w:rFonts w:ascii="宋体" w:hAnsi="Courier New"/>
      <w:kern w:val="0"/>
      <w:sz w:val="20"/>
      <w:szCs w:val="21"/>
    </w:rPr>
  </w:style>
  <w:style w:type="paragraph" w:styleId="17">
    <w:name w:val="Date"/>
    <w:basedOn w:val="1"/>
    <w:next w:val="1"/>
    <w:link w:val="48"/>
    <w:unhideWhenUsed/>
    <w:qFormat/>
    <w:uiPriority w:val="99"/>
    <w:pPr>
      <w:ind w:left="100" w:leftChars="2500"/>
    </w:pPr>
  </w:style>
  <w:style w:type="paragraph" w:styleId="18">
    <w:name w:val="Body Text Indent 2"/>
    <w:basedOn w:val="1"/>
    <w:next w:val="1"/>
    <w:qFormat/>
    <w:uiPriority w:val="0"/>
    <w:pPr>
      <w:tabs>
        <w:tab w:val="left" w:pos="0"/>
      </w:tabs>
      <w:spacing w:line="480" w:lineRule="auto"/>
      <w:ind w:left="-178" w:leftChars="-85" w:firstLine="1016" w:firstLineChars="363"/>
    </w:pPr>
    <w:rPr>
      <w:rFonts w:ascii="楷体_GB2312" w:eastAsia="楷体_GB2312"/>
      <w:sz w:val="28"/>
    </w:rPr>
  </w:style>
  <w:style w:type="paragraph" w:styleId="19">
    <w:name w:val="endnote text"/>
    <w:basedOn w:val="1"/>
    <w:qFormat/>
    <w:uiPriority w:val="0"/>
    <w:pPr>
      <w:snapToGrid w:val="0"/>
      <w:jc w:val="left"/>
    </w:pPr>
  </w:style>
  <w:style w:type="paragraph" w:styleId="20">
    <w:name w:val="Balloon Text"/>
    <w:basedOn w:val="1"/>
    <w:link w:val="49"/>
    <w:unhideWhenUsed/>
    <w:qFormat/>
    <w:uiPriority w:val="99"/>
    <w:rPr>
      <w:kern w:val="0"/>
      <w:sz w:val="18"/>
      <w:szCs w:val="18"/>
    </w:rPr>
  </w:style>
  <w:style w:type="paragraph" w:styleId="21">
    <w:name w:val="footer"/>
    <w:basedOn w:val="1"/>
    <w:link w:val="50"/>
    <w:unhideWhenUsed/>
    <w:qFormat/>
    <w:uiPriority w:val="99"/>
    <w:pPr>
      <w:tabs>
        <w:tab w:val="center" w:pos="4153"/>
        <w:tab w:val="right" w:pos="8306"/>
      </w:tabs>
      <w:snapToGrid w:val="0"/>
      <w:jc w:val="left"/>
    </w:pPr>
    <w:rPr>
      <w:kern w:val="0"/>
      <w:sz w:val="18"/>
      <w:szCs w:val="18"/>
    </w:rPr>
  </w:style>
  <w:style w:type="paragraph" w:styleId="22">
    <w:name w:val="header"/>
    <w:basedOn w:val="1"/>
    <w:link w:val="5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3">
    <w:name w:val="toc 1"/>
    <w:basedOn w:val="1"/>
    <w:next w:val="1"/>
    <w:qFormat/>
    <w:uiPriority w:val="39"/>
    <w:pPr>
      <w:adjustRightInd w:val="0"/>
      <w:snapToGrid w:val="0"/>
      <w:spacing w:line="340" w:lineRule="exact"/>
      <w:jc w:val="right"/>
    </w:pPr>
    <w:rPr>
      <w:sz w:val="24"/>
      <w:szCs w:val="24"/>
    </w:rPr>
  </w:style>
  <w:style w:type="paragraph" w:styleId="24">
    <w:name w:val="index heading"/>
    <w:basedOn w:val="1"/>
    <w:next w:val="25"/>
    <w:qFormat/>
    <w:uiPriority w:val="0"/>
    <w:rPr>
      <w:color w:val="auto"/>
      <w:kern w:val="2"/>
      <w:szCs w:val="20"/>
    </w:rPr>
  </w:style>
  <w:style w:type="paragraph" w:styleId="25">
    <w:name w:val="index 1"/>
    <w:basedOn w:val="1"/>
    <w:next w:val="1"/>
    <w:semiHidden/>
    <w:qFormat/>
    <w:uiPriority w:val="0"/>
    <w:pPr>
      <w:spacing w:line="440" w:lineRule="exact"/>
    </w:pPr>
    <w:rPr>
      <w:rFonts w:ascii="宋体" w:hAnsi="宋体"/>
      <w:b/>
      <w:kern w:val="0"/>
      <w:sz w:val="24"/>
      <w:szCs w:val="24"/>
    </w:rPr>
  </w:style>
  <w:style w:type="paragraph" w:styleId="26">
    <w:name w:val="List"/>
    <w:basedOn w:val="1"/>
    <w:qFormat/>
    <w:uiPriority w:val="0"/>
    <w:pPr>
      <w:adjustRightInd w:val="0"/>
      <w:snapToGrid w:val="0"/>
      <w:spacing w:before="100" w:beforeAutospacing="1" w:after="100" w:afterAutospacing="1"/>
      <w:textAlignment w:val="baseline"/>
    </w:pPr>
    <w:rPr>
      <w:snapToGrid w:val="0"/>
    </w:rPr>
  </w:style>
  <w:style w:type="paragraph" w:styleId="27">
    <w:name w:val="toc 2"/>
    <w:basedOn w:val="1"/>
    <w:next w:val="1"/>
    <w:semiHidden/>
    <w:qFormat/>
    <w:uiPriority w:val="0"/>
    <w:pPr>
      <w:ind w:left="420" w:leftChars="200"/>
    </w:pPr>
  </w:style>
  <w:style w:type="paragraph" w:styleId="28">
    <w:name w:val="Body Text 2"/>
    <w:basedOn w:val="1"/>
    <w:next w:val="1"/>
    <w:qFormat/>
    <w:uiPriority w:val="0"/>
    <w:pPr>
      <w:spacing w:after="120" w:line="480" w:lineRule="auto"/>
    </w:pPr>
  </w:style>
  <w:style w:type="paragraph" w:styleId="29">
    <w:name w:val="Normal (Web)"/>
    <w:basedOn w:val="1"/>
    <w:link w:val="52"/>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2"/>
    <w:next w:val="12"/>
    <w:link w:val="53"/>
    <w:unhideWhenUsed/>
    <w:qFormat/>
    <w:uiPriority w:val="99"/>
    <w:rPr>
      <w:b/>
      <w:bCs/>
      <w:kern w:val="2"/>
      <w:sz w:val="21"/>
    </w:rPr>
  </w:style>
  <w:style w:type="paragraph" w:styleId="31">
    <w:name w:val="Body Text First Indent 2"/>
    <w:basedOn w:val="14"/>
    <w:next w:val="9"/>
    <w:link w:val="55"/>
    <w:unhideWhenUsed/>
    <w:qFormat/>
    <w:uiPriority w:val="99"/>
    <w:pPr>
      <w:spacing w:line="480" w:lineRule="exact"/>
      <w:ind w:firstLine="420" w:firstLineChars="200"/>
    </w:pPr>
    <w:rPr>
      <w:rFonts w:ascii="宋体" w:hAnsi="宋体"/>
      <w:kern w:val="36"/>
      <w:sz w:val="24"/>
    </w:rPr>
  </w:style>
  <w:style w:type="table" w:styleId="33">
    <w:name w:val="Table Grid"/>
    <w:basedOn w:val="3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22"/>
    <w:rPr>
      <w:b/>
    </w:rPr>
  </w:style>
  <w:style w:type="character" w:styleId="36">
    <w:name w:val="page number"/>
    <w:qFormat/>
    <w:uiPriority w:val="0"/>
  </w:style>
  <w:style w:type="character" w:styleId="37">
    <w:name w:val="Hyperlink"/>
    <w:basedOn w:val="34"/>
    <w:semiHidden/>
    <w:unhideWhenUsed/>
    <w:qFormat/>
    <w:uiPriority w:val="99"/>
    <w:rPr>
      <w:color w:val="0000FF"/>
      <w:u w:val="single"/>
    </w:rPr>
  </w:style>
  <w:style w:type="character" w:styleId="38">
    <w:name w:val="annotation reference"/>
    <w:qFormat/>
    <w:uiPriority w:val="0"/>
    <w:rPr>
      <w:sz w:val="21"/>
      <w:szCs w:val="21"/>
    </w:rPr>
  </w:style>
  <w:style w:type="paragraph" w:customStyle="1" w:styleId="39">
    <w:name w:val="Heading2"/>
    <w:basedOn w:val="1"/>
    <w:next w:val="1"/>
    <w:qFormat/>
    <w:uiPriority w:val="0"/>
    <w:pPr>
      <w:keepNext/>
      <w:keepLines/>
      <w:jc w:val="left"/>
      <w:textAlignment w:val="baseline"/>
    </w:pPr>
    <w:rPr>
      <w:rFonts w:ascii="Arial" w:hAnsi="Arial" w:eastAsia="Times New Roman" w:cs="Times New Roman"/>
      <w:b/>
      <w:bCs/>
      <w:kern w:val="2"/>
      <w:sz w:val="24"/>
      <w:szCs w:val="32"/>
      <w:lang w:val="en-US" w:eastAsia="zh-CN" w:bidi="ar-SA"/>
    </w:rPr>
  </w:style>
  <w:style w:type="character" w:customStyle="1" w:styleId="40">
    <w:name w:val="标题 2 Char"/>
    <w:link w:val="3"/>
    <w:semiHidden/>
    <w:qFormat/>
    <w:uiPriority w:val="9"/>
    <w:rPr>
      <w:rFonts w:ascii="Cambria" w:hAnsi="Cambria" w:eastAsia="宋体" w:cs="Times New Roman"/>
      <w:b/>
      <w:bCs/>
      <w:kern w:val="2"/>
      <w:sz w:val="32"/>
      <w:szCs w:val="32"/>
    </w:rPr>
  </w:style>
  <w:style w:type="character" w:customStyle="1" w:styleId="41">
    <w:name w:val="标题 3 Char"/>
    <w:link w:val="4"/>
    <w:qFormat/>
    <w:uiPriority w:val="99"/>
    <w:rPr>
      <w:rFonts w:ascii="Times New Roman" w:hAnsi="Times New Roman" w:eastAsia="黑体" w:cs="Times New Roman"/>
      <w:kern w:val="0"/>
      <w:sz w:val="20"/>
      <w:szCs w:val="20"/>
    </w:rPr>
  </w:style>
  <w:style w:type="character" w:customStyle="1" w:styleId="42">
    <w:name w:val="正文缩进 Char"/>
    <w:link w:val="6"/>
    <w:qFormat/>
    <w:locked/>
    <w:uiPriority w:val="99"/>
    <w:rPr>
      <w:rFonts w:ascii="Times New Roman" w:hAnsi="Times New Roman" w:eastAsia="宋体" w:cs="Times New Roman"/>
      <w:szCs w:val="24"/>
    </w:rPr>
  </w:style>
  <w:style w:type="character" w:customStyle="1" w:styleId="43">
    <w:name w:val="批注文字 Char"/>
    <w:link w:val="12"/>
    <w:qFormat/>
    <w:uiPriority w:val="0"/>
    <w:rPr>
      <w:rFonts w:ascii="Times New Roman" w:hAnsi="Times New Roman" w:eastAsia="宋体" w:cs="Times New Roman"/>
      <w:szCs w:val="24"/>
    </w:rPr>
  </w:style>
  <w:style w:type="character" w:customStyle="1" w:styleId="44">
    <w:name w:val="正文文本 3 Char"/>
    <w:link w:val="13"/>
    <w:qFormat/>
    <w:uiPriority w:val="0"/>
    <w:rPr>
      <w:kern w:val="2"/>
      <w:sz w:val="16"/>
      <w:szCs w:val="16"/>
    </w:rPr>
  </w:style>
  <w:style w:type="character" w:customStyle="1" w:styleId="45">
    <w:name w:val="正文文本 Char"/>
    <w:link w:val="10"/>
    <w:semiHidden/>
    <w:qFormat/>
    <w:uiPriority w:val="99"/>
    <w:rPr>
      <w:rFonts w:ascii="Times New Roman" w:hAnsi="Times New Roman" w:eastAsia="宋体" w:cs="Times New Roman"/>
      <w:szCs w:val="24"/>
    </w:rPr>
  </w:style>
  <w:style w:type="character" w:customStyle="1" w:styleId="46">
    <w:name w:val="正文文本缩进 Char"/>
    <w:link w:val="14"/>
    <w:semiHidden/>
    <w:qFormat/>
    <w:uiPriority w:val="0"/>
    <w:rPr>
      <w:rFonts w:ascii="Times New Roman" w:hAnsi="Times New Roman" w:eastAsia="宋体" w:cs="Times New Roman"/>
      <w:szCs w:val="24"/>
    </w:rPr>
  </w:style>
  <w:style w:type="character" w:customStyle="1" w:styleId="47">
    <w:name w:val="纯文本 Char"/>
    <w:link w:val="16"/>
    <w:qFormat/>
    <w:uiPriority w:val="0"/>
    <w:rPr>
      <w:rFonts w:ascii="宋体" w:hAnsi="Courier New" w:eastAsia="宋体" w:cs="宋体"/>
      <w:szCs w:val="21"/>
    </w:rPr>
  </w:style>
  <w:style w:type="character" w:customStyle="1" w:styleId="48">
    <w:name w:val="日期 Char"/>
    <w:link w:val="17"/>
    <w:semiHidden/>
    <w:qFormat/>
    <w:uiPriority w:val="99"/>
    <w:rPr>
      <w:kern w:val="2"/>
      <w:sz w:val="21"/>
      <w:szCs w:val="24"/>
    </w:rPr>
  </w:style>
  <w:style w:type="character" w:customStyle="1" w:styleId="49">
    <w:name w:val="批注框文本 Char"/>
    <w:link w:val="20"/>
    <w:semiHidden/>
    <w:qFormat/>
    <w:uiPriority w:val="99"/>
    <w:rPr>
      <w:rFonts w:ascii="Times New Roman" w:hAnsi="Times New Roman" w:eastAsia="宋体" w:cs="Times New Roman"/>
      <w:sz w:val="18"/>
      <w:szCs w:val="18"/>
    </w:rPr>
  </w:style>
  <w:style w:type="character" w:customStyle="1" w:styleId="50">
    <w:name w:val="页脚 Char"/>
    <w:link w:val="21"/>
    <w:qFormat/>
    <w:uiPriority w:val="99"/>
    <w:rPr>
      <w:sz w:val="18"/>
      <w:szCs w:val="18"/>
    </w:rPr>
  </w:style>
  <w:style w:type="character" w:customStyle="1" w:styleId="51">
    <w:name w:val="页眉 Char"/>
    <w:link w:val="22"/>
    <w:qFormat/>
    <w:uiPriority w:val="99"/>
    <w:rPr>
      <w:sz w:val="18"/>
      <w:szCs w:val="18"/>
    </w:rPr>
  </w:style>
  <w:style w:type="character" w:customStyle="1" w:styleId="52">
    <w:name w:val="普通(网站) Char"/>
    <w:link w:val="29"/>
    <w:qFormat/>
    <w:locked/>
    <w:uiPriority w:val="0"/>
    <w:rPr>
      <w:rFonts w:ascii="宋体" w:hAnsi="宋体" w:eastAsia="宋体"/>
      <w:sz w:val="24"/>
    </w:rPr>
  </w:style>
  <w:style w:type="character" w:customStyle="1" w:styleId="53">
    <w:name w:val="批注主题 Char"/>
    <w:link w:val="30"/>
    <w:semiHidden/>
    <w:qFormat/>
    <w:uiPriority w:val="99"/>
    <w:rPr>
      <w:rFonts w:ascii="Times New Roman" w:hAnsi="Times New Roman" w:eastAsia="宋体" w:cs="Times New Roman"/>
      <w:b/>
      <w:bCs/>
      <w:kern w:val="2"/>
      <w:sz w:val="21"/>
      <w:szCs w:val="24"/>
    </w:rPr>
  </w:style>
  <w:style w:type="character" w:customStyle="1" w:styleId="54">
    <w:name w:val="正文首行缩进 Char"/>
    <w:link w:val="9"/>
    <w:qFormat/>
    <w:uiPriority w:val="99"/>
    <w:rPr>
      <w:rFonts w:ascii="宋体" w:hAnsi="宋体" w:eastAsia="宋体" w:cs="宋体"/>
      <w:kern w:val="36"/>
      <w:sz w:val="24"/>
      <w:szCs w:val="24"/>
    </w:rPr>
  </w:style>
  <w:style w:type="character" w:customStyle="1" w:styleId="55">
    <w:name w:val="正文首行缩进 2 Char"/>
    <w:link w:val="31"/>
    <w:semiHidden/>
    <w:qFormat/>
    <w:uiPriority w:val="99"/>
    <w:rPr>
      <w:rFonts w:ascii="宋体" w:hAnsi="宋体" w:eastAsia="宋体" w:cs="宋体"/>
      <w:kern w:val="36"/>
      <w:sz w:val="24"/>
      <w:szCs w:val="24"/>
    </w:rPr>
  </w:style>
  <w:style w:type="paragraph" w:customStyle="1" w:styleId="56">
    <w:name w:val="[1]正文"/>
    <w:basedOn w:val="1"/>
    <w:qFormat/>
    <w:uiPriority w:val="0"/>
    <w:pPr>
      <w:widowControl/>
      <w:snapToGrid w:val="0"/>
      <w:spacing w:line="360" w:lineRule="auto"/>
      <w:ind w:firstLine="200" w:firstLineChars="200"/>
      <w:jc w:val="left"/>
    </w:pPr>
    <w:rPr>
      <w:rFonts w:cs="Calibri"/>
      <w:kern w:val="0"/>
      <w:sz w:val="24"/>
      <w:szCs w:val="28"/>
    </w:rPr>
  </w:style>
  <w:style w:type="paragraph" w:customStyle="1" w:styleId="57">
    <w:name w:val="表头"/>
    <w:basedOn w:val="26"/>
    <w:next w:val="1"/>
    <w:qFormat/>
    <w:uiPriority w:val="98"/>
    <w:pPr>
      <w:spacing w:line="360" w:lineRule="auto"/>
      <w:jc w:val="center"/>
      <w:outlineLvl w:val="3"/>
    </w:pPr>
    <w:rPr>
      <w:b/>
    </w:rPr>
  </w:style>
  <w:style w:type="paragraph" w:customStyle="1" w:styleId="58">
    <w:name w:val="0正文"/>
    <w:basedOn w:val="6"/>
    <w:qFormat/>
    <w:uiPriority w:val="0"/>
    <w:pPr>
      <w:spacing w:line="360" w:lineRule="auto"/>
      <w:ind w:firstLine="720" w:firstLineChars="200"/>
      <w:jc w:val="left"/>
    </w:pPr>
    <w:rPr>
      <w:rFonts w:ascii="Times New Roman" w:hAnsi="Times New Roman" w:cs="Times New Roman"/>
      <w:kern w:val="0"/>
      <w:sz w:val="24"/>
      <w:szCs w:val="24"/>
    </w:rPr>
  </w:style>
  <w:style w:type="paragraph" w:customStyle="1" w:styleId="59">
    <w:name w:val="0 GBJ正文"/>
    <w:basedOn w:val="1"/>
    <w:qFormat/>
    <w:uiPriority w:val="0"/>
    <w:pPr>
      <w:adjustRightInd w:val="0"/>
      <w:snapToGrid w:val="0"/>
      <w:spacing w:line="460" w:lineRule="exact"/>
      <w:ind w:firstLine="480" w:firstLineChars="200"/>
    </w:pPr>
    <w:rPr>
      <w:rFonts w:ascii="Calibri" w:hAnsi="Calibri" w:eastAsia="宋体" w:cs="Times New Roman"/>
      <w:kern w:val="0"/>
      <w:sz w:val="24"/>
    </w:rPr>
  </w:style>
  <w:style w:type="paragraph" w:customStyle="1" w:styleId="60">
    <w:name w:val="Default"/>
    <w:basedOn w:val="61"/>
    <w:unhideWhenUsed/>
    <w:qFormat/>
    <w:uiPriority w:val="0"/>
    <w:pPr>
      <w:autoSpaceDE w:val="0"/>
      <w:autoSpaceDN w:val="0"/>
    </w:pPr>
    <w:rPr>
      <w:rFonts w:hint="eastAsia" w:ascii="仿宋_GB2312" w:hAnsi="仿宋_GB2312" w:eastAsia="仿宋_GB2312"/>
      <w:color w:val="000000"/>
      <w:kern w:val="0"/>
      <w:sz w:val="24"/>
      <w:szCs w:val="22"/>
    </w:rPr>
  </w:style>
  <w:style w:type="paragraph" w:customStyle="1" w:styleId="61">
    <w:name w:val="纯文本1"/>
    <w:basedOn w:val="1"/>
    <w:qFormat/>
    <w:uiPriority w:val="0"/>
    <w:pPr>
      <w:adjustRightInd w:val="0"/>
    </w:pPr>
    <w:rPr>
      <w:rFonts w:ascii="宋体" w:hAnsi="Courier New"/>
    </w:rPr>
  </w:style>
  <w:style w:type="paragraph" w:customStyle="1" w:styleId="62">
    <w:name w:val="样式1"/>
    <w:basedOn w:val="24"/>
    <w:qFormat/>
    <w:uiPriority w:val="0"/>
    <w:pPr>
      <w:snapToGrid w:val="0"/>
      <w:jc w:val="center"/>
    </w:pPr>
    <w:rPr>
      <w:rFonts w:ascii="宋体" w:eastAsia="宋体"/>
      <w:sz w:val="21"/>
    </w:rPr>
  </w:style>
  <w:style w:type="paragraph" w:customStyle="1" w:styleId="63">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64">
    <w:name w:val="样式35"/>
    <w:basedOn w:val="1"/>
    <w:next w:val="1"/>
    <w:qFormat/>
    <w:uiPriority w:val="0"/>
    <w:pPr>
      <w:adjustRightInd w:val="0"/>
      <w:spacing w:line="312" w:lineRule="auto"/>
      <w:ind w:firstLine="567"/>
    </w:pPr>
    <w:rPr>
      <w:rFonts w:ascii="宋体"/>
      <w:kern w:val="0"/>
      <w:sz w:val="28"/>
      <w:szCs w:val="20"/>
    </w:rPr>
  </w:style>
  <w:style w:type="paragraph" w:customStyle="1" w:styleId="65">
    <w:name w:val="样式 正文缩进正文缩进2正文缩进 Char Char正文缩进 Char Char Char Char正文缩进 Char ..."/>
    <w:basedOn w:val="6"/>
    <w:qFormat/>
    <w:uiPriority w:val="0"/>
    <w:pPr>
      <w:spacing w:line="360" w:lineRule="auto"/>
      <w:ind w:firstLine="200" w:firstLineChars="0"/>
    </w:pPr>
    <w:rPr>
      <w:rFonts w:ascii="宋体" w:cs="宋体"/>
      <w:sz w:val="24"/>
      <w:szCs w:val="20"/>
    </w:rPr>
  </w:style>
  <w:style w:type="paragraph" w:customStyle="1" w:styleId="66">
    <w:name w:val="表格文字"/>
    <w:basedOn w:val="10"/>
    <w:next w:val="1"/>
    <w:qFormat/>
    <w:uiPriority w:val="0"/>
    <w:pPr>
      <w:spacing w:line="320" w:lineRule="exact"/>
      <w:jc w:val="center"/>
    </w:pPr>
    <w:rPr>
      <w:rFonts w:ascii="仿宋_GB2312" w:hAnsi="宋体" w:eastAsia="仿宋_GB2312"/>
      <w:kern w:val="2"/>
      <w:sz w:val="18"/>
    </w:rPr>
  </w:style>
  <w:style w:type="paragraph" w:customStyle="1" w:styleId="67">
    <w:name w:val="表格编号"/>
    <w:basedOn w:val="1"/>
    <w:next w:val="66"/>
    <w:qFormat/>
    <w:uiPriority w:val="0"/>
    <w:pPr>
      <w:snapToGrid w:val="0"/>
      <w:spacing w:line="20" w:lineRule="atLeast"/>
      <w:jc w:val="left"/>
    </w:pPr>
    <w:rPr>
      <w:snapToGrid w:val="0"/>
      <w:kern w:val="0"/>
    </w:rPr>
  </w:style>
  <w:style w:type="character" w:customStyle="1" w:styleId="68">
    <w:name w:val="表格 Char"/>
    <w:link w:val="69"/>
    <w:qFormat/>
    <w:locked/>
    <w:uiPriority w:val="0"/>
    <w:rPr>
      <w:rFonts w:ascii="宋体"/>
    </w:rPr>
  </w:style>
  <w:style w:type="paragraph" w:customStyle="1" w:styleId="69">
    <w:name w:val="表格"/>
    <w:basedOn w:val="6"/>
    <w:next w:val="1"/>
    <w:link w:val="68"/>
    <w:qFormat/>
    <w:uiPriority w:val="0"/>
    <w:pPr>
      <w:spacing w:beforeLines="10" w:afterLines="10" w:line="259" w:lineRule="auto"/>
    </w:pPr>
    <w:rPr>
      <w:rFonts w:ascii="宋体"/>
      <w:szCs w:val="20"/>
    </w:rPr>
  </w:style>
  <w:style w:type="paragraph" w:customStyle="1" w:styleId="70">
    <w:name w:val="表内宋5"/>
    <w:basedOn w:val="1"/>
    <w:qFormat/>
    <w:uiPriority w:val="99"/>
    <w:pPr>
      <w:adjustRightInd w:val="0"/>
      <w:snapToGrid w:val="0"/>
      <w:textAlignment w:val="baseline"/>
    </w:pPr>
    <w:rPr>
      <w:kern w:val="0"/>
      <w:sz w:val="28"/>
      <w:szCs w:val="28"/>
      <w:lang w:val="zh-CN"/>
    </w:rPr>
  </w:style>
  <w:style w:type="paragraph" w:styleId="71">
    <w:name w:val="List Paragraph"/>
    <w:basedOn w:val="1"/>
    <w:qFormat/>
    <w:uiPriority w:val="99"/>
    <w:pPr>
      <w:ind w:firstLine="420" w:firstLineChars="200"/>
    </w:pPr>
  </w:style>
  <w:style w:type="paragraph" w:customStyle="1" w:styleId="72">
    <w:name w:val="样式3"/>
    <w:basedOn w:val="1"/>
    <w:qFormat/>
    <w:uiPriority w:val="0"/>
    <w:pPr>
      <w:autoSpaceDE w:val="0"/>
      <w:autoSpaceDN w:val="0"/>
      <w:snapToGrid w:val="0"/>
      <w:spacing w:line="500" w:lineRule="atLeast"/>
      <w:ind w:firstLine="200" w:firstLineChars="200"/>
      <w:jc w:val="left"/>
      <w:outlineLvl w:val="1"/>
    </w:pPr>
    <w:rPr>
      <w:b/>
      <w:kern w:val="0"/>
      <w:sz w:val="28"/>
      <w:szCs w:val="20"/>
    </w:rPr>
  </w:style>
  <w:style w:type="character" w:customStyle="1" w:styleId="73">
    <w:name w:val="表中 Char"/>
    <w:link w:val="74"/>
    <w:qFormat/>
    <w:locked/>
    <w:uiPriority w:val="99"/>
    <w:rPr>
      <w:sz w:val="24"/>
      <w:szCs w:val="24"/>
    </w:rPr>
  </w:style>
  <w:style w:type="paragraph" w:customStyle="1" w:styleId="74">
    <w:name w:val="表中"/>
    <w:basedOn w:val="1"/>
    <w:link w:val="73"/>
    <w:qFormat/>
    <w:uiPriority w:val="99"/>
    <w:pPr>
      <w:adjustRightInd w:val="0"/>
      <w:snapToGrid w:val="0"/>
      <w:spacing w:line="240" w:lineRule="atLeast"/>
      <w:ind w:firstLine="720" w:firstLineChars="200"/>
    </w:pPr>
    <w:rPr>
      <w:kern w:val="0"/>
      <w:sz w:val="24"/>
    </w:rPr>
  </w:style>
  <w:style w:type="paragraph" w:customStyle="1" w:styleId="75">
    <w:name w:val="表头标准"/>
    <w:basedOn w:val="1"/>
    <w:qFormat/>
    <w:uiPriority w:val="0"/>
    <w:pPr>
      <w:adjustRightInd w:val="0"/>
      <w:snapToGrid w:val="0"/>
      <w:spacing w:before="50" w:beforeLines="50"/>
      <w:jc w:val="center"/>
      <w:textAlignment w:val="baseline"/>
    </w:pPr>
    <w:rPr>
      <w:rFonts w:ascii="Calibri" w:hAnsi="Calibri"/>
      <w:b/>
      <w:kern w:val="0"/>
      <w:szCs w:val="21"/>
    </w:rPr>
  </w:style>
  <w:style w:type="table" w:customStyle="1" w:styleId="76">
    <w:name w:val="Table Normal"/>
    <w:unhideWhenUsed/>
    <w:qFormat/>
    <w:uiPriority w:val="2"/>
    <w:pPr>
      <w:widowControl w:val="0"/>
    </w:pPr>
    <w:rPr>
      <w:sz w:val="22"/>
      <w:lang w:val="en-US" w:eastAsia="en-US" w:bidi="ar-SA"/>
    </w:rPr>
    <w:tblPr>
      <w:tblCellMar>
        <w:top w:w="0" w:type="dxa"/>
        <w:left w:w="0" w:type="dxa"/>
        <w:bottom w:w="0" w:type="dxa"/>
        <w:right w:w="0" w:type="dxa"/>
      </w:tblCellMar>
    </w:tblPr>
  </w:style>
  <w:style w:type="paragraph" w:customStyle="1" w:styleId="77">
    <w:name w:val="Table Paragraph"/>
    <w:basedOn w:val="1"/>
    <w:qFormat/>
    <w:uiPriority w:val="1"/>
    <w:pPr>
      <w:spacing w:before="100" w:beforeAutospacing="1" w:after="100" w:afterAutospacing="1"/>
      <w:jc w:val="left"/>
    </w:pPr>
    <w:rPr>
      <w:rFonts w:ascii="Calibri" w:hAnsi="Calibri"/>
      <w:kern w:val="0"/>
      <w:sz w:val="22"/>
      <w:szCs w:val="22"/>
    </w:rPr>
  </w:style>
  <w:style w:type="paragraph" w:customStyle="1" w:styleId="78">
    <w:name w:val="表格内容"/>
    <w:basedOn w:val="79"/>
    <w:next w:val="1"/>
    <w:qFormat/>
    <w:uiPriority w:val="0"/>
    <w:pPr>
      <w:spacing w:line="312" w:lineRule="auto"/>
      <w:ind w:firstLine="0" w:firstLineChars="0"/>
      <w:jc w:val="center"/>
    </w:pPr>
    <w:rPr>
      <w:szCs w:val="21"/>
    </w:rPr>
  </w:style>
  <w:style w:type="paragraph" w:customStyle="1" w:styleId="79">
    <w:name w:val="表格标题"/>
    <w:next w:val="78"/>
    <w:qFormat/>
    <w:uiPriority w:val="0"/>
    <w:pPr>
      <w:spacing w:line="360" w:lineRule="auto"/>
      <w:jc w:val="center"/>
    </w:pPr>
    <w:rPr>
      <w:rFonts w:ascii="Times New Roman" w:hAnsi="Times New Roman" w:eastAsia="宋体" w:cs="Times New Roman"/>
      <w:b/>
      <w:kern w:val="2"/>
      <w:sz w:val="24"/>
      <w:szCs w:val="22"/>
      <w:lang w:val="en-US" w:eastAsia="zh-CN" w:bidi="ar-SA"/>
    </w:rPr>
  </w:style>
  <w:style w:type="paragraph" w:customStyle="1" w:styleId="80">
    <w:name w:val="正文样式1"/>
    <w:basedOn w:val="1"/>
    <w:qFormat/>
    <w:uiPriority w:val="0"/>
    <w:pPr>
      <w:adjustRightInd w:val="0"/>
      <w:spacing w:line="288" w:lineRule="auto"/>
      <w:ind w:firstLine="420"/>
      <w:textAlignment w:val="baseline"/>
    </w:pPr>
    <w:rPr>
      <w:rFonts w:ascii="Times" w:hAnsi="Times" w:cs="宋体"/>
      <w:kern w:val="0"/>
      <w:sz w:val="28"/>
      <w:szCs w:val="28"/>
    </w:rPr>
  </w:style>
  <w:style w:type="paragraph" w:customStyle="1" w:styleId="81">
    <w:name w:val="样式9"/>
    <w:basedOn w:val="1"/>
    <w:qFormat/>
    <w:uiPriority w:val="0"/>
    <w:pPr>
      <w:spacing w:line="360" w:lineRule="exact"/>
      <w:jc w:val="center"/>
    </w:pPr>
    <w:rPr>
      <w:color w:val="000000"/>
    </w:rPr>
  </w:style>
  <w:style w:type="paragraph" w:customStyle="1" w:styleId="82">
    <w:name w:val="WPS Plain"/>
    <w:basedOn w:val="1"/>
    <w:qFormat/>
    <w:uiPriority w:val="0"/>
    <w:pPr>
      <w:widowControl/>
      <w:jc w:val="left"/>
    </w:pPr>
    <w:rPr>
      <w:rFonts w:ascii="Calibri" w:hAnsi="Calibri"/>
      <w:kern w:val="0"/>
      <w:szCs w:val="21"/>
    </w:rPr>
  </w:style>
  <w:style w:type="paragraph" w:customStyle="1" w:styleId="83">
    <w:name w:val="缩进"/>
    <w:basedOn w:val="1"/>
    <w:qFormat/>
    <w:uiPriority w:val="0"/>
    <w:pPr>
      <w:autoSpaceDE w:val="0"/>
      <w:autoSpaceDN w:val="0"/>
      <w:adjustRightInd w:val="0"/>
      <w:spacing w:line="400" w:lineRule="atLeast"/>
      <w:ind w:firstLine="425"/>
    </w:pPr>
    <w:rPr>
      <w:kern w:val="0"/>
      <w:sz w:val="24"/>
    </w:rPr>
  </w:style>
  <w:style w:type="paragraph" w:customStyle="1" w:styleId="84">
    <w:name w:val="标题4"/>
    <w:basedOn w:val="1"/>
    <w:qFormat/>
    <w:uiPriority w:val="0"/>
    <w:pPr>
      <w:autoSpaceDE w:val="0"/>
      <w:autoSpaceDN w:val="0"/>
      <w:adjustRightInd w:val="0"/>
      <w:spacing w:line="360" w:lineRule="auto"/>
      <w:jc w:val="left"/>
      <w:textAlignment w:val="baseline"/>
    </w:pPr>
    <w:rPr>
      <w:rFonts w:ascii="黑体" w:hAnsi="黑体" w:eastAsia="黑体" w:cs="宋体"/>
      <w:b/>
      <w:bCs/>
      <w:sz w:val="24"/>
    </w:rPr>
  </w:style>
  <w:style w:type="character" w:customStyle="1" w:styleId="85">
    <w:name w:val="表格 Char Char"/>
    <w:qFormat/>
    <w:locked/>
    <w:uiPriority w:val="99"/>
    <w:rPr>
      <w:rFonts w:ascii="仿宋_GB2312" w:eastAsia="仿宋_GB2312" w:cs="仿宋_GB2312"/>
      <w:snapToGrid w:val="0"/>
      <w:sz w:val="24"/>
      <w:szCs w:val="24"/>
      <w:lang w:val="en-US" w:eastAsia="zh-CN"/>
    </w:rPr>
  </w:style>
  <w:style w:type="paragraph" w:customStyle="1" w:styleId="86">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87">
    <w:name w:val="文章正文 Char Char"/>
    <w:qFormat/>
    <w:uiPriority w:val="0"/>
    <w:rPr>
      <w:rFonts w:ascii="Times New Roman" w:hAnsi="Times New Roman" w:eastAsia="宋体"/>
      <w:sz w:val="24"/>
    </w:rPr>
  </w:style>
  <w:style w:type="paragraph" w:customStyle="1" w:styleId="88">
    <w:name w:val="高-表头"/>
    <w:basedOn w:val="1"/>
    <w:next w:val="1"/>
    <w:qFormat/>
    <w:uiPriority w:val="0"/>
    <w:pPr>
      <w:widowControl/>
      <w:jc w:val="center"/>
    </w:pPr>
    <w:rPr>
      <w:b/>
      <w:sz w:val="20"/>
      <w:szCs w:val="20"/>
    </w:rPr>
  </w:style>
  <w:style w:type="paragraph" w:customStyle="1" w:styleId="89">
    <w:name w:val="Char"/>
    <w:basedOn w:val="1"/>
    <w:qFormat/>
    <w:uiPriority w:val="0"/>
  </w:style>
  <w:style w:type="paragraph" w:customStyle="1" w:styleId="90">
    <w:name w:val="Default1"/>
    <w:qFormat/>
    <w:uiPriority w:val="99"/>
    <w:pPr>
      <w:widowControl w:val="0"/>
      <w:autoSpaceDE w:val="0"/>
      <w:autoSpaceDN w:val="0"/>
      <w:adjustRightInd w:val="0"/>
    </w:pPr>
    <w:rPr>
      <w:rFonts w:ascii="宋体" w:hAnsi="Times New Roman" w:eastAsia="微软雅黑" w:cs="宋体"/>
      <w:color w:val="000000"/>
      <w:sz w:val="24"/>
      <w:szCs w:val="24"/>
      <w:lang w:val="en-US" w:eastAsia="zh-CN" w:bidi="ar-SA"/>
    </w:rPr>
  </w:style>
  <w:style w:type="paragraph" w:customStyle="1" w:styleId="91">
    <w:name w:val="正文01"/>
    <w:basedOn w:val="1"/>
    <w:qFormat/>
    <w:uiPriority w:val="0"/>
    <w:pPr>
      <w:spacing w:before="60" w:line="460" w:lineRule="exact"/>
    </w:pPr>
    <w:rPr>
      <w:color w:val="auto"/>
    </w:rPr>
  </w:style>
  <w:style w:type="paragraph" w:customStyle="1" w:styleId="92">
    <w:name w:val="Normal (Web)"/>
    <w:basedOn w:val="1"/>
    <w:qFormat/>
    <w:uiPriority w:val="0"/>
    <w:pPr>
      <w:widowControl/>
      <w:autoSpaceDE/>
      <w:autoSpaceDN/>
      <w:snapToGrid/>
      <w:spacing w:before="100" w:beforeLines="0" w:beforeAutospacing="1" w:after="100" w:afterLines="0" w:afterAutospacing="1" w:line="240" w:lineRule="auto"/>
      <w:ind w:firstLine="0"/>
      <w:jc w:val="left"/>
    </w:pPr>
    <w:rPr>
      <w:rFonts w:hint="eastAsia" w:ascii="宋体" w:hAnsi="宋体" w:eastAsia="宋体"/>
      <w:sz w:val="24"/>
    </w:rPr>
  </w:style>
  <w:style w:type="paragraph" w:customStyle="1" w:styleId="93">
    <w:name w:val="正文缩进1"/>
    <w:basedOn w:val="1"/>
    <w:qFormat/>
    <w:uiPriority w:val="0"/>
    <w:pPr>
      <w:widowControl/>
      <w:jc w:val="left"/>
    </w:pPr>
    <w:rPr>
      <w:rFonts w:cs="Times New Roman"/>
      <w:sz w:val="21"/>
      <w:szCs w:val="21"/>
    </w:rPr>
  </w:style>
  <w:style w:type="paragraph" w:customStyle="1" w:styleId="94">
    <w:name w:val="【表中文字】"/>
    <w:basedOn w:val="1"/>
    <w:qFormat/>
    <w:uiPriority w:val="0"/>
    <w:pPr>
      <w:adjustRightInd w:val="0"/>
      <w:snapToGrid w:val="0"/>
      <w:spacing w:line="240" w:lineRule="auto"/>
      <w:ind w:firstLine="0" w:firstLineChars="0"/>
      <w:jc w:val="center"/>
    </w:pPr>
    <w:rPr>
      <w:rFonts w:cs="Times New Roman"/>
      <w:w w:val="90"/>
      <w:sz w:val="21"/>
      <w:szCs w:val="20"/>
    </w:rPr>
  </w:style>
  <w:style w:type="paragraph" w:customStyle="1" w:styleId="95">
    <w:name w:val="本文表格"/>
    <w:basedOn w:val="1"/>
    <w:qFormat/>
    <w:uiPriority w:val="0"/>
    <w:pPr>
      <w:jc w:val="center"/>
    </w:pPr>
    <w:rPr>
      <w:rFonts w:eastAsia="宋体" w:cs="Arial"/>
      <w:szCs w:val="22"/>
    </w:rPr>
  </w:style>
  <w:style w:type="paragraph" w:customStyle="1" w:styleId="96">
    <w:name w:val="报告表样式"/>
    <w:basedOn w:val="1"/>
    <w:qFormat/>
    <w:uiPriority w:val="0"/>
    <w:pPr>
      <w:adjustRightInd w:val="0"/>
      <w:snapToGrid w:val="0"/>
      <w:spacing w:line="360" w:lineRule="auto"/>
      <w:ind w:firstLine="200" w:firstLineChars="200"/>
    </w:pPr>
    <w:rPr>
      <w:rFonts w:ascii="Calibri" w:hAnsi="Calibri" w:eastAsia="宋体" w:cs="Times New Roman"/>
      <w:sz w:val="28"/>
      <w:szCs w:val="28"/>
    </w:rPr>
  </w:style>
  <w:style w:type="paragraph" w:customStyle="1" w:styleId="97">
    <w:name w:val="本文正文"/>
    <w:basedOn w:val="1"/>
    <w:qFormat/>
    <w:uiPriority w:val="0"/>
    <w:pPr>
      <w:spacing w:line="360" w:lineRule="auto"/>
      <w:ind w:firstLine="200" w:firstLineChars="200"/>
    </w:pPr>
    <w:rPr>
      <w:kern w:val="0"/>
      <w:sz w:val="24"/>
    </w:rPr>
  </w:style>
  <w:style w:type="paragraph" w:customStyle="1" w:styleId="98">
    <w:name w:val="本文图表标题"/>
    <w:basedOn w:val="1"/>
    <w:qFormat/>
    <w:uiPriority w:val="0"/>
    <w:pPr>
      <w:spacing w:before="50" w:beforeLines="50" w:after="50" w:afterLines="50"/>
      <w:jc w:val="center"/>
    </w:pPr>
    <w:rPr>
      <w:b/>
      <w:szCs w:val="24"/>
    </w:rPr>
  </w:style>
  <w:style w:type="paragraph" w:customStyle="1" w:styleId="99">
    <w:name w:val="表格内文字格式"/>
    <w:basedOn w:val="1"/>
    <w:qFormat/>
    <w:uiPriority w:val="99"/>
    <w:pPr>
      <w:jc w:val="center"/>
    </w:pPr>
    <w:rPr>
      <w:rFonts w:cs="Arial"/>
      <w:bCs/>
      <w:kern w:val="10"/>
      <w:szCs w:val="21"/>
    </w:rPr>
  </w:style>
  <w:style w:type="paragraph" w:customStyle="1" w:styleId="100">
    <w:name w:val="ALH7正文"/>
    <w:basedOn w:val="1"/>
    <w:qFormat/>
    <w:uiPriority w:val="0"/>
    <w:pPr>
      <w:spacing w:line="360" w:lineRule="auto"/>
      <w:ind w:firstLine="480" w:firstLineChars="200"/>
    </w:pPr>
    <w:rPr>
      <w:rFonts w:ascii="Times New Roman" w:hAnsi="Times New Roman"/>
      <w:sz w:val="24"/>
    </w:rPr>
  </w:style>
  <w:style w:type="paragraph" w:customStyle="1" w:styleId="101">
    <w:name w:val="填表内容"/>
    <w:basedOn w:val="1"/>
    <w:qFormat/>
    <w:uiPriority w:val="0"/>
    <w:pPr>
      <w:adjustRightInd w:val="0"/>
      <w:spacing w:line="480" w:lineRule="exact"/>
      <w:ind w:firstLine="560"/>
      <w:textAlignment w:val="baseline"/>
    </w:pPr>
    <w:rPr>
      <w:rFonts w:ascii="楷体_GB2312" w:eastAsia="楷体_GB2312"/>
    </w:rPr>
  </w:style>
  <w:style w:type="paragraph" w:customStyle="1" w:styleId="102">
    <w:name w:val="标号正文"/>
    <w:basedOn w:val="1"/>
    <w:next w:val="1"/>
    <w:qFormat/>
    <w:uiPriority w:val="99"/>
    <w:pPr>
      <w:tabs>
        <w:tab w:val="left" w:pos="1540"/>
      </w:tabs>
      <w:overflowPunct w:val="0"/>
      <w:snapToGrid w:val="0"/>
      <w:spacing w:line="360" w:lineRule="auto"/>
      <w:ind w:firstLine="1040"/>
      <w:jc w:val="left"/>
    </w:pPr>
    <w:rPr>
      <w:rFonts w:ascii="Arial" w:hAnsi="Arial"/>
      <w:sz w:val="24"/>
      <w:szCs w:val="20"/>
    </w:rPr>
  </w:style>
  <w:style w:type="paragraph" w:customStyle="1" w:styleId="103">
    <w:name w:val="正文 + 仿宋_GB2312"/>
    <w:basedOn w:val="1"/>
    <w:qFormat/>
    <w:uiPriority w:val="99"/>
    <w:pPr>
      <w:ind w:firstLine="480" w:firstLineChars="200"/>
    </w:pPr>
    <w:rPr>
      <w:rFonts w:ascii="仿宋_GB2312" w:hAnsi="Calibri" w:eastAsia="仿宋_GB2312" w:cs="Times New Roman"/>
      <w:sz w:val="24"/>
    </w:rPr>
  </w:style>
  <w:style w:type="character" w:customStyle="1" w:styleId="104">
    <w:name w:val="文本 Char"/>
    <w:link w:val="105"/>
    <w:qFormat/>
    <w:uiPriority w:val="0"/>
    <w:rPr>
      <w:rFonts w:ascii="Times New Roman" w:hAnsi="Times New Roman"/>
      <w:sz w:val="24"/>
    </w:rPr>
  </w:style>
  <w:style w:type="paragraph" w:customStyle="1" w:styleId="105">
    <w:name w:val="文本"/>
    <w:basedOn w:val="1"/>
    <w:link w:val="104"/>
    <w:qFormat/>
    <w:uiPriority w:val="0"/>
    <w:pPr>
      <w:adjustRightInd w:val="0"/>
      <w:snapToGrid w:val="0"/>
      <w:spacing w:line="360" w:lineRule="auto"/>
      <w:ind w:firstLine="200" w:firstLineChars="200"/>
    </w:pPr>
    <w:rPr>
      <w:kern w:val="0"/>
      <w:sz w:val="24"/>
      <w:szCs w:val="20"/>
    </w:rPr>
  </w:style>
  <w:style w:type="paragraph" w:customStyle="1" w:styleId="106">
    <w:name w:val="文本111"/>
    <w:basedOn w:val="1"/>
    <w:qFormat/>
    <w:uiPriority w:val="0"/>
    <w:pPr>
      <w:spacing w:line="360" w:lineRule="auto"/>
      <w:ind w:firstLine="720" w:firstLineChars="200"/>
    </w:pPr>
    <w:rPr>
      <w:rFonts w:ascii="Times New Roman" w:hAnsi="Times New Roman" w:eastAsia="宋体" w:cs="Times New Roman"/>
      <w:sz w:val="24"/>
    </w:rPr>
  </w:style>
  <w:style w:type="paragraph" w:customStyle="1" w:styleId="107">
    <w:name w:val="1正文"/>
    <w:basedOn w:val="1"/>
    <w:qFormat/>
    <w:uiPriority w:val="0"/>
    <w:pPr>
      <w:spacing w:line="360" w:lineRule="auto"/>
      <w:ind w:firstLine="198" w:firstLineChars="200"/>
    </w:pPr>
    <w:rPr>
      <w:rFonts w:ascii="Times New Roman" w:hAnsi="Times New Roman" w:eastAsia="宋体" w:cs="Times New Roman"/>
      <w:sz w:val="24"/>
      <w:szCs w:val="24"/>
    </w:rPr>
  </w:style>
  <w:style w:type="paragraph" w:customStyle="1" w:styleId="108">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109">
    <w:name w:val="胡正文"/>
    <w:basedOn w:val="1"/>
    <w:qFormat/>
    <w:uiPriority w:val="0"/>
    <w:pPr>
      <w:spacing w:line="360" w:lineRule="auto"/>
      <w:ind w:firstLine="200" w:firstLineChars="200"/>
      <w:jc w:val="left"/>
    </w:pPr>
    <w:rPr>
      <w:rFonts w:ascii="宋体" w:hAnsi="宋体"/>
      <w:sz w:val="24"/>
      <w:szCs w:val="28"/>
    </w:rPr>
  </w:style>
  <w:style w:type="paragraph" w:customStyle="1" w:styleId="110">
    <w:name w:val="11正文"/>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111">
    <w:name w:val="No Spacing"/>
    <w:qFormat/>
    <w:uiPriority w:val="1"/>
    <w:pPr>
      <w:adjustRightInd w:val="0"/>
      <w:snapToGrid w:val="0"/>
    </w:pPr>
    <w:rPr>
      <w:rFonts w:ascii="Tahoma" w:hAnsi="Tahoma" w:eastAsia="宋体" w:cs="Times New Roman"/>
      <w:sz w:val="24"/>
      <w:szCs w:val="22"/>
      <w:lang w:val="en-US" w:eastAsia="zh-CN" w:bidi="ar-SA"/>
    </w:rPr>
  </w:style>
  <w:style w:type="paragraph" w:customStyle="1" w:styleId="112">
    <w:name w:val="表"/>
    <w:qFormat/>
    <w:uiPriority w:val="0"/>
    <w:pPr>
      <w:spacing w:line="440" w:lineRule="exact"/>
      <w:ind w:firstLine="200" w:firstLineChars="200"/>
      <w:jc w:val="both"/>
    </w:pPr>
    <w:rPr>
      <w:rFonts w:ascii="Calibri" w:hAnsi="Calibri" w:eastAsia="宋体" w:cs="Times New Roman"/>
      <w:sz w:val="24"/>
      <w:lang w:val="en-US" w:eastAsia="zh-CN" w:bidi="ar-SA"/>
    </w:rPr>
  </w:style>
  <w:style w:type="paragraph" w:customStyle="1" w:styleId="113">
    <w:name w:val="p0"/>
    <w:basedOn w:val="1"/>
    <w:qFormat/>
    <w:uiPriority w:val="0"/>
    <w:pPr>
      <w:widowControl/>
      <w:spacing w:line="480" w:lineRule="atLeast"/>
    </w:pPr>
    <w:rPr>
      <w:rFonts w:ascii="Arial" w:hAnsi="Arial" w:cs="Arial"/>
      <w:kern w:val="0"/>
      <w:sz w:val="28"/>
      <w:szCs w:val="28"/>
    </w:rPr>
  </w:style>
  <w:style w:type="paragraph" w:customStyle="1" w:styleId="114">
    <w:name w:val="段落1"/>
    <w:basedOn w:val="1"/>
    <w:qFormat/>
    <w:uiPriority w:val="0"/>
    <w:pPr>
      <w:spacing w:line="400" w:lineRule="atLeast"/>
      <w:jc w:val="center"/>
    </w:pPr>
    <w:rPr>
      <w:rFonts w:eastAsia="楷体_GB2312"/>
      <w:spacing w:val="6"/>
      <w:sz w:val="28"/>
    </w:rPr>
  </w:style>
  <w:style w:type="paragraph" w:customStyle="1" w:styleId="115">
    <w:name w:val="YYH表格"/>
    <w:basedOn w:val="1"/>
    <w:qFormat/>
    <w:uiPriority w:val="0"/>
    <w:pPr>
      <w:jc w:val="center"/>
    </w:pPr>
    <w:rPr>
      <w:color w:val="000000"/>
      <w:szCs w:val="22"/>
    </w:rPr>
  </w:style>
  <w:style w:type="paragraph" w:customStyle="1" w:styleId="116">
    <w:name w:val="表内文字"/>
    <w:basedOn w:val="10"/>
    <w:qFormat/>
    <w:uiPriority w:val="0"/>
    <w:pPr>
      <w:widowControl/>
      <w:snapToGrid w:val="0"/>
      <w:spacing w:before="60" w:after="0"/>
      <w:ind w:right="113"/>
      <w:jc w:val="center"/>
    </w:pPr>
    <w:rPr>
      <w:rFonts w:cs="黑体"/>
      <w:kern w:val="0"/>
      <w:szCs w:val="22"/>
    </w:rPr>
  </w:style>
  <w:style w:type="paragraph" w:customStyle="1" w:styleId="117">
    <w:name w:val="【正文】"/>
    <w:basedOn w:val="1"/>
    <w:qFormat/>
    <w:uiPriority w:val="0"/>
    <w:pPr>
      <w:spacing w:line="360" w:lineRule="auto"/>
      <w:ind w:firstLine="480" w:firstLineChars="200"/>
    </w:pPr>
    <w:rPr>
      <w:sz w:val="24"/>
    </w:rPr>
  </w:style>
  <w:style w:type="paragraph" w:customStyle="1" w:styleId="118">
    <w:name w:val="1规划正文"/>
    <w:basedOn w:val="1"/>
    <w:autoRedefine/>
    <w:qFormat/>
    <w:uiPriority w:val="0"/>
    <w:pPr>
      <w:adjustRightInd w:val="0"/>
      <w:snapToGrid w:val="0"/>
      <w:spacing w:line="360" w:lineRule="auto"/>
      <w:ind w:firstLine="420" w:firstLineChars="200"/>
    </w:pPr>
    <w:rPr>
      <w:rFonts w:ascii="Times New Roman" w:hAnsi="Times New Roman"/>
      <w:sz w:val="24"/>
    </w:rPr>
  </w:style>
  <w:style w:type="paragraph" w:customStyle="1" w:styleId="11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wmf"/><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U2MTUzMDQ4MDY4IiwKCSJHcm91cElkIiA6ICI5NzQyODYwNDgiLAoJIkltYWdlIiA6ICJpVkJPUncwS0dnb0FBQUFOU1VoRVVnQUFBdEVBQUFiMkNBWUFBQUJ6TCs2YUFBQUFBWE5TUjBJQXJzNGM2UUFBSUFCSlJFRlVlSnpzM1hkOFZGWCsvL0gzbVptRUFLRWFDQ0xSckJXUU1uY0FLOWExb3VJdUtGZ1dzWDJCaGJVWGRGMWRDeWhGRkJzQ2lyb1dWbkJ0TFBhMXJmSVRDek1ob1lnRVFTbFNCU2toSVROemZuODRtWjJadEptUWtDQ3Y1K09SQjNQdVBmZmN6OHpSeDN4eWN1NDVF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"/>
    </extobj>
    <extobj name="E657119C-6982-421D-8BA7-E74DEB70A7D9-2">
      <extobjdata type="E657119C-6982-421D-8BA7-E74DEB70A7D9" data="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YzJsNlpTVXlNaVV6UVRNeUpUSkRKVEl5Wm05dWRFWmhiV2xzZVNVeU1pVXpRU1V5TWlWRk5pVkJOU1ZDTnlWRk5DVkNSQ1U1TXlVeU1pVTNSQ1V5UXlVeU1uUmxlSFJDYkc5amF5VXlNaVV6UVNVMVFpVTNRaVV5TW5CdmMybDBhVzl1SlRJeUpUTkJKVGRDSlRJeWVDVXlNaVV6UVRBbE1rTWxNako1SlRJeUpUTkJNQ1V5UXlVeU1uY2xNaklsTTBFbE1qSjNKVEl5SlRKREpUSXlhQ1V5TWlVelFTVXlNbWdsTWpJbE4wUWxNa01sTWpKMFpYaDBKVEl5SlROQkpUSXl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WTBKdWVYbElSM0J4YmpNd05EWTJNU1V5TWlVM1JDVXlReVUzUWlVeU1tNWhiV1VsTWpJbE0wRWxNaklsUlRVbE9UQWxPRVFsUlRjbFFUY2xRakFsTWpJbE1rTWxNakowZVhCbEpUSXlKVE5CSlRJeWMzUnlhVzVuSlRJeUpUSkRKVEl5ZG1Gc2RXVWxNaklsTTBFbE1qSWxNaklsTWtNbE1qSmpZWFJsWjI5eWVTVXlNaVV6UVNVeU1tUmxabUYxYkhRbE1qSWxNa01sTWpKcFpDVXlNaVV6UVNVeU1tZEJSRXR6VFVaa1ozY3hOekl4Tmpn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YkdsdVpWTjBlV3hsSlRJeUpUTkJKVGRDSlRJeWJHbHVaVmRwWkhSb0pUSXlKVE5CTUNVM1JDVXlReVV5TW1acGJHeFRkSGxzWlNVeU1pVXpRU1UzUWlVeU1uUjVjR1VsTWpJbE0wRWxNakp1YjI1bEpUSXlKVGRFSlRKRE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p6YVhwbEpUSXlKVE5CTWpRbE1rTWxNakptYjI1MFJtRnRhV3g1SlRJeUpUTkJKVEl5SlVVMkpUZ3dKVGxFSlVVMkpVSkJKVGt3SlVVMUpVRkZKVGhDSlVVMEpVSkVKVGt6SlRJeUpUZEVKVEpESlRJeWRHVjRkRUpzYjJOckpUSXlKVE5CSlRWQ0pUZENKVEl5Y0c5emFYUnBiMjRsTWpJbE0wRWxOMElsTWpKNEpUSXlKVE5CTUNVeVF5VXlNbmtsTWpJbE0wRXdKVEpESlRJeWR5VXlNaVV6UVNVeU1uY2xNaklsTWtNbE1qSm9KVEl5SlROQkpUSXlhQ1V5TWlVM1JDVXlReVV5TW5SbGVIUWxNaklsTTBFbE1qSWxSVGNsT0RrbE9VSWxSVGNsUWpJbFFVR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NWJVbFdjV3RoWlVsMU5UYzFNamd3SlRJeUpUTkJKVGRDSlRJeWFXUWxNaklsTTBFbE1qSjViVWxXY1d0aFpVbDFOVGMxTWpnd0pUSXlKVEpESlRJeWJtRnRaU1V5TWlVelFTVXlNbk4wWVc1a1lYSmtWR1Y0ZENVeU1pVXlReVV5TW5ScGRHeGxKVEl5SlROQkpUSXlKVEl5SlRKREpUSXlZMkYwWldkdmNua2xNaklsTTBFbE1qSnpkR0Z1WkdGeVpD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FVSlFVVVJwWmsxNlZEWXlOekk0T0NVeU1pVTNSQ1V5UXlVM1FpVXlNbTVoYldVbE1qSWxNMEVsTWpJbFJUVWxPVEFsT0VRbFJUY2xRVGNsUWpBbE1qSWxNa01sTWpKMGVYQmxKVEl5SlROQkpUSXljM1J5YVc1bkpUSXlKVEpESlRJeWRtRnNkV1VsTWpJbE0wRWxNaklsTWpJbE1rTWxNakpqWVhSbFoyOXllU1V5TWlVelFTVXlNbVJsWm1GMWJIUWxNaklsTWtNbE1qSnBaQ1V5TWlVelFTVXlNbnB5ZFVKUWRWTlNibW8wT1RVeU1UR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XRuUzNsTGNVcG1RVkF4TkRZME5EQWxNaklsTTBFbE4wSWxNakpwWkNVeU1pVXpRU1V5TW10blMzbExjVXBtUVZBeE5EWTBOREFsTWpJbE1rTWxNakp1WVcxbEpUSXlKVE5CSlRJeWNtVmpkR0Z1WjJ4bEpUSXlKVEpESlRJeWRHbDBiR1VsTWpJbE0wRWxNak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iRVYzUVVWaFprSndhVE15TnpJMk1TVXlNaVUzUkNVeVF5VTNRaVV5TW01aGJXVWxNaklsTTBFbE1qSWxSVFVsT1RBbE9FUWxSVGNsUVRjbFFqQWxNaklsTWtNbE1qSjBlWEJsSlRJeUpUTkJKVEl5YzNSeWFXNW5KVEl5SlRKREpUSXlkbUZzZFdVbE1qSWxNMEVsTWpJbE1qSWxNa01sTWpKallYUmxaMjl5ZVNVeU1pVXpRU1V5TW1SbFptRjFiSFFsTWpJbE1rTWxNakpwWkNVeU1pVXpRU1V5TW5wa1VGZEpUM2R5YTFNeU1UTTNOamd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GRFSlRKREpUSXlkR1Y0ZEVKc2IyTnJKVEl5SlROQkpUVkNKVGRDSlRJeWNHOXphWFJwYjI0bE1qSWxNMEVsTjBJbE1qSjRKVEl5SlROQk1UQWxNa01sTWpKNUpUSXlKVE5CTUNVeVF5VXlNbmNsTWpJbE0wRWxNakozTFRJd0pUSXlKVEpESlRJeWFDVXlNaVV6UVNVeU1tZ2xNaklsTjBRbE1rTWxNakowWlhoMEpUSXlKVE5CSlRJeU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WjJSdGNGVm5UR2x2UmpBeE5UTXhNaVV5TWlVelFTVTNRaVV5TW1sa0pUSXlKVE5CSlRJeVoyUnRjRlZuVEdsdlJqQXhOVE14TWlVeU1pVXlReVV5TW01aGJXVWxNaklsTTBFbE1qSjBaWGgwSlRJeUpUSkRKVEl5ZEdsMGJHVWxNaklsTTBFbE1qSWxSVFlsT1RZbE9EY2xSVFlsT1VNbFFVT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lWaDJWM0J0Y2xWUFdUZzJOakF3TXlVeU1pVTNSQ1V5UXlVM1FpVXlNbTVoYldVbE1qSWxNMEVsTWpJbFJUVWxPVEFsT0VRbFJUY2xRVGNsUWpBbE1qSWxNa01sTWpKMGVYQmxKVEl5SlROQkpUSXljM1J5YVc1bkpUSXlKVEpESlRJeWRtRnNkV1VsTWpJbE0wRWxNaklsTWpJbE1rTWxNakpqWVhSbFoyOXllU1V5TWlVelFTVXlNbVJsWm1GMWJIUWxNaklsTWtNbE1qSnBaQ1V5TWlVelFTVXlNazVZVW01dlNGWjFWM1kyTnpBeE1ET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XhwYm1WVGRIbHNaU1V5TWlVelFTVTNRaVV5TW14cGJtVlhhV1IwYUNVeU1pVXpRVEFsTjBRbE1rTWxNakptYVd4c1UzUjViR1VsTWpJbE0wRWxOMElsTWpKMGVYQmxKVEl5SlROQkpUSXlibTl1WlNVeU1pVTNSQ1V5UX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jMmw2WlNVeU1pVXpRVEl3SlRKREpUSXlabTl1ZEVaaGJXbHNlU1V5TWlVelFTVXlNaVZGTmlVNE1DVTVSQ1ZGTmlWQ1FTVTVNQ1ZGTlNWQlJTVTRRaVZGTkNWQ1JDVTVNeVV5TWlVM1JDVXlReVV5TW5SbGVIUkNiRzlqYXlVeU1pVXpRU1UxUWlVM1FpVXlNbkJ2YzJsMGFXOXVKVEl5SlROQkpUZENKVEl5ZUNVeU1pVXpRVEFsTWtNbE1qSjVKVEl5SlROQk1DVXlReVV5TW5jbE1qSWxNMEVsTWpKM0pUSXlKVEpESlRJeWFDVXlNaVV6UVNVeU1tZ2xNaklsTjBRbE1rTWxNakowWlhoMEpUSXlKVE5CSlRJeUpVVTJKVGc1SlVGREpVVTFKVUl3SlRrNE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YldkSFVrUmpaSEJCU0RJNE5qWXhOU1V5TWlVelFTVTNRaVV5TW1sa0pUSXlKVE5CSlRJeWJXZEhVa1JqWkhCQlNESTROall4TlNVeU1pVXlReVV5TW01aGJXVWxNaklsTTBFbE1qSjBaWGgwSlRJeUpUSkRKVEl5ZEdsMGJHVWxNaklsTTBFbE1qSWxSVFlsT1RZbE9EY2xSVFlsT1VNbFFVT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lXNVRkSFI2VTNaRVJEWTBPVEk0TmlVeU1pVTNSQ1V5UXlVM1FpVXlNbTVoYldVbE1qSWxNMEVsTWpJbFJUVWxPVEFsT0VRbFJUY2xRVGNsUWpBbE1qSWxNa01sTWpKMGVYQmxKVEl5SlROQkpUSXljM1J5YVc1bkpUSXlKVEpESlRJeWRtRnNkV1VsTWpJbE0wRWxNaklsTWpJbE1rTWxNakpqWVhSbFoyOXllU1V5TWlVelFTVXlNbVJsWm1GMWJIUWxNaklsTWtNbE1qSnBaQ1V5TWlVelFTVXlNbXRHZUZSVmFXcHdhMUF4TWpZMk1ET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c2FXNWxVM1I1YkdVbE1qSWxNMEVsTjBJbE1qSnNhVzVsVjJsa2RHZ2xNaklsTTBFd0pUZEVKVEpESlRJeVptbHNiRk4wZVd4bEpUSXlKVE5CSlRkQ0pUSXlkSGx3WlNVeU1pVXpRU1V5TW01dmJtVWxNaklsTjBRbE1rT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5OcGVtVWxNaklsTTBFeU1DVXlReVV5TW1admJuUkdZVzFwYkhrbE1qSWxNMEVsTWpJbFJUWWxPREFsT1VRbFJUWWxRa0VsT1RBbFJUVWxRVVVsT0VJbFJUUWxRa1FsT1RNbE1qSWxOMFFsTWtNbE1qSjBaWGgwUW14dlkyc2xNaklsTTBFbE5VSWxOMElsTWpKd2IzTnBkR2x2YmlVeU1pVXpRU1UzUWlVeU1uZ2xNaklsTTBFd0pUSkRKVEl5ZVNVeU1pVXpRVEFsTWtNbE1qSjNKVEl5SlROQkpUSXlkeVV5TWlVeVF5VXlNbWdsTWpJbE0wRWxNakpvSlRJeUpUZEVKVEpESlRJeWRHVjRkQ1V5TWlVelFTVXlNaVZGTmlVNE9TVkJReVZGTlNWQ01DVTVPQ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rbHFiM2xyYWtsSFNFVXhOak14TWprbE1qSWxNMEVsTjBJbE1qSnBaQ1V5TWlVelFTVXlNa2xxYjNscmFrbEhTRVV4TmpNeE1qa2xNaklsTWtNbE1qSnVZVzFsSlRJeUpUTkJKVEl5YzNSaGJtUmhjbVJVWlhoMEpUSXlKVEpESlRJeWRHbDBiR1VsTWpJbE0wRWxNaklsTWpJbE1rTWxNakpqWVhSbFoyOXllU1V5TWlVelFTVXlNbk4wWVc1a1lYSmt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mxXYm1abVluUkNha0l3TmpVMU1qQWxNaklsTTBFbE4wSWxNakpwWkNVeU1pVXpRU1V5TW5sV2JtWm1ZblJDYWtJd05qVTFNakFsTWpJbE1rTWxNakp1WVcxbEpUSXlKVE5CSlRJeWMzUmhibVJoY21SVVpYaDBKVEl5SlRKREpUSXlkR2wwYkdVbE1qSWxNMEVsTWpJbE1qSWxNa01sTWpKallYUmxaMjl5ZVNVeU1pVXpRU1V5TW5OMFlXNWtZWEpr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NHeFRSbnBDUmtOamRUY3hOelUxTVNVeU1pVTNSQ1V5UXlVM1FpVXlNbTVoYldVbE1qSWxNMEVsTWpJbFJUVWxPVEFsT0VRbFJUY2xRVGNsUWpBbE1qSWxNa01sTWpKMGVYQmxKVEl5SlROQkpUSXljM1J5YVc1bkpUSXlKVEpESlRJeWRtRnNkV1VsTWpJbE0wRWxNaklsTWpJbE1rTWxNakpqWVhSbFoyOXllU1V5TWlVelFTVXlNbVJsWm1GMWJIUWxNaklsTWtNbE1qSnBaQ1V5TWlVelFTVXlNbVpWUlcxSlJGTmlkMFkzTkRjeE5UW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c2FXNWxVM1I1YkdVbE1qSWxNMEVsTjBJbE1qSnNhVzVsVjJsa2RHZ2xNaklsTTBFd0pUZEVKVEpESlRJeVptbHNiRk4wZVd4bEpUSXlKVE5CSlRkQ0pUSXlkSGx3WlNVeU1pVXpRU1V5TW01dmJtVWxNaklsTjBRbE1rT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5OcGVtVWxNaklsTTBFeU1DVXlReVV5TW1admJuUkdZVzFwYkhrbE1qSWxNMEVsTWpJbFJUWWxPREFsT1VRbFJUWWxRa0VsT1RBbFJUVWxRVVVsT0VJbFJUUWxRa1FsT1RNbE1qSWxOMFFsTWtNbE1qSjBaWGgwUW14dlkyc2xNaklsTTBFbE5VSWxOMElsTWpKd2IzTnBkR2x2YmlVeU1pVXpRU1UzUWlVeU1uZ2xNaklsTTBFd0pUSkRKVEl5ZVNVeU1pVXpRVEFsTWtNbE1qSjNKVEl5SlROQkpUSXlkeVV5TWlVeVF5VXlNbWdsTWpJbE0wRWxNakpvSlRJeUpUZEVKVEpESlRJeWRHVjRkQ1V5TWlVelFTVXlNaVZGT1NWQk1pVTVOeVZGTnlWQ01pVTVNaVZGTlNVNVFpVTVSU1ZGTmlVNU5DVkNOa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tZEVjMmxrYUZOVlZtdzRORE00TWpNbE1qSWxNMEVsTjBJbE1qSnBaQ1V5TWlVelFTVXlNbWRFYzJsa2FGTlZWbXc0TkRNNE1qT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WMwRlVkV2hFVlhkRll6UTJOekV5T0NVeU1pVTNSQ1V5UXlVM1FpVXlNbTVoYldVbE1qSWxNMEVsTWpJbFJUVWxPVEFsT0VRbFJUY2xRVGNsUWpBbE1qSWxNa01sTWpKMGVYQmxKVEl5SlROQkpUSXljM1J5YVc1bkpUSXlKVEpESlRJeWRtRnNkV1VsTWpJbE0wRWxNaklsTWpJbE1rTWxNakpqWVhSbFoyOXllU1V5TWlVelFTVXlNbVJsWm1GMWJIUWxNaklsTWtNbE1qSnBaQ1V5TWlVelFTVXlNbmxqYlVoMFIzaE1XRlkyTURFM016U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m1iMjUwUm1GdGFXeDVKVEl5SlROQkpUSXlKVVUySlRnd0pUbEVKVVUySlVKQkpUa3dKVVUxSlVGRkpUaENKVVUwSlVKRUpUa3pKVEl5SlRKREpUSXljMmw2WlNVeU1pVXpRVEkwSlRkRUpUSkRKVEl5ZEdWNGRFSnNiMk5ySlRJeUpUTkJKVFZDSlRkQ0pUSXljRzl6YVhScGIyNGxNaklsTTBFbE4wSWxNako0SlRJeUpUTkJNVEFsTWtNbE1qSjVKVEl5SlROQk1DVXlReVV5TW5jbE1qSWxNMEVsTWpKM0xUSXdKVEl5SlRKREpUSXlhQ1V5TWlVelFTVXlNbWdsTWpJbE4wUWxNa01sTWpKMFpYaDBKVEl5SlROQkpUSXlNU1ZGTlNVNFJpVkNOeVZGTlNVNFF5VTROU1ZGT0NWQk15VTROU1ZGTmlVNVF5VkNRU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taEliMXBUWWtOQlJsZzNORFkyTWpBbE1qSWxNMEVsTjBJbE1qSnBaQ1V5TWlVelFTVXlNbWhJYjFwVFlrTkJSbGczTkRZMk1qQ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WRGbHdhazFwZUVaQlZUYzRNVEkzT0NVeU1pVTNSQ1V5UXlVM1FpVXlNbTVoYldVbE1qSWxNMEVsTWpJbFJUVWxPVEFsT0VRbFJUY2xRVGNsUWpBbE1qSWxNa01sTWpKMGVYQmxKVEl5SlROQkpUSXljM1J5YVc1bkpUSXlKVEpESlRJeWRtRnNkV1VsTWpJbE0wRWxNaklsTWpJbE1rTWxNakpqWVhSbFoyOXllU1V5TWlVelFTVXlNbVJsWm1GMWJIUWxNaklsTWtNbE1qSnBaQ1V5TWlVelFTVXlNbTFaY25CMGJXTlBZMlkyTkRBNE56V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o0ZVdSU1lVWk9UblZ2T1RVNE9EazJKVEl5SlROQkpUZENKVEl5Y0dGeVpXNTBKVEl5SlROQkpUSXlKVEl5SlRKREpUSXliR2x1YXlVeU1pVXpRU1V5TWlVeU1pVXlReVV5TW5Ob1lYQmxVM1I1YkdVbE1qSWxNMEVsTjBJbE1qSmhiSEJvWVNVeU1pVXpRVEVsTjBRbE1rTWxNakowWlhoMFFteHZZMnNsTWpJbE0wRWxOVUlsTjBJbE1qSndiM05wZEdsdmJpVXlNaVV6UVNVM1FpVXlNbmNsTWpJbE0wRWxNakozSlRJeUpUSkRKVEl5ZUNVeU1pVXpRVEFsTWtNbE1qSm9KVEl5SlROQkpUSXlhQ1V5TWlVeVF5VXlNbmtsTWpJbE0wRXdKVGRFSlRKREpUSXlkR1Y0ZENVeU1pVXpRU1V5TWlWRk5pVTRPU1ZCUXlWRk5TVkNNQ1U1T0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5ZFVsUlkyWjZSRTlzTkRBek5UYzBKVEl5SlRkRUpUSkRKVGRDSlRJeWJtRnRaU1V5TWlVelFTVXlNaVZGTlNVNU1DVTRSQ1ZGTnlWQk55VkNNQ1V5TWlVeVF5VXlNblI1Y0dVbE1qSWxNMEVsTWpKemRISnBibWNsTWpJbE1rTWxNakoyWVd4MVpTVXlNaVV6UVNVeU1pVXlNaVV5UXlVeU1tTmhkR1ZuYjNKNUpUSXlKVE5CSlRJeVpHVm1ZWFZzZENVeU1pVXlReVV5TW1sa0pUSXlKVE5CSlRJeVYyUnVZMDVKVkhkV1ZEYzFNamczTW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nphWHBsSlRJeUpUTkJNalFsTWtNbE1qSm1iMjUwUm1GdGFXeDVKVEl5SlROQkpUSXlKVVUySlRnd0pUbEVKVVUySlVKQkpUa3dKVVUxSlVGRkpUaENKVVUwSlVKRUpUa3pKVEl5SlRkRUpUSkRKVEl5ZEdWNGRFSnNiMk5ySlRJeUpUTkJKVFZDSlRkQ0pUSXljRzl6YVhScGIyNGxNaklsTTBFbE4wSWxNako0SlRJeUpUTkJNVEFsTWtNbE1qSjVKVEl5SlROQk1DVXlReVV5TW5jbE1qSWxNMEVsTWpKM0xUSXdKVEl5SlRKREpUSXlhQ1V5TWlVelFTVXlNbWdsTWpJbE4wUWxNa01sTWpKMFpYaDBKVEl5SlROQkpUSXlKVVUySlRoREpVRTBKVVUxSlRoRkpUaENKVVU1SlRnd0pVRXdKVVUzSlVJeUpUa3lKVVUySlRsREpVSkJ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JIQmFlVkZLWlZwa1pUTTJNemt5TVNVeU1pVXpRU1UzUWlVeU1uQmhjbVZ1ZENVeU1pVXpRU1V5TWlVeU1pVXlReVV5TW14cGJtc2xNaklsTTBFbE1qSWxNaklsTWtNbE1qSnphR0Z3WlZOMGVXeGxKVEl5SlROQkpUZENKVEl5WVd4d2FHRWxNaklsTTBFeEpUZEVKVEpESlRJeWRHVjRkRUpzYjJOckpUSXlKVE5CSlRWQ0pUZENKVEl5Y0c5emFYUnBiMjRsTWpJbE0wRWxOMElsTWpKM0pUSXlKVE5CSlRJeWR5VXlNaVV5UXlVeU1uZ2xNaklsTTBFd0pUSkRKVEl5YUNVeU1pVXpRU1V5TW1nbE1qSWxNa01sTWpKNUpUSXlKVE5CTUNVM1JDVXlReVV5TW5SbGVIUWxNaklsTTBFbE1qSWxSVFVsT1RrbFFVRWxSVFVsUVRNbFFqQ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XY2tOdmEzUm9TMUpQTWpNMU5UZzBKVEl5SlRkRUpUSkRKVGRDSlRJeWJtRnRaU1V5TWlVelFTVXlNaVZGTlNVNU1DVTRSQ1ZGTnlWQk55VkNNQ1V5TWlVeVF5VXlNblI1Y0dVbE1qSWxNMEVsTWpKemRISnBibWNsTWpJbE1rTWxNakoyWVd4MVpTVXlNaVV6UVNVeU1pVXlNaVV5UXlVeU1tTmhkR1ZuYjNKNUpUSXlKVE5CSlRJeVpHVm1ZWFZzZENVeU1pVXlReVV5TW1sa0pUSXlKVE5CSlRJeWJIaERTSE5WY1hCd2N6SXdPRGsxTlN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YzJsNlpTVXlNaVV6UVRJd0pUSkRKVEl5Wm05dWRFWmhiV2xzZVNVeU1pVXpRU1V5TWlWRk5pVTRNQ1U1UkNWRk5pVkNRU1U1TUNWRk5TVkJSU1U0UWlWRk5DVkNSQ1U1TXlVeU1pVTNSQ1V5UXlVeU1uUmxlSFJDYkc5amF5VXlNaVV6UVNVMVFpVTNRaVV5TW5CdmMybDBhVzl1SlRJeUpUTkJKVGRDSlRJeWVDVXlNaVV6UVRBbE1rTWxNako1SlRJeUpUTkJNQ1V5UXlVeU1uY2xNaklsTTBFbE1qSjNKVEl5SlRKREpUSXlhQ1V5TWlVelFTVXlNbWdsTWpJbE4wUWxNa01sTWpKMFpYaDBKVEl5SlROQkpUSXlKVVUySlRnNUpVRkRKVVUxSlVJd0pUazR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WlVhM2htWW5kVVRYa3dNVEl4TWpFbE1qSWxOMFFsTWtNbE4wSWxNakp1WVcxbEpUSXlKVE5CSlRJeUpVVTFKVGt3SlRoRUpVVTNKVUUzSlVJd0pUSXlKVEpESlRJeWRIbHdaU1V5TWlVelFTVXlNbk4wY21sdVp5VXlNaVV5UXlVeU1uWmhiSFZsSlRJeUpUTkJKVEl5SlRJeUpUSkRKVEl5WTJGMFpXZHZjbmtsTWpJbE0wRWxNakprWldaaGRXeDBKVEl5SlRKREpUSXlhV1FsTWpJbE0wRWxNakpIVjJKWFZsSjNhMVZxT0RVeU5qSTN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nphWHBsSlRJeUpUTkJNalFsTWtNbE1qSm1iMjUwUm1GdGFXeDVKVEl5SlROQkpUSXlKVVUySlRnd0pUbEVKVVUySlVKQkpUa3dKVVUxSlVGRkpUaENKVVUwSlVKRUpUa3pKVEl5SlRkRUpUSkRKVEl5ZEdWNGRFSnNiMk5ySlRJeUpUTkJKVFZDSlRkQ0pUSXljRzl6YVhScGIyNGxNaklsTTBFbE4wSWxNako0SlRJeUpUTkJNVEFsTWtNbE1qSjVKVEl5SlROQk1DVXlReVV5TW5jbE1qSWxNMEVsTWpKM0xUSXdKVEl5SlRKREpUSXlhQ1V5TWlVelFTVXlNbWdsTWpJbE4wUWxNa01sTWpKMFpYaDBKVEl5SlROQkpUSXlNaVZGTlNVNFJpVkNOeVZGTlNVNFF5VTROU1ZGT0NWQk15VTROU1ZGTmlVNVF5VkNRU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rSlNjSEZLZFhkemFWSTVORGsxTnpBbE1qSWxNMEVsTjBJbE1qSnBaQ1V5TWlVelFTVXlNa0pTY0hGS2RYZHphVkk1TkRrMU56QWxNaklsTWtNbE1qSnVZVzFsSlRJeUpUTkJKVEl5ZEdWNGRDVXlNaVV5UXlVeU1uUnBkR3hsSlRJeUpUTkJKVEl5SlVVMkpUazJKVGczSlVVMkpUbERKVUZE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GgzVFc1d2NFaFNUSGcyTmpBeU1USWxNaklsTjBRbE1rTWxOMElsTWpKdVlXMWxKVEl5SlROQkpUSXlKVVUxSlRrd0pUaEVKVVUzSlVFM0pVSXdKVEl5SlRKREpUSXlkSGx3WlNVeU1pVXpRU1V5TW5OMGNtbHVaeVV5TWlVeVF5VXlNblpoYkhWbEpUSXlKVE5CSlRJeUpUSXlKVEpESlRJeVkyRjBaV2R2Y25rbE1qSWxNMEVsTWpKa1pXWmhkV3gwSlRJeUpUSkRKVEl5YVdRbE1qSWxNMEVsTWpKcVIzQk5jMnhKWVdKSk1EY3dNemcx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c2FXNWxVM1I1YkdVbE1qSWxNMEVsTjBJbE1qSnNhVzVsVjJsa2RHZ2xNaklsTTBFd0pUZEVKVEpESlRJeVptbHNiRk4wZVd4bEpUSXlKVE5CSlRkQ0pUSXlkSGx3WlNVeU1pVXpRU1V5TW01dmJtVWxNaklsTjBRbE1rT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5OcGVtVWxNaklsTTBFeU1DVXlReVV5TW1admJuUkdZVzFwYkhrbE1qSWxNMEVsTWpJbFJUWWxPREFsT1VRbFJUWWxRa0VsT1RBbFJUVWxRVVVsT0VJbFJUUWxRa1FsT1RNbE1qSWxOMFFsTWtNbE1qSjBaWGgwUW14dlkyc2xNaklsTTBFbE5VSWxOMElsTWpKd2IzTnBkR2x2YmlVeU1pVXpRU1UzUWlVeU1uZ2xNaklsTTBFd0pUSkRKVEl5ZVNVeU1pVXpRVEFsTWtNbE1qSjNKVEl5SlROQkpUSXlkeVV5TWlVeVF5VXlNbWdsTWpJbE0wRWxNakpvSlRJeUpUZEVKVEpESlRJeWRHVjRkQ1V5TWlVelFTVXlNaVZGTmlVNE9TVkJReVZGTlNWQ01DVTVPQ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aV0o1ZUZkcFoxaEJkRGsyTkRZNE55VXlNaVUzUkNVeVF5VTNRaVV5TW01aGJXVWxNaklsTTBFbE1qSWxSVFVsT1RBbE9FUWxSVGNsUVRjbFFqQWxNaklsTWtNbE1qSjBlWEJsSlRJeUpUTkJKVEl5YzNSeWFXNW5KVEl5SlRKREpUSXlkbUZzZFdVbE1qSWxNMEVsTWpJbE1qSWxNa01sTWpKallYUmxaMjl5ZVNVeU1pVXpRU1V5TW1SbFptRjFiSFFsTWpJbE1rTWxNakpwWkNVeU1pVXpRU1V5TW5WT1kwcGpTRVJoVjBjeE9EQTVOekV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Vm5CU2RXSkRSblJYWVRJNU9UUTJOQ1V5TWlVelFTVTNRaVV5TW5CaGNtVnVkQ1V5TWlVelFTVXlNaVV5TWlVeVF5VXlNbXhwYm1zbE1qSWxNMEVsTWpJbE1qSWxNa01sTWpKemFHRndaVk4wZVd4bEpUSXlKVE5CSlRkQ0pUSXlZV3h3YUdFbE1qSWxNMEV4SlRkRUpUSkRKVEl5ZEdWNGRFSnNiMk5ySlRJeUpUTkJKVFZDSlRkQ0pUSXljRzl6YVhScGIyNGxNaklsTTBFbE4wSWxNakozSlRJeUpUTkJKVEl5ZHlVeU1pVXlReVV5TW5nbE1qSWxNMEV3SlRKREpUSXlhQ1V5TWlVelFTVXlNbWdsTWpJbE1rTWxNako1SlRJeUpUTkJNQ1UzUkNVeVF5VXlNblJsZUhRbE1qSWxNMEVsTWpJbFJUWWxPRGtsUVVNbFJUVWxRakFsT1Rn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WlVWdVEzVmFVMU40UXpVME1URTVPU1V5TWlVM1JDVXlReVUzUWlVeU1tNWhiV1VsTWpJbE0wRWxNaklsUlRVbE9UQWxPRVFsUlRjbFFUY2xRakFsTWpJbE1rTWxNakowZVhCbEpUSXlKVE5CSlRJeWMzUnlhVzVuSlRJeUpUSkRKVEl5ZG1Gc2RXVWxNaklsTTBFbE1qSWxNaklsTWtNbE1qSmpZWFJsWjI5eWVTVXlNaVV6UVNVeU1tUmxabUYxYkhRbE1qSWxNa01sTWpKcFpDVXlNaVV6UVNVeU1rTkNTMUpuUjNWVWRXTTVOakkzTXpJ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emFYcGxKVEl5SlROQk1qUWxNa01sTWpKbWIyNTBSbUZ0YVd4NUpUSXlKVE5CSlRJeUpVVTJKVGd3SlRsRUpVVTJKVUpCSlRrd0pVVTFKVUZGSlRoQ0pVVTBKVUpFSlRrekpUSXlKVGRFSlRKREpUSXlkR1Y0ZEVKc2IyTnJKVEl5SlROQkpUVkNKVGRDSlRJeWNHOXphWFJwYjI0bE1qSWxNMEVsTjBJbE1qSjRKVEl5SlROQk1UQWxNa01sTWpKNUpUSXlKVE5CTUNVeVF5VXlNbmNsTWpJbE0wRWxNakozTFRJd0pUSXlKVEpESlRJeWFDVXlNaVV6UVNVeU1tZ2xNaklsTjBRbE1rTWxNakowWlhoMEpUSXlKVE5CSlRJeUpVVTNKVUZFSlRsQ0pVVTFKVGc0SlRnM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UzNWQ1ZuQm5SMkp4UXpRM05UYzFNQ1V5TWlVelFTVTNRaVV5TW1sa0pUSXlKVE5CSlRJeVMzVkNWbkJuUjJKeFF6UTNOVGMxTUNVeU1pVXlReVV5TW01aGJXVWxNaklsTTBFbE1qSnpkR0Z1WkdGeVpGUmxlSFFsTWpJbE1rTWxNakowYVhSc1pTVXlNaVV6UVNVeU1pVXlNaVV5UXlVeU1tTmhkR1ZuYjNKNUpUSXlKVE5CSlRJeWMzUmhibVJoY21R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kRzVEUTFweWIyMXVRVGs1TlRBd09TVXlNaVUzUkNVeVF5VTNRaVV5TW01aGJXVWxNaklsTTBFbE1qSWxSVFVsT1RBbE9FUWxSVGNsUVRjbFFqQWxNaklsTWtNbE1qSjBlWEJsSlRJeUpUTkJKVEl5YzNSeWFXNW5KVEl5SlRKREpUSXlkbUZzZFdVbE1qSWxNMEVsTWpJbE1qSWxNa01sTWpKallYUmxaMjl5ZVNVeU1pVXpRU1V5TW1SbFptRjFiSFFsTWpJbE1rTWxNakpwWkNVeU1pVXpRU1V5TWtwd2EzaHBkMHRZZVVvMU1qZzJNemd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82</Pages>
  <Words>19561</Words>
  <Characters>21599</Characters>
  <Lines>277</Lines>
  <Paragraphs>78</Paragraphs>
  <TotalTime>16</TotalTime>
  <ScaleCrop>false</ScaleCrop>
  <LinksUpToDate>false</LinksUpToDate>
  <CharactersWithSpaces>21713</CharactersWithSpaces>
  <Application>WPS Office_12.1.2.23578_F1E327BC-269C-435d-A152-05C5408002CA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2025-05-29T02:08:00Z</dcterms:created>
  <dc:creator>CK</dc:creator>
  <cp:lastModifiedBy>WPS_1729516128</cp:lastModifiedBy>
  <cp:lastPrinted>2022-04-27T19:21:00Z</cp:lastPrinted>
  <dcterms:modified xsi:type="dcterms:W3CDTF">2026-05-20T17:44:47Z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ICV">
    <vt:lpwstr>98B586A2B327740C8F820D6ABFA22BEB_43</vt:lpwstr>
  </property>
  <property fmtid="{D5CDD505-2E9C-101B-9397-08002B2CF9AE}" pid="4" name="KSOTemplateDocerSaveRecord">
    <vt:lpwstr>eyJoZGlkIjoiZGM3NGNkNGIyN2IwOWM5NTgyZTU5OTRjMTM5MTcxOTkiLCJ1c2VySWQiOiI0Mzg3NzEzODQifQ==</vt:lpwstr>
  </property>
</Properties>
</file>