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DF46A">
      <w:pPr>
        <w:rPr>
          <w:rFonts w:eastAsia="仿宋_GB2312"/>
          <w:sz w:val="36"/>
          <w:szCs w:val="36"/>
        </w:rPr>
      </w:pPr>
      <w:bookmarkStart w:id="37" w:name="_GoBack"/>
      <w:bookmarkEnd w:id="37"/>
      <w:bookmarkStart w:id="0" w:name="_Hlk57883707"/>
      <w:r>
        <w:rPr>
          <w:rFonts w:eastAsia="仿宋_GB2312"/>
          <w:sz w:val="36"/>
          <w:szCs w:val="36"/>
        </w:rPr>
        <w:drawing>
          <wp:inline distT="0" distB="0" distL="0" distR="0">
            <wp:extent cx="5615940" cy="7942580"/>
            <wp:effectExtent l="0" t="0" r="3810" b="1270"/>
            <wp:docPr id="2429" name="图片 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 name="图片 242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5940" cy="7942580"/>
                    </a:xfrm>
                    <a:prstGeom prst="rect">
                      <a:avLst/>
                    </a:prstGeom>
                  </pic:spPr>
                </pic:pic>
              </a:graphicData>
            </a:graphic>
          </wp:inline>
        </w:drawing>
      </w:r>
      <w:r>
        <w:rPr>
          <w:rFonts w:eastAsia="仿宋_GB2312"/>
          <w:sz w:val="36"/>
          <w:szCs w:val="36"/>
        </w:rPr>
        <w:drawing>
          <wp:inline distT="0" distB="0" distL="0" distR="0">
            <wp:extent cx="5615940" cy="7942580"/>
            <wp:effectExtent l="0" t="0" r="3810" b="1270"/>
            <wp:docPr id="2430" name="图片 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 name="图片 243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7942580"/>
                    </a:xfrm>
                    <a:prstGeom prst="rect">
                      <a:avLst/>
                    </a:prstGeom>
                  </pic:spPr>
                </pic:pic>
              </a:graphicData>
            </a:graphic>
          </wp:inline>
        </w:drawing>
      </w:r>
      <w:r>
        <w:rPr>
          <w:rFonts w:eastAsia="仿宋_GB2312"/>
          <w:sz w:val="36"/>
          <w:szCs w:val="36"/>
        </w:rPr>
        <w:drawing>
          <wp:inline distT="0" distB="0" distL="0" distR="0">
            <wp:extent cx="5615940" cy="7942580"/>
            <wp:effectExtent l="0" t="0" r="3810" b="1270"/>
            <wp:docPr id="2431" name="图片 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 name="图片 243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5940" cy="7942580"/>
                    </a:xfrm>
                    <a:prstGeom prst="rect">
                      <a:avLst/>
                    </a:prstGeom>
                  </pic:spPr>
                </pic:pic>
              </a:graphicData>
            </a:graphic>
          </wp:inline>
        </w:drawing>
      </w:r>
      <w:r>
        <w:rPr>
          <w:rFonts w:eastAsia="仿宋_GB2312"/>
          <w:sz w:val="36"/>
          <w:szCs w:val="36"/>
        </w:rPr>
        <w:drawing>
          <wp:inline distT="0" distB="0" distL="0" distR="0">
            <wp:extent cx="5615940" cy="7942580"/>
            <wp:effectExtent l="0" t="0" r="3810" b="1270"/>
            <wp:docPr id="2432" name="图片 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 name="图片 243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5940" cy="7942580"/>
                    </a:xfrm>
                    <a:prstGeom prst="rect">
                      <a:avLst/>
                    </a:prstGeom>
                  </pic:spPr>
                </pic:pic>
              </a:graphicData>
            </a:graphic>
          </wp:inline>
        </w:drawing>
      </w:r>
      <w:r>
        <w:rPr>
          <w:rFonts w:eastAsia="仿宋_GB2312"/>
          <w:sz w:val="36"/>
          <w:szCs w:val="36"/>
        </w:rPr>
        <w:drawing>
          <wp:inline distT="0" distB="0" distL="0" distR="0">
            <wp:extent cx="5615940" cy="7942580"/>
            <wp:effectExtent l="0" t="0" r="3810" b="1270"/>
            <wp:docPr id="2433" name="图片 2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 name="图片 243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5940" cy="7942580"/>
                    </a:xfrm>
                    <a:prstGeom prst="rect">
                      <a:avLst/>
                    </a:prstGeom>
                  </pic:spPr>
                </pic:pic>
              </a:graphicData>
            </a:graphic>
          </wp:inline>
        </w:drawing>
      </w:r>
      <w:r>
        <w:rPr>
          <w:rFonts w:eastAsia="仿宋_GB2312"/>
          <w:sz w:val="36"/>
          <w:szCs w:val="36"/>
        </w:rPr>
        <w:drawing>
          <wp:inline distT="0" distB="0" distL="0" distR="0">
            <wp:extent cx="5615940" cy="7942580"/>
            <wp:effectExtent l="0" t="0" r="3810" b="1270"/>
            <wp:docPr id="2434" name="图片 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 name="图片 243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5940" cy="7942580"/>
                    </a:xfrm>
                    <a:prstGeom prst="rect">
                      <a:avLst/>
                    </a:prstGeom>
                  </pic:spPr>
                </pic:pic>
              </a:graphicData>
            </a:graphic>
          </wp:inline>
        </w:drawing>
      </w:r>
    </w:p>
    <w:p w14:paraId="33DCDAED">
      <w:pPr>
        <w:rPr>
          <w:rFonts w:eastAsia="仿宋_GB2312"/>
          <w:sz w:val="36"/>
          <w:szCs w:val="36"/>
        </w:rPr>
      </w:pPr>
    </w:p>
    <w:bookmarkEnd w:id="0"/>
    <w:p w14:paraId="087A831A">
      <w:pPr>
        <w:adjustRightInd w:val="0"/>
        <w:snapToGrid w:val="0"/>
        <w:spacing w:line="360" w:lineRule="auto"/>
        <w:jc w:val="center"/>
        <w:rPr>
          <w:rFonts w:ascii="宋体" w:hAnsi="宋体"/>
          <w:b/>
          <w:sz w:val="36"/>
          <w:szCs w:val="36"/>
        </w:rPr>
        <w:sectPr>
          <w:footerReference r:id="rId3" w:type="default"/>
          <w:footerReference r:id="rId4" w:type="even"/>
          <w:pgSz w:w="11906" w:h="16838"/>
          <w:pgMar w:top="1588" w:right="1531" w:bottom="1418" w:left="1531" w:header="851" w:footer="1077" w:gutter="0"/>
          <w:pgNumType w:start="21"/>
          <w:cols w:space="720" w:num="1"/>
          <w:docGrid w:linePitch="312" w:charSpace="0"/>
        </w:sectPr>
      </w:pPr>
    </w:p>
    <w:p w14:paraId="5059D5D6">
      <w:pPr>
        <w:spacing w:line="360" w:lineRule="auto"/>
        <w:jc w:val="center"/>
        <w:rPr>
          <w:sz w:val="28"/>
          <w:szCs w:val="28"/>
        </w:rPr>
      </w:pPr>
      <w:r>
        <w:rPr>
          <w:rFonts w:hint="eastAsia"/>
          <w:sz w:val="28"/>
          <w:szCs w:val="28"/>
        </w:rPr>
        <w:t>目录</w:t>
      </w:r>
    </w:p>
    <w:p w14:paraId="2416756C">
      <w:pPr>
        <w:pStyle w:val="21"/>
        <w:tabs>
          <w:tab w:val="right" w:leader="dot" w:pos="8890"/>
        </w:tabs>
        <w:rPr>
          <w:rFonts w:ascii="Times New Roman" w:hAnsi="Times New Roman"/>
          <w:kern w:val="2"/>
          <w:sz w:val="24"/>
          <w:szCs w:val="24"/>
        </w:rPr>
      </w:pPr>
      <w:r>
        <w:rPr>
          <w:rFonts w:ascii="Times New Roman" w:hAnsi="Times New Roman"/>
          <w:sz w:val="24"/>
          <w:szCs w:val="24"/>
        </w:rPr>
        <w:fldChar w:fldCharType="begin"/>
      </w:r>
      <w:r>
        <w:rPr>
          <w:rFonts w:ascii="Times New Roman" w:hAnsi="Times New Roman"/>
          <w:sz w:val="24"/>
          <w:szCs w:val="24"/>
        </w:rPr>
        <w:instrText xml:space="preserve"> TOC \o "1-3" \h \z \u </w:instrText>
      </w:r>
      <w:r>
        <w:rPr>
          <w:rFonts w:ascii="Times New Roman" w:hAnsi="Times New Roman"/>
          <w:sz w:val="24"/>
          <w:szCs w:val="24"/>
        </w:rPr>
        <w:fldChar w:fldCharType="separate"/>
      </w:r>
      <w:r>
        <w:fldChar w:fldCharType="begin"/>
      </w:r>
      <w:r>
        <w:instrText xml:space="preserve"> HYPERLINK \l "_Toc214007544" </w:instrText>
      </w:r>
      <w:r>
        <w:fldChar w:fldCharType="separate"/>
      </w:r>
      <w:r>
        <w:rPr>
          <w:rStyle w:val="35"/>
          <w:rFonts w:ascii="Times New Roman" w:hAnsi="Times New Roman"/>
          <w:snapToGrid w:val="0"/>
          <w:color w:val="auto"/>
          <w:sz w:val="24"/>
          <w:szCs w:val="24"/>
        </w:rPr>
        <w:t>一、建设项目基本情况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_Toc214007544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14:paraId="4AED0E76">
      <w:pPr>
        <w:pStyle w:val="21"/>
        <w:tabs>
          <w:tab w:val="right" w:leader="dot" w:pos="8890"/>
        </w:tabs>
        <w:rPr>
          <w:rFonts w:ascii="Times New Roman" w:hAnsi="Times New Roman"/>
          <w:kern w:val="2"/>
          <w:sz w:val="24"/>
          <w:szCs w:val="24"/>
        </w:rPr>
      </w:pPr>
      <w:r>
        <w:fldChar w:fldCharType="begin"/>
      </w:r>
      <w:r>
        <w:instrText xml:space="preserve"> HYPERLINK \l "_Toc214007545" </w:instrText>
      </w:r>
      <w:r>
        <w:fldChar w:fldCharType="separate"/>
      </w:r>
      <w:r>
        <w:rPr>
          <w:rStyle w:val="35"/>
          <w:rFonts w:ascii="Times New Roman" w:hAnsi="Times New Roman"/>
          <w:snapToGrid w:val="0"/>
          <w:color w:val="auto"/>
          <w:sz w:val="24"/>
          <w:szCs w:val="24"/>
        </w:rPr>
        <w:t>二、建设内容</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_Toc214007545 \h </w:instrText>
      </w:r>
      <w:r>
        <w:rPr>
          <w:rFonts w:ascii="Times New Roman" w:hAnsi="Times New Roman"/>
          <w:sz w:val="24"/>
          <w:szCs w:val="24"/>
        </w:rPr>
        <w:fldChar w:fldCharType="separate"/>
      </w:r>
      <w:r>
        <w:rPr>
          <w:rFonts w:ascii="Times New Roman" w:hAnsi="Times New Roman"/>
          <w:sz w:val="24"/>
          <w:szCs w:val="24"/>
        </w:rPr>
        <w:t>23</w:t>
      </w:r>
      <w:r>
        <w:rPr>
          <w:rFonts w:ascii="Times New Roman" w:hAnsi="Times New Roman"/>
          <w:sz w:val="24"/>
          <w:szCs w:val="24"/>
        </w:rPr>
        <w:fldChar w:fldCharType="end"/>
      </w:r>
      <w:r>
        <w:rPr>
          <w:rFonts w:ascii="Times New Roman" w:hAnsi="Times New Roman"/>
          <w:sz w:val="24"/>
          <w:szCs w:val="24"/>
        </w:rPr>
        <w:fldChar w:fldCharType="end"/>
      </w:r>
    </w:p>
    <w:p w14:paraId="431E633F">
      <w:pPr>
        <w:pStyle w:val="21"/>
        <w:tabs>
          <w:tab w:val="right" w:leader="dot" w:pos="8890"/>
        </w:tabs>
        <w:rPr>
          <w:rFonts w:ascii="Times New Roman" w:hAnsi="Times New Roman"/>
          <w:kern w:val="2"/>
          <w:sz w:val="24"/>
          <w:szCs w:val="24"/>
        </w:rPr>
      </w:pPr>
      <w:r>
        <w:fldChar w:fldCharType="begin"/>
      </w:r>
      <w:r>
        <w:instrText xml:space="preserve"> HYPERLINK \l "_Toc214007547" </w:instrText>
      </w:r>
      <w:r>
        <w:fldChar w:fldCharType="separate"/>
      </w:r>
      <w:r>
        <w:rPr>
          <w:rStyle w:val="35"/>
          <w:rFonts w:ascii="Times New Roman" w:hAnsi="Times New Roman"/>
          <w:snapToGrid w:val="0"/>
          <w:color w:val="auto"/>
          <w:sz w:val="24"/>
          <w:szCs w:val="24"/>
        </w:rPr>
        <w:t>三、生态环境现状、保护目标及评价标准</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_Toc214007547 \h </w:instrText>
      </w:r>
      <w:r>
        <w:rPr>
          <w:rFonts w:ascii="Times New Roman" w:hAnsi="Times New Roman"/>
          <w:sz w:val="24"/>
          <w:szCs w:val="24"/>
        </w:rPr>
        <w:fldChar w:fldCharType="separate"/>
      </w:r>
      <w:r>
        <w:rPr>
          <w:rFonts w:ascii="Times New Roman" w:hAnsi="Times New Roman"/>
          <w:sz w:val="24"/>
          <w:szCs w:val="24"/>
        </w:rPr>
        <w:t>45</w:t>
      </w:r>
      <w:r>
        <w:rPr>
          <w:rFonts w:ascii="Times New Roman" w:hAnsi="Times New Roman"/>
          <w:sz w:val="24"/>
          <w:szCs w:val="24"/>
        </w:rPr>
        <w:fldChar w:fldCharType="end"/>
      </w:r>
      <w:r>
        <w:rPr>
          <w:rFonts w:ascii="Times New Roman" w:hAnsi="Times New Roman"/>
          <w:sz w:val="24"/>
          <w:szCs w:val="24"/>
        </w:rPr>
        <w:fldChar w:fldCharType="end"/>
      </w:r>
    </w:p>
    <w:p w14:paraId="1FA7A3F7">
      <w:pPr>
        <w:pStyle w:val="21"/>
        <w:tabs>
          <w:tab w:val="right" w:leader="dot" w:pos="8890"/>
        </w:tabs>
        <w:rPr>
          <w:rFonts w:ascii="Times New Roman" w:hAnsi="Times New Roman"/>
          <w:kern w:val="2"/>
          <w:sz w:val="24"/>
          <w:szCs w:val="24"/>
        </w:rPr>
      </w:pPr>
      <w:r>
        <w:fldChar w:fldCharType="begin"/>
      </w:r>
      <w:r>
        <w:instrText xml:space="preserve"> HYPERLINK \l "_Toc214007548" </w:instrText>
      </w:r>
      <w:r>
        <w:fldChar w:fldCharType="separate"/>
      </w:r>
      <w:r>
        <w:rPr>
          <w:rStyle w:val="35"/>
          <w:rFonts w:ascii="Times New Roman" w:hAnsi="Times New Roman"/>
          <w:snapToGrid w:val="0"/>
          <w:color w:val="auto"/>
          <w:sz w:val="24"/>
          <w:szCs w:val="24"/>
        </w:rPr>
        <w:t>四、生态环境影响分析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_Toc214007548 \h </w:instrText>
      </w:r>
      <w:r>
        <w:rPr>
          <w:rFonts w:ascii="Times New Roman" w:hAnsi="Times New Roman"/>
          <w:sz w:val="24"/>
          <w:szCs w:val="24"/>
        </w:rPr>
        <w:fldChar w:fldCharType="separate"/>
      </w:r>
      <w:r>
        <w:rPr>
          <w:rFonts w:ascii="Times New Roman" w:hAnsi="Times New Roman"/>
          <w:sz w:val="24"/>
          <w:szCs w:val="24"/>
        </w:rPr>
        <w:t>54</w:t>
      </w:r>
      <w:r>
        <w:rPr>
          <w:rFonts w:ascii="Times New Roman" w:hAnsi="Times New Roman"/>
          <w:sz w:val="24"/>
          <w:szCs w:val="24"/>
        </w:rPr>
        <w:fldChar w:fldCharType="end"/>
      </w:r>
      <w:r>
        <w:rPr>
          <w:rFonts w:ascii="Times New Roman" w:hAnsi="Times New Roman"/>
          <w:sz w:val="24"/>
          <w:szCs w:val="24"/>
        </w:rPr>
        <w:fldChar w:fldCharType="end"/>
      </w:r>
    </w:p>
    <w:p w14:paraId="6914C5E1">
      <w:pPr>
        <w:pStyle w:val="21"/>
        <w:tabs>
          <w:tab w:val="right" w:leader="dot" w:pos="8890"/>
        </w:tabs>
        <w:rPr>
          <w:rFonts w:ascii="Times New Roman" w:hAnsi="Times New Roman"/>
          <w:kern w:val="2"/>
          <w:sz w:val="24"/>
          <w:szCs w:val="24"/>
        </w:rPr>
      </w:pPr>
      <w:r>
        <w:fldChar w:fldCharType="begin"/>
      </w:r>
      <w:r>
        <w:instrText xml:space="preserve"> HYPERLINK \l "_Toc214007557" </w:instrText>
      </w:r>
      <w:r>
        <w:fldChar w:fldCharType="separate"/>
      </w:r>
      <w:r>
        <w:rPr>
          <w:rStyle w:val="35"/>
          <w:rFonts w:ascii="Times New Roman" w:hAnsi="Times New Roman"/>
          <w:snapToGrid w:val="0"/>
          <w:color w:val="auto"/>
          <w:sz w:val="24"/>
          <w:szCs w:val="24"/>
        </w:rPr>
        <w:t>五、主要生态环境保护措施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_Toc214007557 \h </w:instrText>
      </w:r>
      <w:r>
        <w:rPr>
          <w:rFonts w:ascii="Times New Roman" w:hAnsi="Times New Roman"/>
          <w:sz w:val="24"/>
          <w:szCs w:val="24"/>
        </w:rPr>
        <w:fldChar w:fldCharType="separate"/>
      </w:r>
      <w:r>
        <w:rPr>
          <w:rFonts w:ascii="Times New Roman" w:hAnsi="Times New Roman"/>
          <w:sz w:val="24"/>
          <w:szCs w:val="24"/>
        </w:rPr>
        <w:t>85</w:t>
      </w:r>
      <w:r>
        <w:rPr>
          <w:rFonts w:ascii="Times New Roman" w:hAnsi="Times New Roman"/>
          <w:sz w:val="24"/>
          <w:szCs w:val="24"/>
        </w:rPr>
        <w:fldChar w:fldCharType="end"/>
      </w:r>
      <w:r>
        <w:rPr>
          <w:rFonts w:ascii="Times New Roman" w:hAnsi="Times New Roman"/>
          <w:sz w:val="24"/>
          <w:szCs w:val="24"/>
        </w:rPr>
        <w:fldChar w:fldCharType="end"/>
      </w:r>
    </w:p>
    <w:p w14:paraId="665F76F1">
      <w:pPr>
        <w:pStyle w:val="21"/>
        <w:tabs>
          <w:tab w:val="right" w:leader="dot" w:pos="8890"/>
        </w:tabs>
        <w:rPr>
          <w:rFonts w:ascii="Times New Roman" w:hAnsi="Times New Roman"/>
          <w:kern w:val="2"/>
          <w:sz w:val="24"/>
          <w:szCs w:val="24"/>
        </w:rPr>
      </w:pPr>
      <w:r>
        <w:fldChar w:fldCharType="begin"/>
      </w:r>
      <w:r>
        <w:instrText xml:space="preserve"> HYPERLINK \l "_Toc214007564" </w:instrText>
      </w:r>
      <w:r>
        <w:fldChar w:fldCharType="separate"/>
      </w:r>
      <w:r>
        <w:rPr>
          <w:rStyle w:val="35"/>
          <w:rFonts w:ascii="Times New Roman" w:hAnsi="Times New Roman"/>
          <w:snapToGrid w:val="0"/>
          <w:color w:val="auto"/>
          <w:sz w:val="24"/>
          <w:szCs w:val="24"/>
        </w:rPr>
        <w:t>六、生态环境保护措施监督检查清单</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_Toc214007564 \h </w:instrText>
      </w:r>
      <w:r>
        <w:rPr>
          <w:rFonts w:ascii="Times New Roman" w:hAnsi="Times New Roman"/>
          <w:sz w:val="24"/>
          <w:szCs w:val="24"/>
        </w:rPr>
        <w:fldChar w:fldCharType="separate"/>
      </w:r>
      <w:r>
        <w:rPr>
          <w:rFonts w:ascii="Times New Roman" w:hAnsi="Times New Roman"/>
          <w:sz w:val="24"/>
          <w:szCs w:val="24"/>
        </w:rPr>
        <w:t>110</w:t>
      </w:r>
      <w:r>
        <w:rPr>
          <w:rFonts w:ascii="Times New Roman" w:hAnsi="Times New Roman"/>
          <w:sz w:val="24"/>
          <w:szCs w:val="24"/>
        </w:rPr>
        <w:fldChar w:fldCharType="end"/>
      </w:r>
      <w:r>
        <w:rPr>
          <w:rFonts w:ascii="Times New Roman" w:hAnsi="Times New Roman"/>
          <w:sz w:val="24"/>
          <w:szCs w:val="24"/>
        </w:rPr>
        <w:fldChar w:fldCharType="end"/>
      </w:r>
    </w:p>
    <w:p w14:paraId="2CD8211C">
      <w:pPr>
        <w:pStyle w:val="21"/>
        <w:tabs>
          <w:tab w:val="right" w:leader="dot" w:pos="8890"/>
        </w:tabs>
        <w:rPr>
          <w:rFonts w:ascii="Times New Roman" w:hAnsi="Times New Roman"/>
          <w:kern w:val="2"/>
          <w:sz w:val="24"/>
          <w:szCs w:val="24"/>
        </w:rPr>
      </w:pPr>
      <w:r>
        <w:fldChar w:fldCharType="begin"/>
      </w:r>
      <w:r>
        <w:instrText xml:space="preserve"> HYPERLINK \l "_Toc214007573" </w:instrText>
      </w:r>
      <w:r>
        <w:fldChar w:fldCharType="separate"/>
      </w:r>
      <w:r>
        <w:rPr>
          <w:rStyle w:val="35"/>
          <w:rFonts w:ascii="Times New Roman" w:hAnsi="Times New Roman"/>
          <w:snapToGrid w:val="0"/>
          <w:color w:val="auto"/>
          <w:sz w:val="24"/>
          <w:szCs w:val="24"/>
        </w:rPr>
        <w:t>七、结论</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_Toc214007573 \h </w:instrText>
      </w:r>
      <w:r>
        <w:rPr>
          <w:rFonts w:ascii="Times New Roman" w:hAnsi="Times New Roman"/>
          <w:sz w:val="24"/>
          <w:szCs w:val="24"/>
        </w:rPr>
        <w:fldChar w:fldCharType="separate"/>
      </w:r>
      <w:r>
        <w:rPr>
          <w:rFonts w:ascii="Times New Roman" w:hAnsi="Times New Roman"/>
          <w:sz w:val="24"/>
          <w:szCs w:val="24"/>
        </w:rPr>
        <w:t>112</w:t>
      </w:r>
      <w:r>
        <w:rPr>
          <w:rFonts w:ascii="Times New Roman" w:hAnsi="Times New Roman"/>
          <w:sz w:val="24"/>
          <w:szCs w:val="24"/>
        </w:rPr>
        <w:fldChar w:fldCharType="end"/>
      </w:r>
      <w:r>
        <w:rPr>
          <w:rFonts w:ascii="Times New Roman" w:hAnsi="Times New Roman"/>
          <w:sz w:val="24"/>
          <w:szCs w:val="24"/>
        </w:rPr>
        <w:fldChar w:fldCharType="end"/>
      </w:r>
    </w:p>
    <w:p w14:paraId="6B62F2CD">
      <w:pPr>
        <w:spacing w:line="360" w:lineRule="auto"/>
        <w:rPr>
          <w:sz w:val="24"/>
        </w:rPr>
      </w:pPr>
      <w:r>
        <w:rPr>
          <w:bCs/>
          <w:sz w:val="24"/>
          <w:lang w:val="zh-CN"/>
        </w:rPr>
        <w:fldChar w:fldCharType="end"/>
      </w:r>
      <w:r>
        <w:rPr>
          <w:sz w:val="24"/>
        </w:rPr>
        <w:t>附图1项目地理位置图</w:t>
      </w:r>
    </w:p>
    <w:p w14:paraId="4182A872">
      <w:pPr>
        <w:spacing w:line="360" w:lineRule="auto"/>
        <w:rPr>
          <w:sz w:val="24"/>
        </w:rPr>
      </w:pPr>
      <w:r>
        <w:rPr>
          <w:sz w:val="24"/>
        </w:rPr>
        <w:t>附图2</w:t>
      </w:r>
      <w:r>
        <w:rPr>
          <w:rFonts w:hint="eastAsia"/>
          <w:sz w:val="24"/>
        </w:rPr>
        <w:t>项目与探矿权范围及依托工程位置关系示意图</w:t>
      </w:r>
    </w:p>
    <w:p w14:paraId="60C13A0E">
      <w:pPr>
        <w:spacing w:line="360" w:lineRule="auto"/>
        <w:rPr>
          <w:sz w:val="24"/>
        </w:rPr>
      </w:pPr>
      <w:r>
        <w:rPr>
          <w:rFonts w:hint="eastAsia"/>
          <w:sz w:val="24"/>
        </w:rPr>
        <w:t>附图3项目周边关系示意图</w:t>
      </w:r>
    </w:p>
    <w:p w14:paraId="06D692ED">
      <w:pPr>
        <w:spacing w:line="360" w:lineRule="auto"/>
        <w:rPr>
          <w:sz w:val="24"/>
        </w:rPr>
      </w:pPr>
      <w:r>
        <w:rPr>
          <w:sz w:val="24"/>
        </w:rPr>
        <w:t>附图</w:t>
      </w:r>
      <w:r>
        <w:rPr>
          <w:rFonts w:hint="eastAsia"/>
          <w:sz w:val="24"/>
        </w:rPr>
        <w:t>4项目生态环境保护目标分布及位置关系图</w:t>
      </w:r>
    </w:p>
    <w:p w14:paraId="2D21D44A">
      <w:pPr>
        <w:spacing w:line="360" w:lineRule="auto"/>
        <w:rPr>
          <w:sz w:val="24"/>
        </w:rPr>
      </w:pPr>
      <w:r>
        <w:rPr>
          <w:sz w:val="24"/>
        </w:rPr>
        <w:t>附图</w:t>
      </w:r>
      <w:r>
        <w:rPr>
          <w:rFonts w:hint="eastAsia"/>
          <w:sz w:val="24"/>
        </w:rPr>
        <w:t>5环境质量现状监测布点图</w:t>
      </w:r>
    </w:p>
    <w:p w14:paraId="13417C8C">
      <w:pPr>
        <w:spacing w:line="360" w:lineRule="auto"/>
        <w:rPr>
          <w:sz w:val="24"/>
        </w:rPr>
      </w:pPr>
      <w:r>
        <w:rPr>
          <w:sz w:val="24"/>
        </w:rPr>
        <w:t>附图</w:t>
      </w:r>
      <w:r>
        <w:rPr>
          <w:rFonts w:hint="eastAsia"/>
          <w:sz w:val="24"/>
        </w:rPr>
        <w:t>6井场平面布置示意图</w:t>
      </w:r>
    </w:p>
    <w:p w14:paraId="4852808D">
      <w:pPr>
        <w:spacing w:line="360" w:lineRule="auto"/>
        <w:rPr>
          <w:sz w:val="24"/>
        </w:rPr>
      </w:pPr>
      <w:r>
        <w:rPr>
          <w:sz w:val="24"/>
        </w:rPr>
        <w:t>附图</w:t>
      </w:r>
      <w:r>
        <w:rPr>
          <w:rFonts w:hint="eastAsia"/>
          <w:sz w:val="24"/>
        </w:rPr>
        <w:t>7临时占地典型生态保护措施示意图</w:t>
      </w:r>
    </w:p>
    <w:p w14:paraId="19B7B350">
      <w:pPr>
        <w:spacing w:line="360" w:lineRule="auto"/>
        <w:rPr>
          <w:sz w:val="24"/>
        </w:rPr>
      </w:pPr>
      <w:r>
        <w:rPr>
          <w:rFonts w:hint="eastAsia"/>
          <w:sz w:val="24"/>
        </w:rPr>
        <w:t>附件1项目委托书、承诺书</w:t>
      </w:r>
    </w:p>
    <w:p w14:paraId="33F024E1">
      <w:pPr>
        <w:spacing w:line="360" w:lineRule="auto"/>
        <w:rPr>
          <w:sz w:val="24"/>
        </w:rPr>
      </w:pPr>
      <w:r>
        <w:rPr>
          <w:rFonts w:hint="eastAsia"/>
          <w:sz w:val="24"/>
        </w:rPr>
        <w:t>附件2建设单位营业执照</w:t>
      </w:r>
    </w:p>
    <w:p w14:paraId="0AD04EE1">
      <w:pPr>
        <w:spacing w:line="360" w:lineRule="auto"/>
        <w:rPr>
          <w:sz w:val="24"/>
        </w:rPr>
      </w:pPr>
      <w:r>
        <w:rPr>
          <w:rFonts w:hint="eastAsia"/>
          <w:sz w:val="24"/>
        </w:rPr>
        <w:t>附件3探矿证</w:t>
      </w:r>
    </w:p>
    <w:p w14:paraId="486FF613">
      <w:pPr>
        <w:spacing w:line="360" w:lineRule="auto"/>
        <w:rPr>
          <w:sz w:val="24"/>
        </w:rPr>
      </w:pPr>
      <w:r>
        <w:rPr>
          <w:rFonts w:hint="eastAsia"/>
          <w:sz w:val="24"/>
        </w:rPr>
        <w:t>附件4关于查询石油勘探开发项目是否占用林地和草地的函的复函</w:t>
      </w:r>
    </w:p>
    <w:p w14:paraId="447D2B8B">
      <w:pPr>
        <w:spacing w:line="360" w:lineRule="auto"/>
        <w:rPr>
          <w:sz w:val="24"/>
        </w:rPr>
      </w:pPr>
      <w:r>
        <w:rPr>
          <w:rFonts w:hint="eastAsia"/>
          <w:sz w:val="24"/>
        </w:rPr>
        <w:t>附件5关于报请核实磴4平台井建设项目是否占用自然保护区的函的复函</w:t>
      </w:r>
    </w:p>
    <w:p w14:paraId="2056038C">
      <w:pPr>
        <w:spacing w:line="360" w:lineRule="auto"/>
        <w:rPr>
          <w:sz w:val="24"/>
          <w:highlight w:val="yellow"/>
        </w:rPr>
      </w:pPr>
      <w:r>
        <w:rPr>
          <w:rFonts w:hint="eastAsia"/>
          <w:sz w:val="24"/>
        </w:rPr>
        <w:t>附件6关于查询磴4平台井建设项目用地拟选址是否涉及生态保护红线范围内的复函</w:t>
      </w:r>
    </w:p>
    <w:p w14:paraId="1CE533B9">
      <w:pPr>
        <w:spacing w:line="360" w:lineRule="auto"/>
        <w:rPr>
          <w:sz w:val="24"/>
        </w:rPr>
      </w:pPr>
      <w:r>
        <w:rPr>
          <w:rFonts w:hint="eastAsia"/>
          <w:sz w:val="24"/>
        </w:rPr>
        <w:t>附件7关于征求磴4平台井建设项目临时使用土地选址是否涉及文物和古迹的复函</w:t>
      </w:r>
    </w:p>
    <w:p w14:paraId="29AE2C34">
      <w:pPr>
        <w:spacing w:line="360" w:lineRule="auto"/>
        <w:rPr>
          <w:sz w:val="24"/>
        </w:rPr>
      </w:pPr>
      <w:r>
        <w:rPr>
          <w:rFonts w:hint="eastAsia"/>
          <w:sz w:val="24"/>
        </w:rPr>
        <w:t>附件8项目临时占用草原的批复</w:t>
      </w:r>
    </w:p>
    <w:p w14:paraId="49B1AED6">
      <w:pPr>
        <w:spacing w:line="360" w:lineRule="auto"/>
        <w:rPr>
          <w:sz w:val="24"/>
        </w:rPr>
      </w:pPr>
      <w:r>
        <w:rPr>
          <w:rFonts w:hint="eastAsia"/>
          <w:sz w:val="24"/>
        </w:rPr>
        <w:t>附件9环境质量现状监测报告</w:t>
      </w:r>
    </w:p>
    <w:p w14:paraId="236EDDCB">
      <w:pPr>
        <w:spacing w:line="360" w:lineRule="auto"/>
        <w:rPr>
          <w:sz w:val="24"/>
        </w:rPr>
      </w:pPr>
      <w:r>
        <w:rPr>
          <w:rFonts w:hint="eastAsia"/>
          <w:sz w:val="24"/>
        </w:rPr>
        <w:t>附件10钻井泥浆不落地处理服务合同</w:t>
      </w:r>
    </w:p>
    <w:p w14:paraId="204736EE">
      <w:pPr>
        <w:spacing w:line="360" w:lineRule="auto"/>
        <w:rPr>
          <w:sz w:val="24"/>
        </w:rPr>
      </w:pPr>
      <w:r>
        <w:rPr>
          <w:rFonts w:hint="eastAsia"/>
          <w:sz w:val="24"/>
        </w:rPr>
        <w:t>附件11钻井废弃泥浆处置协议</w:t>
      </w:r>
    </w:p>
    <w:p w14:paraId="3B280CE4">
      <w:pPr>
        <w:spacing w:line="360" w:lineRule="auto"/>
        <w:rPr>
          <w:sz w:val="24"/>
        </w:rPr>
      </w:pPr>
      <w:r>
        <w:rPr>
          <w:rFonts w:hint="eastAsia"/>
          <w:sz w:val="24"/>
        </w:rPr>
        <w:t>附件12危险固体废物处理服务合同</w:t>
      </w:r>
    </w:p>
    <w:p w14:paraId="607C9759">
      <w:pPr>
        <w:spacing w:line="360" w:lineRule="auto"/>
        <w:rPr>
          <w:sz w:val="24"/>
        </w:rPr>
      </w:pPr>
      <w:r>
        <w:rPr>
          <w:rFonts w:hint="eastAsia"/>
          <w:sz w:val="24"/>
        </w:rPr>
        <w:t>附件13依托工程环保手续</w:t>
      </w:r>
    </w:p>
    <w:p w14:paraId="5C6418D1">
      <w:pPr>
        <w:adjustRightInd w:val="0"/>
        <w:snapToGrid w:val="0"/>
        <w:spacing w:line="288" w:lineRule="auto"/>
        <w:rPr>
          <w:rFonts w:eastAsia="仿宋_GB2312"/>
          <w:sz w:val="36"/>
          <w:szCs w:val="36"/>
        </w:rPr>
        <w:sectPr>
          <w:pgSz w:w="11906" w:h="16838"/>
          <w:pgMar w:top="1588" w:right="1531" w:bottom="1418" w:left="1531" w:header="851" w:footer="1077" w:gutter="0"/>
          <w:pgNumType w:start="21"/>
          <w:cols w:space="720" w:num="1"/>
          <w:docGrid w:linePitch="312" w:charSpace="0"/>
        </w:sectPr>
      </w:pPr>
    </w:p>
    <w:p w14:paraId="46BB7A99">
      <w:pPr>
        <w:pStyle w:val="25"/>
        <w:spacing w:before="0" w:beforeAutospacing="0" w:after="0" w:afterAutospacing="0"/>
        <w:jc w:val="center"/>
        <w:outlineLvl w:val="0"/>
        <w:rPr>
          <w:rFonts w:ascii="Times New Roman" w:hAnsi="Times New Roman" w:eastAsia="黑体"/>
          <w:b/>
          <w:snapToGrid w:val="0"/>
          <w:kern w:val="2"/>
          <w:sz w:val="30"/>
          <w:szCs w:val="30"/>
        </w:rPr>
      </w:pPr>
      <w:bookmarkStart w:id="1" w:name="_Toc214007544"/>
      <w:r>
        <w:rPr>
          <w:rFonts w:ascii="Times New Roman" w:hAnsi="Times New Roman" w:eastAsia="黑体"/>
          <w:b/>
          <w:snapToGrid w:val="0"/>
          <w:kern w:val="2"/>
          <w:sz w:val="30"/>
          <w:szCs w:val="30"/>
        </w:rPr>
        <w:t>一、建设项目基本情况</w:t>
      </w:r>
      <w:bookmarkEnd w:id="1"/>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07"/>
        <w:gridCol w:w="2289"/>
        <w:gridCol w:w="1843"/>
        <w:gridCol w:w="2931"/>
      </w:tblGrid>
      <w:tr w14:paraId="7A6E8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807" w:type="dxa"/>
            <w:tcMar>
              <w:top w:w="16" w:type="dxa"/>
              <w:left w:w="16" w:type="dxa"/>
              <w:right w:w="16" w:type="dxa"/>
            </w:tcMar>
            <w:vAlign w:val="center"/>
          </w:tcPr>
          <w:p w14:paraId="68E8E99F">
            <w:pPr>
              <w:adjustRightInd w:val="0"/>
              <w:snapToGrid w:val="0"/>
              <w:jc w:val="center"/>
              <w:rPr>
                <w:b/>
                <w:sz w:val="24"/>
                <w:szCs w:val="21"/>
              </w:rPr>
            </w:pPr>
            <w:r>
              <w:rPr>
                <w:b/>
                <w:sz w:val="24"/>
                <w:szCs w:val="21"/>
              </w:rPr>
              <w:t>建设项目名称</w:t>
            </w:r>
          </w:p>
        </w:tc>
        <w:tc>
          <w:tcPr>
            <w:tcW w:w="7063" w:type="dxa"/>
            <w:gridSpan w:val="3"/>
            <w:vAlign w:val="center"/>
          </w:tcPr>
          <w:p w14:paraId="4B0F4EB9">
            <w:pPr>
              <w:adjustRightInd w:val="0"/>
              <w:snapToGrid w:val="0"/>
              <w:jc w:val="center"/>
              <w:rPr>
                <w:sz w:val="24"/>
              </w:rPr>
            </w:pPr>
            <w:r>
              <w:rPr>
                <w:rFonts w:hint="eastAsia"/>
                <w:sz w:val="24"/>
              </w:rPr>
              <w:t>磴口县磴4平台3口井勘探</w:t>
            </w:r>
            <w:r>
              <w:rPr>
                <w:sz w:val="24"/>
              </w:rPr>
              <w:t>项目</w:t>
            </w:r>
          </w:p>
        </w:tc>
      </w:tr>
      <w:tr w14:paraId="606B79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807" w:type="dxa"/>
            <w:tcMar>
              <w:top w:w="16" w:type="dxa"/>
              <w:left w:w="16" w:type="dxa"/>
              <w:right w:w="16" w:type="dxa"/>
            </w:tcMar>
            <w:vAlign w:val="center"/>
          </w:tcPr>
          <w:p w14:paraId="2B1279CC">
            <w:pPr>
              <w:adjustRightInd w:val="0"/>
              <w:snapToGrid w:val="0"/>
              <w:jc w:val="center"/>
              <w:rPr>
                <w:b/>
                <w:sz w:val="24"/>
                <w:szCs w:val="21"/>
              </w:rPr>
            </w:pPr>
            <w:r>
              <w:rPr>
                <w:b/>
                <w:sz w:val="24"/>
                <w:szCs w:val="21"/>
              </w:rPr>
              <w:t>项目代码</w:t>
            </w:r>
          </w:p>
        </w:tc>
        <w:tc>
          <w:tcPr>
            <w:tcW w:w="7063" w:type="dxa"/>
            <w:gridSpan w:val="3"/>
            <w:vAlign w:val="center"/>
          </w:tcPr>
          <w:p w14:paraId="18765920">
            <w:pPr>
              <w:adjustRightInd w:val="0"/>
              <w:snapToGrid w:val="0"/>
              <w:jc w:val="center"/>
              <w:rPr>
                <w:sz w:val="24"/>
              </w:rPr>
            </w:pPr>
            <w:r>
              <w:rPr>
                <w:sz w:val="24"/>
              </w:rPr>
              <w:t>无</w:t>
            </w:r>
          </w:p>
        </w:tc>
      </w:tr>
      <w:tr w14:paraId="566256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807" w:type="dxa"/>
            <w:tcMar>
              <w:top w:w="16" w:type="dxa"/>
              <w:left w:w="16" w:type="dxa"/>
              <w:right w:w="16" w:type="dxa"/>
            </w:tcMar>
            <w:vAlign w:val="center"/>
          </w:tcPr>
          <w:p w14:paraId="5FB771AA">
            <w:pPr>
              <w:adjustRightInd w:val="0"/>
              <w:snapToGrid w:val="0"/>
              <w:jc w:val="center"/>
              <w:rPr>
                <w:b/>
                <w:sz w:val="24"/>
                <w:szCs w:val="21"/>
              </w:rPr>
            </w:pPr>
            <w:r>
              <w:rPr>
                <w:b/>
                <w:sz w:val="24"/>
                <w:szCs w:val="21"/>
              </w:rPr>
              <w:t>建设单位联系人</w:t>
            </w:r>
          </w:p>
        </w:tc>
        <w:tc>
          <w:tcPr>
            <w:tcW w:w="2289" w:type="dxa"/>
            <w:vAlign w:val="center"/>
          </w:tcPr>
          <w:p w14:paraId="0620D60A">
            <w:pPr>
              <w:adjustRightInd w:val="0"/>
              <w:snapToGrid w:val="0"/>
              <w:jc w:val="center"/>
              <w:rPr>
                <w:szCs w:val="21"/>
              </w:rPr>
            </w:pPr>
            <w:r>
              <w:rPr>
                <w:rFonts w:hint="eastAsia"/>
                <w:sz w:val="24"/>
              </w:rPr>
              <w:t>宋**</w:t>
            </w:r>
          </w:p>
        </w:tc>
        <w:tc>
          <w:tcPr>
            <w:tcW w:w="1843" w:type="dxa"/>
            <w:vAlign w:val="center"/>
          </w:tcPr>
          <w:p w14:paraId="5126C5F2">
            <w:pPr>
              <w:adjustRightInd w:val="0"/>
              <w:snapToGrid w:val="0"/>
              <w:jc w:val="center"/>
              <w:rPr>
                <w:b/>
                <w:sz w:val="24"/>
              </w:rPr>
            </w:pPr>
            <w:r>
              <w:rPr>
                <w:b/>
                <w:sz w:val="24"/>
              </w:rPr>
              <w:t>联系方式</w:t>
            </w:r>
          </w:p>
        </w:tc>
        <w:tc>
          <w:tcPr>
            <w:tcW w:w="2931" w:type="dxa"/>
            <w:vAlign w:val="center"/>
          </w:tcPr>
          <w:p w14:paraId="1A2EB483">
            <w:pPr>
              <w:adjustRightInd w:val="0"/>
              <w:snapToGrid w:val="0"/>
              <w:jc w:val="center"/>
              <w:rPr>
                <w:szCs w:val="21"/>
              </w:rPr>
            </w:pPr>
            <w:r>
              <w:rPr>
                <w:sz w:val="24"/>
              </w:rPr>
              <w:t>1</w:t>
            </w:r>
            <w:r>
              <w:rPr>
                <w:rFonts w:hint="eastAsia"/>
                <w:sz w:val="24"/>
              </w:rPr>
              <w:t>**********</w:t>
            </w:r>
          </w:p>
        </w:tc>
      </w:tr>
      <w:tr w14:paraId="06F2F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807" w:type="dxa"/>
            <w:tcMar>
              <w:top w:w="16" w:type="dxa"/>
              <w:left w:w="16" w:type="dxa"/>
              <w:right w:w="16" w:type="dxa"/>
            </w:tcMar>
            <w:vAlign w:val="center"/>
          </w:tcPr>
          <w:p w14:paraId="6818CDB5">
            <w:pPr>
              <w:adjustRightInd w:val="0"/>
              <w:snapToGrid w:val="0"/>
              <w:jc w:val="center"/>
              <w:rPr>
                <w:b/>
                <w:sz w:val="24"/>
                <w:szCs w:val="21"/>
              </w:rPr>
            </w:pPr>
            <w:r>
              <w:rPr>
                <w:b/>
                <w:sz w:val="24"/>
                <w:szCs w:val="21"/>
              </w:rPr>
              <w:t>建设地点</w:t>
            </w:r>
          </w:p>
        </w:tc>
        <w:tc>
          <w:tcPr>
            <w:tcW w:w="7063" w:type="dxa"/>
            <w:gridSpan w:val="3"/>
            <w:vAlign w:val="center"/>
          </w:tcPr>
          <w:p w14:paraId="1C4CA672">
            <w:pPr>
              <w:adjustRightInd w:val="0"/>
              <w:snapToGrid w:val="0"/>
              <w:jc w:val="center"/>
              <w:rPr>
                <w:sz w:val="24"/>
              </w:rPr>
            </w:pPr>
            <w:r>
              <w:rPr>
                <w:rFonts w:hint="eastAsia"/>
                <w:sz w:val="24"/>
              </w:rPr>
              <w:t>内蒙古自治区巴彦淖尔市磴口县沙漠林业实验中心农场四实验场</w:t>
            </w:r>
          </w:p>
        </w:tc>
      </w:tr>
      <w:tr w14:paraId="06799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807" w:type="dxa"/>
            <w:tcMar>
              <w:top w:w="16" w:type="dxa"/>
              <w:left w:w="16" w:type="dxa"/>
              <w:right w:w="16" w:type="dxa"/>
            </w:tcMar>
            <w:vAlign w:val="center"/>
          </w:tcPr>
          <w:p w14:paraId="744F85A6">
            <w:pPr>
              <w:adjustRightInd w:val="0"/>
              <w:snapToGrid w:val="0"/>
              <w:jc w:val="center"/>
              <w:rPr>
                <w:b/>
                <w:sz w:val="24"/>
                <w:szCs w:val="21"/>
              </w:rPr>
            </w:pPr>
            <w:r>
              <w:rPr>
                <w:b/>
                <w:sz w:val="24"/>
                <w:szCs w:val="21"/>
              </w:rPr>
              <w:t>地理坐标</w:t>
            </w:r>
          </w:p>
        </w:tc>
        <w:tc>
          <w:tcPr>
            <w:tcW w:w="7063" w:type="dxa"/>
            <w:gridSpan w:val="3"/>
            <w:vAlign w:val="center"/>
          </w:tcPr>
          <w:p w14:paraId="5B99DC0F">
            <w:pPr>
              <w:adjustRightInd w:val="0"/>
              <w:snapToGrid w:val="0"/>
              <w:jc w:val="center"/>
              <w:rPr>
                <w:sz w:val="24"/>
              </w:rPr>
            </w:pPr>
            <w:r>
              <w:rPr>
                <w:sz w:val="24"/>
              </w:rPr>
              <w:t>井场中心坐标：106°42′48.417″，40°25′45.892″</w:t>
            </w:r>
          </w:p>
        </w:tc>
      </w:tr>
      <w:tr w14:paraId="47BBB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23" w:hRule="atLeast"/>
          <w:jc w:val="center"/>
        </w:trPr>
        <w:tc>
          <w:tcPr>
            <w:tcW w:w="1807" w:type="dxa"/>
            <w:tcMar>
              <w:top w:w="16" w:type="dxa"/>
              <w:left w:w="16" w:type="dxa"/>
              <w:right w:w="16" w:type="dxa"/>
            </w:tcMar>
            <w:vAlign w:val="center"/>
          </w:tcPr>
          <w:p w14:paraId="62CC9BB8">
            <w:pPr>
              <w:adjustRightInd w:val="0"/>
              <w:snapToGrid w:val="0"/>
              <w:jc w:val="center"/>
              <w:rPr>
                <w:b/>
                <w:sz w:val="24"/>
                <w:szCs w:val="21"/>
              </w:rPr>
            </w:pPr>
            <w:r>
              <w:rPr>
                <w:b/>
                <w:sz w:val="24"/>
                <w:szCs w:val="21"/>
              </w:rPr>
              <w:t>建设项目</w:t>
            </w:r>
          </w:p>
          <w:p w14:paraId="5AA94E8D">
            <w:pPr>
              <w:adjustRightInd w:val="0"/>
              <w:snapToGrid w:val="0"/>
              <w:jc w:val="center"/>
              <w:rPr>
                <w:b/>
                <w:sz w:val="24"/>
                <w:szCs w:val="21"/>
              </w:rPr>
            </w:pPr>
            <w:r>
              <w:rPr>
                <w:b/>
                <w:sz w:val="24"/>
                <w:szCs w:val="21"/>
              </w:rPr>
              <w:t>行业类别</w:t>
            </w:r>
          </w:p>
        </w:tc>
        <w:tc>
          <w:tcPr>
            <w:tcW w:w="2289" w:type="dxa"/>
            <w:vAlign w:val="center"/>
          </w:tcPr>
          <w:p w14:paraId="5C9BC28E">
            <w:pPr>
              <w:adjustRightInd w:val="0"/>
              <w:snapToGrid w:val="0"/>
              <w:jc w:val="center"/>
              <w:rPr>
                <w:szCs w:val="21"/>
              </w:rPr>
            </w:pPr>
            <w:r>
              <w:rPr>
                <w:rFonts w:hint="eastAsia"/>
                <w:sz w:val="24"/>
              </w:rPr>
              <w:t>四十六、专业技术服务业99陆地矿产资源地质勘查（含油气资源勘探）中“全部”</w:t>
            </w:r>
          </w:p>
        </w:tc>
        <w:tc>
          <w:tcPr>
            <w:tcW w:w="1843" w:type="dxa"/>
            <w:vAlign w:val="center"/>
          </w:tcPr>
          <w:p w14:paraId="6DEBC606">
            <w:pPr>
              <w:adjustRightInd w:val="0"/>
              <w:snapToGrid w:val="0"/>
              <w:jc w:val="center"/>
              <w:rPr>
                <w:b/>
                <w:sz w:val="24"/>
              </w:rPr>
            </w:pPr>
            <w:r>
              <w:rPr>
                <w:b/>
                <w:sz w:val="24"/>
              </w:rPr>
              <w:t>用地（用海）面积（m</w:t>
            </w:r>
            <w:r>
              <w:rPr>
                <w:b/>
                <w:sz w:val="24"/>
                <w:vertAlign w:val="superscript"/>
              </w:rPr>
              <w:t>2</w:t>
            </w:r>
            <w:r>
              <w:rPr>
                <w:b/>
                <w:sz w:val="24"/>
              </w:rPr>
              <w:t>）/长度（km）</w:t>
            </w:r>
          </w:p>
        </w:tc>
        <w:tc>
          <w:tcPr>
            <w:tcW w:w="2931" w:type="dxa"/>
            <w:vAlign w:val="center"/>
          </w:tcPr>
          <w:p w14:paraId="76B1FE9B">
            <w:pPr>
              <w:adjustRightInd w:val="0"/>
              <w:snapToGrid w:val="0"/>
              <w:jc w:val="center"/>
              <w:rPr>
                <w:szCs w:val="21"/>
              </w:rPr>
            </w:pPr>
            <w:r>
              <w:rPr>
                <w:rFonts w:hint="eastAsia"/>
                <w:sz w:val="24"/>
              </w:rPr>
              <w:t>9983m</w:t>
            </w:r>
            <w:r>
              <w:rPr>
                <w:rFonts w:hint="eastAsia"/>
                <w:sz w:val="24"/>
                <w:vertAlign w:val="superscript"/>
              </w:rPr>
              <w:t>2</w:t>
            </w:r>
            <w:r>
              <w:rPr>
                <w:rFonts w:hint="eastAsia"/>
                <w:sz w:val="24"/>
              </w:rPr>
              <w:t>（临时用地）</w:t>
            </w:r>
          </w:p>
        </w:tc>
      </w:tr>
      <w:tr w14:paraId="6611E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 w:hRule="atLeast"/>
          <w:jc w:val="center"/>
        </w:trPr>
        <w:tc>
          <w:tcPr>
            <w:tcW w:w="1807" w:type="dxa"/>
            <w:tcMar>
              <w:top w:w="16" w:type="dxa"/>
              <w:left w:w="16" w:type="dxa"/>
              <w:right w:w="16" w:type="dxa"/>
            </w:tcMar>
            <w:vAlign w:val="center"/>
          </w:tcPr>
          <w:p w14:paraId="219B64E5">
            <w:pPr>
              <w:adjustRightInd w:val="0"/>
              <w:snapToGrid w:val="0"/>
              <w:jc w:val="center"/>
              <w:rPr>
                <w:b/>
                <w:sz w:val="24"/>
                <w:szCs w:val="21"/>
              </w:rPr>
            </w:pPr>
            <w:r>
              <w:rPr>
                <w:b/>
                <w:sz w:val="24"/>
                <w:szCs w:val="21"/>
              </w:rPr>
              <w:t>建设性质</w:t>
            </w:r>
          </w:p>
        </w:tc>
        <w:tc>
          <w:tcPr>
            <w:tcW w:w="2289" w:type="dxa"/>
            <w:vAlign w:val="center"/>
          </w:tcPr>
          <w:p w14:paraId="39326A21">
            <w:pPr>
              <w:adjustRightInd w:val="0"/>
              <w:snapToGrid w:val="0"/>
              <w:jc w:val="left"/>
              <w:rPr>
                <w:sz w:val="24"/>
              </w:rPr>
            </w:pPr>
            <w:r>
              <w:rPr>
                <w:rFonts w:hint="eastAsia" w:ascii="MS Mincho" w:hAnsi="MS Mincho" w:eastAsia="MS Mincho" w:cs="MS Mincho"/>
                <w:sz w:val="24"/>
              </w:rPr>
              <w:t>☑</w:t>
            </w:r>
            <w:r>
              <w:rPr>
                <w:sz w:val="24"/>
              </w:rPr>
              <w:t>新建（迁建）</w:t>
            </w:r>
          </w:p>
          <w:p w14:paraId="17DAA340">
            <w:pPr>
              <w:adjustRightInd w:val="0"/>
              <w:snapToGrid w:val="0"/>
              <w:jc w:val="left"/>
              <w:rPr>
                <w:sz w:val="24"/>
              </w:rPr>
            </w:pPr>
            <w:r>
              <w:rPr>
                <w:sz w:val="24"/>
              </w:rPr>
              <w:t>□改建</w:t>
            </w:r>
          </w:p>
          <w:p w14:paraId="4B52A1E7">
            <w:pPr>
              <w:adjustRightInd w:val="0"/>
              <w:snapToGrid w:val="0"/>
              <w:jc w:val="left"/>
              <w:rPr>
                <w:sz w:val="24"/>
              </w:rPr>
            </w:pPr>
            <w:r>
              <w:rPr>
                <w:sz w:val="24"/>
              </w:rPr>
              <w:t>□扩建</w:t>
            </w:r>
          </w:p>
          <w:p w14:paraId="4DF47F91">
            <w:pPr>
              <w:adjustRightInd w:val="0"/>
              <w:snapToGrid w:val="0"/>
              <w:jc w:val="left"/>
              <w:rPr>
                <w:sz w:val="24"/>
              </w:rPr>
            </w:pPr>
            <w:r>
              <w:rPr>
                <w:sz w:val="24"/>
              </w:rPr>
              <w:t>□技术改造</w:t>
            </w:r>
          </w:p>
        </w:tc>
        <w:tc>
          <w:tcPr>
            <w:tcW w:w="1843" w:type="dxa"/>
            <w:vAlign w:val="center"/>
          </w:tcPr>
          <w:p w14:paraId="36609B2B">
            <w:pPr>
              <w:adjustRightInd w:val="0"/>
              <w:snapToGrid w:val="0"/>
              <w:jc w:val="center"/>
              <w:rPr>
                <w:b/>
                <w:sz w:val="24"/>
              </w:rPr>
            </w:pPr>
            <w:r>
              <w:rPr>
                <w:b/>
                <w:sz w:val="24"/>
              </w:rPr>
              <w:t>建设项目</w:t>
            </w:r>
          </w:p>
          <w:p w14:paraId="1FF06ED2">
            <w:pPr>
              <w:adjustRightInd w:val="0"/>
              <w:snapToGrid w:val="0"/>
              <w:jc w:val="center"/>
              <w:rPr>
                <w:b/>
                <w:sz w:val="24"/>
              </w:rPr>
            </w:pPr>
            <w:r>
              <w:rPr>
                <w:b/>
                <w:sz w:val="24"/>
              </w:rPr>
              <w:t>申报情形</w:t>
            </w:r>
          </w:p>
        </w:tc>
        <w:tc>
          <w:tcPr>
            <w:tcW w:w="2931" w:type="dxa"/>
            <w:vAlign w:val="center"/>
          </w:tcPr>
          <w:p w14:paraId="13B8750C">
            <w:pPr>
              <w:adjustRightInd w:val="0"/>
              <w:snapToGrid w:val="0"/>
              <w:jc w:val="left"/>
              <w:rPr>
                <w:sz w:val="24"/>
              </w:rPr>
            </w:pPr>
            <w:r>
              <w:rPr>
                <w:rFonts w:hint="eastAsia" w:ascii="MS Mincho" w:hAnsi="MS Mincho" w:eastAsia="MS Mincho" w:cs="MS Mincho"/>
                <w:sz w:val="24"/>
              </w:rPr>
              <w:t>☑</w:t>
            </w:r>
            <w:r>
              <w:rPr>
                <w:sz w:val="24"/>
              </w:rPr>
              <w:t>首次申报项目</w:t>
            </w:r>
          </w:p>
          <w:p w14:paraId="54A6A032">
            <w:pPr>
              <w:adjustRightInd w:val="0"/>
              <w:snapToGrid w:val="0"/>
              <w:jc w:val="left"/>
              <w:rPr>
                <w:sz w:val="24"/>
              </w:rPr>
            </w:pPr>
            <w:r>
              <w:rPr>
                <w:sz w:val="24"/>
              </w:rPr>
              <w:t>□不予批准后再次申报项目</w:t>
            </w:r>
          </w:p>
          <w:p w14:paraId="23C5D0A3">
            <w:pPr>
              <w:adjustRightInd w:val="0"/>
              <w:snapToGrid w:val="0"/>
              <w:jc w:val="left"/>
              <w:rPr>
                <w:sz w:val="24"/>
              </w:rPr>
            </w:pPr>
            <w:r>
              <w:rPr>
                <w:sz w:val="24"/>
              </w:rPr>
              <w:t>□超五年重新审核项目</w:t>
            </w:r>
          </w:p>
          <w:p w14:paraId="310E3BC9">
            <w:pPr>
              <w:adjustRightInd w:val="0"/>
              <w:snapToGrid w:val="0"/>
              <w:rPr>
                <w:sz w:val="24"/>
              </w:rPr>
            </w:pPr>
            <w:r>
              <w:rPr>
                <w:sz w:val="24"/>
              </w:rPr>
              <w:t>□重大变动重新报批项目</w:t>
            </w:r>
          </w:p>
        </w:tc>
      </w:tr>
      <w:tr w14:paraId="0E6E6A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1807" w:type="dxa"/>
            <w:tcMar>
              <w:top w:w="16" w:type="dxa"/>
              <w:left w:w="16" w:type="dxa"/>
              <w:right w:w="16" w:type="dxa"/>
            </w:tcMar>
            <w:vAlign w:val="center"/>
          </w:tcPr>
          <w:p w14:paraId="3CD86118">
            <w:pPr>
              <w:adjustRightInd w:val="0"/>
              <w:snapToGrid w:val="0"/>
              <w:jc w:val="center"/>
              <w:rPr>
                <w:b/>
                <w:sz w:val="24"/>
                <w:szCs w:val="21"/>
              </w:rPr>
            </w:pPr>
            <w:r>
              <w:rPr>
                <w:b/>
                <w:sz w:val="24"/>
                <w:szCs w:val="21"/>
              </w:rPr>
              <w:t>项目审批（核准/备案）部门（选填）</w:t>
            </w:r>
          </w:p>
        </w:tc>
        <w:tc>
          <w:tcPr>
            <w:tcW w:w="2289" w:type="dxa"/>
            <w:vAlign w:val="center"/>
          </w:tcPr>
          <w:p w14:paraId="2BFB0C51">
            <w:pPr>
              <w:adjustRightInd w:val="0"/>
              <w:snapToGrid w:val="0"/>
              <w:jc w:val="center"/>
              <w:rPr>
                <w:szCs w:val="21"/>
              </w:rPr>
            </w:pPr>
            <w:r>
              <w:rPr>
                <w:rFonts w:hint="eastAsia"/>
                <w:szCs w:val="21"/>
              </w:rPr>
              <w:t>/</w:t>
            </w:r>
          </w:p>
        </w:tc>
        <w:tc>
          <w:tcPr>
            <w:tcW w:w="1843" w:type="dxa"/>
            <w:vAlign w:val="center"/>
          </w:tcPr>
          <w:p w14:paraId="526A79FF">
            <w:pPr>
              <w:adjustRightInd w:val="0"/>
              <w:snapToGrid w:val="0"/>
              <w:jc w:val="center"/>
              <w:rPr>
                <w:b/>
                <w:sz w:val="24"/>
              </w:rPr>
            </w:pPr>
            <w:r>
              <w:rPr>
                <w:b/>
                <w:sz w:val="24"/>
              </w:rPr>
              <w:t>项目审批（核准/</w:t>
            </w:r>
          </w:p>
          <w:p w14:paraId="57E31727">
            <w:pPr>
              <w:adjustRightInd w:val="0"/>
              <w:snapToGrid w:val="0"/>
              <w:jc w:val="center"/>
              <w:rPr>
                <w:b/>
                <w:sz w:val="24"/>
              </w:rPr>
            </w:pPr>
            <w:r>
              <w:rPr>
                <w:b/>
                <w:sz w:val="24"/>
              </w:rPr>
              <w:t>备案）文号（选填）</w:t>
            </w:r>
          </w:p>
        </w:tc>
        <w:tc>
          <w:tcPr>
            <w:tcW w:w="2931" w:type="dxa"/>
            <w:vAlign w:val="center"/>
          </w:tcPr>
          <w:p w14:paraId="00597033">
            <w:pPr>
              <w:adjustRightInd w:val="0"/>
              <w:snapToGrid w:val="0"/>
              <w:jc w:val="center"/>
              <w:rPr>
                <w:szCs w:val="21"/>
              </w:rPr>
            </w:pPr>
            <w:r>
              <w:rPr>
                <w:rFonts w:hint="eastAsia"/>
                <w:szCs w:val="21"/>
              </w:rPr>
              <w:t>/</w:t>
            </w:r>
          </w:p>
        </w:tc>
      </w:tr>
      <w:tr w14:paraId="4F72D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807" w:type="dxa"/>
            <w:tcMar>
              <w:top w:w="16" w:type="dxa"/>
              <w:left w:w="16" w:type="dxa"/>
              <w:right w:w="16" w:type="dxa"/>
            </w:tcMar>
            <w:vAlign w:val="center"/>
          </w:tcPr>
          <w:p w14:paraId="7881FDF6">
            <w:pPr>
              <w:adjustRightInd w:val="0"/>
              <w:snapToGrid w:val="0"/>
              <w:jc w:val="center"/>
              <w:rPr>
                <w:b/>
                <w:sz w:val="24"/>
                <w:szCs w:val="21"/>
              </w:rPr>
            </w:pPr>
            <w:r>
              <w:rPr>
                <w:b/>
                <w:sz w:val="24"/>
                <w:szCs w:val="21"/>
              </w:rPr>
              <w:t>总投资（万元）</w:t>
            </w:r>
          </w:p>
        </w:tc>
        <w:tc>
          <w:tcPr>
            <w:tcW w:w="2289" w:type="dxa"/>
            <w:vAlign w:val="center"/>
          </w:tcPr>
          <w:p w14:paraId="10521C30">
            <w:pPr>
              <w:adjustRightInd w:val="0"/>
              <w:snapToGrid w:val="0"/>
              <w:jc w:val="center"/>
              <w:rPr>
                <w:sz w:val="24"/>
              </w:rPr>
            </w:pPr>
            <w:r>
              <w:rPr>
                <w:rFonts w:hint="eastAsia"/>
                <w:sz w:val="24"/>
              </w:rPr>
              <w:t>2800</w:t>
            </w:r>
          </w:p>
        </w:tc>
        <w:tc>
          <w:tcPr>
            <w:tcW w:w="1843" w:type="dxa"/>
            <w:tcMar>
              <w:top w:w="16" w:type="dxa"/>
              <w:left w:w="16" w:type="dxa"/>
              <w:right w:w="16" w:type="dxa"/>
            </w:tcMar>
            <w:vAlign w:val="center"/>
          </w:tcPr>
          <w:p w14:paraId="76E29604">
            <w:pPr>
              <w:adjustRightInd w:val="0"/>
              <w:snapToGrid w:val="0"/>
              <w:jc w:val="center"/>
              <w:rPr>
                <w:b/>
                <w:sz w:val="24"/>
              </w:rPr>
            </w:pPr>
            <w:r>
              <w:rPr>
                <w:b/>
                <w:sz w:val="24"/>
              </w:rPr>
              <w:t>环保投资（万元）</w:t>
            </w:r>
          </w:p>
        </w:tc>
        <w:tc>
          <w:tcPr>
            <w:tcW w:w="2931" w:type="dxa"/>
            <w:vAlign w:val="center"/>
          </w:tcPr>
          <w:p w14:paraId="10BB76A4">
            <w:pPr>
              <w:adjustRightInd w:val="0"/>
              <w:snapToGrid w:val="0"/>
              <w:jc w:val="center"/>
              <w:rPr>
                <w:sz w:val="24"/>
              </w:rPr>
            </w:pPr>
            <w:r>
              <w:rPr>
                <w:rFonts w:hint="eastAsia"/>
                <w:sz w:val="24"/>
              </w:rPr>
              <w:t>195</w:t>
            </w:r>
          </w:p>
        </w:tc>
      </w:tr>
      <w:tr w14:paraId="0463B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807" w:type="dxa"/>
            <w:tcMar>
              <w:top w:w="16" w:type="dxa"/>
              <w:left w:w="16" w:type="dxa"/>
              <w:right w:w="16" w:type="dxa"/>
            </w:tcMar>
            <w:vAlign w:val="center"/>
          </w:tcPr>
          <w:p w14:paraId="1CA8FAD6">
            <w:pPr>
              <w:adjustRightInd w:val="0"/>
              <w:snapToGrid w:val="0"/>
              <w:jc w:val="center"/>
              <w:rPr>
                <w:b/>
                <w:sz w:val="24"/>
                <w:szCs w:val="21"/>
              </w:rPr>
            </w:pPr>
            <w:r>
              <w:rPr>
                <w:b/>
                <w:sz w:val="24"/>
                <w:szCs w:val="21"/>
              </w:rPr>
              <w:t>环保投资占比（%）</w:t>
            </w:r>
          </w:p>
        </w:tc>
        <w:tc>
          <w:tcPr>
            <w:tcW w:w="2289" w:type="dxa"/>
            <w:vAlign w:val="center"/>
          </w:tcPr>
          <w:p w14:paraId="5CC6025A">
            <w:pPr>
              <w:adjustRightInd w:val="0"/>
              <w:snapToGrid w:val="0"/>
              <w:jc w:val="center"/>
              <w:rPr>
                <w:sz w:val="24"/>
              </w:rPr>
            </w:pPr>
            <w:r>
              <w:rPr>
                <w:rFonts w:hint="eastAsia"/>
                <w:sz w:val="24"/>
              </w:rPr>
              <w:t>6.96</w:t>
            </w:r>
          </w:p>
        </w:tc>
        <w:tc>
          <w:tcPr>
            <w:tcW w:w="1843" w:type="dxa"/>
            <w:tcMar>
              <w:top w:w="16" w:type="dxa"/>
              <w:left w:w="16" w:type="dxa"/>
              <w:right w:w="16" w:type="dxa"/>
            </w:tcMar>
            <w:vAlign w:val="center"/>
          </w:tcPr>
          <w:p w14:paraId="2565669B">
            <w:pPr>
              <w:adjustRightInd w:val="0"/>
              <w:snapToGrid w:val="0"/>
              <w:jc w:val="center"/>
              <w:rPr>
                <w:b/>
                <w:sz w:val="24"/>
              </w:rPr>
            </w:pPr>
            <w:r>
              <w:rPr>
                <w:b/>
                <w:sz w:val="24"/>
              </w:rPr>
              <w:t>施工工期（月）</w:t>
            </w:r>
          </w:p>
        </w:tc>
        <w:tc>
          <w:tcPr>
            <w:tcW w:w="2931" w:type="dxa"/>
            <w:vAlign w:val="center"/>
          </w:tcPr>
          <w:p w14:paraId="1450EC94">
            <w:pPr>
              <w:adjustRightInd w:val="0"/>
              <w:snapToGrid w:val="0"/>
              <w:jc w:val="center"/>
              <w:rPr>
                <w:sz w:val="24"/>
              </w:rPr>
            </w:pPr>
            <w:r>
              <w:rPr>
                <w:rFonts w:hint="eastAsia"/>
                <w:sz w:val="24"/>
              </w:rPr>
              <w:t>6.0（折合180天）</w:t>
            </w:r>
          </w:p>
        </w:tc>
      </w:tr>
      <w:tr w14:paraId="608F6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2" w:hRule="atLeast"/>
          <w:jc w:val="center"/>
        </w:trPr>
        <w:tc>
          <w:tcPr>
            <w:tcW w:w="1807" w:type="dxa"/>
            <w:tcMar>
              <w:top w:w="16" w:type="dxa"/>
              <w:left w:w="16" w:type="dxa"/>
              <w:right w:w="16" w:type="dxa"/>
            </w:tcMar>
            <w:vAlign w:val="center"/>
          </w:tcPr>
          <w:p w14:paraId="124F28DF">
            <w:pPr>
              <w:adjustRightInd w:val="0"/>
              <w:snapToGrid w:val="0"/>
              <w:jc w:val="center"/>
              <w:rPr>
                <w:b/>
                <w:sz w:val="24"/>
                <w:szCs w:val="21"/>
              </w:rPr>
            </w:pPr>
            <w:r>
              <w:rPr>
                <w:b/>
                <w:sz w:val="24"/>
                <w:szCs w:val="21"/>
              </w:rPr>
              <w:t>是否开工建设</w:t>
            </w:r>
          </w:p>
        </w:tc>
        <w:tc>
          <w:tcPr>
            <w:tcW w:w="7063" w:type="dxa"/>
            <w:gridSpan w:val="3"/>
            <w:vAlign w:val="center"/>
          </w:tcPr>
          <w:p w14:paraId="6FF4D0AF">
            <w:pPr>
              <w:adjustRightInd w:val="0"/>
              <w:snapToGrid w:val="0"/>
              <w:ind w:firstLine="105"/>
              <w:jc w:val="left"/>
              <w:rPr>
                <w:sz w:val="24"/>
              </w:rPr>
            </w:pPr>
            <w:r>
              <w:rPr>
                <w:rFonts w:hint="eastAsia" w:ascii="MS Mincho" w:hAnsi="MS Mincho" w:eastAsia="MS Mincho" w:cs="MS Mincho"/>
                <w:sz w:val="24"/>
              </w:rPr>
              <w:t>☑</w:t>
            </w:r>
            <w:r>
              <w:rPr>
                <w:sz w:val="24"/>
              </w:rPr>
              <w:t>否</w:t>
            </w:r>
          </w:p>
          <w:p w14:paraId="3F0EDB85">
            <w:pPr>
              <w:adjustRightInd w:val="0"/>
              <w:snapToGrid w:val="0"/>
              <w:ind w:firstLine="92"/>
              <w:jc w:val="left"/>
              <w:rPr>
                <w:sz w:val="24"/>
              </w:rPr>
            </w:pPr>
            <w:r>
              <w:rPr>
                <w:sz w:val="24"/>
              </w:rPr>
              <w:t>□是：</w:t>
            </w:r>
            <w:r>
              <w:rPr>
                <w:sz w:val="24"/>
                <w:u w:val="single"/>
              </w:rPr>
              <w:t xml:space="preserve">                             </w:t>
            </w:r>
          </w:p>
        </w:tc>
      </w:tr>
      <w:tr w14:paraId="39316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07" w:type="dxa"/>
            <w:tcMar>
              <w:top w:w="16" w:type="dxa"/>
              <w:left w:w="16" w:type="dxa"/>
              <w:right w:w="16" w:type="dxa"/>
            </w:tcMar>
            <w:vAlign w:val="center"/>
          </w:tcPr>
          <w:p w14:paraId="12344120">
            <w:pPr>
              <w:autoSpaceDE w:val="0"/>
              <w:autoSpaceDN w:val="0"/>
              <w:adjustRightInd w:val="0"/>
              <w:snapToGrid w:val="0"/>
              <w:jc w:val="center"/>
              <w:rPr>
                <w:b/>
                <w:kern w:val="0"/>
                <w:sz w:val="24"/>
                <w:szCs w:val="21"/>
              </w:rPr>
            </w:pPr>
            <w:r>
              <w:rPr>
                <w:b/>
                <w:kern w:val="0"/>
                <w:sz w:val="24"/>
                <w:szCs w:val="21"/>
              </w:rPr>
              <w:t>专项评价设置情况</w:t>
            </w:r>
          </w:p>
        </w:tc>
        <w:tc>
          <w:tcPr>
            <w:tcW w:w="7063" w:type="dxa"/>
            <w:gridSpan w:val="3"/>
            <w:tcMar>
              <w:top w:w="16" w:type="dxa"/>
              <w:left w:w="16" w:type="dxa"/>
              <w:right w:w="16" w:type="dxa"/>
            </w:tcMar>
            <w:vAlign w:val="center"/>
          </w:tcPr>
          <w:p w14:paraId="605A0F47">
            <w:pPr>
              <w:autoSpaceDE w:val="0"/>
              <w:autoSpaceDN w:val="0"/>
              <w:adjustRightInd w:val="0"/>
              <w:snapToGrid w:val="0"/>
              <w:spacing w:line="360" w:lineRule="auto"/>
              <w:ind w:firstLine="480" w:firstLineChars="200"/>
              <w:rPr>
                <w:kern w:val="0"/>
                <w:sz w:val="24"/>
              </w:rPr>
            </w:pPr>
            <w:r>
              <w:rPr>
                <w:rFonts w:hint="eastAsia"/>
                <w:kern w:val="0"/>
                <w:sz w:val="24"/>
              </w:rPr>
              <w:t>依据《建设项目环境影响报告表编制技术指南（生态影响类）（试行）》中表1，专项评价设置情况如下表所示。</w:t>
            </w:r>
          </w:p>
          <w:p w14:paraId="53D22C23">
            <w:pPr>
              <w:jc w:val="center"/>
              <w:rPr>
                <w:b/>
                <w:sz w:val="24"/>
                <w:szCs w:val="21"/>
              </w:rPr>
            </w:pPr>
            <w:r>
              <w:rPr>
                <w:b/>
                <w:sz w:val="24"/>
                <w:szCs w:val="21"/>
              </w:rPr>
              <w:t>表1-1</w:t>
            </w:r>
            <w:r>
              <w:rPr>
                <w:rFonts w:hint="eastAsia"/>
                <w:b/>
                <w:sz w:val="24"/>
                <w:szCs w:val="21"/>
              </w:rPr>
              <w:t xml:space="preserve"> 专项评价设置原则表</w:t>
            </w:r>
          </w:p>
          <w:tbl>
            <w:tblPr>
              <w:tblStyle w:val="30"/>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4820"/>
              <w:gridCol w:w="1214"/>
            </w:tblGrid>
            <w:tr w14:paraId="34234B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pct"/>
                  <w:shd w:val="clear" w:color="auto" w:fill="auto"/>
                  <w:tcMar>
                    <w:left w:w="0" w:type="dxa"/>
                    <w:right w:w="0" w:type="dxa"/>
                  </w:tcMar>
                  <w:vAlign w:val="center"/>
                </w:tcPr>
                <w:p w14:paraId="7E9DD11D">
                  <w:pPr>
                    <w:widowControl/>
                    <w:snapToGrid w:val="0"/>
                    <w:jc w:val="center"/>
                    <w:rPr>
                      <w:bCs/>
                      <w:szCs w:val="21"/>
                    </w:rPr>
                  </w:pPr>
                  <w:r>
                    <w:rPr>
                      <w:rFonts w:hint="eastAsia"/>
                      <w:bCs/>
                      <w:szCs w:val="21"/>
                    </w:rPr>
                    <w:t>专项评价的类别</w:t>
                  </w:r>
                </w:p>
              </w:tc>
              <w:tc>
                <w:tcPr>
                  <w:tcW w:w="3428" w:type="pct"/>
                  <w:shd w:val="clear" w:color="auto" w:fill="auto"/>
                  <w:tcMar>
                    <w:left w:w="0" w:type="dxa"/>
                    <w:right w:w="0" w:type="dxa"/>
                  </w:tcMar>
                  <w:vAlign w:val="center"/>
                </w:tcPr>
                <w:p w14:paraId="40BDCE77">
                  <w:pPr>
                    <w:widowControl/>
                    <w:snapToGrid w:val="0"/>
                    <w:jc w:val="center"/>
                    <w:rPr>
                      <w:bCs/>
                      <w:szCs w:val="21"/>
                    </w:rPr>
                  </w:pPr>
                  <w:r>
                    <w:rPr>
                      <w:bCs/>
                      <w:szCs w:val="21"/>
                    </w:rPr>
                    <w:t>涉及项目类别</w:t>
                  </w:r>
                </w:p>
              </w:tc>
              <w:tc>
                <w:tcPr>
                  <w:tcW w:w="863" w:type="pct"/>
                  <w:shd w:val="clear" w:color="auto" w:fill="auto"/>
                  <w:tcMar>
                    <w:left w:w="0" w:type="dxa"/>
                    <w:right w:w="0" w:type="dxa"/>
                  </w:tcMar>
                  <w:vAlign w:val="center"/>
                </w:tcPr>
                <w:p w14:paraId="3CC687E6">
                  <w:pPr>
                    <w:widowControl/>
                    <w:snapToGrid w:val="0"/>
                    <w:jc w:val="center"/>
                    <w:rPr>
                      <w:bCs/>
                      <w:szCs w:val="21"/>
                    </w:rPr>
                  </w:pPr>
                  <w:r>
                    <w:rPr>
                      <w:bCs/>
                      <w:szCs w:val="21"/>
                    </w:rPr>
                    <w:t>项目情况</w:t>
                  </w:r>
                </w:p>
              </w:tc>
            </w:tr>
            <w:tr w14:paraId="6FFDCA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pct"/>
                  <w:shd w:val="clear" w:color="auto" w:fill="auto"/>
                  <w:tcMar>
                    <w:left w:w="0" w:type="dxa"/>
                    <w:right w:w="0" w:type="dxa"/>
                  </w:tcMar>
                  <w:vAlign w:val="center"/>
                </w:tcPr>
                <w:p w14:paraId="598186C9">
                  <w:pPr>
                    <w:widowControl/>
                    <w:snapToGrid w:val="0"/>
                    <w:jc w:val="center"/>
                    <w:rPr>
                      <w:bCs/>
                      <w:szCs w:val="21"/>
                    </w:rPr>
                  </w:pPr>
                  <w:r>
                    <w:rPr>
                      <w:bCs/>
                      <w:szCs w:val="21"/>
                    </w:rPr>
                    <w:t>地表水</w:t>
                  </w:r>
                </w:p>
              </w:tc>
              <w:tc>
                <w:tcPr>
                  <w:tcW w:w="3428" w:type="pct"/>
                  <w:shd w:val="clear" w:color="auto" w:fill="auto"/>
                  <w:tcMar>
                    <w:left w:w="0" w:type="dxa"/>
                    <w:right w:w="0" w:type="dxa"/>
                  </w:tcMar>
                  <w:vAlign w:val="center"/>
                </w:tcPr>
                <w:p w14:paraId="5AD25E8D">
                  <w:pPr>
                    <w:widowControl/>
                    <w:snapToGrid w:val="0"/>
                    <w:jc w:val="left"/>
                    <w:rPr>
                      <w:bCs/>
                      <w:szCs w:val="21"/>
                    </w:rPr>
                  </w:pPr>
                  <w:r>
                    <w:rPr>
                      <w:rFonts w:hint="eastAsia"/>
                      <w:bCs/>
                      <w:szCs w:val="21"/>
                    </w:rPr>
                    <w:t>水力发电：引水式发电、涉及调峰发电的项目；</w:t>
                  </w:r>
                </w:p>
                <w:p w14:paraId="173BF926">
                  <w:pPr>
                    <w:widowControl/>
                    <w:snapToGrid w:val="0"/>
                    <w:jc w:val="left"/>
                    <w:rPr>
                      <w:bCs/>
                      <w:szCs w:val="21"/>
                    </w:rPr>
                  </w:pPr>
                  <w:r>
                    <w:rPr>
                      <w:rFonts w:hint="eastAsia"/>
                      <w:bCs/>
                      <w:szCs w:val="21"/>
                    </w:rPr>
                    <w:t>人工湖、人工湿地：全部；</w:t>
                  </w:r>
                </w:p>
                <w:p w14:paraId="11FAFB3C">
                  <w:pPr>
                    <w:widowControl/>
                    <w:snapToGrid w:val="0"/>
                    <w:jc w:val="left"/>
                    <w:rPr>
                      <w:bCs/>
                      <w:szCs w:val="21"/>
                    </w:rPr>
                  </w:pPr>
                  <w:r>
                    <w:rPr>
                      <w:rFonts w:hint="eastAsia"/>
                      <w:bCs/>
                      <w:szCs w:val="21"/>
                    </w:rPr>
                    <w:t>水库：全部；</w:t>
                  </w:r>
                </w:p>
                <w:p w14:paraId="7DC5B8A7">
                  <w:pPr>
                    <w:widowControl/>
                    <w:snapToGrid w:val="0"/>
                    <w:jc w:val="left"/>
                    <w:rPr>
                      <w:bCs/>
                      <w:szCs w:val="21"/>
                    </w:rPr>
                  </w:pPr>
                  <w:r>
                    <w:rPr>
                      <w:rFonts w:hint="eastAsia"/>
                      <w:bCs/>
                      <w:szCs w:val="21"/>
                    </w:rPr>
                    <w:t>引水工程：全部（配套的管线工程等除外）；</w:t>
                  </w:r>
                </w:p>
                <w:p w14:paraId="4AAB385D">
                  <w:pPr>
                    <w:widowControl/>
                    <w:snapToGrid w:val="0"/>
                    <w:jc w:val="left"/>
                    <w:rPr>
                      <w:bCs/>
                      <w:szCs w:val="21"/>
                    </w:rPr>
                  </w:pPr>
                  <w:r>
                    <w:rPr>
                      <w:rFonts w:hint="eastAsia"/>
                      <w:bCs/>
                      <w:szCs w:val="21"/>
                    </w:rPr>
                    <w:t>防洪除涝工程：包含水库的项目；</w:t>
                  </w:r>
                </w:p>
                <w:p w14:paraId="226ADF9D">
                  <w:pPr>
                    <w:widowControl/>
                    <w:snapToGrid w:val="0"/>
                    <w:jc w:val="left"/>
                    <w:rPr>
                      <w:bCs/>
                      <w:szCs w:val="21"/>
                    </w:rPr>
                  </w:pPr>
                  <w:r>
                    <w:rPr>
                      <w:rFonts w:hint="eastAsia"/>
                      <w:bCs/>
                      <w:szCs w:val="21"/>
                    </w:rPr>
                    <w:t>河湖整治：涉及清淤且底泥存在重金属污染的项目</w:t>
                  </w:r>
                </w:p>
              </w:tc>
              <w:tc>
                <w:tcPr>
                  <w:tcW w:w="863" w:type="pct"/>
                  <w:shd w:val="clear" w:color="auto" w:fill="auto"/>
                  <w:tcMar>
                    <w:left w:w="0" w:type="dxa"/>
                    <w:right w:w="0" w:type="dxa"/>
                  </w:tcMar>
                  <w:vAlign w:val="center"/>
                </w:tcPr>
                <w:p w14:paraId="1B3FBC72">
                  <w:pPr>
                    <w:widowControl/>
                    <w:snapToGrid w:val="0"/>
                    <w:jc w:val="center"/>
                    <w:rPr>
                      <w:bCs/>
                      <w:szCs w:val="21"/>
                    </w:rPr>
                  </w:pPr>
                  <w:r>
                    <w:rPr>
                      <w:bCs/>
                      <w:szCs w:val="21"/>
                    </w:rPr>
                    <w:t>项目不涉及。</w:t>
                  </w:r>
                </w:p>
              </w:tc>
            </w:tr>
            <w:tr w14:paraId="2BE151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09" w:type="pct"/>
                  <w:shd w:val="clear" w:color="auto" w:fill="auto"/>
                  <w:tcMar>
                    <w:left w:w="0" w:type="dxa"/>
                    <w:right w:w="0" w:type="dxa"/>
                  </w:tcMar>
                  <w:vAlign w:val="center"/>
                </w:tcPr>
                <w:p w14:paraId="35A93310">
                  <w:pPr>
                    <w:widowControl/>
                    <w:snapToGrid w:val="0"/>
                    <w:jc w:val="center"/>
                    <w:rPr>
                      <w:bCs/>
                      <w:szCs w:val="21"/>
                    </w:rPr>
                  </w:pPr>
                  <w:r>
                    <w:rPr>
                      <w:bCs/>
                      <w:szCs w:val="21"/>
                    </w:rPr>
                    <w:t>地下水</w:t>
                  </w:r>
                </w:p>
              </w:tc>
              <w:tc>
                <w:tcPr>
                  <w:tcW w:w="3428" w:type="pct"/>
                  <w:shd w:val="clear" w:color="auto" w:fill="auto"/>
                  <w:tcMar>
                    <w:left w:w="0" w:type="dxa"/>
                    <w:right w:w="0" w:type="dxa"/>
                  </w:tcMar>
                  <w:vAlign w:val="center"/>
                </w:tcPr>
                <w:p w14:paraId="6E9E3CC0">
                  <w:pPr>
                    <w:widowControl/>
                    <w:snapToGrid w:val="0"/>
                    <w:jc w:val="left"/>
                    <w:rPr>
                      <w:bCs/>
                      <w:szCs w:val="21"/>
                    </w:rPr>
                  </w:pPr>
                  <w:r>
                    <w:rPr>
                      <w:rFonts w:hint="eastAsia"/>
                      <w:bCs/>
                      <w:szCs w:val="21"/>
                    </w:rPr>
                    <w:t>陆地石油和天然气开采：全部；</w:t>
                  </w:r>
                </w:p>
                <w:p w14:paraId="2DCA85E7">
                  <w:pPr>
                    <w:widowControl/>
                    <w:snapToGrid w:val="0"/>
                    <w:jc w:val="left"/>
                    <w:rPr>
                      <w:bCs/>
                      <w:szCs w:val="21"/>
                    </w:rPr>
                  </w:pPr>
                  <w:r>
                    <w:rPr>
                      <w:rFonts w:hint="eastAsia"/>
                      <w:bCs/>
                      <w:szCs w:val="21"/>
                    </w:rPr>
                    <w:t>地下水（含矿泉水）开采：全部；</w:t>
                  </w:r>
                </w:p>
                <w:p w14:paraId="6BC2EB1C">
                  <w:pPr>
                    <w:widowControl/>
                    <w:snapToGrid w:val="0"/>
                    <w:jc w:val="left"/>
                    <w:rPr>
                      <w:bCs/>
                      <w:szCs w:val="21"/>
                    </w:rPr>
                  </w:pPr>
                  <w:r>
                    <w:rPr>
                      <w:rFonts w:hint="eastAsia"/>
                      <w:bCs/>
                      <w:szCs w:val="21"/>
                    </w:rPr>
                    <w:t>水利、水电、交通等：含穿越可溶岩地层隧道的项目</w:t>
                  </w:r>
                </w:p>
              </w:tc>
              <w:tc>
                <w:tcPr>
                  <w:tcW w:w="863" w:type="pct"/>
                  <w:shd w:val="clear" w:color="auto" w:fill="auto"/>
                  <w:tcMar>
                    <w:left w:w="0" w:type="dxa"/>
                    <w:right w:w="0" w:type="dxa"/>
                  </w:tcMar>
                  <w:vAlign w:val="center"/>
                </w:tcPr>
                <w:p w14:paraId="6629446B">
                  <w:pPr>
                    <w:widowControl/>
                    <w:snapToGrid w:val="0"/>
                    <w:jc w:val="center"/>
                    <w:rPr>
                      <w:bCs/>
                      <w:szCs w:val="21"/>
                    </w:rPr>
                  </w:pPr>
                  <w:r>
                    <w:rPr>
                      <w:bCs/>
                      <w:szCs w:val="21"/>
                    </w:rPr>
                    <w:t>项目不涉及。</w:t>
                  </w:r>
                </w:p>
              </w:tc>
            </w:tr>
            <w:tr w14:paraId="17E3B2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pct"/>
                  <w:shd w:val="clear" w:color="auto" w:fill="auto"/>
                  <w:tcMar>
                    <w:left w:w="0" w:type="dxa"/>
                    <w:right w:w="0" w:type="dxa"/>
                  </w:tcMar>
                  <w:vAlign w:val="center"/>
                </w:tcPr>
                <w:p w14:paraId="655D05C5">
                  <w:pPr>
                    <w:widowControl/>
                    <w:snapToGrid w:val="0"/>
                    <w:jc w:val="center"/>
                    <w:rPr>
                      <w:bCs/>
                      <w:szCs w:val="21"/>
                    </w:rPr>
                  </w:pPr>
                  <w:r>
                    <w:rPr>
                      <w:bCs/>
                      <w:szCs w:val="21"/>
                    </w:rPr>
                    <w:t>生态</w:t>
                  </w:r>
                </w:p>
              </w:tc>
              <w:tc>
                <w:tcPr>
                  <w:tcW w:w="3428" w:type="pct"/>
                  <w:shd w:val="clear" w:color="auto" w:fill="auto"/>
                  <w:tcMar>
                    <w:left w:w="0" w:type="dxa"/>
                    <w:right w:w="0" w:type="dxa"/>
                  </w:tcMar>
                  <w:vAlign w:val="center"/>
                </w:tcPr>
                <w:p w14:paraId="038C9F38">
                  <w:pPr>
                    <w:widowControl/>
                    <w:snapToGrid w:val="0"/>
                    <w:jc w:val="left"/>
                    <w:rPr>
                      <w:bCs/>
                      <w:szCs w:val="21"/>
                    </w:rPr>
                  </w:pPr>
                  <w:r>
                    <w:rPr>
                      <w:rFonts w:hint="eastAsia"/>
                      <w:bCs/>
                      <w:szCs w:val="21"/>
                    </w:rPr>
                    <w:t>涉及环境敏感区（不包括饮用水水源保护区，以居住、医疗卫生、文化教育、科研、行政办公为主要功能的区域，以及文物保护单位）的项目</w:t>
                  </w:r>
                </w:p>
              </w:tc>
              <w:tc>
                <w:tcPr>
                  <w:tcW w:w="863" w:type="pct"/>
                  <w:shd w:val="clear" w:color="auto" w:fill="auto"/>
                  <w:tcMar>
                    <w:left w:w="0" w:type="dxa"/>
                    <w:right w:w="0" w:type="dxa"/>
                  </w:tcMar>
                  <w:vAlign w:val="center"/>
                </w:tcPr>
                <w:p w14:paraId="05BBBF25">
                  <w:pPr>
                    <w:widowControl/>
                    <w:snapToGrid w:val="0"/>
                    <w:jc w:val="left"/>
                    <w:rPr>
                      <w:bCs/>
                      <w:szCs w:val="21"/>
                    </w:rPr>
                  </w:pPr>
                  <w:r>
                    <w:rPr>
                      <w:rFonts w:hint="eastAsia"/>
                      <w:bCs/>
                      <w:szCs w:val="21"/>
                    </w:rPr>
                    <w:t>无针对项目类别所列的环境敏感区</w:t>
                  </w:r>
                  <w:r>
                    <w:rPr>
                      <w:bCs/>
                      <w:szCs w:val="21"/>
                    </w:rPr>
                    <w:t>。</w:t>
                  </w:r>
                </w:p>
              </w:tc>
            </w:tr>
            <w:tr w14:paraId="6F44E7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pct"/>
                  <w:shd w:val="clear" w:color="auto" w:fill="auto"/>
                  <w:tcMar>
                    <w:left w:w="0" w:type="dxa"/>
                    <w:right w:w="0" w:type="dxa"/>
                  </w:tcMar>
                  <w:vAlign w:val="center"/>
                </w:tcPr>
                <w:p w14:paraId="6FC36F0F">
                  <w:pPr>
                    <w:widowControl/>
                    <w:snapToGrid w:val="0"/>
                    <w:jc w:val="center"/>
                    <w:rPr>
                      <w:bCs/>
                      <w:szCs w:val="21"/>
                    </w:rPr>
                  </w:pPr>
                  <w:r>
                    <w:rPr>
                      <w:bCs/>
                      <w:szCs w:val="21"/>
                    </w:rPr>
                    <w:t>大气</w:t>
                  </w:r>
                </w:p>
              </w:tc>
              <w:tc>
                <w:tcPr>
                  <w:tcW w:w="3428" w:type="pct"/>
                  <w:shd w:val="clear" w:color="auto" w:fill="auto"/>
                  <w:tcMar>
                    <w:left w:w="0" w:type="dxa"/>
                    <w:right w:w="0" w:type="dxa"/>
                  </w:tcMar>
                  <w:vAlign w:val="center"/>
                </w:tcPr>
                <w:p w14:paraId="4030735E">
                  <w:pPr>
                    <w:widowControl/>
                    <w:snapToGrid w:val="0"/>
                    <w:jc w:val="left"/>
                    <w:rPr>
                      <w:bCs/>
                      <w:szCs w:val="21"/>
                    </w:rPr>
                  </w:pPr>
                  <w:r>
                    <w:rPr>
                      <w:rFonts w:hint="eastAsia"/>
                      <w:bCs/>
                      <w:szCs w:val="21"/>
                    </w:rPr>
                    <w:t>油气、液体化工码头：全部；</w:t>
                  </w:r>
                </w:p>
                <w:p w14:paraId="4FF80432">
                  <w:pPr>
                    <w:widowControl/>
                    <w:snapToGrid w:val="0"/>
                    <w:jc w:val="left"/>
                    <w:rPr>
                      <w:bCs/>
                      <w:szCs w:val="21"/>
                    </w:rPr>
                  </w:pPr>
                  <w:r>
                    <w:rPr>
                      <w:rFonts w:hint="eastAsia"/>
                      <w:bCs/>
                      <w:szCs w:val="21"/>
                    </w:rPr>
                    <w:t>干散货（含煤炭、矿石）、件杂、多用途、通用码头：涉及粉尘、挥发性有机物排放的项目</w:t>
                  </w:r>
                </w:p>
              </w:tc>
              <w:tc>
                <w:tcPr>
                  <w:tcW w:w="863" w:type="pct"/>
                  <w:shd w:val="clear" w:color="auto" w:fill="auto"/>
                  <w:tcMar>
                    <w:left w:w="0" w:type="dxa"/>
                    <w:right w:w="0" w:type="dxa"/>
                  </w:tcMar>
                  <w:vAlign w:val="center"/>
                </w:tcPr>
                <w:p w14:paraId="531B99DB">
                  <w:pPr>
                    <w:widowControl/>
                    <w:snapToGrid w:val="0"/>
                    <w:jc w:val="center"/>
                    <w:rPr>
                      <w:bCs/>
                      <w:szCs w:val="21"/>
                    </w:rPr>
                  </w:pPr>
                  <w:r>
                    <w:rPr>
                      <w:bCs/>
                      <w:szCs w:val="21"/>
                    </w:rPr>
                    <w:t>项目不涉及。</w:t>
                  </w:r>
                </w:p>
              </w:tc>
            </w:tr>
            <w:tr w14:paraId="25F5AC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pct"/>
                  <w:shd w:val="clear" w:color="auto" w:fill="auto"/>
                  <w:tcMar>
                    <w:left w:w="0" w:type="dxa"/>
                    <w:right w:w="0" w:type="dxa"/>
                  </w:tcMar>
                  <w:vAlign w:val="center"/>
                </w:tcPr>
                <w:p w14:paraId="5A8AAC5A">
                  <w:pPr>
                    <w:widowControl/>
                    <w:snapToGrid w:val="0"/>
                    <w:jc w:val="center"/>
                    <w:rPr>
                      <w:bCs/>
                      <w:szCs w:val="21"/>
                    </w:rPr>
                  </w:pPr>
                  <w:r>
                    <w:rPr>
                      <w:bCs/>
                      <w:szCs w:val="21"/>
                    </w:rPr>
                    <w:t>噪声</w:t>
                  </w:r>
                </w:p>
              </w:tc>
              <w:tc>
                <w:tcPr>
                  <w:tcW w:w="3428" w:type="pct"/>
                  <w:shd w:val="clear" w:color="auto" w:fill="auto"/>
                  <w:tcMar>
                    <w:left w:w="0" w:type="dxa"/>
                    <w:right w:w="0" w:type="dxa"/>
                  </w:tcMar>
                  <w:vAlign w:val="center"/>
                </w:tcPr>
                <w:p w14:paraId="7298667B">
                  <w:pPr>
                    <w:widowControl/>
                    <w:snapToGrid w:val="0"/>
                    <w:jc w:val="left"/>
                    <w:rPr>
                      <w:bCs/>
                      <w:szCs w:val="21"/>
                    </w:rPr>
                  </w:pPr>
                  <w:r>
                    <w:rPr>
                      <w:rFonts w:hint="eastAsia"/>
                      <w:bCs/>
                      <w:szCs w:val="21"/>
                    </w:rPr>
                    <w:t>公路、铁路、机场等交通运输业涉及环境敏感区（以居住、医疗卫生、文化教育、科研、行政办公为主要功能的区域）的项目；</w:t>
                  </w:r>
                </w:p>
                <w:p w14:paraId="647612E9">
                  <w:pPr>
                    <w:widowControl/>
                    <w:snapToGrid w:val="0"/>
                    <w:jc w:val="left"/>
                    <w:rPr>
                      <w:bCs/>
                      <w:szCs w:val="21"/>
                    </w:rPr>
                  </w:pPr>
                  <w:r>
                    <w:rPr>
                      <w:rFonts w:hint="eastAsia"/>
                      <w:bCs/>
                      <w:szCs w:val="21"/>
                    </w:rPr>
                    <w:t>城市道路（不含维护，不含支路、人行天桥、人行地道）：全部</w:t>
                  </w:r>
                </w:p>
              </w:tc>
              <w:tc>
                <w:tcPr>
                  <w:tcW w:w="863" w:type="pct"/>
                  <w:shd w:val="clear" w:color="auto" w:fill="auto"/>
                  <w:tcMar>
                    <w:left w:w="0" w:type="dxa"/>
                    <w:right w:w="0" w:type="dxa"/>
                  </w:tcMar>
                  <w:vAlign w:val="center"/>
                </w:tcPr>
                <w:p w14:paraId="6A13B37A">
                  <w:pPr>
                    <w:widowControl/>
                    <w:snapToGrid w:val="0"/>
                    <w:jc w:val="center"/>
                    <w:rPr>
                      <w:bCs/>
                      <w:szCs w:val="21"/>
                    </w:rPr>
                  </w:pPr>
                  <w:r>
                    <w:rPr>
                      <w:bCs/>
                      <w:szCs w:val="21"/>
                    </w:rPr>
                    <w:t>项目不涉及。</w:t>
                  </w:r>
                </w:p>
              </w:tc>
            </w:tr>
            <w:tr w14:paraId="2D0084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pct"/>
                  <w:shd w:val="clear" w:color="auto" w:fill="auto"/>
                  <w:tcMar>
                    <w:left w:w="0" w:type="dxa"/>
                    <w:right w:w="0" w:type="dxa"/>
                  </w:tcMar>
                  <w:vAlign w:val="center"/>
                </w:tcPr>
                <w:p w14:paraId="1D518F4E">
                  <w:pPr>
                    <w:widowControl/>
                    <w:snapToGrid w:val="0"/>
                    <w:jc w:val="center"/>
                    <w:rPr>
                      <w:bCs/>
                      <w:szCs w:val="21"/>
                    </w:rPr>
                  </w:pPr>
                  <w:r>
                    <w:rPr>
                      <w:bCs/>
                      <w:szCs w:val="21"/>
                    </w:rPr>
                    <w:t>环境风险</w:t>
                  </w:r>
                </w:p>
              </w:tc>
              <w:tc>
                <w:tcPr>
                  <w:tcW w:w="3428" w:type="pct"/>
                  <w:shd w:val="clear" w:color="auto" w:fill="auto"/>
                  <w:tcMar>
                    <w:left w:w="0" w:type="dxa"/>
                    <w:right w:w="0" w:type="dxa"/>
                  </w:tcMar>
                  <w:vAlign w:val="center"/>
                </w:tcPr>
                <w:p w14:paraId="7AF92BDF">
                  <w:pPr>
                    <w:widowControl/>
                    <w:snapToGrid w:val="0"/>
                    <w:jc w:val="left"/>
                    <w:rPr>
                      <w:bCs/>
                      <w:szCs w:val="21"/>
                    </w:rPr>
                  </w:pPr>
                  <w:r>
                    <w:rPr>
                      <w:rFonts w:hint="eastAsia"/>
                      <w:bCs/>
                      <w:szCs w:val="21"/>
                    </w:rPr>
                    <w:t>石油和天然气开采：全部；</w:t>
                  </w:r>
                </w:p>
                <w:p w14:paraId="5450C67A">
                  <w:pPr>
                    <w:widowControl/>
                    <w:snapToGrid w:val="0"/>
                    <w:jc w:val="left"/>
                    <w:rPr>
                      <w:bCs/>
                      <w:szCs w:val="21"/>
                    </w:rPr>
                  </w:pPr>
                  <w:r>
                    <w:rPr>
                      <w:rFonts w:hint="eastAsia"/>
                      <w:bCs/>
                      <w:szCs w:val="21"/>
                    </w:rPr>
                    <w:t>油气、液体化工码头：全部；</w:t>
                  </w:r>
                </w:p>
                <w:p w14:paraId="62B450E9">
                  <w:pPr>
                    <w:widowControl/>
                    <w:snapToGrid w:val="0"/>
                    <w:jc w:val="left"/>
                    <w:rPr>
                      <w:bCs/>
                      <w:szCs w:val="21"/>
                    </w:rPr>
                  </w:pPr>
                  <w:r>
                    <w:rPr>
                      <w:rFonts w:hint="eastAsia"/>
                      <w:bCs/>
                      <w:szCs w:val="21"/>
                    </w:rPr>
                    <w:t>原油、成品油、天然气管线（不含城镇天然气管线、企业厂区内管线），危险化学品输送管线（不含企业厂区内管线）：全部</w:t>
                  </w:r>
                </w:p>
              </w:tc>
              <w:tc>
                <w:tcPr>
                  <w:tcW w:w="863" w:type="pct"/>
                  <w:shd w:val="clear" w:color="auto" w:fill="auto"/>
                  <w:tcMar>
                    <w:left w:w="0" w:type="dxa"/>
                    <w:right w:w="0" w:type="dxa"/>
                  </w:tcMar>
                  <w:vAlign w:val="center"/>
                </w:tcPr>
                <w:p w14:paraId="312C9173">
                  <w:pPr>
                    <w:widowControl/>
                    <w:snapToGrid w:val="0"/>
                    <w:jc w:val="center"/>
                    <w:rPr>
                      <w:bCs/>
                      <w:szCs w:val="21"/>
                    </w:rPr>
                  </w:pPr>
                  <w:r>
                    <w:rPr>
                      <w:bCs/>
                      <w:szCs w:val="21"/>
                    </w:rPr>
                    <w:t>项目不涉及。</w:t>
                  </w:r>
                </w:p>
              </w:tc>
            </w:tr>
          </w:tbl>
          <w:p w14:paraId="57AFBC0B">
            <w:pPr>
              <w:autoSpaceDE w:val="0"/>
              <w:autoSpaceDN w:val="0"/>
              <w:adjustRightInd w:val="0"/>
              <w:snapToGrid w:val="0"/>
              <w:spacing w:line="360" w:lineRule="auto"/>
              <w:ind w:firstLine="480" w:firstLineChars="200"/>
              <w:rPr>
                <w:kern w:val="0"/>
                <w:sz w:val="24"/>
              </w:rPr>
            </w:pPr>
            <w:r>
              <w:rPr>
                <w:rFonts w:hint="eastAsia"/>
                <w:kern w:val="0"/>
                <w:sz w:val="24"/>
              </w:rPr>
              <w:t>上表中环境敏感区是指《建设项目环境影响评价分类管理名录（2021版）》中针对该类项目所列的敏感区。根据《建设项目环境影响评价分类管理名录（2021版）》，项目属于“四十六、专业技术服务业 99、陆地矿产资源地质勘查（含油气资源勘探）；二氧化碳地质封存”，该类项目未列出环境敏感区，因此无针对本项目类别所列的环境敏感区</w:t>
            </w:r>
          </w:p>
          <w:p w14:paraId="20DCF39B">
            <w:pPr>
              <w:autoSpaceDE w:val="0"/>
              <w:autoSpaceDN w:val="0"/>
              <w:adjustRightInd w:val="0"/>
              <w:snapToGrid w:val="0"/>
              <w:spacing w:line="360" w:lineRule="auto"/>
              <w:ind w:firstLine="480" w:firstLineChars="200"/>
              <w:rPr>
                <w:kern w:val="0"/>
                <w:sz w:val="24"/>
              </w:rPr>
            </w:pPr>
            <w:r>
              <w:rPr>
                <w:rFonts w:hint="eastAsia"/>
                <w:kern w:val="0"/>
                <w:sz w:val="24"/>
              </w:rPr>
              <w:t>综上所述，因此本次评价无需设置专项评价。</w:t>
            </w:r>
          </w:p>
        </w:tc>
      </w:tr>
      <w:tr w14:paraId="58ED5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07" w:type="dxa"/>
            <w:tcMar>
              <w:top w:w="16" w:type="dxa"/>
              <w:left w:w="16" w:type="dxa"/>
              <w:right w:w="16" w:type="dxa"/>
            </w:tcMar>
            <w:vAlign w:val="center"/>
          </w:tcPr>
          <w:p w14:paraId="4E3F4764">
            <w:pPr>
              <w:autoSpaceDE w:val="0"/>
              <w:autoSpaceDN w:val="0"/>
              <w:adjustRightInd w:val="0"/>
              <w:snapToGrid w:val="0"/>
              <w:jc w:val="center"/>
              <w:rPr>
                <w:b/>
                <w:kern w:val="0"/>
                <w:sz w:val="24"/>
                <w:szCs w:val="21"/>
              </w:rPr>
            </w:pPr>
            <w:r>
              <w:rPr>
                <w:b/>
                <w:sz w:val="24"/>
                <w:szCs w:val="21"/>
              </w:rPr>
              <w:t>规划情况</w:t>
            </w:r>
          </w:p>
        </w:tc>
        <w:tc>
          <w:tcPr>
            <w:tcW w:w="7063" w:type="dxa"/>
            <w:gridSpan w:val="3"/>
            <w:tcMar>
              <w:top w:w="16" w:type="dxa"/>
              <w:left w:w="16" w:type="dxa"/>
              <w:right w:w="16" w:type="dxa"/>
            </w:tcMar>
            <w:vAlign w:val="center"/>
          </w:tcPr>
          <w:p w14:paraId="230CE139">
            <w:pPr>
              <w:autoSpaceDE w:val="0"/>
              <w:autoSpaceDN w:val="0"/>
              <w:adjustRightInd w:val="0"/>
              <w:snapToGrid w:val="0"/>
              <w:jc w:val="center"/>
              <w:rPr>
                <w:kern w:val="0"/>
                <w:sz w:val="24"/>
              </w:rPr>
            </w:pPr>
            <w:r>
              <w:rPr>
                <w:kern w:val="0"/>
                <w:sz w:val="24"/>
              </w:rPr>
              <w:t>无</w:t>
            </w:r>
          </w:p>
        </w:tc>
      </w:tr>
      <w:tr w14:paraId="32798A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 w:hRule="atLeast"/>
          <w:jc w:val="center"/>
        </w:trPr>
        <w:tc>
          <w:tcPr>
            <w:tcW w:w="1807" w:type="dxa"/>
            <w:tcMar>
              <w:top w:w="16" w:type="dxa"/>
              <w:left w:w="16" w:type="dxa"/>
              <w:right w:w="16" w:type="dxa"/>
            </w:tcMar>
            <w:vAlign w:val="center"/>
          </w:tcPr>
          <w:p w14:paraId="3A7CAABA">
            <w:pPr>
              <w:autoSpaceDE w:val="0"/>
              <w:autoSpaceDN w:val="0"/>
              <w:adjustRightInd w:val="0"/>
              <w:snapToGrid w:val="0"/>
              <w:jc w:val="center"/>
              <w:rPr>
                <w:b/>
                <w:sz w:val="24"/>
                <w:szCs w:val="21"/>
              </w:rPr>
            </w:pPr>
            <w:r>
              <w:rPr>
                <w:b/>
                <w:sz w:val="24"/>
                <w:szCs w:val="21"/>
              </w:rPr>
              <w:t>规划环境影响</w:t>
            </w:r>
          </w:p>
          <w:p w14:paraId="604A0346">
            <w:pPr>
              <w:autoSpaceDE w:val="0"/>
              <w:autoSpaceDN w:val="0"/>
              <w:adjustRightInd w:val="0"/>
              <w:snapToGrid w:val="0"/>
              <w:jc w:val="center"/>
              <w:rPr>
                <w:b/>
                <w:kern w:val="0"/>
                <w:sz w:val="24"/>
                <w:szCs w:val="21"/>
              </w:rPr>
            </w:pPr>
            <w:r>
              <w:rPr>
                <w:b/>
                <w:sz w:val="24"/>
                <w:szCs w:val="21"/>
              </w:rPr>
              <w:t>评价情况</w:t>
            </w:r>
          </w:p>
        </w:tc>
        <w:tc>
          <w:tcPr>
            <w:tcW w:w="7063" w:type="dxa"/>
            <w:gridSpan w:val="3"/>
            <w:tcMar>
              <w:top w:w="16" w:type="dxa"/>
              <w:left w:w="16" w:type="dxa"/>
              <w:right w:w="16" w:type="dxa"/>
            </w:tcMar>
            <w:vAlign w:val="center"/>
          </w:tcPr>
          <w:p w14:paraId="4405ACC5">
            <w:pPr>
              <w:adjustRightInd w:val="0"/>
              <w:snapToGrid w:val="0"/>
              <w:jc w:val="center"/>
              <w:rPr>
                <w:kern w:val="0"/>
                <w:sz w:val="24"/>
              </w:rPr>
            </w:pPr>
            <w:r>
              <w:rPr>
                <w:kern w:val="0"/>
                <w:sz w:val="24"/>
              </w:rPr>
              <w:t>无</w:t>
            </w:r>
          </w:p>
        </w:tc>
      </w:tr>
      <w:tr w14:paraId="79F91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 w:hRule="atLeast"/>
          <w:jc w:val="center"/>
        </w:trPr>
        <w:tc>
          <w:tcPr>
            <w:tcW w:w="1807" w:type="dxa"/>
            <w:tcMar>
              <w:top w:w="16" w:type="dxa"/>
              <w:left w:w="16" w:type="dxa"/>
              <w:right w:w="16" w:type="dxa"/>
            </w:tcMar>
            <w:vAlign w:val="center"/>
          </w:tcPr>
          <w:p w14:paraId="2F47CE17">
            <w:pPr>
              <w:autoSpaceDE w:val="0"/>
              <w:autoSpaceDN w:val="0"/>
              <w:adjustRightInd w:val="0"/>
              <w:snapToGrid w:val="0"/>
              <w:jc w:val="center"/>
              <w:rPr>
                <w:b/>
                <w:kern w:val="0"/>
                <w:sz w:val="24"/>
                <w:szCs w:val="21"/>
              </w:rPr>
            </w:pPr>
            <w:r>
              <w:rPr>
                <w:b/>
                <w:kern w:val="0"/>
                <w:sz w:val="24"/>
                <w:szCs w:val="21"/>
              </w:rPr>
              <w:t>规划及</w:t>
            </w:r>
            <w:r>
              <w:rPr>
                <w:b/>
                <w:sz w:val="24"/>
                <w:szCs w:val="21"/>
              </w:rPr>
              <w:t>规划环境影响评价</w:t>
            </w:r>
            <w:r>
              <w:rPr>
                <w:b/>
                <w:kern w:val="0"/>
                <w:sz w:val="24"/>
                <w:szCs w:val="21"/>
              </w:rPr>
              <w:t>符合性分析</w:t>
            </w:r>
          </w:p>
        </w:tc>
        <w:tc>
          <w:tcPr>
            <w:tcW w:w="7063" w:type="dxa"/>
            <w:gridSpan w:val="3"/>
            <w:tcMar>
              <w:top w:w="16" w:type="dxa"/>
              <w:left w:w="16" w:type="dxa"/>
              <w:right w:w="16" w:type="dxa"/>
            </w:tcMar>
            <w:vAlign w:val="center"/>
          </w:tcPr>
          <w:p w14:paraId="794CCBD4">
            <w:pPr>
              <w:autoSpaceDE w:val="0"/>
              <w:autoSpaceDN w:val="0"/>
              <w:adjustRightInd w:val="0"/>
              <w:snapToGrid w:val="0"/>
              <w:spacing w:line="360" w:lineRule="auto"/>
              <w:jc w:val="center"/>
              <w:rPr>
                <w:kern w:val="0"/>
                <w:sz w:val="24"/>
              </w:rPr>
            </w:pPr>
            <w:r>
              <w:rPr>
                <w:rFonts w:hint="eastAsia"/>
                <w:kern w:val="0"/>
                <w:sz w:val="24"/>
              </w:rPr>
              <w:t>无</w:t>
            </w:r>
          </w:p>
        </w:tc>
      </w:tr>
      <w:tr w14:paraId="5919E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807" w:type="dxa"/>
            <w:tcMar>
              <w:top w:w="16" w:type="dxa"/>
              <w:left w:w="16" w:type="dxa"/>
              <w:right w:w="16" w:type="dxa"/>
            </w:tcMar>
            <w:vAlign w:val="center"/>
          </w:tcPr>
          <w:p w14:paraId="3C4B0A2C">
            <w:pPr>
              <w:autoSpaceDE w:val="0"/>
              <w:autoSpaceDN w:val="0"/>
              <w:adjustRightInd w:val="0"/>
              <w:snapToGrid w:val="0"/>
              <w:jc w:val="center"/>
              <w:rPr>
                <w:b/>
                <w:kern w:val="0"/>
                <w:sz w:val="24"/>
                <w:szCs w:val="21"/>
              </w:rPr>
            </w:pPr>
            <w:r>
              <w:rPr>
                <w:b/>
                <w:kern w:val="0"/>
                <w:sz w:val="24"/>
              </w:rPr>
              <w:t>其他符合性分析</w:t>
            </w:r>
          </w:p>
        </w:tc>
        <w:tc>
          <w:tcPr>
            <w:tcW w:w="7063" w:type="dxa"/>
            <w:gridSpan w:val="3"/>
            <w:tcMar>
              <w:top w:w="16" w:type="dxa"/>
              <w:left w:w="16" w:type="dxa"/>
              <w:right w:w="16" w:type="dxa"/>
            </w:tcMar>
            <w:vAlign w:val="center"/>
          </w:tcPr>
          <w:p w14:paraId="130B0FC5">
            <w:pPr>
              <w:autoSpaceDE w:val="0"/>
              <w:autoSpaceDN w:val="0"/>
              <w:adjustRightInd w:val="0"/>
              <w:snapToGrid w:val="0"/>
              <w:spacing w:line="360" w:lineRule="auto"/>
              <w:ind w:firstLine="482" w:firstLineChars="200"/>
              <w:rPr>
                <w:b/>
                <w:kern w:val="0"/>
                <w:sz w:val="24"/>
              </w:rPr>
            </w:pPr>
            <w:r>
              <w:rPr>
                <w:rFonts w:hint="eastAsia"/>
                <w:b/>
                <w:kern w:val="0"/>
                <w:sz w:val="24"/>
              </w:rPr>
              <w:t>1、产业政策符合性</w:t>
            </w:r>
          </w:p>
          <w:p w14:paraId="56440FFE">
            <w:pPr>
              <w:autoSpaceDE w:val="0"/>
              <w:autoSpaceDN w:val="0"/>
              <w:adjustRightInd w:val="0"/>
              <w:snapToGrid w:val="0"/>
              <w:spacing w:line="360" w:lineRule="auto"/>
              <w:ind w:firstLine="480" w:firstLineChars="200"/>
              <w:rPr>
                <w:kern w:val="0"/>
                <w:sz w:val="24"/>
              </w:rPr>
            </w:pPr>
            <w:r>
              <w:rPr>
                <w:kern w:val="0"/>
                <w:sz w:val="24"/>
              </w:rPr>
              <w:t>项目为石油资源勘探工程，属于《产业结构调整指导目录（</w:t>
            </w:r>
            <w:r>
              <w:rPr>
                <w:rFonts w:hint="eastAsia"/>
                <w:kern w:val="0"/>
                <w:sz w:val="24"/>
              </w:rPr>
              <w:t>2024</w:t>
            </w:r>
            <w:r>
              <w:rPr>
                <w:kern w:val="0"/>
                <w:sz w:val="24"/>
              </w:rPr>
              <w:t>年本）》</w:t>
            </w:r>
            <w:r>
              <w:rPr>
                <w:rFonts w:hint="eastAsia"/>
                <w:kern w:val="0"/>
                <w:sz w:val="24"/>
              </w:rPr>
              <w:t>中“鼓励类七、石油、天然气中的第1条常规石油、天然气勘探与开采”，符合国家产业政策。</w:t>
            </w:r>
          </w:p>
          <w:p w14:paraId="191B53AF">
            <w:pPr>
              <w:spacing w:line="360" w:lineRule="auto"/>
              <w:ind w:firstLine="482" w:firstLineChars="200"/>
              <w:rPr>
                <w:b/>
                <w:sz w:val="24"/>
                <w:szCs w:val="32"/>
              </w:rPr>
            </w:pPr>
            <w:r>
              <w:rPr>
                <w:rFonts w:hint="eastAsia"/>
                <w:b/>
                <w:sz w:val="24"/>
                <w:szCs w:val="32"/>
              </w:rPr>
              <w:t>2、</w:t>
            </w:r>
            <w:r>
              <w:rPr>
                <w:b/>
                <w:sz w:val="24"/>
                <w:szCs w:val="32"/>
              </w:rPr>
              <w:t>相关规划符合性</w:t>
            </w:r>
          </w:p>
          <w:p w14:paraId="6214E8CB">
            <w:pPr>
              <w:autoSpaceDE w:val="0"/>
              <w:autoSpaceDN w:val="0"/>
              <w:adjustRightInd w:val="0"/>
              <w:snapToGrid w:val="0"/>
              <w:spacing w:line="360" w:lineRule="auto"/>
              <w:ind w:firstLine="480" w:firstLineChars="200"/>
              <w:rPr>
                <w:sz w:val="24"/>
                <w:szCs w:val="32"/>
              </w:rPr>
            </w:pPr>
            <w:r>
              <w:rPr>
                <w:rFonts w:hint="eastAsia"/>
                <w:sz w:val="24"/>
                <w:szCs w:val="32"/>
              </w:rPr>
              <w:t>项目与《内蒙古自治区国民经济和社会发展第十五个五年规划纲要》《内蒙古自治区“十四五”能源发展规划》《内蒙古自治区“十四五”生态环境保护规划》《巴彦淖尔市国民经济和社会发展第十五个五年规划纲要》及《巴彦淖尔市矿产资源总体规划（2021-2025年）》符合性分析见下表。</w:t>
            </w:r>
          </w:p>
          <w:p w14:paraId="5744C5FE">
            <w:pPr>
              <w:jc w:val="center"/>
              <w:rPr>
                <w:b/>
                <w:sz w:val="24"/>
                <w:szCs w:val="21"/>
              </w:rPr>
            </w:pPr>
            <w:r>
              <w:rPr>
                <w:b/>
                <w:sz w:val="24"/>
                <w:szCs w:val="21"/>
              </w:rPr>
              <w:t>表1-</w:t>
            </w:r>
            <w:r>
              <w:rPr>
                <w:rFonts w:hint="eastAsia"/>
                <w:b/>
                <w:sz w:val="24"/>
                <w:szCs w:val="21"/>
              </w:rPr>
              <w:t>2 与相关规划符合性分析一览表</w:t>
            </w:r>
          </w:p>
          <w:tbl>
            <w:tblPr>
              <w:tblStyle w:val="30"/>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3402"/>
              <w:gridCol w:w="1844"/>
              <w:gridCol w:w="477"/>
            </w:tblGrid>
            <w:tr w14:paraId="4CDF37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30" w:type="pct"/>
                  <w:vAlign w:val="center"/>
                </w:tcPr>
                <w:p w14:paraId="09A609AB">
                  <w:pPr>
                    <w:jc w:val="center"/>
                    <w:rPr>
                      <w:bCs/>
                      <w:szCs w:val="21"/>
                    </w:rPr>
                  </w:pPr>
                  <w:r>
                    <w:rPr>
                      <w:bCs/>
                      <w:szCs w:val="21"/>
                    </w:rPr>
                    <w:t>规划名称</w:t>
                  </w:r>
                </w:p>
              </w:tc>
              <w:tc>
                <w:tcPr>
                  <w:tcW w:w="2419" w:type="pct"/>
                  <w:vAlign w:val="center"/>
                </w:tcPr>
                <w:p w14:paraId="31E9A952">
                  <w:pPr>
                    <w:jc w:val="center"/>
                    <w:rPr>
                      <w:bCs/>
                      <w:szCs w:val="21"/>
                    </w:rPr>
                  </w:pPr>
                  <w:r>
                    <w:rPr>
                      <w:bCs/>
                      <w:szCs w:val="21"/>
                    </w:rPr>
                    <w:t>规划要求</w:t>
                  </w:r>
                </w:p>
              </w:tc>
              <w:tc>
                <w:tcPr>
                  <w:tcW w:w="1311" w:type="pct"/>
                  <w:vAlign w:val="center"/>
                </w:tcPr>
                <w:p w14:paraId="06E94D5F">
                  <w:pPr>
                    <w:jc w:val="center"/>
                    <w:rPr>
                      <w:bCs/>
                      <w:szCs w:val="21"/>
                    </w:rPr>
                  </w:pPr>
                  <w:r>
                    <w:rPr>
                      <w:bCs/>
                      <w:szCs w:val="21"/>
                    </w:rPr>
                    <w:t>项目情况</w:t>
                  </w:r>
                </w:p>
              </w:tc>
              <w:tc>
                <w:tcPr>
                  <w:tcW w:w="339" w:type="pct"/>
                  <w:tcMar>
                    <w:left w:w="0" w:type="dxa"/>
                    <w:right w:w="0" w:type="dxa"/>
                  </w:tcMar>
                  <w:vAlign w:val="center"/>
                </w:tcPr>
                <w:p w14:paraId="316F5E05">
                  <w:pPr>
                    <w:jc w:val="center"/>
                    <w:rPr>
                      <w:bCs/>
                      <w:szCs w:val="21"/>
                    </w:rPr>
                  </w:pPr>
                  <w:r>
                    <w:rPr>
                      <w:bCs/>
                      <w:szCs w:val="21"/>
                    </w:rPr>
                    <w:t>是否符合</w:t>
                  </w:r>
                </w:p>
              </w:tc>
            </w:tr>
            <w:tr w14:paraId="06DBE6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30" w:type="pct"/>
                  <w:tcMar>
                    <w:left w:w="0" w:type="dxa"/>
                    <w:right w:w="0" w:type="dxa"/>
                  </w:tcMar>
                  <w:vAlign w:val="center"/>
                </w:tcPr>
                <w:p w14:paraId="1A603202">
                  <w:pPr>
                    <w:jc w:val="center"/>
                    <w:rPr>
                      <w:bCs/>
                      <w:szCs w:val="21"/>
                    </w:rPr>
                  </w:pPr>
                  <w:r>
                    <w:rPr>
                      <w:rFonts w:hint="eastAsia"/>
                      <w:bCs/>
                      <w:szCs w:val="21"/>
                    </w:rPr>
                    <w:t>内蒙古自治区国民经济和社会发展第十五个五年规划纲要</w:t>
                  </w:r>
                </w:p>
              </w:tc>
              <w:tc>
                <w:tcPr>
                  <w:tcW w:w="2419" w:type="pct"/>
                  <w:vAlign w:val="center"/>
                </w:tcPr>
                <w:p w14:paraId="5CB4B0DF">
                  <w:pPr>
                    <w:ind w:firstLine="420" w:firstLineChars="200"/>
                    <w:jc w:val="left"/>
                    <w:rPr>
                      <w:bCs/>
                      <w:szCs w:val="21"/>
                    </w:rPr>
                  </w:pPr>
                  <w:r>
                    <w:rPr>
                      <w:rFonts w:hint="eastAsia"/>
                      <w:bCs/>
                      <w:szCs w:val="21"/>
                    </w:rPr>
                    <w:t>加大油气等资源勘探开发和增储上产力度。推动海拉尔、苏里格、大牛地等油气田稳产，加快巴彦油田上产。……建立健全油气资源应急保障体系，加强煤制油气产能和技术储备。</w:t>
                  </w:r>
                </w:p>
              </w:tc>
              <w:tc>
                <w:tcPr>
                  <w:tcW w:w="1311" w:type="pct"/>
                  <w:vMerge w:val="restart"/>
                  <w:vAlign w:val="center"/>
                </w:tcPr>
                <w:p w14:paraId="6D7B26C2">
                  <w:pPr>
                    <w:ind w:firstLine="420" w:firstLineChars="200"/>
                    <w:jc w:val="left"/>
                    <w:rPr>
                      <w:szCs w:val="21"/>
                    </w:rPr>
                  </w:pPr>
                  <w:r>
                    <w:rPr>
                      <w:rFonts w:hint="eastAsia"/>
                      <w:szCs w:val="21"/>
                    </w:rPr>
                    <w:t>项目属于国家战略性矿产资源勘探，位于巴彦淖尔市磴口县，构造位置为河套盆地临河坳陷磴口构造带，属于常规油气资源勘探开发，为含油气盆地的地质勘查阶段，为下一步油气资源大力开发提供依据，进而稳步推进油气开发基地建设。</w:t>
                  </w:r>
                </w:p>
              </w:tc>
              <w:tc>
                <w:tcPr>
                  <w:tcW w:w="339" w:type="pct"/>
                  <w:tcMar>
                    <w:left w:w="0" w:type="dxa"/>
                    <w:right w:w="0" w:type="dxa"/>
                  </w:tcMar>
                  <w:vAlign w:val="center"/>
                </w:tcPr>
                <w:p w14:paraId="54A1054B">
                  <w:pPr>
                    <w:widowControl/>
                    <w:jc w:val="center"/>
                    <w:rPr>
                      <w:szCs w:val="21"/>
                    </w:rPr>
                  </w:pPr>
                  <w:r>
                    <w:rPr>
                      <w:szCs w:val="21"/>
                    </w:rPr>
                    <w:t>符合</w:t>
                  </w:r>
                </w:p>
              </w:tc>
            </w:tr>
            <w:tr w14:paraId="12485C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930" w:type="pct"/>
                  <w:tcMar>
                    <w:left w:w="0" w:type="dxa"/>
                    <w:right w:w="0" w:type="dxa"/>
                  </w:tcMar>
                  <w:vAlign w:val="center"/>
                </w:tcPr>
                <w:p w14:paraId="46435085">
                  <w:pPr>
                    <w:jc w:val="center"/>
                    <w:rPr>
                      <w:bCs/>
                      <w:szCs w:val="21"/>
                    </w:rPr>
                  </w:pPr>
                  <w:r>
                    <w:rPr>
                      <w:rFonts w:hint="eastAsia"/>
                      <w:bCs/>
                      <w:szCs w:val="21"/>
                    </w:rPr>
                    <w:t>内蒙古自治区“十四五”能源发展规划</w:t>
                  </w:r>
                </w:p>
              </w:tc>
              <w:tc>
                <w:tcPr>
                  <w:tcW w:w="2419" w:type="pct"/>
                  <w:vAlign w:val="center"/>
                </w:tcPr>
                <w:p w14:paraId="351F49A3">
                  <w:pPr>
                    <w:ind w:firstLine="420" w:firstLineChars="200"/>
                    <w:jc w:val="left"/>
                    <w:rPr>
                      <w:bCs/>
                      <w:szCs w:val="21"/>
                    </w:rPr>
                  </w:pPr>
                  <w:r>
                    <w:rPr>
                      <w:rFonts w:hint="eastAsia"/>
                      <w:bCs/>
                      <w:szCs w:val="21"/>
                    </w:rPr>
                    <w:t>坚持安全可靠。巩固国家重要能源和战略资源基地地位，围绕煤电油气安全稳定供应，强化能源兜底保障能力，提升能源供给质量，稳定能源外送能力，构建安全可靠的能源供应保障体系，夯实全国能源供应保障的“压舱石”。</w:t>
                  </w:r>
                </w:p>
              </w:tc>
              <w:tc>
                <w:tcPr>
                  <w:tcW w:w="1311" w:type="pct"/>
                  <w:vMerge w:val="continue"/>
                  <w:vAlign w:val="center"/>
                </w:tcPr>
                <w:p w14:paraId="1813999A">
                  <w:pPr>
                    <w:widowControl/>
                    <w:jc w:val="center"/>
                    <w:rPr>
                      <w:szCs w:val="21"/>
                    </w:rPr>
                  </w:pPr>
                </w:p>
              </w:tc>
              <w:tc>
                <w:tcPr>
                  <w:tcW w:w="339" w:type="pct"/>
                  <w:tcMar>
                    <w:left w:w="0" w:type="dxa"/>
                    <w:right w:w="0" w:type="dxa"/>
                  </w:tcMar>
                  <w:vAlign w:val="center"/>
                </w:tcPr>
                <w:p w14:paraId="1FC2460E">
                  <w:pPr>
                    <w:widowControl/>
                    <w:jc w:val="center"/>
                    <w:rPr>
                      <w:szCs w:val="21"/>
                    </w:rPr>
                  </w:pPr>
                  <w:r>
                    <w:rPr>
                      <w:szCs w:val="21"/>
                    </w:rPr>
                    <w:t>符合</w:t>
                  </w:r>
                </w:p>
              </w:tc>
            </w:tr>
            <w:tr w14:paraId="17964A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930" w:type="pct"/>
                  <w:tcMar>
                    <w:left w:w="0" w:type="dxa"/>
                    <w:right w:w="0" w:type="dxa"/>
                  </w:tcMar>
                  <w:vAlign w:val="center"/>
                </w:tcPr>
                <w:p w14:paraId="512279AD">
                  <w:pPr>
                    <w:jc w:val="center"/>
                    <w:rPr>
                      <w:bCs/>
                      <w:szCs w:val="21"/>
                    </w:rPr>
                  </w:pPr>
                  <w:r>
                    <w:rPr>
                      <w:bCs/>
                      <w:szCs w:val="21"/>
                    </w:rPr>
                    <w:t>内蒙古自治区</w:t>
                  </w:r>
                  <w:r>
                    <w:rPr>
                      <w:rFonts w:hint="eastAsia"/>
                      <w:bCs/>
                      <w:szCs w:val="21"/>
                    </w:rPr>
                    <w:t>“</w:t>
                  </w:r>
                  <w:r>
                    <w:rPr>
                      <w:bCs/>
                      <w:szCs w:val="21"/>
                    </w:rPr>
                    <w:t>十四五</w:t>
                  </w:r>
                  <w:r>
                    <w:rPr>
                      <w:rFonts w:hint="eastAsia"/>
                      <w:bCs/>
                      <w:szCs w:val="21"/>
                    </w:rPr>
                    <w:t>”生态</w:t>
                  </w:r>
                  <w:r>
                    <w:rPr>
                      <w:bCs/>
                      <w:szCs w:val="21"/>
                    </w:rPr>
                    <w:t>环境保护规划</w:t>
                  </w:r>
                </w:p>
              </w:tc>
              <w:tc>
                <w:tcPr>
                  <w:tcW w:w="2419" w:type="pct"/>
                  <w:vAlign w:val="center"/>
                </w:tcPr>
                <w:p w14:paraId="1BD10203">
                  <w:pPr>
                    <w:ind w:firstLine="420" w:firstLineChars="200"/>
                    <w:jc w:val="left"/>
                    <w:rPr>
                      <w:bCs/>
                      <w:szCs w:val="21"/>
                    </w:rPr>
                  </w:pPr>
                  <w:r>
                    <w:rPr>
                      <w:rFonts w:hint="eastAsia"/>
                      <w:bCs/>
                      <w:szCs w:val="21"/>
                    </w:rPr>
                    <w:t>推进油气勘查开发和基地建设，加快油气长输管道建设，完善油气管网，提高供应保障。</w:t>
                  </w:r>
                </w:p>
              </w:tc>
              <w:tc>
                <w:tcPr>
                  <w:tcW w:w="1311" w:type="pct"/>
                  <w:vMerge w:val="continue"/>
                  <w:vAlign w:val="center"/>
                </w:tcPr>
                <w:p w14:paraId="3C3351B1">
                  <w:pPr>
                    <w:widowControl/>
                    <w:jc w:val="center"/>
                    <w:rPr>
                      <w:szCs w:val="21"/>
                    </w:rPr>
                  </w:pPr>
                </w:p>
              </w:tc>
              <w:tc>
                <w:tcPr>
                  <w:tcW w:w="339" w:type="pct"/>
                  <w:tcMar>
                    <w:left w:w="0" w:type="dxa"/>
                    <w:right w:w="0" w:type="dxa"/>
                  </w:tcMar>
                  <w:vAlign w:val="center"/>
                </w:tcPr>
                <w:p w14:paraId="1C042C1C">
                  <w:pPr>
                    <w:widowControl/>
                    <w:jc w:val="center"/>
                    <w:rPr>
                      <w:szCs w:val="21"/>
                    </w:rPr>
                  </w:pPr>
                  <w:r>
                    <w:rPr>
                      <w:szCs w:val="21"/>
                    </w:rPr>
                    <w:t>符合</w:t>
                  </w:r>
                </w:p>
              </w:tc>
            </w:tr>
            <w:tr w14:paraId="5D17E4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930" w:type="pct"/>
                  <w:tcMar>
                    <w:left w:w="0" w:type="dxa"/>
                    <w:right w:w="0" w:type="dxa"/>
                  </w:tcMar>
                  <w:vAlign w:val="center"/>
                </w:tcPr>
                <w:p w14:paraId="336CEB85">
                  <w:pPr>
                    <w:jc w:val="center"/>
                  </w:pPr>
                  <w:r>
                    <w:rPr>
                      <w:rFonts w:hint="eastAsia"/>
                    </w:rPr>
                    <w:t>巴彦淖尔市国民经济和社会发展第十五个五年规划纲要</w:t>
                  </w:r>
                </w:p>
              </w:tc>
              <w:tc>
                <w:tcPr>
                  <w:tcW w:w="2419" w:type="pct"/>
                  <w:vAlign w:val="center"/>
                </w:tcPr>
                <w:p w14:paraId="7917B85A">
                  <w:pPr>
                    <w:ind w:firstLine="420" w:firstLineChars="200"/>
                    <w:jc w:val="left"/>
                  </w:pPr>
                  <w:r>
                    <w:rPr>
                      <w:rFonts w:hint="eastAsia"/>
                    </w:rPr>
                    <w:t>推动油气资源增储上产，到2030年，原油产量达到168万吨以上、天然气5000万立方米，建设蒙西综合性能源基地。</w:t>
                  </w:r>
                </w:p>
              </w:tc>
              <w:tc>
                <w:tcPr>
                  <w:tcW w:w="1311" w:type="pct"/>
                  <w:vMerge w:val="continue"/>
                  <w:vAlign w:val="center"/>
                </w:tcPr>
                <w:p w14:paraId="182862BE">
                  <w:pPr>
                    <w:widowControl/>
                    <w:jc w:val="center"/>
                    <w:rPr>
                      <w:szCs w:val="21"/>
                    </w:rPr>
                  </w:pPr>
                </w:p>
              </w:tc>
              <w:tc>
                <w:tcPr>
                  <w:tcW w:w="339" w:type="pct"/>
                  <w:tcMar>
                    <w:left w:w="0" w:type="dxa"/>
                    <w:right w:w="0" w:type="dxa"/>
                  </w:tcMar>
                  <w:vAlign w:val="center"/>
                </w:tcPr>
                <w:p w14:paraId="1C406631">
                  <w:pPr>
                    <w:widowControl/>
                    <w:jc w:val="center"/>
                    <w:rPr>
                      <w:szCs w:val="21"/>
                    </w:rPr>
                  </w:pPr>
                  <w:r>
                    <w:rPr>
                      <w:szCs w:val="21"/>
                    </w:rPr>
                    <w:t>符合</w:t>
                  </w:r>
                </w:p>
              </w:tc>
            </w:tr>
            <w:tr w14:paraId="454C55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30" w:type="pct"/>
                  <w:tcMar>
                    <w:left w:w="0" w:type="dxa"/>
                    <w:right w:w="0" w:type="dxa"/>
                  </w:tcMar>
                  <w:vAlign w:val="center"/>
                </w:tcPr>
                <w:p w14:paraId="03910541">
                  <w:pPr>
                    <w:jc w:val="center"/>
                  </w:pPr>
                  <w:r>
                    <w:rPr>
                      <w:rFonts w:hint="eastAsia"/>
                    </w:rPr>
                    <w:t>巴彦淖尔市矿产资源总体规划</w:t>
                  </w:r>
                </w:p>
              </w:tc>
              <w:tc>
                <w:tcPr>
                  <w:tcW w:w="2419" w:type="pct"/>
                  <w:vAlign w:val="center"/>
                </w:tcPr>
                <w:p w14:paraId="22E2278B">
                  <w:pPr>
                    <w:ind w:firstLine="420" w:firstLineChars="200"/>
                    <w:jc w:val="left"/>
                  </w:pPr>
                  <w:r>
                    <w:rPr>
                      <w:rFonts w:hint="eastAsia"/>
                    </w:rPr>
                    <w:t>重点勘查石油、地热、铁、铜、镍、金等矿产，兼顾铅、锌、饰面用花岗岩等，提高全市战略性矿产保障力度，保持铅、锌等矿产资源优势。</w:t>
                  </w:r>
                </w:p>
                <w:p w14:paraId="0D6A83D6">
                  <w:pPr>
                    <w:ind w:firstLine="420" w:firstLineChars="200"/>
                    <w:jc w:val="left"/>
                  </w:pPr>
                  <w:r>
                    <w:rPr>
                      <w:rFonts w:hint="eastAsia"/>
                    </w:rPr>
                    <w:t>重点开采铜、铅、锌多金属、金、铁及优质高效的非金属矿产，加快推进石油、地热资源的开采。</w:t>
                  </w:r>
                </w:p>
              </w:tc>
              <w:tc>
                <w:tcPr>
                  <w:tcW w:w="1311" w:type="pct"/>
                  <w:vMerge w:val="continue"/>
                  <w:vAlign w:val="center"/>
                </w:tcPr>
                <w:p w14:paraId="45D9DA4D">
                  <w:pPr>
                    <w:widowControl/>
                    <w:jc w:val="center"/>
                    <w:rPr>
                      <w:szCs w:val="21"/>
                    </w:rPr>
                  </w:pPr>
                </w:p>
              </w:tc>
              <w:tc>
                <w:tcPr>
                  <w:tcW w:w="339" w:type="pct"/>
                  <w:tcMar>
                    <w:left w:w="0" w:type="dxa"/>
                    <w:right w:w="0" w:type="dxa"/>
                  </w:tcMar>
                  <w:vAlign w:val="center"/>
                </w:tcPr>
                <w:p w14:paraId="2DAF3561">
                  <w:pPr>
                    <w:widowControl/>
                    <w:jc w:val="center"/>
                    <w:rPr>
                      <w:szCs w:val="21"/>
                    </w:rPr>
                  </w:pPr>
                  <w:r>
                    <w:rPr>
                      <w:rFonts w:hint="eastAsia"/>
                      <w:szCs w:val="21"/>
                    </w:rPr>
                    <w:t>符合</w:t>
                  </w:r>
                </w:p>
              </w:tc>
            </w:tr>
          </w:tbl>
          <w:p w14:paraId="7AB60095">
            <w:pPr>
              <w:autoSpaceDE w:val="0"/>
              <w:autoSpaceDN w:val="0"/>
              <w:adjustRightInd w:val="0"/>
              <w:snapToGrid w:val="0"/>
              <w:spacing w:line="360" w:lineRule="auto"/>
              <w:ind w:firstLine="482" w:firstLineChars="200"/>
              <w:rPr>
                <w:b/>
                <w:kern w:val="0"/>
                <w:sz w:val="24"/>
              </w:rPr>
            </w:pPr>
            <w:r>
              <w:rPr>
                <w:rFonts w:hint="eastAsia"/>
                <w:b/>
                <w:kern w:val="0"/>
                <w:sz w:val="24"/>
              </w:rPr>
              <w:t>3、与生态环境分区管控符合性分析</w:t>
            </w:r>
          </w:p>
          <w:p w14:paraId="5B1681E5">
            <w:pPr>
              <w:autoSpaceDE w:val="0"/>
              <w:autoSpaceDN w:val="0"/>
              <w:adjustRightInd w:val="0"/>
              <w:snapToGrid w:val="0"/>
              <w:spacing w:line="360" w:lineRule="auto"/>
              <w:ind w:firstLine="480" w:firstLineChars="200"/>
              <w:rPr>
                <w:kern w:val="0"/>
                <w:sz w:val="24"/>
              </w:rPr>
            </w:pPr>
            <w:r>
              <w:rPr>
                <w:rFonts w:hint="eastAsia"/>
                <w:kern w:val="0"/>
                <w:sz w:val="24"/>
              </w:rPr>
              <w:t>根据《巴彦淖尔市人民政府办公室关于巴彦淖尔市2023年生态环境分区管控成果动态更新的通知》（巴政办字〔2023〕106号），巴彦淖尔市全市共划定环境管控单元256个，包括优先保护单元、重点管控单元、一般管控单元三类，实施分类管控。</w:t>
            </w:r>
          </w:p>
          <w:p w14:paraId="7BCBAF96">
            <w:pPr>
              <w:autoSpaceDE w:val="0"/>
              <w:autoSpaceDN w:val="0"/>
              <w:adjustRightInd w:val="0"/>
              <w:snapToGrid w:val="0"/>
              <w:spacing w:line="360" w:lineRule="auto"/>
              <w:ind w:firstLine="480" w:firstLineChars="200"/>
              <w:rPr>
                <w:kern w:val="0"/>
                <w:sz w:val="24"/>
              </w:rPr>
            </w:pPr>
            <w:r>
              <w:rPr>
                <w:rFonts w:hint="eastAsia"/>
                <w:kern w:val="0"/>
                <w:sz w:val="24"/>
              </w:rPr>
              <w:t>优先保护单元。共145个，面积为42386.65km</w:t>
            </w:r>
            <w:r>
              <w:rPr>
                <w:rFonts w:hint="eastAsia"/>
                <w:kern w:val="0"/>
                <w:sz w:val="24"/>
                <w:vertAlign w:val="superscript"/>
              </w:rPr>
              <w:t>2</w:t>
            </w:r>
            <w:r>
              <w:rPr>
                <w:rFonts w:hint="eastAsia"/>
                <w:kern w:val="0"/>
                <w:sz w:val="24"/>
              </w:rPr>
              <w:t>，面积占比为65.07%，主要包括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1223DC5C">
            <w:pPr>
              <w:autoSpaceDE w:val="0"/>
              <w:autoSpaceDN w:val="0"/>
              <w:adjustRightInd w:val="0"/>
              <w:snapToGrid w:val="0"/>
              <w:spacing w:line="360" w:lineRule="auto"/>
              <w:ind w:firstLine="480" w:firstLineChars="200"/>
              <w:rPr>
                <w:kern w:val="0"/>
                <w:sz w:val="24"/>
              </w:rPr>
            </w:pPr>
            <w:r>
              <w:rPr>
                <w:rFonts w:hint="eastAsia"/>
                <w:kern w:val="0"/>
                <w:sz w:val="24"/>
              </w:rPr>
              <w:t>重点管控单元。共110个，面积为22746.59km</w:t>
            </w:r>
            <w:r>
              <w:rPr>
                <w:rFonts w:hint="eastAsia"/>
                <w:kern w:val="0"/>
                <w:sz w:val="24"/>
                <w:vertAlign w:val="superscript"/>
              </w:rPr>
              <w:t>2</w:t>
            </w:r>
            <w:r>
              <w:rPr>
                <w:rFonts w:hint="eastAsia"/>
                <w:kern w:val="0"/>
                <w:sz w:val="24"/>
              </w:rPr>
              <w:t>，面积占比为34.92%，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5EE227A4">
            <w:pPr>
              <w:autoSpaceDE w:val="0"/>
              <w:autoSpaceDN w:val="0"/>
              <w:adjustRightInd w:val="0"/>
              <w:snapToGrid w:val="0"/>
              <w:spacing w:line="360" w:lineRule="auto"/>
              <w:ind w:firstLine="480" w:firstLineChars="200"/>
              <w:rPr>
                <w:kern w:val="0"/>
                <w:sz w:val="24"/>
              </w:rPr>
            </w:pPr>
            <w:r>
              <w:rPr>
                <w:rFonts w:hint="eastAsia"/>
                <w:kern w:val="0"/>
                <w:sz w:val="24"/>
              </w:rPr>
              <w:t>一般管控单元。共1个，面积为6.84km</w:t>
            </w:r>
            <w:r>
              <w:rPr>
                <w:rFonts w:hint="eastAsia"/>
                <w:kern w:val="0"/>
                <w:sz w:val="24"/>
                <w:vertAlign w:val="superscript"/>
              </w:rPr>
              <w:t>2</w:t>
            </w:r>
            <w:r>
              <w:rPr>
                <w:rFonts w:hint="eastAsia"/>
                <w:kern w:val="0"/>
                <w:sz w:val="24"/>
              </w:rPr>
              <w:t>，面积占比为0.01%，优先保护单元、重点管控单元之外为一般管控单元。该区域主要落实生态环境保护基本要求。</w:t>
            </w:r>
          </w:p>
          <w:p w14:paraId="798A816B">
            <w:pPr>
              <w:autoSpaceDE w:val="0"/>
              <w:autoSpaceDN w:val="0"/>
              <w:adjustRightInd w:val="0"/>
              <w:snapToGrid w:val="0"/>
              <w:jc w:val="center"/>
              <w:rPr>
                <w:rFonts w:ascii="宋体" w:hAnsi="宋体" w:cs="宋体"/>
                <w:sz w:val="24"/>
              </w:rPr>
            </w:pPr>
            <w:r>
              <mc:AlternateContent>
                <mc:Choice Requires="wps">
                  <w:drawing>
                    <wp:anchor distT="0" distB="0" distL="114300" distR="114300" simplePos="0" relativeHeight="251662336" behindDoc="0" locked="0" layoutInCell="1" allowOverlap="1">
                      <wp:simplePos x="0" y="0"/>
                      <wp:positionH relativeFrom="column">
                        <wp:posOffset>1431925</wp:posOffset>
                      </wp:positionH>
                      <wp:positionV relativeFrom="paragraph">
                        <wp:posOffset>573405</wp:posOffset>
                      </wp:positionV>
                      <wp:extent cx="791845" cy="288290"/>
                      <wp:effectExtent l="3175" t="1905" r="5080" b="176530"/>
                      <wp:wrapNone/>
                      <wp:docPr id="2412" name="自选图形 406"/>
                      <wp:cNvGraphicFramePr/>
                      <a:graphic xmlns:a="http://schemas.openxmlformats.org/drawingml/2006/main">
                        <a:graphicData uri="http://schemas.microsoft.com/office/word/2010/wordprocessingShape">
                          <wps:wsp>
                            <wps:cNvSpPr>
                              <a:spLocks noChangeArrowheads="1"/>
                            </wps:cNvSpPr>
                            <wps:spPr bwMode="auto">
                              <a:xfrm>
                                <a:off x="0" y="0"/>
                                <a:ext cx="791845" cy="288290"/>
                              </a:xfrm>
                              <a:prstGeom prst="wedgeRoundRectCallout">
                                <a:avLst>
                                  <a:gd name="adj1" fmla="val 44148"/>
                                  <a:gd name="adj2" fmla="val 110352"/>
                                  <a:gd name="adj3" fmla="val 16667"/>
                                </a:avLst>
                              </a:prstGeom>
                              <a:gradFill rotWithShape="0">
                                <a:gsLst>
                                  <a:gs pos="0">
                                    <a:srgbClr val="4F81BD"/>
                                  </a:gs>
                                  <a:gs pos="100000">
                                    <a:srgbClr val="4F81BD">
                                      <a:gamma/>
                                      <a:tint val="20000"/>
                                      <a:invGamma/>
                                    </a:srgbClr>
                                  </a:gs>
                                </a:gsLst>
                                <a:lin ang="2700000" scaled="1"/>
                              </a:gradFill>
                              <a:ln>
                                <a:noFill/>
                              </a:ln>
                              <a:effectLst/>
                            </wps:spPr>
                            <wps:txbx>
                              <w:txbxContent>
                                <w:p w14:paraId="6949A777">
                                  <w:pPr>
                                    <w:jc w:val="center"/>
                                    <w:rPr>
                                      <w:b/>
                                      <w:color w:val="FF0000"/>
                                    </w:rPr>
                                  </w:pPr>
                                  <w:r>
                                    <w:rPr>
                                      <w:b/>
                                      <w:color w:val="FF0000"/>
                                    </w:rPr>
                                    <w:t>项目位置</w:t>
                                  </w:r>
                                </w:p>
                              </w:txbxContent>
                            </wps:txbx>
                            <wps:bodyPr rot="0" vert="horz" wrap="square" lIns="91440" tIns="45720" rIns="91440" bIns="45720" anchor="t" anchorCtr="0" upright="1">
                              <a:noAutofit/>
                            </wps:bodyPr>
                          </wps:wsp>
                        </a:graphicData>
                      </a:graphic>
                    </wp:anchor>
                  </w:drawing>
                </mc:Choice>
                <mc:Fallback>
                  <w:pict>
                    <v:shape id="自选图形 406" o:spid="_x0000_s1026" o:spt="62" type="#_x0000_t62" style="position:absolute;left:0pt;margin-left:112.75pt;margin-top:45.15pt;height:22.7pt;width:62.35pt;z-index:251662336;mso-width-relative:page;mso-height-relative:page;" fillcolor="#4F81BD" filled="t" stroked="f" coordsize="21600,21600" o:gfxdata="UEsDBAoAAAAAAIdO4kAAAAAAAAAAAAAAAAAEAAAAZHJzL1BLAwQUAAAACACHTuJA5o2pmtcAAAAK&#10;AQAADwAAAGRycy9kb3ducmV2LnhtbE2Py07DMBBF90j8gzVI7KjdRKFtiFMJJGDDhgB7Nx7ikPhB&#10;7Cbt3zOsYDm6R/eeqfYnO7IZp9h7J2G9EsDQtV73rpPw/vZ4swUWk3Jajd6hhDNG2NeXF5UqtV/c&#10;K85N6hiVuFgqCSalUHIeW4NWxZUP6Cj79JNVic6p43pSC5XbkWdC3HKrekcLRgV8MNgOzdFK+Nb2&#10;62OzmDk83z8NL8GfsRkaKa+v1uIOWMJT+oPhV5/UoSangz86HdkoIcuKglAJO5EDIyAvRAbsQGRe&#10;bIDXFf//Qv0DUEsDBBQAAAAIAIdO4kCGIVDbzwIAAJIFAAAOAAAAZHJzL2Uyb0RvYy54bWytVM1u&#10;EzEQviPxDpbvdH+6TdJVN1VJ1AqpQNWCODte767BaxvbyaacuCGegRtH3gHephK8BWPvJk1bDj2Q&#10;w8Y/M9/MfPONj47XrUArZixXssDJXowRk1SVXNYFfvvm9NkEI+uILIlQkhX4mll8PH365KjTOUtV&#10;o0TJDAIQafNOF7hxTudRZGnDWmL3lGYSLitlWuJga+qoNKQD9FZEaRyPok6ZUhtFmbVwOu8v8YBo&#10;HgOoqopTNld02TLpelTDBHFQkm24tngasq0qRt3rqrLMIVFgqNSFLwSB9cJ/o+kRyWtDdMPpkAJ5&#10;TAr3amoJlxB0CzUnjqCl4Q+gWk6Nsqpye1S1UV9IYASqSOJ73Fw1RLNQC1Bt9ZZ0+/9g6avVhUG8&#10;LHCaJSlGkrTQ899ffvz5/PXm26+bn99RFo88TZ22OVhf6QvjC7X6XNEPFkk1a4is2YkxqmsYKSG5&#10;xNtHdxz8xoIrWnQvVQkhyNKpwNi6Mq0HBC7QOjTmetsYtnaIwuH4MJlkBxhRuEonk/QwNC4i+cZZ&#10;G+vOmGqRXxS4Y2XNLtVSlpeggBkRQi1diEZW59aFRpVDraR8n2BUtQL6viICZVmSTQZd7NgAN7c2&#10;SRLvH6QPjfbvGI1Go3FgguRDWMh4k+kglvKUC4GMcu+4a0K/ffHh0m4ytUgrYLU/tqZezIRBkGqB&#10;s9NJ8nw+xKht79ZbJ7H/BaR/uQRT0rYkDIDj0vWIMKHgFQ65XJ0NFpD3AAJ9BZFDpPA3ZCi4RKAB&#10;6M3Yu8NsWUoEA1H1SghjESr1YYX0X6l85V4nmxMWxhUgN+Lxeul159aLNZx6ES1UeQ0yAsaCVuAh&#10;g0WjzCeMOhjjAtuPS2IYRuKFBNIOkyzzcx822cE4hY3ZvVns3hBJAarADkM9fjlz/Vux1IbXDURK&#10;AqNSnYB8K75Ntc9qED2Mas9P/6z4t2B3H6xun9Lp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aN&#10;qZrXAAAACgEAAA8AAAAAAAAAAQAgAAAAIgAAAGRycy9kb3ducmV2LnhtbFBLAQIUABQAAAAIAIdO&#10;4kCGIVDbzwIAAJIFAAAOAAAAAAAAAAEAIAAAACYBAABkcnMvZTJvRG9jLnhtbFBLBQYAAAAABgAG&#10;AFkBAABnBgAAAAA=&#10;" adj="20336,34636,14400">
                      <v:fill type="gradient" on="t" color2="#DCE6F2" angle="45" focus="100%" focussize="0,0"/>
                      <v:stroke on="f"/>
                      <v:imagedata o:title=""/>
                      <o:lock v:ext="edit" aspectratio="f"/>
                      <v:textbox>
                        <w:txbxContent>
                          <w:p w14:paraId="6949A777">
                            <w:pPr>
                              <w:jc w:val="center"/>
                              <w:rPr>
                                <w:b/>
                                <w:color w:val="FF0000"/>
                              </w:rPr>
                            </w:pPr>
                            <w:r>
                              <w:rPr>
                                <w:b/>
                                <w:color w:val="FF0000"/>
                              </w:rPr>
                              <w:t>项目位置</w:t>
                            </w:r>
                          </w:p>
                        </w:txbxContent>
                      </v:textbox>
                    </v:shape>
                  </w:pict>
                </mc:Fallback>
              </mc:AlternateContent>
            </w:r>
            <w:r>
              <w:drawing>
                <wp:anchor distT="0" distB="0" distL="114300" distR="114300" simplePos="0" relativeHeight="251674624" behindDoc="0" locked="0" layoutInCell="1" allowOverlap="1">
                  <wp:simplePos x="0" y="0"/>
                  <wp:positionH relativeFrom="column">
                    <wp:posOffset>2461260</wp:posOffset>
                  </wp:positionH>
                  <wp:positionV relativeFrom="paragraph">
                    <wp:posOffset>1354455</wp:posOffset>
                  </wp:positionV>
                  <wp:extent cx="1841500" cy="622935"/>
                  <wp:effectExtent l="0" t="0" r="6350" b="5715"/>
                  <wp:wrapNone/>
                  <wp:docPr id="24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41500" cy="622935"/>
                          </a:xfrm>
                          <a:prstGeom prst="rect">
                            <a:avLst/>
                          </a:prstGeom>
                          <a:noFill/>
                          <a:ln>
                            <a:noFill/>
                          </a:ln>
                        </pic:spPr>
                      </pic:pic>
                    </a:graphicData>
                  </a:graphic>
                </wp:anchor>
              </w:drawing>
            </w:r>
            <w:r>
              <w:rPr>
                <w:rFonts w:hint="eastAsia"/>
                <w:kern w:val="0"/>
                <w:sz w:val="24"/>
              </w:rPr>
              <w:drawing>
                <wp:anchor distT="0" distB="0" distL="114300" distR="114300" simplePos="0" relativeHeight="251669504" behindDoc="0" locked="0" layoutInCell="1" allowOverlap="1">
                  <wp:simplePos x="0" y="0"/>
                  <wp:positionH relativeFrom="column">
                    <wp:posOffset>2950845</wp:posOffset>
                  </wp:positionH>
                  <wp:positionV relativeFrom="paragraph">
                    <wp:posOffset>47625</wp:posOffset>
                  </wp:positionV>
                  <wp:extent cx="279400" cy="285750"/>
                  <wp:effectExtent l="0" t="0" r="6350" b="0"/>
                  <wp:wrapNone/>
                  <wp:docPr id="24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 name="图片 1"/>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79400" cy="285750"/>
                          </a:xfrm>
                          <a:prstGeom prst="rect">
                            <a:avLst/>
                          </a:prstGeom>
                          <a:noFill/>
                          <a:ln>
                            <a:noFill/>
                          </a:ln>
                        </pic:spPr>
                      </pic:pic>
                    </a:graphicData>
                  </a:graphic>
                </wp:anchor>
              </w:drawing>
            </w:r>
            <w:r>
              <w:drawing>
                <wp:inline distT="0" distB="0" distL="0" distR="0">
                  <wp:extent cx="4220845" cy="1998980"/>
                  <wp:effectExtent l="19050" t="19050" r="27305" b="203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220845" cy="1998980"/>
                          </a:xfrm>
                          <a:prstGeom prst="rect">
                            <a:avLst/>
                          </a:prstGeom>
                          <a:noFill/>
                          <a:ln w="6350" cmpd="sng">
                            <a:solidFill>
                              <a:srgbClr val="000000"/>
                            </a:solidFill>
                            <a:miter lim="800000"/>
                            <a:headEnd/>
                            <a:tailEnd/>
                          </a:ln>
                          <a:effectLst/>
                        </pic:spPr>
                      </pic:pic>
                    </a:graphicData>
                  </a:graphic>
                </wp:inline>
              </w:drawing>
            </w:r>
          </w:p>
          <w:p w14:paraId="0D3C771D">
            <w:pPr>
              <w:adjustRightInd w:val="0"/>
              <w:snapToGrid w:val="0"/>
              <w:spacing w:line="360" w:lineRule="auto"/>
              <w:jc w:val="center"/>
              <w:rPr>
                <w:rFonts w:eastAsia="黑体"/>
                <w:sz w:val="24"/>
              </w:rPr>
            </w:pPr>
            <w:r>
              <w:rPr>
                <w:rFonts w:eastAsia="黑体"/>
                <w:sz w:val="24"/>
              </w:rPr>
              <w:t>图1-1 项目生态环境分区管控查询截图</w:t>
            </w:r>
          </w:p>
          <w:p w14:paraId="149A5133">
            <w:pPr>
              <w:autoSpaceDE w:val="0"/>
              <w:autoSpaceDN w:val="0"/>
              <w:adjustRightInd w:val="0"/>
              <w:snapToGrid w:val="0"/>
              <w:spacing w:line="360" w:lineRule="auto"/>
              <w:ind w:firstLine="480" w:firstLineChars="200"/>
              <w:rPr>
                <w:kern w:val="0"/>
                <w:sz w:val="24"/>
              </w:rPr>
            </w:pPr>
            <w:r>
              <w:rPr>
                <w:rFonts w:hint="eastAsia"/>
                <w:kern w:val="0"/>
                <w:sz w:val="24"/>
              </w:rPr>
              <w:t>经查询，项目位于沙漠林业实验中心农场油田勘查用地重点管控单元和磴口县新能源预留用地重点管控单元，该区域应不断提升资源利用效率，有针对性地加强污染物排放控制和环境风险防控，解决生态环境质量不达标、生态环境风险高等问题。</w:t>
            </w:r>
          </w:p>
          <w:p w14:paraId="582328A2">
            <w:pPr>
              <w:autoSpaceDE w:val="0"/>
              <w:autoSpaceDN w:val="0"/>
              <w:adjustRightInd w:val="0"/>
              <w:snapToGrid w:val="0"/>
              <w:spacing w:line="360" w:lineRule="auto"/>
              <w:ind w:firstLine="480" w:firstLineChars="200"/>
              <w:rPr>
                <w:sz w:val="24"/>
              </w:rPr>
            </w:pPr>
            <w:r>
              <w:rPr>
                <w:rFonts w:hint="eastAsia"/>
                <w:kern w:val="0"/>
                <w:sz w:val="24"/>
              </w:rPr>
              <w:t>项目属于石油资源勘探工程，不属于大规模、高强度的工业开发，勘探施工期产生的废气、废水、固废等均能合理处置及利用，不会对区域生态环境产生影响，符合重点管控单元的相关要求。</w:t>
            </w:r>
          </w:p>
          <w:p w14:paraId="2FDBAA31">
            <w:pPr>
              <w:autoSpaceDE w:val="0"/>
              <w:autoSpaceDN w:val="0"/>
              <w:adjustRightInd w:val="0"/>
              <w:snapToGrid w:val="0"/>
              <w:spacing w:line="360" w:lineRule="auto"/>
              <w:ind w:firstLine="480" w:firstLineChars="200"/>
              <w:rPr>
                <w:kern w:val="0"/>
                <w:sz w:val="24"/>
              </w:rPr>
            </w:pPr>
            <w:r>
              <w:rPr>
                <w:rFonts w:hint="eastAsia" w:ascii="宋体" w:hAnsi="宋体"/>
                <w:kern w:val="0"/>
                <w:sz w:val="24"/>
              </w:rPr>
              <w:t>①</w:t>
            </w:r>
            <w:r>
              <w:rPr>
                <w:rFonts w:hint="eastAsia"/>
                <w:kern w:val="0"/>
                <w:sz w:val="24"/>
              </w:rPr>
              <w:t>生态保护红线</w:t>
            </w:r>
          </w:p>
          <w:p w14:paraId="1B41FC3C">
            <w:pPr>
              <w:adjustRightInd w:val="0"/>
              <w:snapToGrid w:val="0"/>
              <w:spacing w:line="360" w:lineRule="auto"/>
              <w:ind w:firstLine="480" w:firstLineChars="200"/>
              <w:rPr>
                <w:b/>
                <w:sz w:val="24"/>
              </w:rPr>
            </w:pPr>
            <w:r>
              <w:rPr>
                <w:rFonts w:hint="eastAsia"/>
                <w:kern w:val="0"/>
                <w:sz w:val="24"/>
              </w:rPr>
              <w:t>项目位于沙漠林业实验中心农场油田勘查用地和磴口县新能源预留用地重点管控单元，根据磴口县自然资源局出具的《关于查询磴4平台井建设项目用地拟选址是否涉及生态保护红线范围内的复函》，不涉及占用已划定的生态保护红线，符合生态保护红线的原则。</w:t>
            </w:r>
          </w:p>
          <w:p w14:paraId="07D4CBCB">
            <w:pPr>
              <w:autoSpaceDE w:val="0"/>
              <w:autoSpaceDN w:val="0"/>
              <w:adjustRightInd w:val="0"/>
              <w:snapToGrid w:val="0"/>
              <w:spacing w:line="360" w:lineRule="auto"/>
              <w:ind w:firstLine="480" w:firstLineChars="200"/>
              <w:rPr>
                <w:kern w:val="0"/>
                <w:sz w:val="24"/>
              </w:rPr>
            </w:pPr>
            <w:r>
              <w:rPr>
                <w:rFonts w:hint="eastAsia" w:ascii="宋体" w:hAnsi="宋体"/>
                <w:kern w:val="0"/>
                <w:sz w:val="24"/>
              </w:rPr>
              <w:t>②</w:t>
            </w:r>
            <w:r>
              <w:rPr>
                <w:rFonts w:hint="eastAsia"/>
                <w:kern w:val="0"/>
                <w:sz w:val="24"/>
              </w:rPr>
              <w:t>环境质量底线</w:t>
            </w:r>
          </w:p>
          <w:p w14:paraId="14DEBEF6">
            <w:pPr>
              <w:autoSpaceDE w:val="0"/>
              <w:autoSpaceDN w:val="0"/>
              <w:adjustRightInd w:val="0"/>
              <w:snapToGrid w:val="0"/>
              <w:spacing w:line="360" w:lineRule="auto"/>
              <w:ind w:firstLine="480" w:firstLineChars="200"/>
              <w:rPr>
                <w:kern w:val="0"/>
                <w:sz w:val="24"/>
              </w:rPr>
            </w:pPr>
            <w:r>
              <w:rPr>
                <w:rFonts w:hint="eastAsia"/>
                <w:kern w:val="0"/>
                <w:sz w:val="24"/>
              </w:rPr>
              <w:t>项目所在区域属于环境空气二类区，执行《环境空气质量标准》（GB3095-2026）中过渡阶段二级浓度限值。</w:t>
            </w:r>
            <w:r>
              <w:rPr>
                <w:kern w:val="0"/>
                <w:sz w:val="24"/>
              </w:rPr>
              <w:t>根据</w:t>
            </w:r>
            <w:r>
              <w:rPr>
                <w:rFonts w:hint="eastAsia"/>
                <w:kern w:val="0"/>
                <w:sz w:val="24"/>
              </w:rPr>
              <w:t>《巴彦淖尔市生态环境状况公报（2025年）》</w:t>
            </w:r>
            <w:r>
              <w:rPr>
                <w:kern w:val="0"/>
                <w:sz w:val="24"/>
              </w:rPr>
              <w:t>和现状监测结果</w:t>
            </w:r>
            <w:r>
              <w:rPr>
                <w:rFonts w:hint="eastAsia"/>
                <w:kern w:val="0"/>
                <w:sz w:val="24"/>
              </w:rPr>
              <w:t>，项目位于达标区。项目施工期采取相关废气治理措施后，不会改变区域大气环境功能。</w:t>
            </w:r>
          </w:p>
          <w:p w14:paraId="529B087B">
            <w:pPr>
              <w:autoSpaceDE w:val="0"/>
              <w:autoSpaceDN w:val="0"/>
              <w:adjustRightInd w:val="0"/>
              <w:snapToGrid w:val="0"/>
              <w:spacing w:line="360" w:lineRule="auto"/>
              <w:ind w:firstLine="480" w:firstLineChars="200"/>
              <w:rPr>
                <w:kern w:val="0"/>
                <w:sz w:val="24"/>
              </w:rPr>
            </w:pPr>
            <w:r>
              <w:rPr>
                <w:kern w:val="0"/>
                <w:sz w:val="24"/>
              </w:rPr>
              <w:t>项目钻井废水随同</w:t>
            </w:r>
            <w:r>
              <w:rPr>
                <w:rFonts w:hint="eastAsia"/>
                <w:kern w:val="0"/>
                <w:sz w:val="24"/>
              </w:rPr>
              <w:t>废弃泥浆、钻井岩屑拉运至内蒙古众宁环保科技有限公司油气田废弃物集中处理厂，经处理后废水由罐车运输至内蒙古正水威禾生物科技有限公司污水处理站进一步处理。项目废水不直接外排且周围无地表水体，因此不会对区域地表水体造成不利影响，不会改变区域地表水环境功能和水环境质量，且项目施工过程中将对井场进行分区防渗，不会对区域地下水造成影响，不会改变其水环境功能区划。</w:t>
            </w:r>
          </w:p>
          <w:p w14:paraId="1CDD513B">
            <w:pPr>
              <w:autoSpaceDE w:val="0"/>
              <w:autoSpaceDN w:val="0"/>
              <w:adjustRightInd w:val="0"/>
              <w:snapToGrid w:val="0"/>
              <w:spacing w:line="360" w:lineRule="auto"/>
              <w:ind w:firstLine="480" w:firstLineChars="200"/>
              <w:rPr>
                <w:kern w:val="0"/>
                <w:sz w:val="24"/>
              </w:rPr>
            </w:pPr>
            <w:r>
              <w:rPr>
                <w:rFonts w:hint="eastAsia"/>
                <w:kern w:val="0"/>
                <w:sz w:val="24"/>
              </w:rPr>
              <w:t>项目所在区域声环境质量良好，执行《声环境质量标准》（GB3096-2008）中1类区标准，项目施工期排放施工噪声，对区域声环境将造成一定的不利影响，在施工结束后，其影响随即消失。</w:t>
            </w:r>
          </w:p>
          <w:p w14:paraId="6156439C">
            <w:pPr>
              <w:autoSpaceDE w:val="0"/>
              <w:autoSpaceDN w:val="0"/>
              <w:adjustRightInd w:val="0"/>
              <w:snapToGrid w:val="0"/>
              <w:spacing w:line="360" w:lineRule="auto"/>
              <w:ind w:firstLine="480" w:firstLineChars="200"/>
              <w:rPr>
                <w:kern w:val="0"/>
                <w:sz w:val="24"/>
              </w:rPr>
            </w:pPr>
            <w:r>
              <w:rPr>
                <w:rFonts w:hint="eastAsia"/>
                <w:kern w:val="0"/>
                <w:sz w:val="24"/>
              </w:rPr>
              <w:t>项目采用泥浆不落地循环系统装置，利用钻井泥浆循环罐代替泥浆池。钻井过程中采用无害化水基钻井泥浆，钻井泥浆循环使用，产生的废弃泥浆、钻井岩屑拉运至内蒙古众宁环保科技有限公司油气田废弃物集中处理厂处理。废润滑油、落地油及废防渗材料等危险废物委托有资质单位拉运处置。</w:t>
            </w:r>
          </w:p>
          <w:p w14:paraId="4A7E97B9">
            <w:pPr>
              <w:autoSpaceDE w:val="0"/>
              <w:autoSpaceDN w:val="0"/>
              <w:adjustRightInd w:val="0"/>
              <w:snapToGrid w:val="0"/>
              <w:spacing w:line="360" w:lineRule="auto"/>
              <w:ind w:firstLine="480" w:firstLineChars="200"/>
              <w:rPr>
                <w:kern w:val="0"/>
                <w:sz w:val="24"/>
              </w:rPr>
            </w:pPr>
            <w:r>
              <w:rPr>
                <w:rFonts w:hint="eastAsia"/>
                <w:kern w:val="0"/>
                <w:sz w:val="24"/>
              </w:rPr>
              <w:t>综上所述，项目采取相应的污染防治措施后不会对区域环境造成影响，未超出环境质量底线。</w:t>
            </w:r>
          </w:p>
          <w:p w14:paraId="1A21B65D">
            <w:pPr>
              <w:autoSpaceDE w:val="0"/>
              <w:autoSpaceDN w:val="0"/>
              <w:adjustRightInd w:val="0"/>
              <w:snapToGrid w:val="0"/>
              <w:spacing w:line="360" w:lineRule="auto"/>
              <w:ind w:firstLine="480" w:firstLineChars="200"/>
              <w:rPr>
                <w:kern w:val="0"/>
                <w:sz w:val="24"/>
              </w:rPr>
            </w:pPr>
            <w:r>
              <w:rPr>
                <w:rFonts w:hint="eastAsia" w:ascii="宋体" w:hAnsi="宋体"/>
                <w:kern w:val="0"/>
                <w:sz w:val="24"/>
              </w:rPr>
              <w:t>③</w:t>
            </w:r>
            <w:r>
              <w:rPr>
                <w:rFonts w:hint="eastAsia"/>
                <w:kern w:val="0"/>
                <w:sz w:val="24"/>
              </w:rPr>
              <w:t>资源利用上线</w:t>
            </w:r>
          </w:p>
          <w:p w14:paraId="12A3261C">
            <w:pPr>
              <w:autoSpaceDE w:val="0"/>
              <w:autoSpaceDN w:val="0"/>
              <w:adjustRightInd w:val="0"/>
              <w:snapToGrid w:val="0"/>
              <w:spacing w:line="360" w:lineRule="auto"/>
              <w:ind w:firstLine="480" w:firstLineChars="200"/>
              <w:rPr>
                <w:kern w:val="0"/>
                <w:sz w:val="24"/>
              </w:rPr>
            </w:pPr>
            <w:r>
              <w:rPr>
                <w:rFonts w:hint="eastAsia"/>
                <w:kern w:val="0"/>
                <w:sz w:val="24"/>
              </w:rPr>
              <w:t>项目为石油勘探工程，全部为临时用地，用地类型为天然牧草地和其他草地，不在基本草原范围内；施工中消耗少量柴油和少量水资源，柴油为外部购买，生产用水为巴彦淖尔市市政环境（集团）有限公司中水，生活用水来源为附近村庄自来水。项目资源消耗量相对区域资源利用总量较小，不会突破资源利用上线。</w:t>
            </w:r>
          </w:p>
          <w:p w14:paraId="41565B97">
            <w:pPr>
              <w:autoSpaceDE w:val="0"/>
              <w:autoSpaceDN w:val="0"/>
              <w:adjustRightInd w:val="0"/>
              <w:snapToGrid w:val="0"/>
              <w:spacing w:line="360" w:lineRule="auto"/>
              <w:ind w:firstLine="480" w:firstLineChars="200"/>
              <w:rPr>
                <w:kern w:val="0"/>
                <w:sz w:val="24"/>
              </w:rPr>
            </w:pPr>
            <w:r>
              <w:rPr>
                <w:rFonts w:hint="eastAsia" w:ascii="宋体" w:hAnsi="宋体"/>
                <w:kern w:val="0"/>
                <w:sz w:val="24"/>
              </w:rPr>
              <w:t>④</w:t>
            </w:r>
            <w:r>
              <w:rPr>
                <w:rFonts w:hint="eastAsia"/>
                <w:kern w:val="0"/>
                <w:sz w:val="24"/>
              </w:rPr>
              <w:t>生态环境准入清单</w:t>
            </w:r>
          </w:p>
          <w:p w14:paraId="461F2BC6">
            <w:pPr>
              <w:autoSpaceDE w:val="0"/>
              <w:autoSpaceDN w:val="0"/>
              <w:adjustRightInd w:val="0"/>
              <w:snapToGrid w:val="0"/>
              <w:spacing w:line="360" w:lineRule="auto"/>
              <w:ind w:firstLine="480" w:firstLineChars="200"/>
              <w:rPr>
                <w:kern w:val="0"/>
                <w:sz w:val="24"/>
              </w:rPr>
            </w:pPr>
            <w:r>
              <w:rPr>
                <w:rFonts w:hint="eastAsia"/>
                <w:kern w:val="0"/>
                <w:sz w:val="24"/>
              </w:rPr>
              <w:t>项目与巴彦淖尔市总体准入要求中的总体要求符合性分析如下。</w:t>
            </w:r>
          </w:p>
          <w:p w14:paraId="39FB9E87">
            <w:pPr>
              <w:jc w:val="center"/>
              <w:rPr>
                <w:b/>
                <w:sz w:val="24"/>
                <w:szCs w:val="21"/>
              </w:rPr>
            </w:pPr>
            <w:r>
              <w:rPr>
                <w:b/>
                <w:sz w:val="24"/>
                <w:szCs w:val="21"/>
              </w:rPr>
              <w:t>表1-</w:t>
            </w:r>
            <w:r>
              <w:rPr>
                <w:rFonts w:hint="eastAsia"/>
                <w:b/>
                <w:sz w:val="24"/>
                <w:szCs w:val="21"/>
              </w:rPr>
              <w:t>3</w:t>
            </w:r>
            <w:r>
              <w:rPr>
                <w:b/>
                <w:sz w:val="24"/>
                <w:szCs w:val="21"/>
              </w:rPr>
              <w:t xml:space="preserve"> 与巴彦淖尔市</w:t>
            </w:r>
            <w:r>
              <w:rPr>
                <w:rFonts w:hint="eastAsia"/>
                <w:b/>
                <w:sz w:val="24"/>
                <w:szCs w:val="21"/>
              </w:rPr>
              <w:t>准入总体要求</w:t>
            </w:r>
            <w:r>
              <w:rPr>
                <w:b/>
                <w:sz w:val="24"/>
                <w:szCs w:val="21"/>
              </w:rPr>
              <w:t>符合性分析</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0"/>
              <w:gridCol w:w="3970"/>
              <w:gridCol w:w="2128"/>
              <w:gridCol w:w="503"/>
            </w:tblGrid>
            <w:tr w14:paraId="0F2F96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6" w:type="pct"/>
                  <w:tcBorders>
                    <w:tl2br w:val="nil"/>
                    <w:tr2bl w:val="nil"/>
                  </w:tcBorders>
                  <w:tcMar>
                    <w:left w:w="0" w:type="dxa"/>
                    <w:right w:w="0" w:type="dxa"/>
                  </w:tcMar>
                  <w:vAlign w:val="center"/>
                </w:tcPr>
                <w:p w14:paraId="0F97DBED">
                  <w:pPr>
                    <w:jc w:val="center"/>
                    <w:rPr>
                      <w:bCs/>
                      <w:szCs w:val="21"/>
                    </w:rPr>
                  </w:pPr>
                  <w:r>
                    <w:rPr>
                      <w:rFonts w:hint="eastAsia"/>
                      <w:bCs/>
                      <w:szCs w:val="21"/>
                    </w:rPr>
                    <w:t>管控</w:t>
                  </w:r>
                  <w:r>
                    <w:rPr>
                      <w:bCs/>
                      <w:szCs w:val="21"/>
                    </w:rPr>
                    <w:t>类型</w:t>
                  </w:r>
                </w:p>
              </w:tc>
              <w:tc>
                <w:tcPr>
                  <w:tcW w:w="2823" w:type="pct"/>
                  <w:tcBorders>
                    <w:tl2br w:val="nil"/>
                    <w:tr2bl w:val="nil"/>
                  </w:tcBorders>
                  <w:tcMar>
                    <w:left w:w="0" w:type="dxa"/>
                    <w:right w:w="0" w:type="dxa"/>
                  </w:tcMar>
                  <w:vAlign w:val="center"/>
                </w:tcPr>
                <w:p w14:paraId="244B7081">
                  <w:pPr>
                    <w:jc w:val="center"/>
                    <w:rPr>
                      <w:bCs/>
                      <w:szCs w:val="21"/>
                    </w:rPr>
                  </w:pPr>
                  <w:r>
                    <w:rPr>
                      <w:bCs/>
                      <w:szCs w:val="21"/>
                    </w:rPr>
                    <w:t>管控要求</w:t>
                  </w:r>
                </w:p>
              </w:tc>
              <w:tc>
                <w:tcPr>
                  <w:tcW w:w="1513" w:type="pct"/>
                  <w:tcBorders>
                    <w:tl2br w:val="nil"/>
                    <w:tr2bl w:val="nil"/>
                  </w:tcBorders>
                  <w:tcMar>
                    <w:left w:w="0" w:type="dxa"/>
                    <w:right w:w="0" w:type="dxa"/>
                  </w:tcMar>
                  <w:vAlign w:val="center"/>
                </w:tcPr>
                <w:p w14:paraId="28CB2057">
                  <w:pPr>
                    <w:jc w:val="center"/>
                    <w:rPr>
                      <w:bCs/>
                      <w:szCs w:val="21"/>
                    </w:rPr>
                  </w:pPr>
                  <w:r>
                    <w:rPr>
                      <w:bCs/>
                      <w:szCs w:val="21"/>
                    </w:rPr>
                    <w:t>项目情况</w:t>
                  </w:r>
                </w:p>
              </w:tc>
              <w:tc>
                <w:tcPr>
                  <w:tcW w:w="359" w:type="pct"/>
                  <w:tcBorders>
                    <w:tl2br w:val="nil"/>
                    <w:tr2bl w:val="nil"/>
                  </w:tcBorders>
                  <w:tcMar>
                    <w:left w:w="0" w:type="dxa"/>
                    <w:right w:w="0" w:type="dxa"/>
                  </w:tcMar>
                  <w:vAlign w:val="center"/>
                </w:tcPr>
                <w:p w14:paraId="5F04F72E">
                  <w:pPr>
                    <w:jc w:val="center"/>
                    <w:rPr>
                      <w:bCs/>
                      <w:szCs w:val="21"/>
                    </w:rPr>
                  </w:pPr>
                  <w:r>
                    <w:rPr>
                      <w:bCs/>
                      <w:szCs w:val="21"/>
                    </w:rPr>
                    <w:t>是否符合</w:t>
                  </w:r>
                </w:p>
              </w:tc>
            </w:tr>
            <w:tr w14:paraId="32153F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06" w:type="pct"/>
                  <w:tcBorders>
                    <w:tl2br w:val="nil"/>
                    <w:tr2bl w:val="nil"/>
                  </w:tcBorders>
                  <w:tcMar>
                    <w:left w:w="0" w:type="dxa"/>
                    <w:right w:w="0" w:type="dxa"/>
                  </w:tcMar>
                  <w:vAlign w:val="center"/>
                </w:tcPr>
                <w:p w14:paraId="203670B4">
                  <w:pPr>
                    <w:jc w:val="center"/>
                    <w:rPr>
                      <w:bCs/>
                      <w:szCs w:val="21"/>
                    </w:rPr>
                  </w:pPr>
                  <w:r>
                    <w:rPr>
                      <w:bCs/>
                      <w:szCs w:val="21"/>
                    </w:rPr>
                    <w:t>总体要求</w:t>
                  </w:r>
                </w:p>
              </w:tc>
              <w:tc>
                <w:tcPr>
                  <w:tcW w:w="2823" w:type="pct"/>
                  <w:tcBorders>
                    <w:tl2br w:val="nil"/>
                    <w:tr2bl w:val="nil"/>
                  </w:tcBorders>
                  <w:tcMar>
                    <w:left w:w="0" w:type="dxa"/>
                    <w:right w:w="0" w:type="dxa"/>
                  </w:tcMar>
                  <w:vAlign w:val="center"/>
                </w:tcPr>
                <w:p w14:paraId="0ADC1597">
                  <w:pPr>
                    <w:jc w:val="left"/>
                    <w:rPr>
                      <w:bCs/>
                      <w:szCs w:val="21"/>
                    </w:rPr>
                  </w:pPr>
                  <w:r>
                    <w:rPr>
                      <w:rFonts w:hint="eastAsia"/>
                      <w:bCs/>
                      <w:szCs w:val="21"/>
                    </w:rPr>
                    <w:t>1、根据《内蒙古自治区进一步规范化工行业项目建设的若干规定》，现有园区扩大面积的，要与黄河中上游流域巴彦淖尔段及主要支流岸线至少保持1公里距离。</w:t>
                  </w:r>
                </w:p>
                <w:p w14:paraId="358F42E7">
                  <w:pPr>
                    <w:jc w:val="left"/>
                    <w:rPr>
                      <w:bCs/>
                      <w:szCs w:val="21"/>
                    </w:rPr>
                  </w:pPr>
                  <w:r>
                    <w:rPr>
                      <w:rFonts w:hint="eastAsia"/>
                      <w:bCs/>
                      <w:szCs w:val="21"/>
                    </w:rPr>
                    <w:t>2、新建、改建、扩建“两高”项目须符合生态环境保护法律法规和相关法定规划，满足重点污染物排放总量控制、碳排放达峰目标、生态环境准入清单、相关规划环评和相应行业建设项目环境准入条件、环评文件审批要求。新建、扩建石化、化工、焦化、有色金属冶炼、平板玻璃项目应布设在依法合规设立并经划规环评的产业园区。化工园区（集中区）外已认定为化工重点监控点的企业，在项目审批、建设和管理方面参照化工园区内企业执行。企业可按照化工项目建设管理有关规定，依法依规在厂区内或紧邻厂区新建、改扩建现有装备同类产品、产业链延链补链、循环经济利用、安全环保节能项目，但原则上不能新建上游产业。</w:t>
                  </w:r>
                </w:p>
                <w:p w14:paraId="14402F68">
                  <w:pPr>
                    <w:jc w:val="left"/>
                    <w:rPr>
                      <w:bCs/>
                      <w:szCs w:val="21"/>
                    </w:rPr>
                  </w:pPr>
                  <w:r>
                    <w:rPr>
                      <w:rFonts w:hint="eastAsia"/>
                      <w:bCs/>
                      <w:szCs w:val="21"/>
                    </w:rPr>
                    <w:t>3、为改善区域环境质量，严格控制“两高”项目新增主要污染物排放，确保环境影响报告书及其批复文件要求的主要污染物排放量区域削减措施落实到位。建设项目应满足区域、流域控制单元环境质量改善目标管理要求。所在区域、流域控制单元环境质量未达到国家或者地方环境质量标准的，建设项目应提出有效的区域削减方案，主要污染物实行区域倍量削减，确保项目投产后区域环境质量有改善。所在区域、流域控制单元环境质量达到国家或者地方环境质量标准的，原则上建设项目主要污染物实行区域等量削减，确保项目投产后区域环境质量不恶化。</w:t>
                  </w:r>
                </w:p>
                <w:p w14:paraId="5AF59BCD">
                  <w:pPr>
                    <w:jc w:val="left"/>
                    <w:rPr>
                      <w:bCs/>
                      <w:szCs w:val="21"/>
                    </w:rPr>
                  </w:pPr>
                  <w:r>
                    <w:rPr>
                      <w:rFonts w:hint="eastAsia"/>
                      <w:bCs/>
                      <w:szCs w:val="21"/>
                    </w:rPr>
                    <w:t>4、各类园区及建设项目选址应当符合当地国土空间规划。</w:t>
                  </w:r>
                </w:p>
                <w:p w14:paraId="34F2A62B">
                  <w:pPr>
                    <w:jc w:val="left"/>
                    <w:rPr>
                      <w:bCs/>
                      <w:szCs w:val="21"/>
                    </w:rPr>
                  </w:pPr>
                  <w:r>
                    <w:rPr>
                      <w:rFonts w:hint="eastAsia"/>
                      <w:bCs/>
                      <w:szCs w:val="21"/>
                    </w:rPr>
                    <w:t>5、畜禽养殖禁养区内不得新建、扩建和改建各类畜禽养殖场，限养区内严格限制新建和扩建各类规模化畜禽养殖场。适养区内现有的各类畜禽养殖场必须落实污染防治措施，对污水、废渣和恶臭应进行定期监测，确保排放的污染物达到《畜禽养殖业污染物排放标准》（GB18596）的限制要求，并符合污染物排放总量控制要求。禁养区范围内的已建成的畜禽养殖场（小区）和养殖专业户，由所在地人民政府负责责令限期搬迁、关闭或取缔。</w:t>
                  </w:r>
                </w:p>
                <w:p w14:paraId="4F46B92F">
                  <w:pPr>
                    <w:jc w:val="left"/>
                    <w:rPr>
                      <w:bCs/>
                      <w:szCs w:val="21"/>
                    </w:rPr>
                  </w:pPr>
                  <w:r>
                    <w:rPr>
                      <w:rFonts w:hint="eastAsia"/>
                      <w:bCs/>
                      <w:szCs w:val="21"/>
                    </w:rPr>
                    <w:t>6、建设对环境有影响的项目，建设单位应当根据国家关于建设项目环境保护分类管理的规定，按照对环境造成影响的程度，组织编制环境影响报告书、环境影响报告表或者填写环境影响登记表。严格落实排污许可管理要求，加强排污许可证实施监管，督促企业采取有效措施控制污染物排放，达到排污许可证规定的许可排放量要求。</w:t>
                  </w:r>
                </w:p>
                <w:p w14:paraId="70AF4C07">
                  <w:pPr>
                    <w:jc w:val="left"/>
                    <w:rPr>
                      <w:bCs/>
                      <w:szCs w:val="21"/>
                    </w:rPr>
                  </w:pPr>
                  <w:r>
                    <w:rPr>
                      <w:rFonts w:hint="eastAsia"/>
                      <w:bCs/>
                      <w:szCs w:val="21"/>
                    </w:rPr>
                    <w:t>7、入园项目需符合园区产业定位、布局、规划环评等；根据《内蒙古自治区“十四五”危险废物集中处置设施建设规划》，原则上限制新建、扩建危险废物焚烧、填埋、水泥窑协同等集中处置设施。</w:t>
                  </w:r>
                </w:p>
              </w:tc>
              <w:tc>
                <w:tcPr>
                  <w:tcW w:w="1513" w:type="pct"/>
                  <w:tcBorders>
                    <w:tl2br w:val="nil"/>
                    <w:tr2bl w:val="nil"/>
                  </w:tcBorders>
                  <w:tcMar>
                    <w:left w:w="0" w:type="dxa"/>
                    <w:right w:w="0" w:type="dxa"/>
                  </w:tcMar>
                  <w:vAlign w:val="center"/>
                </w:tcPr>
                <w:p w14:paraId="6399B579">
                  <w:pPr>
                    <w:jc w:val="left"/>
                    <w:rPr>
                      <w:szCs w:val="21"/>
                    </w:rPr>
                  </w:pPr>
                  <w:r>
                    <w:rPr>
                      <w:rFonts w:hint="eastAsia"/>
                      <w:szCs w:val="21"/>
                    </w:rPr>
                    <w:t>1.项目不涉及化工园区等内容。</w:t>
                  </w:r>
                </w:p>
                <w:p w14:paraId="2E66F08B">
                  <w:pPr>
                    <w:jc w:val="left"/>
                    <w:rPr>
                      <w:szCs w:val="21"/>
                    </w:rPr>
                  </w:pPr>
                  <w:r>
                    <w:rPr>
                      <w:rFonts w:hint="eastAsia"/>
                      <w:szCs w:val="21"/>
                    </w:rPr>
                    <w:t>2.项目属于石油勘探，不属于国家规定的“两高”项目，不属于石化、化工、焦化、有色金属冶炼、平板玻璃项目，不涉及化工园区等。</w:t>
                  </w:r>
                </w:p>
                <w:p w14:paraId="3AC5FE38">
                  <w:pPr>
                    <w:jc w:val="left"/>
                    <w:rPr>
                      <w:szCs w:val="21"/>
                    </w:rPr>
                  </w:pPr>
                  <w:r>
                    <w:rPr>
                      <w:rFonts w:hint="eastAsia"/>
                      <w:szCs w:val="21"/>
                    </w:rPr>
                    <w:t>3.项目施工过程中采取相关废气治理措施后，不会改变区域大气环境功能；钻井废水随同废弃泥浆、钻井岩屑拉运至内蒙古众宁环保科技有限公司油气田废弃物集中处理厂处理，并且对井场进行分区防渗，因此不会改变区域水环境功能；废弃泥浆、钻井岩屑拉运至内蒙古众宁环保科技有限公司油气田废弃物集中处理厂处理；危险废物委托有资质单位拉运处置。综上，施工期产生的废气、废水、固废等均能合理处置及利用，不会对区域生态环境产生影响。</w:t>
                  </w:r>
                </w:p>
                <w:p w14:paraId="438406AC">
                  <w:pPr>
                    <w:jc w:val="left"/>
                    <w:rPr>
                      <w:szCs w:val="21"/>
                    </w:rPr>
                  </w:pPr>
                  <w:r>
                    <w:rPr>
                      <w:rFonts w:hint="eastAsia"/>
                      <w:szCs w:val="21"/>
                    </w:rPr>
                    <w:t>4.项目属于国家能源矿产资源勘探，钻井井场选址需满足“地上服从地下”的原则，钻井井场不在生态保护红线范围内，周边区域无自然保护区、风景名胜区、文化遗产保护区、水源保护地等环境敏感保护对象。项目已取得临时用地的批复。</w:t>
                  </w:r>
                </w:p>
                <w:p w14:paraId="67464FEA">
                  <w:pPr>
                    <w:jc w:val="left"/>
                    <w:rPr>
                      <w:szCs w:val="21"/>
                    </w:rPr>
                  </w:pPr>
                  <w:r>
                    <w:rPr>
                      <w:rFonts w:hint="eastAsia"/>
                      <w:szCs w:val="21"/>
                    </w:rPr>
                    <w:t>5.项目不涉及畜禽养殖等内容。</w:t>
                  </w:r>
                </w:p>
                <w:p w14:paraId="4E596ACE">
                  <w:pPr>
                    <w:jc w:val="left"/>
                    <w:rPr>
                      <w:szCs w:val="21"/>
                    </w:rPr>
                  </w:pPr>
                  <w:r>
                    <w:rPr>
                      <w:rFonts w:hint="eastAsia"/>
                      <w:szCs w:val="21"/>
                    </w:rPr>
                    <w:t>6.项目位于依法设立的内蒙古河套盆地吉锦油气勘查探矿权范围内，属于未确定产能建设规模的陆地油气开采新区块，因此按照建设项目环境保护分类管理的规定编制了环境影响报告表。</w:t>
                  </w:r>
                </w:p>
                <w:p w14:paraId="017038B1">
                  <w:pPr>
                    <w:jc w:val="left"/>
                    <w:rPr>
                      <w:szCs w:val="21"/>
                    </w:rPr>
                  </w:pPr>
                  <w:r>
                    <w:rPr>
                      <w:rFonts w:hint="eastAsia"/>
                      <w:szCs w:val="21"/>
                    </w:rPr>
                    <w:t>7.项目不涉及危险废物焚烧、填埋、水泥窑协同等集中处置设施。项目产生的危险废物委托有资质单位拉运处置。</w:t>
                  </w:r>
                </w:p>
              </w:tc>
              <w:tc>
                <w:tcPr>
                  <w:tcW w:w="359" w:type="pct"/>
                  <w:tcBorders>
                    <w:tl2br w:val="nil"/>
                    <w:tr2bl w:val="nil"/>
                  </w:tcBorders>
                  <w:tcMar>
                    <w:left w:w="0" w:type="dxa"/>
                    <w:right w:w="0" w:type="dxa"/>
                  </w:tcMar>
                  <w:vAlign w:val="center"/>
                </w:tcPr>
                <w:p w14:paraId="1F23FEE3">
                  <w:pPr>
                    <w:jc w:val="center"/>
                    <w:rPr>
                      <w:bCs/>
                      <w:szCs w:val="21"/>
                    </w:rPr>
                  </w:pPr>
                  <w:r>
                    <w:rPr>
                      <w:bCs/>
                      <w:szCs w:val="21"/>
                    </w:rPr>
                    <w:t>符合</w:t>
                  </w:r>
                </w:p>
              </w:tc>
            </w:tr>
          </w:tbl>
          <w:p w14:paraId="1A3A4CE0">
            <w:pPr>
              <w:autoSpaceDE w:val="0"/>
              <w:autoSpaceDN w:val="0"/>
              <w:adjustRightInd w:val="0"/>
              <w:snapToGrid w:val="0"/>
              <w:spacing w:line="360" w:lineRule="auto"/>
              <w:ind w:firstLine="480" w:firstLineChars="200"/>
              <w:rPr>
                <w:kern w:val="0"/>
                <w:sz w:val="24"/>
              </w:rPr>
            </w:pPr>
            <w:r>
              <w:rPr>
                <w:rFonts w:hint="eastAsia"/>
                <w:kern w:val="0"/>
                <w:sz w:val="24"/>
              </w:rPr>
              <w:t>根据在内蒙古自治区“三线一单”公众端应用平台查询，项目位于</w:t>
            </w:r>
            <w:r>
              <w:rPr>
                <w:kern w:val="0"/>
                <w:sz w:val="24"/>
              </w:rPr>
              <w:t>ZH15082220015</w:t>
            </w:r>
            <w:r>
              <w:rPr>
                <w:rFonts w:hint="eastAsia"/>
                <w:kern w:val="0"/>
                <w:sz w:val="24"/>
              </w:rPr>
              <w:t>沙漠林业实验中心农场油田勘查用地和</w:t>
            </w:r>
            <w:r>
              <w:rPr>
                <w:kern w:val="0"/>
                <w:sz w:val="24"/>
              </w:rPr>
              <w:t>ZH15082220017</w:t>
            </w:r>
            <w:r>
              <w:rPr>
                <w:rFonts w:hint="eastAsia"/>
                <w:kern w:val="0"/>
                <w:sz w:val="24"/>
              </w:rPr>
              <w:t>磴口县新能源预留用地，管控要求符合性分析如下。</w:t>
            </w:r>
          </w:p>
          <w:p w14:paraId="610704F3">
            <w:pPr>
              <w:jc w:val="center"/>
              <w:rPr>
                <w:b/>
                <w:sz w:val="24"/>
                <w:szCs w:val="21"/>
              </w:rPr>
            </w:pPr>
            <w:r>
              <w:rPr>
                <w:b/>
                <w:sz w:val="24"/>
                <w:szCs w:val="21"/>
              </w:rPr>
              <w:t>表1-</w:t>
            </w:r>
            <w:r>
              <w:rPr>
                <w:rFonts w:hint="eastAsia"/>
                <w:b/>
                <w:sz w:val="24"/>
                <w:szCs w:val="21"/>
              </w:rPr>
              <w:t>4 与沙漠林业实验中心农场油田勘查用地管控单元符合性分析</w:t>
            </w:r>
          </w:p>
          <w:tbl>
            <w:tblPr>
              <w:tblStyle w:val="30"/>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707"/>
              <w:gridCol w:w="568"/>
              <w:gridCol w:w="2268"/>
              <w:gridCol w:w="2351"/>
              <w:gridCol w:w="537"/>
            </w:tblGrid>
            <w:tr w14:paraId="7C4465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7" w:type="pct"/>
                  <w:tcMar>
                    <w:left w:w="0" w:type="dxa"/>
                    <w:right w:w="0" w:type="dxa"/>
                  </w:tcMar>
                  <w:vAlign w:val="center"/>
                </w:tcPr>
                <w:p w14:paraId="487D9572">
                  <w:pPr>
                    <w:jc w:val="center"/>
                    <w:rPr>
                      <w:bCs/>
                      <w:szCs w:val="21"/>
                    </w:rPr>
                  </w:pPr>
                  <w:r>
                    <w:rPr>
                      <w:rFonts w:hint="eastAsia"/>
                      <w:bCs/>
                      <w:szCs w:val="21"/>
                    </w:rPr>
                    <w:t>管控单元</w:t>
                  </w:r>
                </w:p>
              </w:tc>
              <w:tc>
                <w:tcPr>
                  <w:tcW w:w="503" w:type="pct"/>
                  <w:tcMar>
                    <w:left w:w="0" w:type="dxa"/>
                    <w:right w:w="0" w:type="dxa"/>
                  </w:tcMar>
                  <w:vAlign w:val="center"/>
                </w:tcPr>
                <w:p w14:paraId="47348FA5">
                  <w:pPr>
                    <w:jc w:val="center"/>
                    <w:rPr>
                      <w:bCs/>
                      <w:szCs w:val="21"/>
                    </w:rPr>
                  </w:pPr>
                  <w:r>
                    <w:rPr>
                      <w:bCs/>
                      <w:szCs w:val="21"/>
                    </w:rPr>
                    <w:t>生态保护重点</w:t>
                  </w:r>
                </w:p>
              </w:tc>
              <w:tc>
                <w:tcPr>
                  <w:tcW w:w="404" w:type="pct"/>
                  <w:tcMar>
                    <w:left w:w="0" w:type="dxa"/>
                    <w:right w:w="0" w:type="dxa"/>
                  </w:tcMar>
                  <w:vAlign w:val="center"/>
                </w:tcPr>
                <w:p w14:paraId="189CBF24">
                  <w:pPr>
                    <w:jc w:val="center"/>
                    <w:rPr>
                      <w:bCs/>
                      <w:szCs w:val="21"/>
                    </w:rPr>
                  </w:pPr>
                  <w:r>
                    <w:rPr>
                      <w:bCs/>
                      <w:szCs w:val="21"/>
                    </w:rPr>
                    <w:t>维度</w:t>
                  </w:r>
                </w:p>
              </w:tc>
              <w:tc>
                <w:tcPr>
                  <w:tcW w:w="1613" w:type="pct"/>
                  <w:tcMar>
                    <w:left w:w="0" w:type="dxa"/>
                    <w:right w:w="0" w:type="dxa"/>
                  </w:tcMar>
                  <w:vAlign w:val="center"/>
                </w:tcPr>
                <w:p w14:paraId="2D6D8C99">
                  <w:pPr>
                    <w:jc w:val="center"/>
                    <w:rPr>
                      <w:bCs/>
                      <w:szCs w:val="21"/>
                    </w:rPr>
                  </w:pPr>
                  <w:r>
                    <w:rPr>
                      <w:rFonts w:hint="eastAsia"/>
                      <w:bCs/>
                      <w:szCs w:val="21"/>
                    </w:rPr>
                    <w:t>管控</w:t>
                  </w:r>
                  <w:r>
                    <w:rPr>
                      <w:bCs/>
                      <w:szCs w:val="21"/>
                    </w:rPr>
                    <w:t>措施</w:t>
                  </w:r>
                </w:p>
              </w:tc>
              <w:tc>
                <w:tcPr>
                  <w:tcW w:w="1672" w:type="pct"/>
                  <w:tcMar>
                    <w:left w:w="0" w:type="dxa"/>
                    <w:right w:w="0" w:type="dxa"/>
                  </w:tcMar>
                  <w:vAlign w:val="center"/>
                </w:tcPr>
                <w:p w14:paraId="7953A832">
                  <w:pPr>
                    <w:jc w:val="center"/>
                    <w:rPr>
                      <w:bCs/>
                      <w:szCs w:val="21"/>
                    </w:rPr>
                  </w:pPr>
                  <w:r>
                    <w:rPr>
                      <w:bCs/>
                      <w:szCs w:val="21"/>
                    </w:rPr>
                    <w:t>项目情况</w:t>
                  </w:r>
                </w:p>
              </w:tc>
              <w:tc>
                <w:tcPr>
                  <w:tcW w:w="381" w:type="pct"/>
                  <w:tcMar>
                    <w:left w:w="0" w:type="dxa"/>
                    <w:right w:w="0" w:type="dxa"/>
                  </w:tcMar>
                  <w:vAlign w:val="center"/>
                </w:tcPr>
                <w:p w14:paraId="6C7E165E">
                  <w:pPr>
                    <w:jc w:val="center"/>
                    <w:rPr>
                      <w:bCs/>
                      <w:szCs w:val="21"/>
                    </w:rPr>
                  </w:pPr>
                  <w:r>
                    <w:rPr>
                      <w:bCs/>
                      <w:szCs w:val="21"/>
                    </w:rPr>
                    <w:t>是否符合</w:t>
                  </w:r>
                </w:p>
              </w:tc>
            </w:tr>
            <w:tr w14:paraId="429864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427" w:type="pct"/>
                  <w:vMerge w:val="restart"/>
                  <w:tcMar>
                    <w:left w:w="0" w:type="dxa"/>
                    <w:right w:w="0" w:type="dxa"/>
                  </w:tcMar>
                  <w:vAlign w:val="center"/>
                </w:tcPr>
                <w:p w14:paraId="01CC51DD">
                  <w:pPr>
                    <w:jc w:val="center"/>
                    <w:rPr>
                      <w:bCs/>
                      <w:szCs w:val="21"/>
                    </w:rPr>
                  </w:pPr>
                  <w:r>
                    <w:rPr>
                      <w:rFonts w:hint="eastAsia"/>
                      <w:bCs/>
                      <w:szCs w:val="21"/>
                    </w:rPr>
                    <w:t>ZH1</w:t>
                  </w:r>
                </w:p>
                <w:p w14:paraId="35491F9C">
                  <w:pPr>
                    <w:jc w:val="center"/>
                    <w:rPr>
                      <w:bCs/>
                      <w:szCs w:val="21"/>
                    </w:rPr>
                  </w:pPr>
                  <w:r>
                    <w:rPr>
                      <w:rFonts w:hint="eastAsia"/>
                      <w:bCs/>
                      <w:szCs w:val="21"/>
                    </w:rPr>
                    <w:t>508</w:t>
                  </w:r>
                </w:p>
                <w:p w14:paraId="631F8550">
                  <w:pPr>
                    <w:jc w:val="center"/>
                    <w:rPr>
                      <w:bCs/>
                      <w:szCs w:val="21"/>
                    </w:rPr>
                  </w:pPr>
                  <w:r>
                    <w:rPr>
                      <w:rFonts w:hint="eastAsia"/>
                      <w:bCs/>
                      <w:szCs w:val="21"/>
                    </w:rPr>
                    <w:t>222</w:t>
                  </w:r>
                </w:p>
                <w:p w14:paraId="01F381C8">
                  <w:pPr>
                    <w:jc w:val="center"/>
                    <w:rPr>
                      <w:bCs/>
                      <w:szCs w:val="21"/>
                    </w:rPr>
                  </w:pPr>
                  <w:r>
                    <w:rPr>
                      <w:rFonts w:hint="eastAsia"/>
                      <w:bCs/>
                      <w:szCs w:val="21"/>
                    </w:rPr>
                    <w:t>0015沙漠林业实验中心农场油田勘查用地重点管控单元</w:t>
                  </w:r>
                </w:p>
              </w:tc>
              <w:tc>
                <w:tcPr>
                  <w:tcW w:w="503" w:type="pct"/>
                  <w:vMerge w:val="restart"/>
                  <w:tcMar>
                    <w:left w:w="0" w:type="dxa"/>
                    <w:right w:w="0" w:type="dxa"/>
                  </w:tcMar>
                  <w:vAlign w:val="center"/>
                </w:tcPr>
                <w:p w14:paraId="519595F7">
                  <w:pPr>
                    <w:jc w:val="center"/>
                    <w:rPr>
                      <w:bCs/>
                      <w:szCs w:val="21"/>
                    </w:rPr>
                  </w:pPr>
                  <w:r>
                    <w:rPr>
                      <w:rFonts w:hint="eastAsia"/>
                      <w:bCs/>
                      <w:szCs w:val="21"/>
                    </w:rPr>
                    <w:t>大气环境高排放重点管控区、大气环境布局敏感重点管控区、水环境农业污染重点管控区、生态用水补给区、土地资源重点管控区</w:t>
                  </w:r>
                </w:p>
              </w:tc>
              <w:tc>
                <w:tcPr>
                  <w:tcW w:w="404" w:type="pct"/>
                  <w:tcMar>
                    <w:left w:w="0" w:type="dxa"/>
                    <w:right w:w="0" w:type="dxa"/>
                  </w:tcMar>
                  <w:vAlign w:val="center"/>
                </w:tcPr>
                <w:p w14:paraId="6B83D8B5">
                  <w:pPr>
                    <w:jc w:val="center"/>
                    <w:rPr>
                      <w:szCs w:val="21"/>
                    </w:rPr>
                  </w:pPr>
                  <w:r>
                    <w:rPr>
                      <w:bCs/>
                      <w:szCs w:val="21"/>
                    </w:rPr>
                    <w:t>空间布局约束</w:t>
                  </w:r>
                </w:p>
              </w:tc>
              <w:tc>
                <w:tcPr>
                  <w:tcW w:w="1613" w:type="pct"/>
                  <w:tcMar>
                    <w:left w:w="0" w:type="dxa"/>
                    <w:right w:w="0" w:type="dxa"/>
                  </w:tcMar>
                  <w:vAlign w:val="center"/>
                </w:tcPr>
                <w:p w14:paraId="3FFF13BD">
                  <w:pPr>
                    <w:jc w:val="left"/>
                    <w:rPr>
                      <w:bCs/>
                      <w:szCs w:val="21"/>
                    </w:rPr>
                  </w:pPr>
                  <w:r>
                    <w:rPr>
                      <w:rFonts w:hint="eastAsia"/>
                      <w:bCs/>
                      <w:szCs w:val="21"/>
                    </w:rPr>
                    <w:t>1.新建、改建、扩建项目均采用清洁生产工艺和技术，工业废水回用率达到90%以上，工业固体废物资源化及无害化处理处置率达到100%。要遏制重大、杜绝特别重大环境污染和生态破坏事故的发生。要逐步实现对行业排放的石油类污染物进行总量控制。</w:t>
                  </w:r>
                </w:p>
                <w:p w14:paraId="4B4FE397">
                  <w:pPr>
                    <w:jc w:val="left"/>
                    <w:rPr>
                      <w:bCs/>
                      <w:szCs w:val="21"/>
                    </w:rPr>
                  </w:pPr>
                  <w:r>
                    <w:rPr>
                      <w:rFonts w:hint="eastAsia"/>
                      <w:bCs/>
                      <w:szCs w:val="21"/>
                    </w:rPr>
                    <w:t>2.大力推行清洁生产，发展循环经济，强化末端治理，注重环境风险防范，因地制宜进行生态恢复与建设，实现绿色发展。</w:t>
                  </w:r>
                </w:p>
                <w:p w14:paraId="010B1259">
                  <w:pPr>
                    <w:jc w:val="left"/>
                    <w:rPr>
                      <w:bCs/>
                      <w:szCs w:val="21"/>
                    </w:rPr>
                  </w:pPr>
                  <w:r>
                    <w:rPr>
                      <w:rFonts w:hint="eastAsia"/>
                      <w:bCs/>
                      <w:szCs w:val="21"/>
                    </w:rPr>
                    <w:t>3.在环境敏感区进行石油勘探、开采的，要在开发前对生态、环境影响进行充分论证，并严格执行环境影响评价文件的要求，积极采取缓解生态、环境破坏的措施。</w:t>
                  </w:r>
                </w:p>
              </w:tc>
              <w:tc>
                <w:tcPr>
                  <w:tcW w:w="1672" w:type="pct"/>
                  <w:tcMar>
                    <w:left w:w="0" w:type="dxa"/>
                    <w:right w:w="0" w:type="dxa"/>
                  </w:tcMar>
                  <w:vAlign w:val="center"/>
                </w:tcPr>
                <w:p w14:paraId="66401CE9">
                  <w:pPr>
                    <w:jc w:val="left"/>
                    <w:rPr>
                      <w:bCs/>
                      <w:szCs w:val="21"/>
                    </w:rPr>
                  </w:pPr>
                  <w:r>
                    <w:rPr>
                      <w:bCs/>
                      <w:szCs w:val="21"/>
                    </w:rPr>
                    <w:t>1</w:t>
                  </w:r>
                  <w:r>
                    <w:rPr>
                      <w:rFonts w:hint="eastAsia"/>
                      <w:bCs/>
                      <w:szCs w:val="21"/>
                    </w:rPr>
                    <w:t>.项目采用泥浆不落地循环系统装置，利用钻井泥浆循环罐代替泥浆池，属于目前国内先进技术，可有效减少了泥浆池开挖带来的环境风险。施工过程中采用水基钻井泥浆，钻井泥浆循环使用，产生的废弃泥浆、钻井岩屑暂存废水罐，定期拉运至内蒙古众宁环保科技有限公司油气田废弃物集中处理厂处理。废水、固体废物合理化处置。无害化处置率达到100%。项目为陆地石油资源的勘探阶段，不包括油井开发运营，且勘探期短，在满足达标排放和环境功能区划达标的前提下，建议不核定总量。待油井正式投产后，对排放的石油类污染物进行核算并按要求实施总量控制。</w:t>
                  </w:r>
                </w:p>
                <w:p w14:paraId="4093F41F">
                  <w:pPr>
                    <w:jc w:val="left"/>
                    <w:rPr>
                      <w:bCs/>
                      <w:szCs w:val="21"/>
                    </w:rPr>
                  </w:pPr>
                  <w:r>
                    <w:rPr>
                      <w:bCs/>
                      <w:szCs w:val="21"/>
                    </w:rPr>
                    <w:t>2</w:t>
                  </w:r>
                  <w:r>
                    <w:rPr>
                      <w:rFonts w:hint="eastAsia"/>
                      <w:bCs/>
                      <w:szCs w:val="21"/>
                    </w:rPr>
                    <w:t>.项目开工前按要求对耕作层表层土进行剥离并收集暂存，待项目勘探结束后按照要求进行复垦，确保项目完成后临时用地恢复到原有状态</w:t>
                  </w:r>
                  <w:r>
                    <w:rPr>
                      <w:bCs/>
                      <w:szCs w:val="21"/>
                    </w:rPr>
                    <w:t>。</w:t>
                  </w:r>
                </w:p>
                <w:p w14:paraId="081EB085">
                  <w:pPr>
                    <w:jc w:val="left"/>
                    <w:rPr>
                      <w:szCs w:val="21"/>
                    </w:rPr>
                  </w:pPr>
                  <w:r>
                    <w:rPr>
                      <w:bCs/>
                      <w:szCs w:val="21"/>
                    </w:rPr>
                    <w:t>3</w:t>
                  </w:r>
                  <w:r>
                    <w:rPr>
                      <w:rFonts w:hint="eastAsia"/>
                      <w:bCs/>
                      <w:szCs w:val="21"/>
                    </w:rPr>
                    <w:t>.</w:t>
                  </w:r>
                  <w:r>
                    <w:rPr>
                      <w:bCs/>
                      <w:szCs w:val="21"/>
                    </w:rPr>
                    <w:t>项目</w:t>
                  </w:r>
                  <w:r>
                    <w:rPr>
                      <w:rFonts w:hint="eastAsia"/>
                      <w:bCs/>
                      <w:szCs w:val="21"/>
                    </w:rPr>
                    <w:t>位于内蒙古河套盆地吉锦油气勘查探矿权范围内，属于未确定产能建设规模的陆地油气开采新区块，</w:t>
                  </w:r>
                  <w:r>
                    <w:rPr>
                      <w:bCs/>
                      <w:szCs w:val="21"/>
                    </w:rPr>
                    <w:t>按照《中华人民共和国环境保护法</w:t>
                  </w:r>
                  <w:r>
                    <w:rPr>
                      <w:rFonts w:hint="eastAsia"/>
                      <w:bCs/>
                      <w:szCs w:val="21"/>
                    </w:rPr>
                    <w:t>》《</w:t>
                  </w:r>
                  <w:r>
                    <w:rPr>
                      <w:bCs/>
                      <w:szCs w:val="21"/>
                    </w:rPr>
                    <w:t>建设项目环境保护管理条例》以及有关规定，编制了环境影响报告表</w:t>
                  </w:r>
                  <w:r>
                    <w:rPr>
                      <w:rFonts w:hint="eastAsia"/>
                      <w:bCs/>
                      <w:szCs w:val="21"/>
                    </w:rPr>
                    <w:t>。项目不在生态保护红线范围内，周边区域无其他环境敏感保护对象，无重大的环境制约因素</w:t>
                  </w:r>
                  <w:r>
                    <w:rPr>
                      <w:bCs/>
                      <w:szCs w:val="21"/>
                    </w:rPr>
                    <w:t>。</w:t>
                  </w:r>
                </w:p>
              </w:tc>
              <w:tc>
                <w:tcPr>
                  <w:tcW w:w="381" w:type="pct"/>
                  <w:tcMar>
                    <w:left w:w="0" w:type="dxa"/>
                    <w:right w:w="0" w:type="dxa"/>
                  </w:tcMar>
                  <w:vAlign w:val="center"/>
                </w:tcPr>
                <w:p w14:paraId="7EB3A7FE">
                  <w:pPr>
                    <w:jc w:val="center"/>
                    <w:rPr>
                      <w:bCs/>
                      <w:szCs w:val="21"/>
                    </w:rPr>
                  </w:pPr>
                  <w:r>
                    <w:rPr>
                      <w:rFonts w:hint="eastAsia"/>
                      <w:bCs/>
                      <w:szCs w:val="21"/>
                    </w:rPr>
                    <w:t>符合</w:t>
                  </w:r>
                </w:p>
              </w:tc>
            </w:tr>
            <w:tr w14:paraId="16F182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27" w:type="pct"/>
                  <w:vMerge w:val="continue"/>
                  <w:tcMar>
                    <w:left w:w="0" w:type="dxa"/>
                    <w:right w:w="0" w:type="dxa"/>
                  </w:tcMar>
                  <w:vAlign w:val="center"/>
                </w:tcPr>
                <w:p w14:paraId="168DD376">
                  <w:pPr>
                    <w:jc w:val="center"/>
                    <w:rPr>
                      <w:bCs/>
                      <w:szCs w:val="21"/>
                    </w:rPr>
                  </w:pPr>
                </w:p>
              </w:tc>
              <w:tc>
                <w:tcPr>
                  <w:tcW w:w="503" w:type="pct"/>
                  <w:vMerge w:val="continue"/>
                  <w:tcMar>
                    <w:left w:w="0" w:type="dxa"/>
                    <w:right w:w="0" w:type="dxa"/>
                  </w:tcMar>
                  <w:vAlign w:val="center"/>
                </w:tcPr>
                <w:p w14:paraId="3BD11B7B">
                  <w:pPr>
                    <w:jc w:val="center"/>
                    <w:rPr>
                      <w:bCs/>
                      <w:szCs w:val="21"/>
                    </w:rPr>
                  </w:pPr>
                </w:p>
              </w:tc>
              <w:tc>
                <w:tcPr>
                  <w:tcW w:w="404" w:type="pct"/>
                  <w:tcMar>
                    <w:left w:w="0" w:type="dxa"/>
                    <w:right w:w="0" w:type="dxa"/>
                  </w:tcMar>
                  <w:vAlign w:val="center"/>
                </w:tcPr>
                <w:p w14:paraId="081072FB">
                  <w:pPr>
                    <w:jc w:val="center"/>
                    <w:rPr>
                      <w:szCs w:val="21"/>
                    </w:rPr>
                  </w:pPr>
                  <w:r>
                    <w:rPr>
                      <w:bCs/>
                      <w:szCs w:val="21"/>
                    </w:rPr>
                    <w:t>污染物排放管控</w:t>
                  </w:r>
                </w:p>
              </w:tc>
              <w:tc>
                <w:tcPr>
                  <w:tcW w:w="1613" w:type="pct"/>
                  <w:tcMar>
                    <w:left w:w="0" w:type="dxa"/>
                    <w:right w:w="0" w:type="dxa"/>
                  </w:tcMar>
                  <w:vAlign w:val="center"/>
                </w:tcPr>
                <w:p w14:paraId="50FA3F35">
                  <w:pPr>
                    <w:jc w:val="left"/>
                    <w:rPr>
                      <w:bCs/>
                      <w:szCs w:val="21"/>
                    </w:rPr>
                  </w:pPr>
                  <w:r>
                    <w:rPr>
                      <w:rFonts w:hint="eastAsia"/>
                      <w:bCs/>
                      <w:szCs w:val="21"/>
                    </w:rPr>
                    <w:t>1.油田建设宜布置丛式井组，采用多分支井、水平井、小孔钻井、空气钻井等钻井技术，以减少废物产生和占地。</w:t>
                  </w:r>
                </w:p>
                <w:p w14:paraId="5707E713">
                  <w:pPr>
                    <w:jc w:val="left"/>
                    <w:rPr>
                      <w:bCs/>
                      <w:szCs w:val="21"/>
                    </w:rPr>
                  </w:pPr>
                  <w:r>
                    <w:rPr>
                      <w:rFonts w:hint="eastAsia"/>
                      <w:bCs/>
                      <w:szCs w:val="21"/>
                    </w:rPr>
                    <w:t>2.在油勘探过程中，应根据工区测线布设，合理规划行车线路和爆炸点，避让环境敏感区和环境敏感时间。对爆点地表应立即进行恢复。</w:t>
                  </w:r>
                </w:p>
                <w:p w14:paraId="58ADE118">
                  <w:pPr>
                    <w:jc w:val="left"/>
                    <w:rPr>
                      <w:bCs/>
                      <w:szCs w:val="21"/>
                    </w:rPr>
                  </w:pPr>
                  <w:r>
                    <w:rPr>
                      <w:rFonts w:hint="eastAsia"/>
                      <w:bCs/>
                      <w:szCs w:val="21"/>
                    </w:rPr>
                    <w:t>3.在测井过程中，鼓励应用核磁共振测井技术，减少生态破坏；运输测井放射源车辆应加装定位系统。</w:t>
                  </w:r>
                </w:p>
                <w:p w14:paraId="7330C11E">
                  <w:pPr>
                    <w:jc w:val="left"/>
                    <w:rPr>
                      <w:bCs/>
                      <w:szCs w:val="21"/>
                    </w:rPr>
                  </w:pPr>
                  <w:r>
                    <w:rPr>
                      <w:rFonts w:hint="eastAsia"/>
                      <w:bCs/>
                      <w:szCs w:val="21"/>
                    </w:rPr>
                    <w:t>4.在开发过程中，伴生气应回收利用，减少温室气体排放，不具备回收利用条件的，应充分燃烧，伴生气回收利用率应达到80%以上；站场放空天然气应充分燃烧。燃烧放空设施应避开鸟类迁徙通道。</w:t>
                  </w:r>
                </w:p>
                <w:p w14:paraId="181608F5">
                  <w:pPr>
                    <w:jc w:val="left"/>
                    <w:rPr>
                      <w:bCs/>
                      <w:szCs w:val="21"/>
                    </w:rPr>
                  </w:pPr>
                  <w:r>
                    <w:rPr>
                      <w:rFonts w:hint="eastAsia"/>
                      <w:bCs/>
                      <w:szCs w:val="21"/>
                    </w:rPr>
                    <w:t>5.在油气开发过程中，应采取措施减轻生态影响并及时用适地植物进行植被恢复。井场周围应设置围堤或井界沟。应设立地下水水质监测井，加强对油田地下水水质的监控，防止回注过程对地下水造成污染。</w:t>
                  </w:r>
                </w:p>
                <w:p w14:paraId="5A49EF63">
                  <w:pPr>
                    <w:jc w:val="left"/>
                    <w:rPr>
                      <w:bCs/>
                      <w:szCs w:val="21"/>
                    </w:rPr>
                  </w:pPr>
                  <w:r>
                    <w:rPr>
                      <w:rFonts w:hint="eastAsia"/>
                      <w:bCs/>
                      <w:szCs w:val="21"/>
                    </w:rPr>
                    <w:t>6.位于湿地自然保护区和鸟类迁徙通道上的油田、油井，若有较大的生态影响，应将电线、采油管线地下敷设。在油田作业区，应采取措施，保护零散自然湿地。</w:t>
                  </w:r>
                </w:p>
                <w:p w14:paraId="4DB8DB82">
                  <w:pPr>
                    <w:jc w:val="left"/>
                    <w:rPr>
                      <w:bCs/>
                      <w:szCs w:val="21"/>
                    </w:rPr>
                  </w:pPr>
                  <w:r>
                    <w:rPr>
                      <w:rFonts w:hint="eastAsia"/>
                      <w:bCs/>
                      <w:szCs w:val="21"/>
                    </w:rPr>
                    <w:t>7.油气田退役前应进行环境影响后评价，油气田企业应按照后评价要求进行生态恢复。</w:t>
                  </w:r>
                </w:p>
                <w:p w14:paraId="7B5F4DEE">
                  <w:pPr>
                    <w:jc w:val="left"/>
                    <w:rPr>
                      <w:bCs/>
                      <w:szCs w:val="21"/>
                    </w:rPr>
                  </w:pPr>
                  <w:r>
                    <w:rPr>
                      <w:rFonts w:hint="eastAsia"/>
                      <w:bCs/>
                      <w:szCs w:val="21"/>
                    </w:rPr>
                    <w:t>8.在钻井和井下作业过程中，鼓励污油、污水进入生产流程循环利用，未进入生产流程的污油、污水应采用固液分离、废水处理一体化装置等处理后达标外排。</w:t>
                  </w:r>
                </w:p>
                <w:p w14:paraId="4759A348">
                  <w:pPr>
                    <w:jc w:val="left"/>
                    <w:rPr>
                      <w:bCs/>
                      <w:szCs w:val="21"/>
                    </w:rPr>
                  </w:pPr>
                  <w:r>
                    <w:rPr>
                      <w:rFonts w:hint="eastAsia"/>
                      <w:bCs/>
                      <w:szCs w:val="21"/>
                    </w:rPr>
                    <w:t>9.固体废物收集、贮存、处理处置设施应按照标准要求采取防渗措施。试油后应立即封闭废弃钻井液贮池。</w:t>
                  </w:r>
                </w:p>
                <w:p w14:paraId="6C0C5B69">
                  <w:pPr>
                    <w:jc w:val="left"/>
                    <w:rPr>
                      <w:bCs/>
                      <w:szCs w:val="21"/>
                    </w:rPr>
                  </w:pPr>
                  <w:r>
                    <w:rPr>
                      <w:rFonts w:hint="eastAsia"/>
                      <w:bCs/>
                      <w:szCs w:val="21"/>
                    </w:rPr>
                    <w:t>10.应回收落地原油，以及原油处理、废水处理产生的油泥（砂）等中的油类物质，含油污泥资源化利用率应达到90%以上，残余固体废物应按照《国家危险废物名录》和危险废物鉴别标准识别，根据识别结果资源化利用或无害化处置。</w:t>
                  </w:r>
                </w:p>
                <w:p w14:paraId="31650B6B">
                  <w:pPr>
                    <w:jc w:val="left"/>
                    <w:rPr>
                      <w:bCs/>
                      <w:szCs w:val="21"/>
                    </w:rPr>
                  </w:pPr>
                  <w:r>
                    <w:rPr>
                      <w:rFonts w:hint="eastAsia"/>
                      <w:bCs/>
                      <w:szCs w:val="21"/>
                    </w:rPr>
                    <w:t>11.对受到油污染的土壤宜采取生物或物化方法进行修复。</w:t>
                  </w:r>
                </w:p>
              </w:tc>
              <w:tc>
                <w:tcPr>
                  <w:tcW w:w="1672" w:type="pct"/>
                  <w:tcMar>
                    <w:left w:w="0" w:type="dxa"/>
                    <w:right w:w="0" w:type="dxa"/>
                  </w:tcMar>
                  <w:vAlign w:val="center"/>
                </w:tcPr>
                <w:p w14:paraId="2A77DD59">
                  <w:pPr>
                    <w:jc w:val="left"/>
                    <w:rPr>
                      <w:bCs/>
                      <w:szCs w:val="21"/>
                    </w:rPr>
                  </w:pPr>
                  <w:r>
                    <w:rPr>
                      <w:bCs/>
                      <w:szCs w:val="21"/>
                    </w:rPr>
                    <w:t>1</w:t>
                  </w:r>
                  <w:r>
                    <w:rPr>
                      <w:rFonts w:hint="eastAsia"/>
                      <w:bCs/>
                      <w:szCs w:val="21"/>
                    </w:rPr>
                    <w:t>.在满足钻探目的的前提下，项目利用磴4平台部署3口井，布置为丛式井且采用定向钻井技术，能有效减少占地和污染物产生</w:t>
                  </w:r>
                  <w:r>
                    <w:rPr>
                      <w:bCs/>
                      <w:szCs w:val="21"/>
                    </w:rPr>
                    <w:t>。</w:t>
                  </w:r>
                </w:p>
                <w:p w14:paraId="7000A43C">
                  <w:pPr>
                    <w:jc w:val="left"/>
                    <w:rPr>
                      <w:bCs/>
                      <w:szCs w:val="21"/>
                    </w:rPr>
                  </w:pPr>
                  <w:r>
                    <w:rPr>
                      <w:bCs/>
                      <w:szCs w:val="21"/>
                    </w:rPr>
                    <w:t>2</w:t>
                  </w:r>
                  <w:r>
                    <w:rPr>
                      <w:rFonts w:hint="eastAsia"/>
                      <w:bCs/>
                      <w:szCs w:val="21"/>
                    </w:rPr>
                    <w:t>.项目充分利用现有乡村道路，无需新建进场道路，要求运输车辆通过时减速慢行，合理调配车辆来往行车密度，尽量避开附近村民休息时间</w:t>
                  </w:r>
                  <w:r>
                    <w:rPr>
                      <w:bCs/>
                      <w:szCs w:val="21"/>
                    </w:rPr>
                    <w:t>。项目为石油钻井勘探阶段，不</w:t>
                  </w:r>
                  <w:r>
                    <w:rPr>
                      <w:rFonts w:hint="eastAsia"/>
                      <w:bCs/>
                      <w:szCs w:val="21"/>
                    </w:rPr>
                    <w:t>会再</w:t>
                  </w:r>
                  <w:r>
                    <w:rPr>
                      <w:bCs/>
                      <w:szCs w:val="21"/>
                    </w:rPr>
                    <w:t>布设爆炸点。</w:t>
                  </w:r>
                </w:p>
                <w:p w14:paraId="07A40709">
                  <w:pPr>
                    <w:jc w:val="left"/>
                    <w:rPr>
                      <w:bCs/>
                      <w:szCs w:val="21"/>
                    </w:rPr>
                  </w:pPr>
                  <w:r>
                    <w:rPr>
                      <w:bCs/>
                      <w:szCs w:val="21"/>
                    </w:rPr>
                    <w:t>3</w:t>
                  </w:r>
                  <w:r>
                    <w:rPr>
                      <w:rFonts w:hint="eastAsia"/>
                      <w:bCs/>
                      <w:szCs w:val="21"/>
                    </w:rPr>
                    <w:t>.</w:t>
                  </w:r>
                  <w:r>
                    <w:rPr>
                      <w:bCs/>
                      <w:szCs w:val="21"/>
                    </w:rPr>
                    <w:t>项目测井采用常规测井加核磁共振测井技术，测井放源车按要求已安装定位系统。</w:t>
                  </w:r>
                </w:p>
                <w:p w14:paraId="01ACC910">
                  <w:pPr>
                    <w:jc w:val="left"/>
                    <w:rPr>
                      <w:bCs/>
                      <w:szCs w:val="21"/>
                    </w:rPr>
                  </w:pPr>
                  <w:r>
                    <w:rPr>
                      <w:bCs/>
                      <w:szCs w:val="21"/>
                    </w:rPr>
                    <w:t>4</w:t>
                  </w:r>
                  <w:r>
                    <w:rPr>
                      <w:rFonts w:hint="eastAsia"/>
                      <w:bCs/>
                      <w:szCs w:val="21"/>
                    </w:rPr>
                    <w:t>.</w:t>
                  </w:r>
                  <w:r>
                    <w:rPr>
                      <w:bCs/>
                      <w:szCs w:val="21"/>
                    </w:rPr>
                    <w:t>根据前期勘探及项目周围勘探井试油结果分析，本勘探区域地层主要生产原油，</w:t>
                  </w:r>
                  <w:r>
                    <w:rPr>
                      <w:rFonts w:hint="eastAsia"/>
                      <w:bCs/>
                      <w:szCs w:val="21"/>
                    </w:rPr>
                    <w:t>伴生气</w:t>
                  </w:r>
                  <w:r>
                    <w:rPr>
                      <w:bCs/>
                      <w:szCs w:val="21"/>
                    </w:rPr>
                    <w:t>含量较小</w:t>
                  </w:r>
                  <w:r>
                    <w:rPr>
                      <w:rFonts w:hint="eastAsia"/>
                      <w:bCs/>
                      <w:szCs w:val="21"/>
                    </w:rPr>
                    <w:t>，</w:t>
                  </w:r>
                  <w:r>
                    <w:rPr>
                      <w:bCs/>
                      <w:szCs w:val="21"/>
                    </w:rPr>
                    <w:t>勘探阶段不具备回收条件</w:t>
                  </w:r>
                  <w:r>
                    <w:rPr>
                      <w:rFonts w:hint="eastAsia"/>
                      <w:bCs/>
                      <w:szCs w:val="21"/>
                    </w:rPr>
                    <w:t>，</w:t>
                  </w:r>
                  <w:r>
                    <w:rPr>
                      <w:bCs/>
                      <w:szCs w:val="21"/>
                    </w:rPr>
                    <w:t>伴生气进入</w:t>
                  </w:r>
                  <w:r>
                    <w:rPr>
                      <w:rFonts w:hint="eastAsia"/>
                      <w:bCs/>
                      <w:szCs w:val="21"/>
                    </w:rPr>
                    <w:t>放</w:t>
                  </w:r>
                  <w:r>
                    <w:rPr>
                      <w:bCs/>
                      <w:szCs w:val="21"/>
                    </w:rPr>
                    <w:t>喷装置后充分燃烧</w:t>
                  </w:r>
                  <w:r>
                    <w:rPr>
                      <w:rFonts w:hint="eastAsia"/>
                      <w:bCs/>
                      <w:szCs w:val="21"/>
                    </w:rPr>
                    <w:t>，</w:t>
                  </w:r>
                  <w:r>
                    <w:rPr>
                      <w:bCs/>
                      <w:szCs w:val="21"/>
                    </w:rPr>
                    <w:t>燃烧放空设施附近无鸟类迁徙通道。</w:t>
                  </w:r>
                </w:p>
                <w:p w14:paraId="41F5E341">
                  <w:pPr>
                    <w:jc w:val="left"/>
                    <w:rPr>
                      <w:bCs/>
                      <w:szCs w:val="21"/>
                    </w:rPr>
                  </w:pPr>
                  <w:r>
                    <w:rPr>
                      <w:bCs/>
                      <w:szCs w:val="21"/>
                    </w:rPr>
                    <w:t>5</w:t>
                  </w:r>
                  <w:r>
                    <w:rPr>
                      <w:rFonts w:hint="eastAsia"/>
                      <w:bCs/>
                      <w:szCs w:val="21"/>
                    </w:rPr>
                    <w:t>.</w:t>
                  </w:r>
                  <w:r>
                    <w:rPr>
                      <w:bCs/>
                      <w:szCs w:val="21"/>
                    </w:rPr>
                    <w:t>项目属于石油勘探阶段，不涉及永久占地。根据勘探结果，不具备开采价值的井口进行永久封井，按土地复垦方案要求进行植被、生态恢复</w:t>
                  </w:r>
                  <w:r>
                    <w:rPr>
                      <w:rFonts w:hint="eastAsia"/>
                      <w:bCs/>
                      <w:szCs w:val="21"/>
                    </w:rPr>
                    <w:t>；</w:t>
                  </w:r>
                  <w:r>
                    <w:rPr>
                      <w:bCs/>
                      <w:szCs w:val="21"/>
                    </w:rPr>
                    <w:t>具有开采价值，则保留试</w:t>
                  </w:r>
                  <w:r>
                    <w:rPr>
                      <w:rFonts w:hint="eastAsia"/>
                      <w:bCs/>
                      <w:szCs w:val="21"/>
                    </w:rPr>
                    <w:t>油</w:t>
                  </w:r>
                  <w:r>
                    <w:rPr>
                      <w:bCs/>
                      <w:szCs w:val="21"/>
                    </w:rPr>
                    <w:t>井场，移交相关部门转作开发井处理，后期若利用勘探井从事生产等活动，需另行履行环保手续。</w:t>
                  </w:r>
                </w:p>
                <w:p w14:paraId="3C36D29F">
                  <w:pPr>
                    <w:jc w:val="left"/>
                    <w:rPr>
                      <w:bCs/>
                      <w:szCs w:val="21"/>
                    </w:rPr>
                  </w:pPr>
                  <w:r>
                    <w:rPr>
                      <w:bCs/>
                      <w:szCs w:val="21"/>
                    </w:rPr>
                    <w:t>6</w:t>
                  </w:r>
                  <w:r>
                    <w:rPr>
                      <w:rFonts w:hint="eastAsia"/>
                      <w:bCs/>
                      <w:szCs w:val="21"/>
                    </w:rPr>
                    <w:t>.</w:t>
                  </w:r>
                  <w:r>
                    <w:rPr>
                      <w:kern w:val="0"/>
                      <w:szCs w:val="21"/>
                    </w:rPr>
                    <w:t>项目不在</w:t>
                  </w:r>
                  <w:r>
                    <w:rPr>
                      <w:rFonts w:hint="eastAsia"/>
                      <w:kern w:val="0"/>
                      <w:szCs w:val="21"/>
                    </w:rPr>
                    <w:t>自然保护区、风景名胜区、森林公园、饮用水水源保护区、文物古迹所在地、地质遗迹保护区</w:t>
                  </w:r>
                  <w:r>
                    <w:rPr>
                      <w:kern w:val="0"/>
                      <w:szCs w:val="21"/>
                    </w:rPr>
                    <w:t>等重要生态保护地</w:t>
                  </w:r>
                  <w:r>
                    <w:rPr>
                      <w:rFonts w:hint="eastAsia"/>
                      <w:kern w:val="0"/>
                      <w:szCs w:val="21"/>
                    </w:rPr>
                    <w:t>以及其他法律法规规定的禁采区域内</w:t>
                  </w:r>
                  <w:r>
                    <w:rPr>
                      <w:bCs/>
                      <w:szCs w:val="21"/>
                    </w:rPr>
                    <w:t>。</w:t>
                  </w:r>
                </w:p>
                <w:p w14:paraId="4437A7A9">
                  <w:pPr>
                    <w:jc w:val="left"/>
                    <w:rPr>
                      <w:bCs/>
                      <w:szCs w:val="21"/>
                    </w:rPr>
                  </w:pPr>
                  <w:r>
                    <w:rPr>
                      <w:bCs/>
                      <w:szCs w:val="21"/>
                    </w:rPr>
                    <w:t>7</w:t>
                  </w:r>
                  <w:r>
                    <w:rPr>
                      <w:rFonts w:hint="eastAsia"/>
                      <w:bCs/>
                      <w:szCs w:val="21"/>
                    </w:rPr>
                    <w:t>.</w:t>
                  </w:r>
                  <w:r>
                    <w:rPr>
                      <w:bCs/>
                      <w:szCs w:val="21"/>
                    </w:rPr>
                    <w:t>项目为勘探施工期，不涉及运营期和退役期。</w:t>
                  </w:r>
                </w:p>
                <w:p w14:paraId="0693BA19">
                  <w:pPr>
                    <w:jc w:val="left"/>
                    <w:rPr>
                      <w:bCs/>
                      <w:szCs w:val="21"/>
                    </w:rPr>
                  </w:pPr>
                  <w:r>
                    <w:rPr>
                      <w:bCs/>
                      <w:szCs w:val="21"/>
                    </w:rPr>
                    <w:t>8</w:t>
                  </w:r>
                  <w:r>
                    <w:rPr>
                      <w:rFonts w:hint="eastAsia"/>
                      <w:bCs/>
                      <w:szCs w:val="21"/>
                    </w:rPr>
                    <w:t>.</w:t>
                  </w:r>
                  <w:r>
                    <w:rPr>
                      <w:bCs/>
                      <w:szCs w:val="21"/>
                    </w:rPr>
                    <w:t>项目施工过程产生的</w:t>
                  </w:r>
                  <w:r>
                    <w:rPr>
                      <w:rFonts w:hint="eastAsia"/>
                      <w:bCs/>
                      <w:szCs w:val="21"/>
                    </w:rPr>
                    <w:t>废弃泥浆、钻井岩屑定期拉运至内蒙古众宁环保科技有限公司油气田废弃物集中处理厂处理</w:t>
                  </w:r>
                  <w:r>
                    <w:rPr>
                      <w:bCs/>
                      <w:szCs w:val="21"/>
                    </w:rPr>
                    <w:t>。</w:t>
                  </w:r>
                </w:p>
                <w:p w14:paraId="5F010211">
                  <w:pPr>
                    <w:jc w:val="left"/>
                    <w:rPr>
                      <w:bCs/>
                      <w:szCs w:val="21"/>
                    </w:rPr>
                  </w:pPr>
                  <w:r>
                    <w:rPr>
                      <w:bCs/>
                      <w:szCs w:val="21"/>
                    </w:rPr>
                    <w:t>9</w:t>
                  </w:r>
                  <w:r>
                    <w:rPr>
                      <w:rFonts w:hint="eastAsia"/>
                      <w:bCs/>
                      <w:szCs w:val="21"/>
                    </w:rPr>
                    <w:t>.</w:t>
                  </w:r>
                  <w:r>
                    <w:rPr>
                      <w:bCs/>
                      <w:szCs w:val="21"/>
                    </w:rPr>
                    <w:t>项目按照要求对井场采取分区防渗措施</w:t>
                  </w:r>
                  <w:r>
                    <w:rPr>
                      <w:rFonts w:hint="eastAsia"/>
                      <w:bCs/>
                      <w:szCs w:val="21"/>
                    </w:rPr>
                    <w:t>，</w:t>
                  </w:r>
                  <w:r>
                    <w:rPr>
                      <w:bCs/>
                      <w:szCs w:val="21"/>
                    </w:rPr>
                    <w:t>采用泥浆不落地循环系统装置，不开挖</w:t>
                  </w:r>
                  <w:r>
                    <w:rPr>
                      <w:rFonts w:hint="eastAsia"/>
                      <w:bCs/>
                      <w:szCs w:val="21"/>
                    </w:rPr>
                    <w:t>泥浆</w:t>
                  </w:r>
                  <w:r>
                    <w:rPr>
                      <w:bCs/>
                      <w:szCs w:val="21"/>
                    </w:rPr>
                    <w:t>池，试油</w:t>
                  </w:r>
                  <w:r>
                    <w:rPr>
                      <w:rFonts w:hint="eastAsia"/>
                      <w:bCs/>
                      <w:szCs w:val="21"/>
                    </w:rPr>
                    <w:t>阶段</w:t>
                  </w:r>
                  <w:r>
                    <w:rPr>
                      <w:bCs/>
                      <w:szCs w:val="21"/>
                    </w:rPr>
                    <w:t>采出液通过密闭管线进入储液罐。</w:t>
                  </w:r>
                </w:p>
                <w:p w14:paraId="7ACBAFD9">
                  <w:pPr>
                    <w:jc w:val="left"/>
                    <w:rPr>
                      <w:bCs/>
                      <w:szCs w:val="21"/>
                    </w:rPr>
                  </w:pPr>
                  <w:r>
                    <w:rPr>
                      <w:bCs/>
                      <w:szCs w:val="21"/>
                    </w:rPr>
                    <w:t>10</w:t>
                  </w:r>
                  <w:r>
                    <w:rPr>
                      <w:rFonts w:hint="eastAsia"/>
                      <w:bCs/>
                      <w:szCs w:val="21"/>
                    </w:rPr>
                    <w:t>.</w:t>
                  </w:r>
                  <w:r>
                    <w:rPr>
                      <w:bCs/>
                      <w:szCs w:val="21"/>
                    </w:rPr>
                    <w:t>项目正常工况下不会产生落地油。</w:t>
                  </w:r>
                  <w:r>
                    <w:rPr>
                      <w:rFonts w:hint="eastAsia"/>
                      <w:bCs/>
                      <w:szCs w:val="21"/>
                    </w:rPr>
                    <w:t>非正常工况下产生的落地油100%进行回收</w:t>
                  </w:r>
                  <w:r>
                    <w:rPr>
                      <w:bCs/>
                      <w:szCs w:val="21"/>
                    </w:rPr>
                    <w:t>，交</w:t>
                  </w:r>
                  <w:r>
                    <w:rPr>
                      <w:rFonts w:hint="eastAsia"/>
                      <w:bCs/>
                      <w:szCs w:val="21"/>
                    </w:rPr>
                    <w:t>有资质单位拉运处置</w:t>
                  </w:r>
                  <w:r>
                    <w:rPr>
                      <w:bCs/>
                      <w:szCs w:val="21"/>
                    </w:rPr>
                    <w:t>。</w:t>
                  </w:r>
                </w:p>
                <w:p w14:paraId="0C2340F4">
                  <w:pPr>
                    <w:jc w:val="left"/>
                    <w:rPr>
                      <w:bCs/>
                      <w:szCs w:val="21"/>
                    </w:rPr>
                  </w:pPr>
                  <w:r>
                    <w:rPr>
                      <w:bCs/>
                      <w:szCs w:val="21"/>
                    </w:rPr>
                    <w:t>11</w:t>
                  </w:r>
                  <w:r>
                    <w:rPr>
                      <w:rFonts w:hint="eastAsia"/>
                      <w:bCs/>
                      <w:szCs w:val="21"/>
                    </w:rPr>
                    <w:t>.</w:t>
                  </w:r>
                  <w:r>
                    <w:rPr>
                      <w:bCs/>
                      <w:szCs w:val="21"/>
                    </w:rPr>
                    <w:t>若操作不当，油类物质滴至地面后，</w:t>
                  </w:r>
                  <w:r>
                    <w:rPr>
                      <w:rFonts w:hint="eastAsia"/>
                      <w:bCs/>
                      <w:szCs w:val="21"/>
                    </w:rPr>
                    <w:t>根据污染深度，铲至未被污染土层深度</w:t>
                  </w:r>
                  <w:r>
                    <w:rPr>
                      <w:bCs/>
                      <w:szCs w:val="21"/>
                    </w:rPr>
                    <w:t>，暂存于撬装式危废贮存点污油罐内，交</w:t>
                  </w:r>
                  <w:r>
                    <w:rPr>
                      <w:rFonts w:hint="eastAsia"/>
                      <w:bCs/>
                      <w:szCs w:val="21"/>
                    </w:rPr>
                    <w:t>有资质单位拉运处置</w:t>
                  </w:r>
                  <w:r>
                    <w:rPr>
                      <w:bCs/>
                      <w:szCs w:val="21"/>
                    </w:rPr>
                    <w:t>；</w:t>
                  </w:r>
                  <w:r>
                    <w:rPr>
                      <w:rFonts w:hint="eastAsia"/>
                      <w:bCs/>
                      <w:szCs w:val="21"/>
                    </w:rPr>
                    <w:t>对原有位置进行平整，并对周围土壤通过种植植物进行修复。</w:t>
                  </w:r>
                </w:p>
              </w:tc>
              <w:tc>
                <w:tcPr>
                  <w:tcW w:w="381" w:type="pct"/>
                  <w:tcMar>
                    <w:left w:w="0" w:type="dxa"/>
                    <w:right w:w="0" w:type="dxa"/>
                  </w:tcMar>
                  <w:vAlign w:val="center"/>
                </w:tcPr>
                <w:p w14:paraId="66166187">
                  <w:pPr>
                    <w:jc w:val="center"/>
                    <w:rPr>
                      <w:bCs/>
                      <w:szCs w:val="21"/>
                    </w:rPr>
                  </w:pPr>
                  <w:r>
                    <w:rPr>
                      <w:bCs/>
                      <w:szCs w:val="21"/>
                    </w:rPr>
                    <w:t>符合</w:t>
                  </w:r>
                </w:p>
              </w:tc>
            </w:tr>
            <w:tr w14:paraId="739256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27" w:type="pct"/>
                  <w:vMerge w:val="continue"/>
                  <w:tcMar>
                    <w:left w:w="0" w:type="dxa"/>
                    <w:right w:w="0" w:type="dxa"/>
                  </w:tcMar>
                  <w:vAlign w:val="center"/>
                </w:tcPr>
                <w:p w14:paraId="6D32798B">
                  <w:pPr>
                    <w:jc w:val="center"/>
                    <w:rPr>
                      <w:bCs/>
                      <w:szCs w:val="21"/>
                    </w:rPr>
                  </w:pPr>
                </w:p>
              </w:tc>
              <w:tc>
                <w:tcPr>
                  <w:tcW w:w="503" w:type="pct"/>
                  <w:vMerge w:val="continue"/>
                  <w:tcMar>
                    <w:left w:w="0" w:type="dxa"/>
                    <w:right w:w="0" w:type="dxa"/>
                  </w:tcMar>
                  <w:vAlign w:val="center"/>
                </w:tcPr>
                <w:p w14:paraId="42D6DA42">
                  <w:pPr>
                    <w:jc w:val="center"/>
                    <w:rPr>
                      <w:bCs/>
                      <w:szCs w:val="21"/>
                    </w:rPr>
                  </w:pPr>
                </w:p>
              </w:tc>
              <w:tc>
                <w:tcPr>
                  <w:tcW w:w="404" w:type="pct"/>
                  <w:tcMar>
                    <w:left w:w="0" w:type="dxa"/>
                    <w:right w:w="0" w:type="dxa"/>
                  </w:tcMar>
                  <w:vAlign w:val="center"/>
                </w:tcPr>
                <w:p w14:paraId="200C043C">
                  <w:pPr>
                    <w:jc w:val="center"/>
                    <w:rPr>
                      <w:szCs w:val="21"/>
                    </w:rPr>
                  </w:pPr>
                  <w:r>
                    <w:rPr>
                      <w:bCs/>
                      <w:szCs w:val="21"/>
                    </w:rPr>
                    <w:t>环境风险管控</w:t>
                  </w:r>
                </w:p>
              </w:tc>
              <w:tc>
                <w:tcPr>
                  <w:tcW w:w="1613" w:type="pct"/>
                  <w:tcMar>
                    <w:left w:w="0" w:type="dxa"/>
                    <w:right w:w="0" w:type="dxa"/>
                  </w:tcMar>
                  <w:vAlign w:val="center"/>
                </w:tcPr>
                <w:p w14:paraId="4F47D879">
                  <w:pPr>
                    <w:jc w:val="left"/>
                    <w:rPr>
                      <w:bCs/>
                      <w:szCs w:val="21"/>
                    </w:rPr>
                  </w:pPr>
                  <w:r>
                    <w:rPr>
                      <w:rFonts w:hint="eastAsia"/>
                      <w:bCs/>
                      <w:szCs w:val="21"/>
                    </w:rPr>
                    <w:t>1.油气田企业应对勘探开发过程进行环境风险因素识别，制定突发环境事件应急预案并定期进行演练。应开展特征污染物监测工作，采取环境风险防范和应急措施，防止发生由突发性油气泄漏产生的环境事故。</w:t>
                  </w:r>
                </w:p>
                <w:p w14:paraId="2962FD50">
                  <w:pPr>
                    <w:jc w:val="left"/>
                    <w:rPr>
                      <w:bCs/>
                      <w:szCs w:val="21"/>
                    </w:rPr>
                  </w:pPr>
                  <w:r>
                    <w:rPr>
                      <w:rFonts w:hint="eastAsia"/>
                      <w:bCs/>
                      <w:szCs w:val="21"/>
                    </w:rPr>
                    <w:t>2.在油气集输过程中，应采用密闭流程，减少烃类气体排放。新建3000m</w:t>
                  </w:r>
                  <w:r>
                    <w:rPr>
                      <w:rFonts w:hint="eastAsia"/>
                      <w:bCs/>
                      <w:szCs w:val="21"/>
                      <w:vertAlign w:val="superscript"/>
                    </w:rPr>
                    <w:t>3</w:t>
                  </w:r>
                  <w:r>
                    <w:rPr>
                      <w:rFonts w:hint="eastAsia"/>
                      <w:bCs/>
                      <w:szCs w:val="21"/>
                    </w:rPr>
                    <w:t>及以上原油储罐应采用浮顶型式，新建、改建、扩建油气储罐应安装泄漏报警系统。</w:t>
                  </w:r>
                </w:p>
              </w:tc>
              <w:tc>
                <w:tcPr>
                  <w:tcW w:w="1672" w:type="pct"/>
                  <w:tcMar>
                    <w:left w:w="0" w:type="dxa"/>
                    <w:right w:w="0" w:type="dxa"/>
                  </w:tcMar>
                  <w:vAlign w:val="center"/>
                </w:tcPr>
                <w:p w14:paraId="128BB4CA">
                  <w:pPr>
                    <w:jc w:val="left"/>
                    <w:rPr>
                      <w:bCs/>
                      <w:szCs w:val="21"/>
                    </w:rPr>
                  </w:pPr>
                  <w:r>
                    <w:rPr>
                      <w:bCs/>
                      <w:szCs w:val="21"/>
                    </w:rPr>
                    <w:t>1</w:t>
                  </w:r>
                  <w:r>
                    <w:rPr>
                      <w:rFonts w:hint="eastAsia"/>
                      <w:bCs/>
                      <w:szCs w:val="21"/>
                    </w:rPr>
                    <w:t>.对勘探过程进行了环境风险因素识别，成立了环境风险管控机构，定期进行应急演练。施工过程中安装防井喷装置，落实各项风险应急物资等防止发生由突发性油气泄漏产生的环境事故</w:t>
                  </w:r>
                  <w:r>
                    <w:rPr>
                      <w:bCs/>
                      <w:szCs w:val="21"/>
                    </w:rPr>
                    <w:t>。</w:t>
                  </w:r>
                </w:p>
                <w:p w14:paraId="6DE24EC0">
                  <w:pPr>
                    <w:jc w:val="left"/>
                    <w:rPr>
                      <w:szCs w:val="21"/>
                    </w:rPr>
                  </w:pPr>
                  <w:r>
                    <w:rPr>
                      <w:bCs/>
                      <w:szCs w:val="21"/>
                    </w:rPr>
                    <w:t>2</w:t>
                  </w:r>
                  <w:r>
                    <w:rPr>
                      <w:rFonts w:hint="eastAsia"/>
                      <w:bCs/>
                      <w:szCs w:val="21"/>
                    </w:rPr>
                    <w:t>.</w:t>
                  </w:r>
                  <w:r>
                    <w:rPr>
                      <w:bCs/>
                      <w:szCs w:val="21"/>
                    </w:rPr>
                    <w:t>项目不会建设</w:t>
                  </w:r>
                  <w:r>
                    <w:rPr>
                      <w:rFonts w:hint="eastAsia"/>
                      <w:bCs/>
                      <w:szCs w:val="21"/>
                    </w:rPr>
                    <w:t>3000m</w:t>
                  </w:r>
                  <w:r>
                    <w:rPr>
                      <w:rFonts w:hint="eastAsia"/>
                      <w:bCs/>
                      <w:szCs w:val="21"/>
                      <w:vertAlign w:val="superscript"/>
                    </w:rPr>
                    <w:t>3</w:t>
                  </w:r>
                  <w:r>
                    <w:rPr>
                      <w:rFonts w:hint="eastAsia"/>
                      <w:bCs/>
                      <w:szCs w:val="21"/>
                    </w:rPr>
                    <w:t>及以上</w:t>
                  </w:r>
                  <w:r>
                    <w:rPr>
                      <w:bCs/>
                      <w:szCs w:val="21"/>
                    </w:rPr>
                    <w:t>原油储罐，</w:t>
                  </w:r>
                  <w:r>
                    <w:rPr>
                      <w:rFonts w:hint="eastAsia"/>
                      <w:bCs/>
                      <w:szCs w:val="21"/>
                    </w:rPr>
                    <w:t>试油阶段设置2座40m</w:t>
                  </w:r>
                  <w:r>
                    <w:rPr>
                      <w:rFonts w:hint="eastAsia"/>
                      <w:bCs/>
                      <w:szCs w:val="21"/>
                      <w:vertAlign w:val="superscript"/>
                    </w:rPr>
                    <w:t>3</w:t>
                  </w:r>
                  <w:r>
                    <w:rPr>
                      <w:bCs/>
                      <w:szCs w:val="21"/>
                    </w:rPr>
                    <w:t>卧式高架固定储液罐（一用一备），采用</w:t>
                  </w:r>
                  <w:r>
                    <w:rPr>
                      <w:rFonts w:hint="eastAsia"/>
                      <w:bCs/>
                      <w:szCs w:val="21"/>
                    </w:rPr>
                    <w:t>环密</w:t>
                  </w:r>
                  <w:r>
                    <w:rPr>
                      <w:bCs/>
                      <w:szCs w:val="21"/>
                    </w:rPr>
                    <w:t>技术，原油运输采用浸没式装车。</w:t>
                  </w:r>
                </w:p>
              </w:tc>
              <w:tc>
                <w:tcPr>
                  <w:tcW w:w="381" w:type="pct"/>
                  <w:tcMar>
                    <w:left w:w="0" w:type="dxa"/>
                    <w:right w:w="0" w:type="dxa"/>
                  </w:tcMar>
                  <w:vAlign w:val="center"/>
                </w:tcPr>
                <w:p w14:paraId="2BFD79F0">
                  <w:pPr>
                    <w:jc w:val="center"/>
                    <w:rPr>
                      <w:bCs/>
                      <w:szCs w:val="21"/>
                    </w:rPr>
                  </w:pPr>
                  <w:r>
                    <w:rPr>
                      <w:rFonts w:hint="eastAsia"/>
                      <w:bCs/>
                      <w:szCs w:val="21"/>
                    </w:rPr>
                    <w:t>符合</w:t>
                  </w:r>
                </w:p>
              </w:tc>
            </w:tr>
            <w:tr w14:paraId="1E56FA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27" w:type="pct"/>
                  <w:vMerge w:val="continue"/>
                  <w:tcMar>
                    <w:left w:w="0" w:type="dxa"/>
                    <w:right w:w="0" w:type="dxa"/>
                  </w:tcMar>
                  <w:vAlign w:val="center"/>
                </w:tcPr>
                <w:p w14:paraId="29E28DEB">
                  <w:pPr>
                    <w:jc w:val="center"/>
                    <w:rPr>
                      <w:bCs/>
                      <w:szCs w:val="21"/>
                    </w:rPr>
                  </w:pPr>
                </w:p>
              </w:tc>
              <w:tc>
                <w:tcPr>
                  <w:tcW w:w="503" w:type="pct"/>
                  <w:vMerge w:val="continue"/>
                  <w:tcMar>
                    <w:left w:w="0" w:type="dxa"/>
                    <w:right w:w="0" w:type="dxa"/>
                  </w:tcMar>
                  <w:vAlign w:val="center"/>
                </w:tcPr>
                <w:p w14:paraId="0BBDDA08">
                  <w:pPr>
                    <w:jc w:val="center"/>
                    <w:rPr>
                      <w:bCs/>
                      <w:szCs w:val="21"/>
                    </w:rPr>
                  </w:pPr>
                </w:p>
              </w:tc>
              <w:tc>
                <w:tcPr>
                  <w:tcW w:w="404" w:type="pct"/>
                  <w:tcMar>
                    <w:left w:w="0" w:type="dxa"/>
                    <w:right w:w="0" w:type="dxa"/>
                  </w:tcMar>
                  <w:vAlign w:val="center"/>
                </w:tcPr>
                <w:p w14:paraId="679CA773">
                  <w:pPr>
                    <w:jc w:val="center"/>
                    <w:rPr>
                      <w:szCs w:val="21"/>
                    </w:rPr>
                  </w:pPr>
                  <w:r>
                    <w:rPr>
                      <w:bCs/>
                      <w:szCs w:val="21"/>
                    </w:rPr>
                    <w:t>资源利用率要求</w:t>
                  </w:r>
                </w:p>
              </w:tc>
              <w:tc>
                <w:tcPr>
                  <w:tcW w:w="1613" w:type="pct"/>
                  <w:tcMar>
                    <w:left w:w="0" w:type="dxa"/>
                    <w:right w:w="0" w:type="dxa"/>
                  </w:tcMar>
                  <w:vAlign w:val="center"/>
                </w:tcPr>
                <w:p w14:paraId="11350C5A">
                  <w:pPr>
                    <w:jc w:val="left"/>
                    <w:rPr>
                      <w:bCs/>
                      <w:szCs w:val="21"/>
                    </w:rPr>
                  </w:pPr>
                  <w:r>
                    <w:rPr>
                      <w:bCs/>
                      <w:szCs w:val="21"/>
                    </w:rPr>
                    <w:t>1.在勘探开发过程中，应防止产生落地原油。其中井下作业过程中应配备泄油器、刮油器等。落地原油应及时回收，落地原油回收率应达到100%。</w:t>
                  </w:r>
                </w:p>
                <w:p w14:paraId="7298EA4D">
                  <w:pPr>
                    <w:jc w:val="left"/>
                    <w:rPr>
                      <w:bCs/>
                      <w:szCs w:val="21"/>
                    </w:rPr>
                  </w:pPr>
                  <w:r>
                    <w:rPr>
                      <w:bCs/>
                      <w:szCs w:val="21"/>
                    </w:rPr>
                    <w:t>在钻井过程中，鼓励采用环境友好的钻井液体系</w:t>
                  </w:r>
                  <w:r>
                    <w:rPr>
                      <w:rFonts w:hint="eastAsia"/>
                      <w:bCs/>
                      <w:szCs w:val="21"/>
                    </w:rPr>
                    <w:t>；</w:t>
                  </w:r>
                  <w:r>
                    <w:rPr>
                      <w:bCs/>
                      <w:szCs w:val="21"/>
                    </w:rPr>
                    <w:t>配备完善的固控设备，钻井液循环率达到95%以上；钻井过程产生的废水应回用。在井下作业过程中，酸化液和压裂液</w:t>
                  </w:r>
                  <w:r>
                    <w:rPr>
                      <w:rFonts w:hint="eastAsia"/>
                      <w:bCs/>
                      <w:szCs w:val="21"/>
                    </w:rPr>
                    <w:t>宜</w:t>
                  </w:r>
                  <w:r>
                    <w:rPr>
                      <w:bCs/>
                      <w:szCs w:val="21"/>
                    </w:rPr>
                    <w:t>集中配制，酸化残液、压裂残液和返排液应回收利用或进行无害化处置，压裂放喷返排入罐率应达到100%。</w:t>
                  </w:r>
                </w:p>
                <w:p w14:paraId="57E79303">
                  <w:pPr>
                    <w:jc w:val="left"/>
                    <w:rPr>
                      <w:szCs w:val="21"/>
                    </w:rPr>
                  </w:pPr>
                  <w:r>
                    <w:rPr>
                      <w:rFonts w:hint="eastAsia"/>
                      <w:bCs/>
                      <w:szCs w:val="21"/>
                    </w:rPr>
                    <w:t>2</w:t>
                  </w:r>
                  <w:r>
                    <w:rPr>
                      <w:bCs/>
                      <w:szCs w:val="21"/>
                    </w:rPr>
                    <w:t>.企业要严格落实矿产资源开发利用方案、环境影响评价文件，水土保持方案等要求，提高资源利用效率水平</w:t>
                  </w:r>
                  <w:r>
                    <w:rPr>
                      <w:rFonts w:hint="eastAsia"/>
                      <w:bCs/>
                      <w:szCs w:val="21"/>
                    </w:rPr>
                    <w:t>。</w:t>
                  </w:r>
                </w:p>
              </w:tc>
              <w:tc>
                <w:tcPr>
                  <w:tcW w:w="1672" w:type="pct"/>
                  <w:tcMar>
                    <w:left w:w="0" w:type="dxa"/>
                    <w:right w:w="0" w:type="dxa"/>
                  </w:tcMar>
                  <w:vAlign w:val="center"/>
                </w:tcPr>
                <w:p w14:paraId="36572C41">
                  <w:pPr>
                    <w:rPr>
                      <w:bCs/>
                      <w:szCs w:val="21"/>
                    </w:rPr>
                  </w:pPr>
                  <w:r>
                    <w:rPr>
                      <w:bCs/>
                      <w:szCs w:val="21"/>
                    </w:rPr>
                    <w:t>1</w:t>
                  </w:r>
                  <w:r>
                    <w:rPr>
                      <w:rFonts w:hint="eastAsia"/>
                      <w:bCs/>
                      <w:szCs w:val="21"/>
                    </w:rPr>
                    <w:t>.现场采取分区防渗措施，铺设高密度聚乙烯防渗膜，防止原油对土壤环境造成影响。非正常工况下产生的落地油，及时将落地油连同周边污染土壤铲除，落地油100%进行回收后，交有资质单位拉运处置</w:t>
                  </w:r>
                  <w:r>
                    <w:rPr>
                      <w:bCs/>
                      <w:szCs w:val="21"/>
                    </w:rPr>
                    <w:t>。</w:t>
                  </w:r>
                  <w:r>
                    <w:rPr>
                      <w:szCs w:val="21"/>
                    </w:rPr>
                    <w:t>项目钻井</w:t>
                  </w:r>
                  <w:r>
                    <w:rPr>
                      <w:rFonts w:hint="eastAsia"/>
                      <w:szCs w:val="21"/>
                    </w:rPr>
                    <w:t>泥浆</w:t>
                  </w:r>
                  <w:r>
                    <w:rPr>
                      <w:szCs w:val="21"/>
                    </w:rPr>
                    <w:t>使用水基泥浆，并配备完善的固控设备</w:t>
                  </w:r>
                  <w:r>
                    <w:rPr>
                      <w:bCs/>
                      <w:szCs w:val="21"/>
                    </w:rPr>
                    <w:t>，钻井</w:t>
                  </w:r>
                  <w:r>
                    <w:rPr>
                      <w:rFonts w:hint="eastAsia"/>
                      <w:bCs/>
                      <w:szCs w:val="21"/>
                    </w:rPr>
                    <w:t>泥浆</w:t>
                  </w:r>
                  <w:r>
                    <w:rPr>
                      <w:bCs/>
                      <w:szCs w:val="21"/>
                    </w:rPr>
                    <w:t>循环率达到95%。</w:t>
                  </w:r>
                  <w:r>
                    <w:rPr>
                      <w:rFonts w:hint="eastAsia"/>
                      <w:bCs/>
                      <w:szCs w:val="21"/>
                    </w:rPr>
                    <w:t>废弃泥浆、钻井岩屑暂存废水罐，定期拉运至内蒙古众宁环保科技有限公司油气田废弃物集中处理厂处理，经压滤产生的废水拉运至有资质单位处理</w:t>
                  </w:r>
                  <w:r>
                    <w:rPr>
                      <w:szCs w:val="21"/>
                    </w:rPr>
                    <w:t>。</w:t>
                  </w:r>
                  <w:r>
                    <w:rPr>
                      <w:bCs/>
                      <w:szCs w:val="21"/>
                    </w:rPr>
                    <w:t>项目不进行井下作业，不涉及酸化及压裂。</w:t>
                  </w:r>
                </w:p>
                <w:p w14:paraId="0E9D160D">
                  <w:pPr>
                    <w:rPr>
                      <w:bCs/>
                      <w:szCs w:val="21"/>
                    </w:rPr>
                  </w:pPr>
                  <w:r>
                    <w:rPr>
                      <w:rFonts w:hint="eastAsia"/>
                      <w:bCs/>
                      <w:szCs w:val="21"/>
                    </w:rPr>
                    <w:t>2.</w:t>
                  </w:r>
                  <w:r>
                    <w:rPr>
                      <w:bCs/>
                      <w:szCs w:val="21"/>
                    </w:rPr>
                    <w:t>项目在实施过程中坚持</w:t>
                  </w:r>
                  <w:r>
                    <w:rPr>
                      <w:rFonts w:hint="eastAsia"/>
                      <w:bCs/>
                      <w:szCs w:val="21"/>
                    </w:rPr>
                    <w:t>“</w:t>
                  </w:r>
                  <w:r>
                    <w:rPr>
                      <w:bCs/>
                      <w:szCs w:val="21"/>
                    </w:rPr>
                    <w:t>预防为主、防治结合、过程控制</w:t>
                  </w:r>
                  <w:r>
                    <w:rPr>
                      <w:rFonts w:hint="eastAsia"/>
                      <w:bCs/>
                      <w:szCs w:val="21"/>
                    </w:rPr>
                    <w:t>”</w:t>
                  </w:r>
                  <w:r>
                    <w:rPr>
                      <w:bCs/>
                      <w:szCs w:val="21"/>
                    </w:rPr>
                    <w:t>原则，将生态环境保护与恢复治理贯穿油气资源开发的全过程。</w:t>
                  </w:r>
                </w:p>
              </w:tc>
              <w:tc>
                <w:tcPr>
                  <w:tcW w:w="381" w:type="pct"/>
                  <w:tcMar>
                    <w:left w:w="0" w:type="dxa"/>
                    <w:right w:w="0" w:type="dxa"/>
                  </w:tcMar>
                  <w:vAlign w:val="center"/>
                </w:tcPr>
                <w:p w14:paraId="2B56D656">
                  <w:pPr>
                    <w:jc w:val="center"/>
                    <w:rPr>
                      <w:bCs/>
                      <w:szCs w:val="21"/>
                    </w:rPr>
                  </w:pPr>
                  <w:r>
                    <w:rPr>
                      <w:rFonts w:hint="eastAsia"/>
                      <w:bCs/>
                      <w:szCs w:val="21"/>
                    </w:rPr>
                    <w:t>符合</w:t>
                  </w:r>
                </w:p>
              </w:tc>
            </w:tr>
          </w:tbl>
          <w:p w14:paraId="3800107E">
            <w:pPr>
              <w:jc w:val="center"/>
              <w:rPr>
                <w:b/>
                <w:sz w:val="24"/>
                <w:szCs w:val="21"/>
              </w:rPr>
            </w:pPr>
            <w:r>
              <w:rPr>
                <w:b/>
                <w:sz w:val="24"/>
                <w:szCs w:val="21"/>
              </w:rPr>
              <w:t>表1-</w:t>
            </w:r>
            <w:r>
              <w:rPr>
                <w:rFonts w:hint="eastAsia"/>
                <w:b/>
                <w:sz w:val="24"/>
                <w:szCs w:val="21"/>
              </w:rPr>
              <w:t>5 与磴口县新能源预留用地管控单元符合性分析</w:t>
            </w:r>
          </w:p>
          <w:tbl>
            <w:tblPr>
              <w:tblStyle w:val="30"/>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707"/>
              <w:gridCol w:w="568"/>
              <w:gridCol w:w="2268"/>
              <w:gridCol w:w="2351"/>
              <w:gridCol w:w="537"/>
            </w:tblGrid>
            <w:tr w14:paraId="7AE96B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7" w:type="pct"/>
                  <w:tcMar>
                    <w:left w:w="0" w:type="dxa"/>
                    <w:right w:w="0" w:type="dxa"/>
                  </w:tcMar>
                  <w:vAlign w:val="center"/>
                </w:tcPr>
                <w:p w14:paraId="6310B9E0">
                  <w:pPr>
                    <w:jc w:val="center"/>
                    <w:rPr>
                      <w:bCs/>
                      <w:szCs w:val="21"/>
                    </w:rPr>
                  </w:pPr>
                  <w:r>
                    <w:rPr>
                      <w:rFonts w:hint="eastAsia"/>
                      <w:bCs/>
                      <w:szCs w:val="21"/>
                    </w:rPr>
                    <w:t>管控单元</w:t>
                  </w:r>
                </w:p>
              </w:tc>
              <w:tc>
                <w:tcPr>
                  <w:tcW w:w="503" w:type="pct"/>
                  <w:tcMar>
                    <w:left w:w="0" w:type="dxa"/>
                    <w:right w:w="0" w:type="dxa"/>
                  </w:tcMar>
                  <w:vAlign w:val="center"/>
                </w:tcPr>
                <w:p w14:paraId="7E4E8B2B">
                  <w:pPr>
                    <w:jc w:val="center"/>
                    <w:rPr>
                      <w:bCs/>
                      <w:szCs w:val="21"/>
                    </w:rPr>
                  </w:pPr>
                  <w:r>
                    <w:rPr>
                      <w:bCs/>
                      <w:szCs w:val="21"/>
                    </w:rPr>
                    <w:t>生态保护重点</w:t>
                  </w:r>
                </w:p>
              </w:tc>
              <w:tc>
                <w:tcPr>
                  <w:tcW w:w="404" w:type="pct"/>
                  <w:tcMar>
                    <w:left w:w="0" w:type="dxa"/>
                    <w:right w:w="0" w:type="dxa"/>
                  </w:tcMar>
                  <w:vAlign w:val="center"/>
                </w:tcPr>
                <w:p w14:paraId="348AFA1F">
                  <w:pPr>
                    <w:jc w:val="center"/>
                    <w:rPr>
                      <w:bCs/>
                      <w:szCs w:val="21"/>
                    </w:rPr>
                  </w:pPr>
                  <w:r>
                    <w:rPr>
                      <w:bCs/>
                      <w:szCs w:val="21"/>
                    </w:rPr>
                    <w:t>维度</w:t>
                  </w:r>
                </w:p>
              </w:tc>
              <w:tc>
                <w:tcPr>
                  <w:tcW w:w="1613" w:type="pct"/>
                  <w:tcMar>
                    <w:left w:w="0" w:type="dxa"/>
                    <w:right w:w="0" w:type="dxa"/>
                  </w:tcMar>
                  <w:vAlign w:val="center"/>
                </w:tcPr>
                <w:p w14:paraId="47C8E36B">
                  <w:pPr>
                    <w:jc w:val="center"/>
                    <w:rPr>
                      <w:bCs/>
                      <w:szCs w:val="21"/>
                    </w:rPr>
                  </w:pPr>
                  <w:r>
                    <w:rPr>
                      <w:rFonts w:hint="eastAsia"/>
                      <w:bCs/>
                      <w:szCs w:val="21"/>
                    </w:rPr>
                    <w:t>管控</w:t>
                  </w:r>
                  <w:r>
                    <w:rPr>
                      <w:bCs/>
                      <w:szCs w:val="21"/>
                    </w:rPr>
                    <w:t>措施</w:t>
                  </w:r>
                </w:p>
              </w:tc>
              <w:tc>
                <w:tcPr>
                  <w:tcW w:w="1672" w:type="pct"/>
                  <w:tcMar>
                    <w:left w:w="0" w:type="dxa"/>
                    <w:right w:w="0" w:type="dxa"/>
                  </w:tcMar>
                  <w:vAlign w:val="center"/>
                </w:tcPr>
                <w:p w14:paraId="706CF0B6">
                  <w:pPr>
                    <w:jc w:val="center"/>
                    <w:rPr>
                      <w:bCs/>
                      <w:szCs w:val="21"/>
                    </w:rPr>
                  </w:pPr>
                  <w:r>
                    <w:rPr>
                      <w:bCs/>
                      <w:szCs w:val="21"/>
                    </w:rPr>
                    <w:t>项目情况</w:t>
                  </w:r>
                </w:p>
              </w:tc>
              <w:tc>
                <w:tcPr>
                  <w:tcW w:w="381" w:type="pct"/>
                  <w:tcMar>
                    <w:left w:w="0" w:type="dxa"/>
                    <w:right w:w="0" w:type="dxa"/>
                  </w:tcMar>
                  <w:vAlign w:val="center"/>
                </w:tcPr>
                <w:p w14:paraId="0B9F5D85">
                  <w:pPr>
                    <w:jc w:val="center"/>
                    <w:rPr>
                      <w:bCs/>
                      <w:szCs w:val="21"/>
                    </w:rPr>
                  </w:pPr>
                  <w:r>
                    <w:rPr>
                      <w:bCs/>
                      <w:szCs w:val="21"/>
                    </w:rPr>
                    <w:t>是否符合</w:t>
                  </w:r>
                </w:p>
              </w:tc>
            </w:tr>
            <w:tr w14:paraId="46DC16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27" w:type="pct"/>
                  <w:vMerge w:val="restart"/>
                  <w:tcMar>
                    <w:left w:w="0" w:type="dxa"/>
                    <w:right w:w="0" w:type="dxa"/>
                  </w:tcMar>
                  <w:vAlign w:val="center"/>
                </w:tcPr>
                <w:p w14:paraId="51519CB1">
                  <w:pPr>
                    <w:jc w:val="center"/>
                    <w:rPr>
                      <w:bCs/>
                      <w:szCs w:val="21"/>
                    </w:rPr>
                  </w:pPr>
                  <w:r>
                    <w:rPr>
                      <w:rFonts w:hint="eastAsia"/>
                      <w:bCs/>
                      <w:szCs w:val="21"/>
                    </w:rPr>
                    <w:t>ZH1</w:t>
                  </w:r>
                </w:p>
                <w:p w14:paraId="309A56A9">
                  <w:pPr>
                    <w:jc w:val="center"/>
                    <w:rPr>
                      <w:bCs/>
                      <w:szCs w:val="21"/>
                    </w:rPr>
                  </w:pPr>
                  <w:r>
                    <w:rPr>
                      <w:rFonts w:hint="eastAsia"/>
                      <w:bCs/>
                      <w:szCs w:val="21"/>
                    </w:rPr>
                    <w:t>508</w:t>
                  </w:r>
                </w:p>
                <w:p w14:paraId="6A86714C">
                  <w:pPr>
                    <w:jc w:val="center"/>
                    <w:rPr>
                      <w:bCs/>
                      <w:szCs w:val="21"/>
                    </w:rPr>
                  </w:pPr>
                  <w:r>
                    <w:rPr>
                      <w:rFonts w:hint="eastAsia"/>
                      <w:bCs/>
                      <w:szCs w:val="21"/>
                    </w:rPr>
                    <w:t>222</w:t>
                  </w:r>
                </w:p>
                <w:p w14:paraId="542138C7">
                  <w:pPr>
                    <w:jc w:val="center"/>
                    <w:rPr>
                      <w:bCs/>
                      <w:szCs w:val="21"/>
                    </w:rPr>
                  </w:pPr>
                  <w:r>
                    <w:rPr>
                      <w:rFonts w:hint="eastAsia"/>
                      <w:bCs/>
                      <w:szCs w:val="21"/>
                    </w:rPr>
                    <w:t>0017磴口县新能源预留用地重点管控单元</w:t>
                  </w:r>
                </w:p>
              </w:tc>
              <w:tc>
                <w:tcPr>
                  <w:tcW w:w="503" w:type="pct"/>
                  <w:vMerge w:val="restart"/>
                  <w:tcMar>
                    <w:left w:w="0" w:type="dxa"/>
                    <w:right w:w="0" w:type="dxa"/>
                  </w:tcMar>
                  <w:vAlign w:val="center"/>
                </w:tcPr>
                <w:p w14:paraId="037F2E39">
                  <w:pPr>
                    <w:jc w:val="center"/>
                    <w:rPr>
                      <w:bCs/>
                      <w:szCs w:val="21"/>
                    </w:rPr>
                  </w:pPr>
                  <w:r>
                    <w:rPr>
                      <w:bCs/>
                      <w:szCs w:val="21"/>
                    </w:rPr>
                    <w:t>水环境农业污染重点管控区、生态用水补给区、土地资源重点管控区</w:t>
                  </w:r>
                </w:p>
              </w:tc>
              <w:tc>
                <w:tcPr>
                  <w:tcW w:w="404" w:type="pct"/>
                  <w:tcMar>
                    <w:left w:w="0" w:type="dxa"/>
                    <w:right w:w="0" w:type="dxa"/>
                  </w:tcMar>
                  <w:vAlign w:val="center"/>
                </w:tcPr>
                <w:p w14:paraId="06B51948">
                  <w:pPr>
                    <w:jc w:val="center"/>
                    <w:rPr>
                      <w:szCs w:val="21"/>
                    </w:rPr>
                  </w:pPr>
                  <w:r>
                    <w:rPr>
                      <w:bCs/>
                      <w:szCs w:val="21"/>
                    </w:rPr>
                    <w:t>空间布局约束</w:t>
                  </w:r>
                </w:p>
              </w:tc>
              <w:tc>
                <w:tcPr>
                  <w:tcW w:w="1613" w:type="pct"/>
                  <w:tcMar>
                    <w:left w:w="0" w:type="dxa"/>
                    <w:right w:w="0" w:type="dxa"/>
                  </w:tcMar>
                  <w:vAlign w:val="center"/>
                </w:tcPr>
                <w:p w14:paraId="52681C37">
                  <w:pPr>
                    <w:jc w:val="left"/>
                    <w:rPr>
                      <w:bCs/>
                      <w:szCs w:val="21"/>
                    </w:rPr>
                  </w:pPr>
                  <w:r>
                    <w:rPr>
                      <w:rFonts w:hint="eastAsia"/>
                      <w:bCs/>
                      <w:szCs w:val="21"/>
                    </w:rPr>
                    <w:t>1.执行全市总体准入要求中关于空间布局约束的准入要求。具体如下：</w:t>
                  </w:r>
                </w:p>
                <w:p w14:paraId="2F38CCE6">
                  <w:pPr>
                    <w:jc w:val="left"/>
                    <w:rPr>
                      <w:bCs/>
                      <w:szCs w:val="21"/>
                    </w:rPr>
                  </w:pPr>
                  <w:r>
                    <w:rPr>
                      <w:rFonts w:hint="eastAsia"/>
                      <w:bCs/>
                      <w:szCs w:val="21"/>
                    </w:rPr>
                    <w:t>禁止农作物秸秆等生物质及其他废弃物违规露天焚烧。加大农业源氨的排放控制力度，减少化肥农药使用量，增加有机肥使用量，实现化肥农药使用量零增长。禁止煤炭经营单位销售不符合规定标准的散煤或者固硫型煤。学校、医院、居民居住区等人口集中区域和其他依法需要特殊保护的区域及其周边，禁止新建、改建、扩建排放恶臭污染物的建设项目，或者从事其他产生恶臭气体的生产经营活动；已建成的，应当逐步搬迁或者升级改造。未经市人民政府林业或者农牧业行政主管部门批准，任何单位和个人禁止在巴彦淖尔市乌梁素海自治区级湿地水禽自然保护区范围内从事放生活动。禁止任何单位和个人擅自在各级渠沟道上引水、阻水、拦截水或者以其他方式影响水利工程的正常运行。禁止在渠沟道旱台进行植树、种草以外的其他耕作行为。</w:t>
                  </w:r>
                </w:p>
                <w:p w14:paraId="59C30E8B">
                  <w:pPr>
                    <w:jc w:val="left"/>
                    <w:rPr>
                      <w:bCs/>
                      <w:szCs w:val="21"/>
                    </w:rPr>
                  </w:pPr>
                  <w:r>
                    <w:rPr>
                      <w:rFonts w:hint="eastAsia"/>
                      <w:bCs/>
                      <w:szCs w:val="21"/>
                    </w:rPr>
                    <w:t>2.满足国家、内蒙古自治区、巴彦淖尔市新能源相关规划要求。</w:t>
                  </w:r>
                </w:p>
                <w:p w14:paraId="14DFFBF6">
                  <w:pPr>
                    <w:jc w:val="left"/>
                    <w:rPr>
                      <w:bCs/>
                      <w:szCs w:val="21"/>
                    </w:rPr>
                  </w:pPr>
                  <w:r>
                    <w:rPr>
                      <w:rFonts w:hint="eastAsia"/>
                      <w:bCs/>
                      <w:szCs w:val="21"/>
                    </w:rPr>
                    <w:t>3.非经国务院授权的有关主管部门同意，不得在以下地区开采矿产资源：（1）港口、机场、国防工程建设设施圈定地区以内；（2）重要工业区、大型水利工程设施、城镇市政工程设施附近一定距离以内；（3）铁路、重要公路两侧一定距离以内；（4）重要河流、堤坝两侧一定距离以内；（5）国家划定的自然保护区、重要风景名胜区，国家重点保护的不可移动的历史文物和名胜古迹所在地；（6）国家规定不得开采矿产资源的其他地区。</w:t>
                  </w:r>
                </w:p>
                <w:p w14:paraId="04FA2BDD">
                  <w:pPr>
                    <w:jc w:val="left"/>
                    <w:rPr>
                      <w:bCs/>
                      <w:szCs w:val="21"/>
                    </w:rPr>
                  </w:pPr>
                  <w:r>
                    <w:rPr>
                      <w:rFonts w:hint="eastAsia"/>
                      <w:bCs/>
                      <w:szCs w:val="21"/>
                    </w:rPr>
                    <w:t>4.矿产资源开发布局应符合矿产资源总体规划要求。严格限制矿产资源开发项目，确需开采的矿产资源及必须就地开展矿产加工的新建、改建、扩建项目，应严格控制区域开发规模。</w:t>
                  </w:r>
                </w:p>
              </w:tc>
              <w:tc>
                <w:tcPr>
                  <w:tcW w:w="1672" w:type="pct"/>
                  <w:tcMar>
                    <w:left w:w="0" w:type="dxa"/>
                    <w:right w:w="0" w:type="dxa"/>
                  </w:tcMar>
                  <w:vAlign w:val="center"/>
                </w:tcPr>
                <w:p w14:paraId="585B1C37">
                  <w:pPr>
                    <w:jc w:val="left"/>
                    <w:rPr>
                      <w:bCs/>
                      <w:szCs w:val="21"/>
                    </w:rPr>
                  </w:pPr>
                  <w:r>
                    <w:rPr>
                      <w:bCs/>
                      <w:szCs w:val="21"/>
                    </w:rPr>
                    <w:t>1</w:t>
                  </w:r>
                  <w:r>
                    <w:rPr>
                      <w:rFonts w:hint="eastAsia"/>
                      <w:bCs/>
                      <w:szCs w:val="21"/>
                    </w:rPr>
                    <w:t>.</w:t>
                  </w:r>
                  <w:r>
                    <w:rPr>
                      <w:rFonts w:hint="eastAsia"/>
                      <w:szCs w:val="21"/>
                    </w:rPr>
                    <w:t>项目不涉及农作物秸秆及其他废弃物的露天焚烧活动，不涉及农作物种植及化肥施用，也不涉及恶臭气体排放</w:t>
                  </w:r>
                  <w:r>
                    <w:rPr>
                      <w:rFonts w:hint="eastAsia"/>
                      <w:bCs/>
                      <w:szCs w:val="21"/>
                    </w:rPr>
                    <w:t>。</w:t>
                  </w:r>
                </w:p>
                <w:p w14:paraId="1311F798">
                  <w:pPr>
                    <w:jc w:val="left"/>
                    <w:rPr>
                      <w:szCs w:val="21"/>
                    </w:rPr>
                  </w:pPr>
                  <w:r>
                    <w:rPr>
                      <w:rFonts w:hint="eastAsia"/>
                      <w:bCs/>
                      <w:szCs w:val="21"/>
                    </w:rPr>
                    <w:t>2.项目符合</w:t>
                  </w:r>
                  <w:r>
                    <w:rPr>
                      <w:rFonts w:hint="eastAsia"/>
                      <w:szCs w:val="21"/>
                    </w:rPr>
                    <w:t>《内蒙古自治区国民经济和社会发展第十五个五年规划纲要》《内蒙古自治区“十四五”能源发展规划》《巴彦淖尔市国民经济和社会发展第十五个五年规划纲要》等</w:t>
                  </w:r>
                  <w:r>
                    <w:rPr>
                      <w:rFonts w:hint="eastAsia"/>
                      <w:bCs/>
                      <w:szCs w:val="21"/>
                    </w:rPr>
                    <w:t>相关规划要求</w:t>
                  </w:r>
                  <w:r>
                    <w:rPr>
                      <w:rFonts w:hint="eastAsia"/>
                      <w:szCs w:val="21"/>
                    </w:rPr>
                    <w:t>。</w:t>
                  </w:r>
                </w:p>
                <w:p w14:paraId="3AB9310B">
                  <w:pPr>
                    <w:jc w:val="left"/>
                    <w:rPr>
                      <w:bCs/>
                      <w:szCs w:val="21"/>
                    </w:rPr>
                  </w:pPr>
                  <w:r>
                    <w:rPr>
                      <w:rFonts w:hint="eastAsia"/>
                      <w:bCs/>
                      <w:szCs w:val="21"/>
                    </w:rPr>
                    <w:t>3.</w:t>
                  </w:r>
                  <w:r>
                    <w:rPr>
                      <w:bCs/>
                      <w:szCs w:val="21"/>
                    </w:rPr>
                    <w:t>项目</w:t>
                  </w:r>
                  <w:r>
                    <w:rPr>
                      <w:rFonts w:hint="eastAsia"/>
                      <w:bCs/>
                      <w:szCs w:val="21"/>
                    </w:rPr>
                    <w:t>位于依法设立的内蒙古河套盆地吉锦油气勘查探矿权范围内，不涉及港口、机场、国防工程建设、重要工业区、大型水利工程设施、城镇市政工程设施等，周围无铁路、重要公路、重要河流、堤坝，周围无自然保护区、重要风景名胜区、国家重点保护的不可移动的历史文物和名胜古迹。</w:t>
                  </w:r>
                </w:p>
                <w:p w14:paraId="527BA407">
                  <w:pPr>
                    <w:jc w:val="left"/>
                    <w:rPr>
                      <w:bCs/>
                      <w:szCs w:val="21"/>
                    </w:rPr>
                  </w:pPr>
                  <w:r>
                    <w:rPr>
                      <w:rFonts w:hint="eastAsia"/>
                      <w:bCs/>
                      <w:szCs w:val="21"/>
                    </w:rPr>
                    <w:t>4.项目属于国家战略性矿产资源勘探，符合</w:t>
                  </w:r>
                  <w:r>
                    <w:rPr>
                      <w:rFonts w:hint="eastAsia"/>
                      <w:szCs w:val="21"/>
                    </w:rPr>
                    <w:t>《巴彦淖尔市矿产资源总体规划（2021-2025年）》要求</w:t>
                  </w:r>
                  <w:r>
                    <w:rPr>
                      <w:rFonts w:hint="eastAsia"/>
                      <w:bCs/>
                      <w:szCs w:val="21"/>
                    </w:rPr>
                    <w:t>。</w:t>
                  </w:r>
                </w:p>
                <w:p w14:paraId="144A6468">
                  <w:pPr>
                    <w:jc w:val="left"/>
                    <w:rPr>
                      <w:szCs w:val="21"/>
                    </w:rPr>
                  </w:pPr>
                </w:p>
              </w:tc>
              <w:tc>
                <w:tcPr>
                  <w:tcW w:w="381" w:type="pct"/>
                  <w:tcMar>
                    <w:left w:w="0" w:type="dxa"/>
                    <w:right w:w="0" w:type="dxa"/>
                  </w:tcMar>
                  <w:vAlign w:val="center"/>
                </w:tcPr>
                <w:p w14:paraId="788F74EC">
                  <w:pPr>
                    <w:jc w:val="center"/>
                    <w:rPr>
                      <w:bCs/>
                      <w:szCs w:val="21"/>
                    </w:rPr>
                  </w:pPr>
                  <w:r>
                    <w:rPr>
                      <w:bCs/>
                      <w:szCs w:val="21"/>
                    </w:rPr>
                    <w:t>符合</w:t>
                  </w:r>
                </w:p>
              </w:tc>
            </w:tr>
            <w:tr w14:paraId="7A2DF9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27" w:type="pct"/>
                  <w:vMerge w:val="continue"/>
                  <w:tcMar>
                    <w:left w:w="0" w:type="dxa"/>
                    <w:right w:w="0" w:type="dxa"/>
                  </w:tcMar>
                  <w:vAlign w:val="center"/>
                </w:tcPr>
                <w:p w14:paraId="6557FDCE">
                  <w:pPr>
                    <w:jc w:val="center"/>
                    <w:rPr>
                      <w:bCs/>
                      <w:szCs w:val="21"/>
                    </w:rPr>
                  </w:pPr>
                </w:p>
              </w:tc>
              <w:tc>
                <w:tcPr>
                  <w:tcW w:w="503" w:type="pct"/>
                  <w:vMerge w:val="continue"/>
                  <w:tcMar>
                    <w:left w:w="0" w:type="dxa"/>
                    <w:right w:w="0" w:type="dxa"/>
                  </w:tcMar>
                  <w:vAlign w:val="center"/>
                </w:tcPr>
                <w:p w14:paraId="23611026">
                  <w:pPr>
                    <w:jc w:val="center"/>
                    <w:rPr>
                      <w:bCs/>
                      <w:szCs w:val="21"/>
                    </w:rPr>
                  </w:pPr>
                </w:p>
              </w:tc>
              <w:tc>
                <w:tcPr>
                  <w:tcW w:w="404" w:type="pct"/>
                  <w:tcMar>
                    <w:left w:w="0" w:type="dxa"/>
                    <w:right w:w="0" w:type="dxa"/>
                  </w:tcMar>
                  <w:vAlign w:val="center"/>
                </w:tcPr>
                <w:p w14:paraId="14B1E372">
                  <w:pPr>
                    <w:jc w:val="center"/>
                    <w:rPr>
                      <w:szCs w:val="21"/>
                    </w:rPr>
                  </w:pPr>
                  <w:r>
                    <w:rPr>
                      <w:bCs/>
                      <w:szCs w:val="21"/>
                    </w:rPr>
                    <w:t>污染物排放管控</w:t>
                  </w:r>
                </w:p>
              </w:tc>
              <w:tc>
                <w:tcPr>
                  <w:tcW w:w="1613" w:type="pct"/>
                  <w:tcMar>
                    <w:left w:w="0" w:type="dxa"/>
                    <w:right w:w="0" w:type="dxa"/>
                  </w:tcMar>
                  <w:vAlign w:val="center"/>
                </w:tcPr>
                <w:p w14:paraId="3955FF21">
                  <w:pPr>
                    <w:jc w:val="left"/>
                    <w:rPr>
                      <w:bCs/>
                      <w:szCs w:val="21"/>
                    </w:rPr>
                  </w:pPr>
                  <w:r>
                    <w:rPr>
                      <w:rFonts w:hint="eastAsia"/>
                      <w:bCs/>
                      <w:szCs w:val="21"/>
                    </w:rPr>
                    <w:t>1.执行全市总体准入要求中关于污染物排放管控的准入要求。具体如下：</w:t>
                  </w:r>
                </w:p>
                <w:p w14:paraId="7DF61556">
                  <w:pPr>
                    <w:jc w:val="left"/>
                    <w:rPr>
                      <w:bCs/>
                      <w:szCs w:val="21"/>
                    </w:rPr>
                  </w:pPr>
                  <w:r>
                    <w:rPr>
                      <w:rFonts w:hint="eastAsia"/>
                      <w:bCs/>
                      <w:szCs w:val="21"/>
                    </w:rPr>
                    <w:t>电力、钢铁、水泥、焦化、有色金属冶炼、铁合金制造、热力供应等重点行业企业生产过程中排放大气污染物的，应当采用清洁生产工艺，配套建设除尘、脱硫、脱硝等治污装置，或者采取技术改造等其他措施控制大气污染物排放。现有向大气排放恶臭污染物的化工、制药、制革、肥料加工、畜禽养殖、屠宰等行业的排污单位，应当按照大气环境质量改善要求采用先进的技术、工艺和设备，减少恶臭污染物排放，达到国家标准。巴彦淖尔市SO</w:t>
                  </w:r>
                  <w:r>
                    <w:rPr>
                      <w:rFonts w:hint="eastAsia"/>
                      <w:bCs/>
                      <w:szCs w:val="21"/>
                      <w:vertAlign w:val="subscript"/>
                    </w:rPr>
                    <w:t>2</w:t>
                  </w:r>
                  <w:r>
                    <w:rPr>
                      <w:rFonts w:hint="eastAsia"/>
                      <w:bCs/>
                      <w:szCs w:val="21"/>
                    </w:rPr>
                    <w:t>排放总量较2015年减少15%，NOx排放总量较2015年减少</w:t>
                  </w:r>
                  <w:r>
                    <w:rPr>
                      <w:bCs/>
                      <w:szCs w:val="21"/>
                    </w:rPr>
                    <w:t>11%</w:t>
                  </w:r>
                  <w:r>
                    <w:rPr>
                      <w:rFonts w:hint="eastAsia"/>
                      <w:bCs/>
                      <w:szCs w:val="21"/>
                    </w:rPr>
                    <w:t>。</w:t>
                  </w:r>
                </w:p>
                <w:p w14:paraId="12A64115">
                  <w:pPr>
                    <w:jc w:val="left"/>
                    <w:rPr>
                      <w:bCs/>
                      <w:szCs w:val="21"/>
                    </w:rPr>
                  </w:pPr>
                  <w:r>
                    <w:rPr>
                      <w:rFonts w:hint="eastAsia"/>
                      <w:bCs/>
                      <w:szCs w:val="21"/>
                    </w:rPr>
                    <w:t>2.施工期加强管理，施工期结束后进行复垦。</w:t>
                  </w:r>
                </w:p>
                <w:p w14:paraId="3F0181C4">
                  <w:pPr>
                    <w:jc w:val="left"/>
                    <w:rPr>
                      <w:bCs/>
                      <w:szCs w:val="21"/>
                    </w:rPr>
                  </w:pPr>
                  <w:r>
                    <w:rPr>
                      <w:rFonts w:hint="eastAsia"/>
                      <w:bCs/>
                      <w:szCs w:val="21"/>
                    </w:rPr>
                    <w:t>3.新建道路尽量避绕植被覆盖度高的牧草地，针对确实无法避绕的区域建议进行植被移栽工作。</w:t>
                  </w:r>
                </w:p>
                <w:p w14:paraId="6E3F3525">
                  <w:pPr>
                    <w:jc w:val="left"/>
                    <w:rPr>
                      <w:bCs/>
                      <w:szCs w:val="21"/>
                    </w:rPr>
                  </w:pPr>
                  <w:r>
                    <w:rPr>
                      <w:rFonts w:hint="eastAsia"/>
                      <w:bCs/>
                      <w:szCs w:val="21"/>
                    </w:rPr>
                    <w:t>4.施工期加强对野生动植物的保护，采取避让措施。</w:t>
                  </w:r>
                </w:p>
                <w:p w14:paraId="5599C963">
                  <w:pPr>
                    <w:jc w:val="left"/>
                    <w:rPr>
                      <w:bCs/>
                      <w:szCs w:val="21"/>
                    </w:rPr>
                  </w:pPr>
                  <w:r>
                    <w:rPr>
                      <w:rFonts w:hint="eastAsia"/>
                      <w:bCs/>
                      <w:szCs w:val="21"/>
                    </w:rPr>
                    <w:t>5.矿产资源勘查以及采选过程中排土场、露天采场、尾矿库、矿区专用道路、矿山工业场地、沉陷区、矸石场、矿山污染场地等的生态环境保护与治理恢复工作须满足《矿山生态环境保护与治理恢复技术规范（试行）》（HJ651-2013）要求。</w:t>
                  </w:r>
                </w:p>
                <w:p w14:paraId="578BFDC2">
                  <w:pPr>
                    <w:jc w:val="left"/>
                    <w:rPr>
                      <w:bCs/>
                      <w:szCs w:val="21"/>
                    </w:rPr>
                  </w:pPr>
                  <w:r>
                    <w:rPr>
                      <w:rFonts w:hint="eastAsia"/>
                      <w:bCs/>
                      <w:szCs w:val="21"/>
                    </w:rPr>
                    <w:t>6.落实边开采、边治理要求，要求新建、在建矿山损毁土地严格按照《矿山地质环境保护与土地复垦方案》做到应治尽治。</w:t>
                  </w:r>
                </w:p>
                <w:p w14:paraId="74F41276">
                  <w:pPr>
                    <w:jc w:val="left"/>
                    <w:rPr>
                      <w:bCs/>
                      <w:szCs w:val="21"/>
                    </w:rPr>
                  </w:pPr>
                  <w:r>
                    <w:rPr>
                      <w:rFonts w:hint="eastAsia"/>
                      <w:bCs/>
                      <w:szCs w:val="21"/>
                    </w:rPr>
                    <w:t>7.禁止采用污染和破坏矿山环境的方法开采矿产资源。矿山“三废”得到有效处理，污染物排放达标。矿山服务到期闭坑前，要按方案要求对矿区内破坏单元进行相应治理，加强矿山环境监测。</w:t>
                  </w:r>
                </w:p>
                <w:p w14:paraId="4432CF72">
                  <w:pPr>
                    <w:jc w:val="left"/>
                    <w:rPr>
                      <w:bCs/>
                      <w:szCs w:val="21"/>
                    </w:rPr>
                  </w:pPr>
                  <w:r>
                    <w:rPr>
                      <w:rFonts w:hint="eastAsia"/>
                      <w:bCs/>
                      <w:szCs w:val="21"/>
                    </w:rPr>
                    <w:t>8.新建排放重金属污染物的重点行业建设项目全面执行重点重金属污染物特别排放限值。</w:t>
                  </w:r>
                </w:p>
                <w:p w14:paraId="66E51091">
                  <w:pPr>
                    <w:jc w:val="left"/>
                    <w:rPr>
                      <w:bCs/>
                      <w:szCs w:val="21"/>
                    </w:rPr>
                  </w:pPr>
                  <w:r>
                    <w:rPr>
                      <w:rFonts w:hint="eastAsia"/>
                      <w:bCs/>
                      <w:szCs w:val="21"/>
                    </w:rPr>
                    <w:t>9.全市重点行业重点重金属污染物实行排放总量控制制度，新建、改建、扩建涉重金属重点行业建设项目必须遵循重点重金属污染物排放“减量置换”或“等量替换”的原则，严格把重金属污染物排放总量指标作为排放重金属污染物建设项目环境影响评价审批的前置条件，无明确具体总量来源的，不得批准相关环境影响评价文件。</w:t>
                  </w:r>
                </w:p>
                <w:p w14:paraId="068A363F">
                  <w:pPr>
                    <w:jc w:val="left"/>
                    <w:rPr>
                      <w:bCs/>
                      <w:szCs w:val="21"/>
                    </w:rPr>
                  </w:pPr>
                  <w:r>
                    <w:rPr>
                      <w:rFonts w:hint="eastAsia"/>
                      <w:bCs/>
                      <w:szCs w:val="21"/>
                    </w:rPr>
                    <w:t>10.重点重金属污染物包括铅、汞、镉、铬和类金属砷。</w:t>
                  </w:r>
                </w:p>
              </w:tc>
              <w:tc>
                <w:tcPr>
                  <w:tcW w:w="1672" w:type="pct"/>
                  <w:tcMar>
                    <w:left w:w="0" w:type="dxa"/>
                    <w:right w:w="0" w:type="dxa"/>
                  </w:tcMar>
                  <w:vAlign w:val="center"/>
                </w:tcPr>
                <w:p w14:paraId="485B2ACA">
                  <w:pPr>
                    <w:jc w:val="left"/>
                    <w:rPr>
                      <w:bCs/>
                      <w:szCs w:val="21"/>
                    </w:rPr>
                  </w:pPr>
                  <w:r>
                    <w:rPr>
                      <w:rFonts w:hint="eastAsia"/>
                      <w:bCs/>
                      <w:szCs w:val="21"/>
                    </w:rPr>
                    <w:t>1.</w:t>
                  </w:r>
                  <w:r>
                    <w:rPr>
                      <w:rFonts w:hint="eastAsia"/>
                      <w:szCs w:val="21"/>
                    </w:rPr>
                    <w:t>项目不属于电力、钢铁、水泥、焦化、有色金属冶炼、铁合金制造、热力供应等重点行业，也不属于化工、制药、制革、肥料加工、畜禽养殖、屠宰等行业</w:t>
                  </w:r>
                  <w:r>
                    <w:rPr>
                      <w:rFonts w:hint="eastAsia"/>
                      <w:bCs/>
                      <w:szCs w:val="21"/>
                    </w:rPr>
                    <w:t>。</w:t>
                  </w:r>
                </w:p>
                <w:p w14:paraId="7B78CB62">
                  <w:pPr>
                    <w:jc w:val="left"/>
                    <w:rPr>
                      <w:bCs/>
                      <w:szCs w:val="21"/>
                    </w:rPr>
                  </w:pPr>
                  <w:r>
                    <w:rPr>
                      <w:rFonts w:hint="eastAsia"/>
                      <w:bCs/>
                      <w:szCs w:val="21"/>
                    </w:rPr>
                    <w:t>2.项目施工期加强管理，施工期结束后进行复垦。</w:t>
                  </w:r>
                </w:p>
                <w:p w14:paraId="00AC12CC">
                  <w:pPr>
                    <w:jc w:val="left"/>
                    <w:rPr>
                      <w:bCs/>
                      <w:szCs w:val="21"/>
                    </w:rPr>
                  </w:pPr>
                  <w:r>
                    <w:rPr>
                      <w:rFonts w:hint="eastAsia"/>
                      <w:bCs/>
                      <w:szCs w:val="21"/>
                    </w:rPr>
                    <w:t>3.项目充分利用现有道路，无需新建进场道路。</w:t>
                  </w:r>
                </w:p>
                <w:p w14:paraId="286701E0">
                  <w:pPr>
                    <w:jc w:val="left"/>
                    <w:rPr>
                      <w:bCs/>
                      <w:szCs w:val="21"/>
                    </w:rPr>
                  </w:pPr>
                  <w:r>
                    <w:rPr>
                      <w:rFonts w:hint="eastAsia"/>
                      <w:bCs/>
                      <w:szCs w:val="21"/>
                    </w:rPr>
                    <w:t>4.施工期加强对野生动植物保护，采取避让措施，对于无法避让的重要物种进行植被移栽。</w:t>
                  </w:r>
                </w:p>
                <w:p w14:paraId="36A88E1C">
                  <w:pPr>
                    <w:jc w:val="left"/>
                    <w:rPr>
                      <w:bCs/>
                      <w:szCs w:val="21"/>
                    </w:rPr>
                  </w:pPr>
                  <w:r>
                    <w:rPr>
                      <w:rFonts w:hint="eastAsia"/>
                      <w:bCs/>
                      <w:szCs w:val="21"/>
                    </w:rPr>
                    <w:t>5.项目与《矿山生态环境保护与治理恢复技术规范（试行）》（HJ651-2013）相关分析见表1-9。</w:t>
                  </w:r>
                </w:p>
                <w:p w14:paraId="2050C871">
                  <w:pPr>
                    <w:jc w:val="left"/>
                    <w:rPr>
                      <w:bCs/>
                      <w:szCs w:val="21"/>
                    </w:rPr>
                  </w:pPr>
                  <w:r>
                    <w:rPr>
                      <w:rFonts w:hint="eastAsia"/>
                      <w:bCs/>
                      <w:szCs w:val="21"/>
                    </w:rPr>
                    <w:t>6.</w:t>
                  </w:r>
                  <w:r>
                    <w:rPr>
                      <w:rFonts w:hint="eastAsia"/>
                      <w:kern w:val="0"/>
                      <w:szCs w:val="21"/>
                    </w:rPr>
                    <w:t>项目施工前对表层土剥离并集中堆存，采用密目网遮盖；施工结束后严格按照土地复垦方案，对临时用地进行平整、覆土、播撒草籽等，增加绿化植被的密度，减少表土裸露面积</w:t>
                  </w:r>
                  <w:r>
                    <w:rPr>
                      <w:rFonts w:hint="eastAsia"/>
                      <w:bCs/>
                      <w:szCs w:val="21"/>
                    </w:rPr>
                    <w:t>。</w:t>
                  </w:r>
                </w:p>
                <w:p w14:paraId="47CFF982">
                  <w:pPr>
                    <w:jc w:val="left"/>
                    <w:rPr>
                      <w:bCs/>
                      <w:szCs w:val="21"/>
                    </w:rPr>
                  </w:pPr>
                  <w:r>
                    <w:rPr>
                      <w:rFonts w:hint="eastAsia"/>
                      <w:bCs/>
                      <w:szCs w:val="21"/>
                    </w:rPr>
                    <w:t>7.项目采用环保型水基泥浆，对环境污染较小。</w:t>
                  </w:r>
                </w:p>
                <w:p w14:paraId="552E9814">
                  <w:pPr>
                    <w:jc w:val="left"/>
                    <w:rPr>
                      <w:bCs/>
                      <w:szCs w:val="21"/>
                    </w:rPr>
                  </w:pPr>
                  <w:r>
                    <w:rPr>
                      <w:rFonts w:hint="eastAsia"/>
                      <w:bCs/>
                      <w:szCs w:val="21"/>
                    </w:rPr>
                    <w:t>8.项目不对外环境排放重金属。</w:t>
                  </w:r>
                </w:p>
                <w:p w14:paraId="05913EC4">
                  <w:pPr>
                    <w:jc w:val="left"/>
                    <w:rPr>
                      <w:bCs/>
                      <w:szCs w:val="21"/>
                    </w:rPr>
                  </w:pPr>
                  <w:r>
                    <w:rPr>
                      <w:rFonts w:hint="eastAsia"/>
                      <w:bCs/>
                      <w:szCs w:val="21"/>
                    </w:rPr>
                    <w:t>9.项目不涉及重点行业重点金属污染物排放。</w:t>
                  </w:r>
                </w:p>
                <w:p w14:paraId="621554FA">
                  <w:pPr>
                    <w:jc w:val="left"/>
                    <w:rPr>
                      <w:bCs/>
                      <w:szCs w:val="21"/>
                      <w:highlight w:val="yellow"/>
                    </w:rPr>
                  </w:pPr>
                  <w:r>
                    <w:rPr>
                      <w:rFonts w:hint="eastAsia"/>
                      <w:bCs/>
                      <w:szCs w:val="21"/>
                    </w:rPr>
                    <w:t>10.项目不涉及重金属污染物。</w:t>
                  </w:r>
                </w:p>
              </w:tc>
              <w:tc>
                <w:tcPr>
                  <w:tcW w:w="381" w:type="pct"/>
                  <w:tcMar>
                    <w:left w:w="0" w:type="dxa"/>
                    <w:right w:w="0" w:type="dxa"/>
                  </w:tcMar>
                  <w:vAlign w:val="center"/>
                </w:tcPr>
                <w:p w14:paraId="11EC13F1">
                  <w:pPr>
                    <w:jc w:val="center"/>
                    <w:rPr>
                      <w:bCs/>
                      <w:szCs w:val="21"/>
                    </w:rPr>
                  </w:pPr>
                  <w:r>
                    <w:rPr>
                      <w:bCs/>
                      <w:szCs w:val="21"/>
                    </w:rPr>
                    <w:t>符合</w:t>
                  </w:r>
                </w:p>
              </w:tc>
            </w:tr>
            <w:tr w14:paraId="75AB2F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7" w:type="pct"/>
                  <w:vMerge w:val="continue"/>
                  <w:tcMar>
                    <w:left w:w="0" w:type="dxa"/>
                    <w:right w:w="0" w:type="dxa"/>
                  </w:tcMar>
                  <w:vAlign w:val="center"/>
                </w:tcPr>
                <w:p w14:paraId="49BA2B55">
                  <w:pPr>
                    <w:jc w:val="center"/>
                    <w:rPr>
                      <w:bCs/>
                      <w:szCs w:val="21"/>
                    </w:rPr>
                  </w:pPr>
                </w:p>
              </w:tc>
              <w:tc>
                <w:tcPr>
                  <w:tcW w:w="503" w:type="pct"/>
                  <w:vMerge w:val="continue"/>
                  <w:tcMar>
                    <w:left w:w="0" w:type="dxa"/>
                    <w:right w:w="0" w:type="dxa"/>
                  </w:tcMar>
                  <w:vAlign w:val="center"/>
                </w:tcPr>
                <w:p w14:paraId="3264DF36">
                  <w:pPr>
                    <w:jc w:val="center"/>
                    <w:rPr>
                      <w:bCs/>
                      <w:szCs w:val="21"/>
                    </w:rPr>
                  </w:pPr>
                </w:p>
              </w:tc>
              <w:tc>
                <w:tcPr>
                  <w:tcW w:w="404" w:type="pct"/>
                  <w:tcMar>
                    <w:left w:w="0" w:type="dxa"/>
                    <w:right w:w="0" w:type="dxa"/>
                  </w:tcMar>
                  <w:vAlign w:val="center"/>
                </w:tcPr>
                <w:p w14:paraId="5838E183">
                  <w:pPr>
                    <w:jc w:val="center"/>
                    <w:rPr>
                      <w:szCs w:val="21"/>
                    </w:rPr>
                  </w:pPr>
                  <w:r>
                    <w:rPr>
                      <w:bCs/>
                      <w:szCs w:val="21"/>
                    </w:rPr>
                    <w:t>环境风险管控</w:t>
                  </w:r>
                </w:p>
              </w:tc>
              <w:tc>
                <w:tcPr>
                  <w:tcW w:w="1613" w:type="pct"/>
                  <w:tcMar>
                    <w:left w:w="0" w:type="dxa"/>
                    <w:right w:w="0" w:type="dxa"/>
                  </w:tcMar>
                  <w:vAlign w:val="center"/>
                </w:tcPr>
                <w:p w14:paraId="55DBB6DC">
                  <w:pPr>
                    <w:jc w:val="left"/>
                    <w:rPr>
                      <w:bCs/>
                      <w:szCs w:val="21"/>
                    </w:rPr>
                  </w:pPr>
                  <w:r>
                    <w:rPr>
                      <w:rFonts w:hint="eastAsia"/>
                      <w:bCs/>
                      <w:szCs w:val="21"/>
                    </w:rPr>
                    <w:t>1.执行全市总体准入要求中关于环境风险防控的准入要求。</w:t>
                  </w:r>
                </w:p>
                <w:p w14:paraId="3FA7B348">
                  <w:pPr>
                    <w:jc w:val="left"/>
                    <w:rPr>
                      <w:bCs/>
                      <w:szCs w:val="21"/>
                    </w:rPr>
                  </w:pPr>
                  <w:r>
                    <w:rPr>
                      <w:rFonts w:hint="eastAsia"/>
                      <w:bCs/>
                      <w:szCs w:val="21"/>
                    </w:rPr>
                    <w:t>2.制定环境风险应急预案，成立应急组织机构，配备必要的应急设施和应急物资，定期开展环境风险应急演练。</w:t>
                  </w:r>
                </w:p>
                <w:p w14:paraId="565DC047">
                  <w:pPr>
                    <w:jc w:val="left"/>
                    <w:rPr>
                      <w:bCs/>
                      <w:szCs w:val="21"/>
                    </w:rPr>
                  </w:pPr>
                  <w:r>
                    <w:rPr>
                      <w:rFonts w:hint="eastAsia"/>
                      <w:bCs/>
                      <w:szCs w:val="21"/>
                    </w:rPr>
                    <w:t>3.全面整治历史遗留尾矿库，完善覆膜、压土、排洪、堤坝加固等隐患治理和闭库措施。有重点监管尾矿库的企业要开展环境风险评估，完善污染治理设施，储备应急物资。加强对矿产资源开发利用活动的辐射安全监管，有关企业每年要对矿区土壤进行辐射环境监测。</w:t>
                  </w:r>
                </w:p>
                <w:p w14:paraId="08D9CF14">
                  <w:pPr>
                    <w:jc w:val="left"/>
                    <w:rPr>
                      <w:bCs/>
                      <w:szCs w:val="21"/>
                    </w:rPr>
                  </w:pPr>
                  <w:r>
                    <w:rPr>
                      <w:rFonts w:hint="eastAsia"/>
                      <w:bCs/>
                      <w:szCs w:val="21"/>
                    </w:rPr>
                    <w:t>4.禁止在行洪的河床、滩地和岸坡堆放贮存矿石、废碴或者尾矿，防止造成行洪不畅或者堤岸破坏。边坡的开挖和矿石、废碴的堆放，应当符合边坡稳定的要求。禁止开采或者毁坏预留安全矿柱或者岩柱，防止造成滑坡、崩塌、泥石流以及地面开裂、塌陷、沉降等地质灾害。</w:t>
                  </w:r>
                </w:p>
              </w:tc>
              <w:tc>
                <w:tcPr>
                  <w:tcW w:w="1672" w:type="pct"/>
                  <w:tcMar>
                    <w:left w:w="0" w:type="dxa"/>
                    <w:right w:w="0" w:type="dxa"/>
                  </w:tcMar>
                  <w:vAlign w:val="center"/>
                </w:tcPr>
                <w:p w14:paraId="3B1F30BB">
                  <w:pPr>
                    <w:rPr>
                      <w:bCs/>
                      <w:szCs w:val="21"/>
                    </w:rPr>
                  </w:pPr>
                  <w:r>
                    <w:rPr>
                      <w:bCs/>
                      <w:szCs w:val="21"/>
                    </w:rPr>
                    <w:t>1</w:t>
                  </w:r>
                  <w:r>
                    <w:rPr>
                      <w:rFonts w:hint="eastAsia"/>
                      <w:bCs/>
                      <w:szCs w:val="21"/>
                    </w:rPr>
                    <w:t>.项目属于石油勘探工程，在做好本次评价提出的风险防范措施的基础上，环境风险可接受。</w:t>
                  </w:r>
                </w:p>
                <w:p w14:paraId="491A2FC9">
                  <w:pPr>
                    <w:jc w:val="left"/>
                    <w:rPr>
                      <w:bCs/>
                      <w:szCs w:val="21"/>
                    </w:rPr>
                  </w:pPr>
                  <w:r>
                    <w:rPr>
                      <w:rFonts w:hint="eastAsia"/>
                      <w:bCs/>
                      <w:szCs w:val="21"/>
                    </w:rPr>
                    <w:t>2.对勘探过程进行了环境风险因素识别，成立了环境风险管控机构，定期进行应急演练。施工过程中安装防井喷装置，落实各项风险应急物资等防止发生由突发性油气泄漏产生的环境事故</w:t>
                  </w:r>
                  <w:r>
                    <w:rPr>
                      <w:bCs/>
                      <w:szCs w:val="21"/>
                    </w:rPr>
                    <w:t>。</w:t>
                  </w:r>
                </w:p>
                <w:p w14:paraId="5238741D">
                  <w:pPr>
                    <w:rPr>
                      <w:bCs/>
                      <w:szCs w:val="21"/>
                    </w:rPr>
                  </w:pPr>
                  <w:r>
                    <w:rPr>
                      <w:rFonts w:hint="eastAsia"/>
                      <w:bCs/>
                      <w:szCs w:val="21"/>
                    </w:rPr>
                    <w:t>3.项目属于石油勘探工程，不涉及遗留尾矿库。</w:t>
                  </w:r>
                </w:p>
                <w:p w14:paraId="48E56A1C">
                  <w:pPr>
                    <w:rPr>
                      <w:szCs w:val="21"/>
                    </w:rPr>
                  </w:pPr>
                  <w:r>
                    <w:rPr>
                      <w:rFonts w:hint="eastAsia"/>
                      <w:bCs/>
                      <w:szCs w:val="21"/>
                    </w:rPr>
                    <w:t>4.项目属于石油勘探项目，不涉及行洪的河床、滩地和岸坡堆放贮存矿石、废碴或者尾矿。</w:t>
                  </w:r>
                </w:p>
              </w:tc>
              <w:tc>
                <w:tcPr>
                  <w:tcW w:w="381" w:type="pct"/>
                  <w:tcMar>
                    <w:left w:w="0" w:type="dxa"/>
                    <w:right w:w="0" w:type="dxa"/>
                  </w:tcMar>
                  <w:vAlign w:val="center"/>
                </w:tcPr>
                <w:p w14:paraId="07F47EF8">
                  <w:pPr>
                    <w:jc w:val="center"/>
                    <w:rPr>
                      <w:bCs/>
                      <w:szCs w:val="21"/>
                    </w:rPr>
                  </w:pPr>
                  <w:r>
                    <w:rPr>
                      <w:rFonts w:hint="eastAsia"/>
                      <w:bCs/>
                      <w:szCs w:val="21"/>
                    </w:rPr>
                    <w:t>符合</w:t>
                  </w:r>
                </w:p>
              </w:tc>
            </w:tr>
            <w:tr w14:paraId="0B1A15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27" w:type="pct"/>
                  <w:vMerge w:val="continue"/>
                  <w:tcMar>
                    <w:left w:w="0" w:type="dxa"/>
                    <w:right w:w="0" w:type="dxa"/>
                  </w:tcMar>
                  <w:vAlign w:val="center"/>
                </w:tcPr>
                <w:p w14:paraId="662536A5">
                  <w:pPr>
                    <w:jc w:val="center"/>
                    <w:rPr>
                      <w:bCs/>
                      <w:szCs w:val="21"/>
                    </w:rPr>
                  </w:pPr>
                </w:p>
              </w:tc>
              <w:tc>
                <w:tcPr>
                  <w:tcW w:w="503" w:type="pct"/>
                  <w:vMerge w:val="continue"/>
                  <w:tcMar>
                    <w:left w:w="0" w:type="dxa"/>
                    <w:right w:w="0" w:type="dxa"/>
                  </w:tcMar>
                  <w:vAlign w:val="center"/>
                </w:tcPr>
                <w:p w14:paraId="2BBDE264">
                  <w:pPr>
                    <w:jc w:val="center"/>
                    <w:rPr>
                      <w:bCs/>
                      <w:szCs w:val="21"/>
                    </w:rPr>
                  </w:pPr>
                </w:p>
              </w:tc>
              <w:tc>
                <w:tcPr>
                  <w:tcW w:w="404" w:type="pct"/>
                  <w:tcMar>
                    <w:left w:w="0" w:type="dxa"/>
                    <w:right w:w="0" w:type="dxa"/>
                  </w:tcMar>
                  <w:vAlign w:val="center"/>
                </w:tcPr>
                <w:p w14:paraId="16427BD1">
                  <w:pPr>
                    <w:jc w:val="center"/>
                    <w:rPr>
                      <w:szCs w:val="21"/>
                    </w:rPr>
                  </w:pPr>
                  <w:r>
                    <w:rPr>
                      <w:bCs/>
                      <w:szCs w:val="21"/>
                    </w:rPr>
                    <w:t>资源</w:t>
                  </w:r>
                  <w:r>
                    <w:rPr>
                      <w:rFonts w:hint="eastAsia"/>
                      <w:bCs/>
                      <w:szCs w:val="21"/>
                    </w:rPr>
                    <w:t>开发效率</w:t>
                  </w:r>
                </w:p>
              </w:tc>
              <w:tc>
                <w:tcPr>
                  <w:tcW w:w="1613" w:type="pct"/>
                  <w:tcMar>
                    <w:left w:w="0" w:type="dxa"/>
                    <w:right w:w="0" w:type="dxa"/>
                  </w:tcMar>
                  <w:vAlign w:val="center"/>
                </w:tcPr>
                <w:p w14:paraId="1D9F7041">
                  <w:pPr>
                    <w:jc w:val="left"/>
                    <w:rPr>
                      <w:szCs w:val="21"/>
                    </w:rPr>
                  </w:pPr>
                  <w:r>
                    <w:rPr>
                      <w:szCs w:val="21"/>
                    </w:rPr>
                    <w:t>提高工业企业用水用能效率。</w:t>
                  </w:r>
                </w:p>
              </w:tc>
              <w:tc>
                <w:tcPr>
                  <w:tcW w:w="1672" w:type="pct"/>
                  <w:tcMar>
                    <w:left w:w="0" w:type="dxa"/>
                    <w:right w:w="0" w:type="dxa"/>
                  </w:tcMar>
                  <w:vAlign w:val="center"/>
                </w:tcPr>
                <w:p w14:paraId="0012DA12">
                  <w:pPr>
                    <w:ind w:firstLine="420" w:firstLineChars="200"/>
                    <w:jc w:val="left"/>
                    <w:rPr>
                      <w:bCs/>
                      <w:szCs w:val="21"/>
                    </w:rPr>
                  </w:pPr>
                  <w:r>
                    <w:rPr>
                      <w:rFonts w:hint="eastAsia"/>
                      <w:bCs/>
                      <w:szCs w:val="21"/>
                    </w:rPr>
                    <w:t>项目生产用水为巴彦淖尔市市政环境（集团）有限公司中水，钻井过程中废水收集至可移动废水罐临时贮存，自然沉降后，上清液通过螺杆泵抽回到泥浆不落地循环系统，继续循环使用，用水效率高。</w:t>
                  </w:r>
                </w:p>
              </w:tc>
              <w:tc>
                <w:tcPr>
                  <w:tcW w:w="381" w:type="pct"/>
                  <w:tcMar>
                    <w:left w:w="0" w:type="dxa"/>
                    <w:right w:w="0" w:type="dxa"/>
                  </w:tcMar>
                  <w:vAlign w:val="center"/>
                </w:tcPr>
                <w:p w14:paraId="01F83113">
                  <w:pPr>
                    <w:jc w:val="center"/>
                    <w:rPr>
                      <w:bCs/>
                      <w:szCs w:val="21"/>
                    </w:rPr>
                  </w:pPr>
                  <w:r>
                    <w:rPr>
                      <w:rFonts w:hint="eastAsia"/>
                      <w:bCs/>
                      <w:szCs w:val="21"/>
                    </w:rPr>
                    <w:t>符合</w:t>
                  </w:r>
                </w:p>
              </w:tc>
            </w:tr>
          </w:tbl>
          <w:p w14:paraId="7972B788">
            <w:pPr>
              <w:adjustRightInd w:val="0"/>
              <w:snapToGrid w:val="0"/>
              <w:spacing w:line="360" w:lineRule="auto"/>
              <w:ind w:firstLine="482" w:firstLineChars="200"/>
              <w:rPr>
                <w:b/>
                <w:sz w:val="24"/>
              </w:rPr>
            </w:pPr>
            <w:r>
              <w:rPr>
                <w:rFonts w:hint="eastAsia"/>
                <w:b/>
                <w:sz w:val="24"/>
              </w:rPr>
              <w:t>4、《</w:t>
            </w:r>
            <w:bookmarkStart w:id="2" w:name="OLE_LINK1"/>
            <w:bookmarkStart w:id="3" w:name="OLE_LINK2"/>
            <w:r>
              <w:rPr>
                <w:b/>
                <w:sz w:val="24"/>
              </w:rPr>
              <w:t>关于进一步加强石油天然气行业环境影响评价管理的通知</w:t>
            </w:r>
            <w:bookmarkEnd w:id="2"/>
            <w:bookmarkEnd w:id="3"/>
            <w:r>
              <w:rPr>
                <w:rFonts w:hint="eastAsia"/>
                <w:b/>
                <w:sz w:val="24"/>
              </w:rPr>
              <w:t>》</w:t>
            </w:r>
          </w:p>
          <w:p w14:paraId="660BB244">
            <w:pPr>
              <w:adjustRightInd w:val="0"/>
              <w:snapToGrid w:val="0"/>
              <w:spacing w:line="360" w:lineRule="auto"/>
              <w:ind w:firstLine="480" w:firstLineChars="200"/>
              <w:rPr>
                <w:sz w:val="24"/>
              </w:rPr>
            </w:pPr>
            <w:r>
              <w:rPr>
                <w:rFonts w:hint="eastAsia"/>
                <w:sz w:val="24"/>
              </w:rPr>
              <w:t>项目</w:t>
            </w:r>
            <w:r>
              <w:rPr>
                <w:sz w:val="24"/>
              </w:rPr>
              <w:t>与</w:t>
            </w:r>
            <w:r>
              <w:rPr>
                <w:rFonts w:hint="eastAsia"/>
                <w:sz w:val="24"/>
              </w:rPr>
              <w:t>“</w:t>
            </w:r>
            <w:r>
              <w:rPr>
                <w:sz w:val="24"/>
              </w:rPr>
              <w:t>关于进一步加强石油天然气行业环境影响评价管理的通知（环办环评函〔2019〕910号）</w:t>
            </w:r>
            <w:r>
              <w:rPr>
                <w:rFonts w:hint="eastAsia"/>
                <w:sz w:val="24"/>
              </w:rPr>
              <w:t>”</w:t>
            </w:r>
            <w:r>
              <w:rPr>
                <w:sz w:val="24"/>
              </w:rPr>
              <w:t>符合性分析</w:t>
            </w:r>
            <w:r>
              <w:rPr>
                <w:rFonts w:hint="eastAsia"/>
                <w:sz w:val="24"/>
              </w:rPr>
              <w:t>如下。</w:t>
            </w:r>
          </w:p>
          <w:p w14:paraId="7299BDDC">
            <w:pPr>
              <w:jc w:val="center"/>
              <w:rPr>
                <w:b/>
                <w:sz w:val="24"/>
                <w:szCs w:val="21"/>
              </w:rPr>
            </w:pPr>
            <w:r>
              <w:rPr>
                <w:b/>
                <w:sz w:val="24"/>
                <w:szCs w:val="21"/>
              </w:rPr>
              <w:t>表1-</w:t>
            </w:r>
            <w:r>
              <w:rPr>
                <w:rFonts w:hint="eastAsia"/>
                <w:b/>
                <w:sz w:val="24"/>
                <w:szCs w:val="21"/>
              </w:rPr>
              <w:t xml:space="preserve">6 </w:t>
            </w:r>
            <w:r>
              <w:rPr>
                <w:b/>
                <w:sz w:val="24"/>
                <w:szCs w:val="21"/>
              </w:rPr>
              <w:t>与环办环评函〔2019〕910号符合性分析</w:t>
            </w:r>
          </w:p>
          <w:tbl>
            <w:tblPr>
              <w:tblStyle w:val="30"/>
              <w:tblW w:w="0" w:type="auto"/>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962"/>
              <w:gridCol w:w="2673"/>
              <w:gridCol w:w="2919"/>
              <w:gridCol w:w="477"/>
            </w:tblGrid>
            <w:tr w14:paraId="4D9474D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09" w:hRule="atLeast"/>
                <w:jc w:val="center"/>
              </w:trPr>
              <w:tc>
                <w:tcPr>
                  <w:tcW w:w="962" w:type="dxa"/>
                  <w:vAlign w:val="center"/>
                </w:tcPr>
                <w:p w14:paraId="5B29EC4D">
                  <w:pPr>
                    <w:widowControl/>
                    <w:snapToGrid w:val="0"/>
                    <w:jc w:val="center"/>
                    <w:rPr>
                      <w:kern w:val="0"/>
                      <w:szCs w:val="21"/>
                    </w:rPr>
                  </w:pPr>
                  <w:r>
                    <w:rPr>
                      <w:kern w:val="0"/>
                      <w:szCs w:val="21"/>
                    </w:rPr>
                    <w:t>内容</w:t>
                  </w:r>
                </w:p>
              </w:tc>
              <w:tc>
                <w:tcPr>
                  <w:tcW w:w="2673" w:type="dxa"/>
                  <w:vAlign w:val="center"/>
                </w:tcPr>
                <w:p w14:paraId="648752A4">
                  <w:pPr>
                    <w:widowControl/>
                    <w:snapToGrid w:val="0"/>
                    <w:jc w:val="center"/>
                    <w:rPr>
                      <w:kern w:val="0"/>
                      <w:szCs w:val="21"/>
                    </w:rPr>
                  </w:pPr>
                  <w:r>
                    <w:rPr>
                      <w:rFonts w:hint="eastAsia"/>
                      <w:kern w:val="0"/>
                      <w:szCs w:val="21"/>
                    </w:rPr>
                    <w:t>通知</w:t>
                  </w:r>
                  <w:r>
                    <w:rPr>
                      <w:kern w:val="0"/>
                      <w:szCs w:val="21"/>
                    </w:rPr>
                    <w:t>要求</w:t>
                  </w:r>
                </w:p>
              </w:tc>
              <w:tc>
                <w:tcPr>
                  <w:tcW w:w="2919" w:type="dxa"/>
                  <w:vAlign w:val="center"/>
                </w:tcPr>
                <w:p w14:paraId="1D5B2583">
                  <w:pPr>
                    <w:jc w:val="center"/>
                    <w:rPr>
                      <w:kern w:val="0"/>
                      <w:szCs w:val="21"/>
                    </w:rPr>
                  </w:pPr>
                  <w:r>
                    <w:rPr>
                      <w:kern w:val="0"/>
                      <w:szCs w:val="21"/>
                    </w:rPr>
                    <w:t>项目情况</w:t>
                  </w:r>
                </w:p>
              </w:tc>
              <w:tc>
                <w:tcPr>
                  <w:tcW w:w="477" w:type="dxa"/>
                  <w:tcMar>
                    <w:left w:w="0" w:type="dxa"/>
                    <w:right w:w="0" w:type="dxa"/>
                  </w:tcMar>
                  <w:vAlign w:val="center"/>
                </w:tcPr>
                <w:p w14:paraId="6FA46FCB">
                  <w:pPr>
                    <w:jc w:val="center"/>
                    <w:rPr>
                      <w:kern w:val="0"/>
                      <w:szCs w:val="21"/>
                    </w:rPr>
                  </w:pPr>
                  <w:r>
                    <w:rPr>
                      <w:kern w:val="0"/>
                      <w:szCs w:val="21"/>
                    </w:rPr>
                    <w:t>符合性</w:t>
                  </w:r>
                </w:p>
              </w:tc>
            </w:tr>
            <w:tr w14:paraId="653D57D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350" w:hRule="atLeast"/>
                <w:jc w:val="center"/>
              </w:trPr>
              <w:tc>
                <w:tcPr>
                  <w:tcW w:w="962" w:type="dxa"/>
                  <w:vAlign w:val="center"/>
                </w:tcPr>
                <w:p w14:paraId="112DCFCA">
                  <w:pPr>
                    <w:widowControl/>
                    <w:snapToGrid w:val="0"/>
                    <w:jc w:val="center"/>
                    <w:rPr>
                      <w:kern w:val="0"/>
                      <w:szCs w:val="21"/>
                    </w:rPr>
                  </w:pPr>
                  <w:r>
                    <w:rPr>
                      <w:kern w:val="0"/>
                      <w:szCs w:val="21"/>
                    </w:rPr>
                    <w:t>二、深化项目环评</w:t>
                  </w:r>
                  <w:r>
                    <w:rPr>
                      <w:rFonts w:hint="eastAsia"/>
                      <w:kern w:val="0"/>
                      <w:szCs w:val="21"/>
                    </w:rPr>
                    <w:t>“</w:t>
                  </w:r>
                  <w:r>
                    <w:rPr>
                      <w:kern w:val="0"/>
                      <w:szCs w:val="21"/>
                    </w:rPr>
                    <w:t>放管服</w:t>
                  </w:r>
                  <w:r>
                    <w:rPr>
                      <w:rFonts w:hint="eastAsia"/>
                      <w:kern w:val="0"/>
                      <w:szCs w:val="21"/>
                    </w:rPr>
                    <w:t>”</w:t>
                  </w:r>
                  <w:r>
                    <w:rPr>
                      <w:kern w:val="0"/>
                      <w:szCs w:val="21"/>
                    </w:rPr>
                    <w:t>改革</w:t>
                  </w:r>
                </w:p>
              </w:tc>
              <w:tc>
                <w:tcPr>
                  <w:tcW w:w="2673" w:type="dxa"/>
                  <w:vAlign w:val="center"/>
                </w:tcPr>
                <w:p w14:paraId="7732EAE8">
                  <w:pPr>
                    <w:widowControl/>
                    <w:snapToGrid w:val="0"/>
                    <w:rPr>
                      <w:kern w:val="0"/>
                      <w:szCs w:val="21"/>
                    </w:rPr>
                  </w:pPr>
                  <w:r>
                    <w:rPr>
                      <w:kern w:val="0"/>
                      <w:szCs w:val="21"/>
                    </w:rPr>
                    <w:t>未确定产能建设规模的陆地油气开采新区块，建设勘探井应当依法编制环境影响报告表。</w:t>
                  </w:r>
                  <w:r>
                    <w:rPr>
                      <w:rFonts w:hint="eastAsia"/>
                      <w:kern w:val="0"/>
                      <w:szCs w:val="21"/>
                    </w:rPr>
                    <w:t>确定产能建设规模后，原则上不得以勘探名义继续开展单井环评。</w:t>
                  </w:r>
                </w:p>
              </w:tc>
              <w:tc>
                <w:tcPr>
                  <w:tcW w:w="2919" w:type="dxa"/>
                  <w:vAlign w:val="center"/>
                </w:tcPr>
                <w:p w14:paraId="50C65C1B">
                  <w:pPr>
                    <w:widowControl/>
                    <w:snapToGrid w:val="0"/>
                    <w:ind w:firstLine="420" w:firstLineChars="200"/>
                    <w:rPr>
                      <w:kern w:val="0"/>
                      <w:szCs w:val="21"/>
                    </w:rPr>
                  </w:pPr>
                  <w:r>
                    <w:rPr>
                      <w:kern w:val="0"/>
                      <w:szCs w:val="21"/>
                    </w:rPr>
                    <w:t>项目位于</w:t>
                  </w:r>
                  <w:r>
                    <w:rPr>
                      <w:rFonts w:hint="eastAsia"/>
                      <w:kern w:val="0"/>
                      <w:szCs w:val="21"/>
                    </w:rPr>
                    <w:t>内蒙古河套盆地吉锦油气勘查探矿权范围内，目前属于</w:t>
                  </w:r>
                  <w:r>
                    <w:rPr>
                      <w:kern w:val="0"/>
                      <w:szCs w:val="21"/>
                    </w:rPr>
                    <w:t>未确定产能建设规模的陆地油气开采新区块，不在采矿权的开发范围内。</w:t>
                  </w:r>
                </w:p>
                <w:p w14:paraId="37A9CEA5">
                  <w:pPr>
                    <w:widowControl/>
                    <w:snapToGrid w:val="0"/>
                    <w:ind w:firstLine="420" w:firstLineChars="200"/>
                    <w:rPr>
                      <w:kern w:val="0"/>
                      <w:szCs w:val="21"/>
                    </w:rPr>
                  </w:pPr>
                  <w:r>
                    <w:rPr>
                      <w:rFonts w:hint="eastAsia"/>
                      <w:kern w:val="0"/>
                      <w:szCs w:val="21"/>
                    </w:rPr>
                    <w:t>根据《建设项目环境影响评价分类管理目录》（2021年版），项目属于“四十六 专业技术服务业 99陆地矿产资源地质勘查（含油气资源勘探）”全部，编制了环境影响评价报告表</w:t>
                  </w:r>
                  <w:r>
                    <w:rPr>
                      <w:kern w:val="0"/>
                      <w:szCs w:val="21"/>
                    </w:rPr>
                    <w:t>。</w:t>
                  </w:r>
                </w:p>
              </w:tc>
              <w:tc>
                <w:tcPr>
                  <w:tcW w:w="477" w:type="dxa"/>
                  <w:tcMar>
                    <w:left w:w="0" w:type="dxa"/>
                    <w:right w:w="0" w:type="dxa"/>
                  </w:tcMar>
                  <w:vAlign w:val="center"/>
                </w:tcPr>
                <w:p w14:paraId="06E7BE95">
                  <w:pPr>
                    <w:widowControl/>
                    <w:snapToGrid w:val="0"/>
                    <w:jc w:val="center"/>
                    <w:rPr>
                      <w:kern w:val="0"/>
                      <w:szCs w:val="21"/>
                    </w:rPr>
                  </w:pPr>
                  <w:r>
                    <w:rPr>
                      <w:kern w:val="0"/>
                      <w:szCs w:val="21"/>
                    </w:rPr>
                    <w:t>符合</w:t>
                  </w:r>
                </w:p>
              </w:tc>
            </w:tr>
            <w:tr w14:paraId="59E3041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72" w:hRule="atLeast"/>
                <w:jc w:val="center"/>
              </w:trPr>
              <w:tc>
                <w:tcPr>
                  <w:tcW w:w="962" w:type="dxa"/>
                  <w:vMerge w:val="restart"/>
                  <w:vAlign w:val="center"/>
                </w:tcPr>
                <w:p w14:paraId="3041858B">
                  <w:pPr>
                    <w:widowControl/>
                    <w:snapToGrid w:val="0"/>
                    <w:jc w:val="center"/>
                    <w:rPr>
                      <w:kern w:val="0"/>
                      <w:szCs w:val="21"/>
                    </w:rPr>
                  </w:pPr>
                  <w:r>
                    <w:rPr>
                      <w:kern w:val="0"/>
                      <w:szCs w:val="21"/>
                    </w:rPr>
                    <w:t>三、强化生态环境保护措施</w:t>
                  </w:r>
                </w:p>
              </w:tc>
              <w:tc>
                <w:tcPr>
                  <w:tcW w:w="2673" w:type="dxa"/>
                  <w:vAlign w:val="center"/>
                </w:tcPr>
                <w:p w14:paraId="3906CD3B">
                  <w:pPr>
                    <w:widowControl/>
                    <w:snapToGrid w:val="0"/>
                    <w:rPr>
                      <w:sz w:val="24"/>
                    </w:rPr>
                  </w:pPr>
                  <w:r>
                    <w:rPr>
                      <w:szCs w:val="21"/>
                    </w:rPr>
                    <w:t>施工期应当尽量减少施工占地、缩短施工时间、选择合理施工方式、落实环境敏感区管控要求以及其他生态环境保护措施，降低生态环境影响。钻井和压裂设备应当优先使用网电、高标准清洁燃油，减少废气排放。选用低噪声设备，避免噪声扰民。施工结束后，</w:t>
                  </w:r>
                  <w:r>
                    <w:rPr>
                      <w:kern w:val="0"/>
                      <w:szCs w:val="21"/>
                    </w:rPr>
                    <w:t>应当及时落实环评提出的生态保护措施</w:t>
                  </w:r>
                  <w:r>
                    <w:rPr>
                      <w:szCs w:val="21"/>
                    </w:rPr>
                    <w:t>。</w:t>
                  </w:r>
                </w:p>
              </w:tc>
              <w:tc>
                <w:tcPr>
                  <w:tcW w:w="2919" w:type="dxa"/>
                  <w:vAlign w:val="center"/>
                </w:tcPr>
                <w:p w14:paraId="05021B91">
                  <w:pPr>
                    <w:widowControl/>
                    <w:snapToGrid w:val="0"/>
                    <w:ind w:firstLine="420" w:firstLineChars="200"/>
                    <w:rPr>
                      <w:kern w:val="0"/>
                      <w:szCs w:val="21"/>
                    </w:rPr>
                  </w:pPr>
                  <w:r>
                    <w:rPr>
                      <w:rFonts w:hint="eastAsia"/>
                      <w:kern w:val="0"/>
                      <w:szCs w:val="21"/>
                    </w:rPr>
                    <w:t>施工期设备合理紧凑布置，减少占地面积；采取24小时连续作业方式缩短施工时间；施工过程中采用泥浆不落地循环系统装置，钻井泥浆循环使用，固废合理处置；柴油发电机组使用高标准清洁燃油，减少废气排放。</w:t>
                  </w:r>
                </w:p>
                <w:p w14:paraId="7F12CF8C">
                  <w:pPr>
                    <w:widowControl/>
                    <w:snapToGrid w:val="0"/>
                    <w:ind w:firstLine="420" w:firstLineChars="200"/>
                    <w:rPr>
                      <w:kern w:val="0"/>
                      <w:szCs w:val="21"/>
                    </w:rPr>
                  </w:pPr>
                  <w:r>
                    <w:rPr>
                      <w:rFonts w:hint="eastAsia"/>
                      <w:kern w:val="0"/>
                      <w:szCs w:val="21"/>
                    </w:rPr>
                    <w:t>设备均选用低噪设备，将噪声值较高的设备布置在离居民点较远的位置，设置减振基础，并加强日常维修保养，避免噪声扰民。</w:t>
                  </w:r>
                </w:p>
                <w:p w14:paraId="63E65528">
                  <w:pPr>
                    <w:widowControl/>
                    <w:snapToGrid w:val="0"/>
                    <w:ind w:firstLine="420" w:firstLineChars="200"/>
                    <w:rPr>
                      <w:sz w:val="24"/>
                    </w:rPr>
                  </w:pPr>
                  <w:r>
                    <w:rPr>
                      <w:rFonts w:hint="eastAsia"/>
                      <w:kern w:val="0"/>
                      <w:szCs w:val="21"/>
                    </w:rPr>
                    <w:t>项目施工结束后对临时用地进行平整、播撒草籽等，增加绿化植被的密度，进一步减少表土裸露面积</w:t>
                  </w:r>
                  <w:r>
                    <w:rPr>
                      <w:kern w:val="0"/>
                      <w:szCs w:val="21"/>
                    </w:rPr>
                    <w:t>。</w:t>
                  </w:r>
                </w:p>
              </w:tc>
              <w:tc>
                <w:tcPr>
                  <w:tcW w:w="477" w:type="dxa"/>
                  <w:tcMar>
                    <w:left w:w="0" w:type="dxa"/>
                    <w:right w:w="0" w:type="dxa"/>
                  </w:tcMar>
                  <w:vAlign w:val="center"/>
                </w:tcPr>
                <w:p w14:paraId="4D53E76D">
                  <w:pPr>
                    <w:widowControl/>
                    <w:snapToGrid w:val="0"/>
                    <w:jc w:val="center"/>
                    <w:rPr>
                      <w:kern w:val="0"/>
                      <w:szCs w:val="21"/>
                    </w:rPr>
                  </w:pPr>
                  <w:r>
                    <w:rPr>
                      <w:kern w:val="0"/>
                      <w:szCs w:val="21"/>
                    </w:rPr>
                    <w:t>符合</w:t>
                  </w:r>
                </w:p>
              </w:tc>
            </w:tr>
            <w:tr w14:paraId="03DAF0B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72" w:hRule="atLeast"/>
                <w:jc w:val="center"/>
              </w:trPr>
              <w:tc>
                <w:tcPr>
                  <w:tcW w:w="962" w:type="dxa"/>
                  <w:vMerge w:val="continue"/>
                  <w:vAlign w:val="center"/>
                </w:tcPr>
                <w:p w14:paraId="794D8E8C">
                  <w:pPr>
                    <w:widowControl/>
                    <w:snapToGrid w:val="0"/>
                    <w:jc w:val="center"/>
                    <w:rPr>
                      <w:kern w:val="0"/>
                      <w:szCs w:val="21"/>
                    </w:rPr>
                  </w:pPr>
                </w:p>
              </w:tc>
              <w:tc>
                <w:tcPr>
                  <w:tcW w:w="2673" w:type="dxa"/>
                  <w:vAlign w:val="center"/>
                </w:tcPr>
                <w:p w14:paraId="5AA099EE">
                  <w:pPr>
                    <w:widowControl/>
                    <w:snapToGrid w:val="0"/>
                    <w:rPr>
                      <w:szCs w:val="21"/>
                    </w:rPr>
                  </w:pPr>
                  <w:r>
                    <w:rPr>
                      <w:kern w:val="0"/>
                      <w:szCs w:val="21"/>
                    </w:rPr>
                    <w:t>油气开采产生的废弃油基泥浆、含油钻屑及其他固体废物，应当遵循减量化、资源化、无害化原则，按照国家和地方有关固体废物的管理规定进行处置。</w:t>
                  </w:r>
                </w:p>
              </w:tc>
              <w:tc>
                <w:tcPr>
                  <w:tcW w:w="2919" w:type="dxa"/>
                  <w:vAlign w:val="center"/>
                </w:tcPr>
                <w:p w14:paraId="1B44AC6D">
                  <w:pPr>
                    <w:widowControl/>
                    <w:snapToGrid w:val="0"/>
                    <w:ind w:firstLine="420" w:firstLineChars="200"/>
                    <w:rPr>
                      <w:kern w:val="0"/>
                      <w:szCs w:val="21"/>
                    </w:rPr>
                  </w:pPr>
                  <w:r>
                    <w:rPr>
                      <w:rFonts w:hint="eastAsia"/>
                      <w:kern w:val="0"/>
                      <w:szCs w:val="21"/>
                    </w:rPr>
                    <w:t>项目施工过程中使用无害化水基泥浆，无废弃油基泥浆。项目施工过程采用泥浆不落地循环系统装置，产生的废弃泥浆、钻井岩屑暂存废水罐，定期拉运至内蒙古众宁环保科技有限公司油气田废弃物集中处理厂处理。内蒙古众宁环保科技有限公司油气田废弃物集中处理厂处理后产生的压滤废水拉运至有资质单位处理；固相废弃泥浆、钻井岩屑（泥饼）拉运至有资质填埋场填埋</w:t>
                  </w:r>
                  <w:r>
                    <w:rPr>
                      <w:bCs/>
                      <w:kern w:val="0"/>
                      <w:szCs w:val="21"/>
                    </w:rPr>
                    <w:t>。</w:t>
                  </w:r>
                </w:p>
              </w:tc>
              <w:tc>
                <w:tcPr>
                  <w:tcW w:w="477" w:type="dxa"/>
                  <w:tcMar>
                    <w:left w:w="0" w:type="dxa"/>
                    <w:right w:w="0" w:type="dxa"/>
                  </w:tcMar>
                  <w:vAlign w:val="center"/>
                </w:tcPr>
                <w:p w14:paraId="23C1E871">
                  <w:pPr>
                    <w:widowControl/>
                    <w:snapToGrid w:val="0"/>
                    <w:jc w:val="center"/>
                    <w:rPr>
                      <w:kern w:val="0"/>
                      <w:szCs w:val="21"/>
                    </w:rPr>
                  </w:pPr>
                  <w:r>
                    <w:rPr>
                      <w:kern w:val="0"/>
                      <w:szCs w:val="21"/>
                    </w:rPr>
                    <w:t>符合</w:t>
                  </w:r>
                </w:p>
              </w:tc>
            </w:tr>
            <w:tr w14:paraId="7E539DB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72" w:hRule="atLeast"/>
                <w:jc w:val="center"/>
              </w:trPr>
              <w:tc>
                <w:tcPr>
                  <w:tcW w:w="962" w:type="dxa"/>
                  <w:vAlign w:val="center"/>
                </w:tcPr>
                <w:p w14:paraId="5DD0DA1C">
                  <w:pPr>
                    <w:widowControl/>
                    <w:snapToGrid w:val="0"/>
                    <w:rPr>
                      <w:kern w:val="0"/>
                      <w:szCs w:val="21"/>
                    </w:rPr>
                  </w:pPr>
                  <w:r>
                    <w:rPr>
                      <w:kern w:val="0"/>
                      <w:szCs w:val="21"/>
                    </w:rPr>
                    <w:t>四、加强事中事后监管</w:t>
                  </w:r>
                </w:p>
              </w:tc>
              <w:tc>
                <w:tcPr>
                  <w:tcW w:w="2673" w:type="dxa"/>
                  <w:tcMar>
                    <w:left w:w="0" w:type="dxa"/>
                    <w:right w:w="0" w:type="dxa"/>
                  </w:tcMar>
                  <w:vAlign w:val="center"/>
                </w:tcPr>
                <w:p w14:paraId="778CAE20">
                  <w:pPr>
                    <w:snapToGrid w:val="0"/>
                    <w:rPr>
                      <w:kern w:val="0"/>
                      <w:szCs w:val="21"/>
                    </w:rPr>
                  </w:pPr>
                  <w:r>
                    <w:rPr>
                      <w:kern w:val="0"/>
                      <w:szCs w:val="21"/>
                    </w:rPr>
                    <w:t>工程设施退役，建设单位或生产经营单位应当按照相关要求，采取有效生态环境保护措施。同时，按照《中华人民共和国土壤污染防治法》《土壤环境质量建设用地土壤污染风险管控标准（试行）》（GB36600</w:t>
                  </w:r>
                  <w:r>
                    <w:rPr>
                      <w:rFonts w:hint="eastAsia"/>
                      <w:kern w:val="0"/>
                      <w:szCs w:val="21"/>
                    </w:rPr>
                    <w:t>-2018</w:t>
                  </w:r>
                  <w:r>
                    <w:rPr>
                      <w:kern w:val="0"/>
                      <w:szCs w:val="21"/>
                    </w:rPr>
                    <w:t>）的要求，对永久停用、拆除或弃置的各类井、管道等工程设施</w:t>
                  </w:r>
                  <w:r>
                    <w:rPr>
                      <w:rFonts w:hint="eastAsia"/>
                      <w:kern w:val="0"/>
                      <w:szCs w:val="21"/>
                    </w:rPr>
                    <w:t>落</w:t>
                  </w:r>
                  <w:r>
                    <w:rPr>
                      <w:kern w:val="0"/>
                      <w:szCs w:val="21"/>
                    </w:rPr>
                    <w:t>实封堵、土壤及地下水修复、</w:t>
                  </w:r>
                  <w:r>
                    <w:rPr>
                      <w:rFonts w:hint="eastAsia"/>
                      <w:kern w:val="0"/>
                      <w:szCs w:val="21"/>
                    </w:rPr>
                    <w:t>生</w:t>
                  </w:r>
                  <w:r>
                    <w:rPr>
                      <w:kern w:val="0"/>
                      <w:szCs w:val="21"/>
                    </w:rPr>
                    <w:t>态修复等措施。</w:t>
                  </w:r>
                </w:p>
              </w:tc>
              <w:tc>
                <w:tcPr>
                  <w:tcW w:w="2919" w:type="dxa"/>
                  <w:vAlign w:val="center"/>
                </w:tcPr>
                <w:p w14:paraId="4EDB747F">
                  <w:pPr>
                    <w:widowControl/>
                    <w:snapToGrid w:val="0"/>
                    <w:ind w:firstLine="420" w:firstLineChars="200"/>
                    <w:rPr>
                      <w:kern w:val="0"/>
                      <w:szCs w:val="21"/>
                    </w:rPr>
                  </w:pPr>
                  <w:r>
                    <w:rPr>
                      <w:kern w:val="0"/>
                      <w:szCs w:val="21"/>
                    </w:rPr>
                    <w:t>项目</w:t>
                  </w:r>
                  <w:r>
                    <w:rPr>
                      <w:rFonts w:hint="eastAsia"/>
                      <w:kern w:val="0"/>
                      <w:szCs w:val="21"/>
                    </w:rPr>
                    <w:t>勘探</w:t>
                  </w:r>
                  <w:r>
                    <w:rPr>
                      <w:kern w:val="0"/>
                      <w:szCs w:val="21"/>
                    </w:rPr>
                    <w:t>结束后，</w:t>
                  </w:r>
                  <w:r>
                    <w:rPr>
                      <w:rFonts w:hint="eastAsia"/>
                      <w:kern w:val="0"/>
                      <w:szCs w:val="21"/>
                    </w:rPr>
                    <w:t>若探井无利用价值则按相关技术规范进行永久封井处理，随后</w:t>
                  </w:r>
                  <w:r>
                    <w:rPr>
                      <w:kern w:val="0"/>
                      <w:szCs w:val="21"/>
                    </w:rPr>
                    <w:t>进行地表清理，</w:t>
                  </w:r>
                  <w:r>
                    <w:rPr>
                      <w:rFonts w:hint="eastAsia"/>
                      <w:kern w:val="0"/>
                      <w:szCs w:val="21"/>
                    </w:rPr>
                    <w:t>表土回覆、平整、播撒草籽等，增加植被的密度，减少表土裸露面积，使项目占地范围内的植被恢复到原有水平</w:t>
                  </w:r>
                  <w:r>
                    <w:rPr>
                      <w:kern w:val="0"/>
                      <w:szCs w:val="21"/>
                    </w:rPr>
                    <w:t>。</w:t>
                  </w:r>
                </w:p>
              </w:tc>
              <w:tc>
                <w:tcPr>
                  <w:tcW w:w="477" w:type="dxa"/>
                  <w:tcMar>
                    <w:left w:w="0" w:type="dxa"/>
                    <w:right w:w="0" w:type="dxa"/>
                  </w:tcMar>
                  <w:vAlign w:val="center"/>
                </w:tcPr>
                <w:p w14:paraId="38643418">
                  <w:pPr>
                    <w:widowControl/>
                    <w:snapToGrid w:val="0"/>
                    <w:jc w:val="center"/>
                    <w:rPr>
                      <w:kern w:val="0"/>
                      <w:szCs w:val="21"/>
                    </w:rPr>
                  </w:pPr>
                  <w:r>
                    <w:rPr>
                      <w:kern w:val="0"/>
                      <w:szCs w:val="21"/>
                    </w:rPr>
                    <w:t>符合</w:t>
                  </w:r>
                </w:p>
              </w:tc>
            </w:tr>
          </w:tbl>
          <w:p w14:paraId="387BD4DE">
            <w:pPr>
              <w:adjustRightInd w:val="0"/>
              <w:snapToGrid w:val="0"/>
              <w:spacing w:line="360" w:lineRule="auto"/>
              <w:ind w:firstLine="482" w:firstLineChars="200"/>
              <w:rPr>
                <w:b/>
                <w:kern w:val="0"/>
                <w:sz w:val="24"/>
              </w:rPr>
            </w:pPr>
            <w:r>
              <w:rPr>
                <w:rFonts w:hint="eastAsia"/>
                <w:b/>
                <w:kern w:val="0"/>
                <w:sz w:val="24"/>
              </w:rPr>
              <w:t>5</w:t>
            </w:r>
            <w:r>
              <w:rPr>
                <w:b/>
                <w:kern w:val="0"/>
                <w:sz w:val="24"/>
              </w:rPr>
              <w:t>、</w:t>
            </w:r>
            <w:r>
              <w:rPr>
                <w:b/>
                <w:sz w:val="24"/>
              </w:rPr>
              <w:t>《石油天然气开采业污染防治技术政策》</w:t>
            </w:r>
          </w:p>
          <w:p w14:paraId="47BE5B1B">
            <w:pPr>
              <w:adjustRightInd w:val="0"/>
              <w:snapToGrid w:val="0"/>
              <w:spacing w:line="360" w:lineRule="auto"/>
              <w:ind w:firstLine="480" w:firstLineChars="200"/>
              <w:rPr>
                <w:sz w:val="24"/>
              </w:rPr>
            </w:pPr>
            <w:r>
              <w:rPr>
                <w:sz w:val="24"/>
              </w:rPr>
              <w:t>项目与《石油天然气开采业污染防治技术政策》</w:t>
            </w:r>
            <w:r>
              <w:rPr>
                <w:rFonts w:hint="eastAsia"/>
                <w:sz w:val="24"/>
              </w:rPr>
              <w:t>（公告2012年第18号）</w:t>
            </w:r>
            <w:r>
              <w:rPr>
                <w:sz w:val="24"/>
              </w:rPr>
              <w:t>符合性分析</w:t>
            </w:r>
            <w:r>
              <w:rPr>
                <w:rFonts w:hint="eastAsia"/>
                <w:sz w:val="24"/>
              </w:rPr>
              <w:t>如下。</w:t>
            </w:r>
          </w:p>
          <w:p w14:paraId="4A4BEBD8">
            <w:pPr>
              <w:jc w:val="center"/>
              <w:rPr>
                <w:b/>
                <w:sz w:val="24"/>
                <w:szCs w:val="21"/>
              </w:rPr>
            </w:pPr>
            <w:r>
              <w:rPr>
                <w:b/>
                <w:sz w:val="24"/>
                <w:szCs w:val="21"/>
              </w:rPr>
              <w:t>表1-</w:t>
            </w:r>
            <w:r>
              <w:rPr>
                <w:rFonts w:hint="eastAsia"/>
                <w:b/>
                <w:sz w:val="24"/>
                <w:szCs w:val="21"/>
              </w:rPr>
              <w:t>7 与《石油天然气开采业污染防治技术政策》</w:t>
            </w:r>
            <w:r>
              <w:rPr>
                <w:b/>
                <w:sz w:val="24"/>
                <w:szCs w:val="21"/>
              </w:rPr>
              <w:t>符合性分析</w:t>
            </w:r>
          </w:p>
          <w:tbl>
            <w:tblPr>
              <w:tblStyle w:val="30"/>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323"/>
              <w:gridCol w:w="3089"/>
              <w:gridCol w:w="619"/>
            </w:tblGrid>
            <w:tr w14:paraId="62B49F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23" w:type="dxa"/>
                  <w:tcMar>
                    <w:left w:w="28" w:type="dxa"/>
                    <w:right w:w="28" w:type="dxa"/>
                  </w:tcMar>
                  <w:vAlign w:val="center"/>
                </w:tcPr>
                <w:p w14:paraId="1C2EF8F8">
                  <w:pPr>
                    <w:jc w:val="center"/>
                    <w:rPr>
                      <w:bCs/>
                      <w:szCs w:val="21"/>
                    </w:rPr>
                  </w:pPr>
                  <w:r>
                    <w:rPr>
                      <w:rFonts w:hint="eastAsia"/>
                      <w:bCs/>
                      <w:szCs w:val="21"/>
                    </w:rPr>
                    <w:t>技术政策</w:t>
                  </w:r>
                  <w:r>
                    <w:rPr>
                      <w:bCs/>
                      <w:szCs w:val="21"/>
                    </w:rPr>
                    <w:t>要求</w:t>
                  </w:r>
                </w:p>
              </w:tc>
              <w:tc>
                <w:tcPr>
                  <w:tcW w:w="3089" w:type="dxa"/>
                  <w:tcMar>
                    <w:left w:w="28" w:type="dxa"/>
                    <w:right w:w="28" w:type="dxa"/>
                  </w:tcMar>
                  <w:vAlign w:val="center"/>
                </w:tcPr>
                <w:p w14:paraId="47D6FC84">
                  <w:pPr>
                    <w:jc w:val="center"/>
                    <w:rPr>
                      <w:bCs/>
                      <w:szCs w:val="21"/>
                    </w:rPr>
                  </w:pPr>
                  <w:r>
                    <w:rPr>
                      <w:bCs/>
                      <w:szCs w:val="21"/>
                    </w:rPr>
                    <w:t>项目情况</w:t>
                  </w:r>
                </w:p>
              </w:tc>
              <w:tc>
                <w:tcPr>
                  <w:tcW w:w="619" w:type="dxa"/>
                  <w:tcMar>
                    <w:left w:w="28" w:type="dxa"/>
                    <w:right w:w="28" w:type="dxa"/>
                  </w:tcMar>
                  <w:vAlign w:val="center"/>
                </w:tcPr>
                <w:p w14:paraId="326CACD5">
                  <w:pPr>
                    <w:jc w:val="center"/>
                    <w:rPr>
                      <w:bCs/>
                      <w:szCs w:val="21"/>
                    </w:rPr>
                  </w:pPr>
                  <w:r>
                    <w:rPr>
                      <w:bCs/>
                      <w:szCs w:val="21"/>
                    </w:rPr>
                    <w:t>符合性</w:t>
                  </w:r>
                </w:p>
              </w:tc>
            </w:tr>
            <w:tr w14:paraId="21ACAD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3323" w:type="dxa"/>
                  <w:tcMar>
                    <w:left w:w="28" w:type="dxa"/>
                    <w:right w:w="28" w:type="dxa"/>
                  </w:tcMar>
                  <w:vAlign w:val="center"/>
                </w:tcPr>
                <w:p w14:paraId="027F4395">
                  <w:pPr>
                    <w:jc w:val="left"/>
                    <w:rPr>
                      <w:bCs/>
                      <w:szCs w:val="21"/>
                    </w:rPr>
                  </w:pPr>
                  <w:r>
                    <w:rPr>
                      <w:bCs/>
                      <w:szCs w:val="21"/>
                    </w:rPr>
                    <w:t>一、总则（三）</w:t>
                  </w:r>
                </w:p>
                <w:p w14:paraId="0025D567">
                  <w:pPr>
                    <w:jc w:val="left"/>
                    <w:rPr>
                      <w:bCs/>
                      <w:szCs w:val="21"/>
                    </w:rPr>
                  </w:pPr>
                  <w:r>
                    <w:rPr>
                      <w:bCs/>
                      <w:szCs w:val="21"/>
                    </w:rPr>
                    <w:t>到2015年末，行业新、改、扩建项</w:t>
                  </w:r>
                  <w:r>
                    <w:rPr>
                      <w:rFonts w:hint="eastAsia"/>
                      <w:bCs/>
                      <w:szCs w:val="21"/>
                    </w:rPr>
                    <w:t>目</w:t>
                  </w:r>
                  <w:r>
                    <w:rPr>
                      <w:bCs/>
                      <w:szCs w:val="21"/>
                    </w:rPr>
                    <w:t>均</w:t>
                  </w:r>
                  <w:r>
                    <w:rPr>
                      <w:rFonts w:hint="eastAsia"/>
                      <w:bCs/>
                      <w:szCs w:val="21"/>
                    </w:rPr>
                    <w:t>使</w:t>
                  </w:r>
                  <w:r>
                    <w:rPr>
                      <w:bCs/>
                      <w:szCs w:val="21"/>
                    </w:rPr>
                    <w:t>用清洁生产工艺和技术，工业废水回用率达到90%以上，工业固体废物资源</w:t>
                  </w:r>
                  <w:r>
                    <w:rPr>
                      <w:rFonts w:hint="eastAsia"/>
                      <w:bCs/>
                      <w:szCs w:val="21"/>
                    </w:rPr>
                    <w:t>化</w:t>
                  </w:r>
                  <w:r>
                    <w:rPr>
                      <w:bCs/>
                      <w:szCs w:val="21"/>
                    </w:rPr>
                    <w:t>及无害化处理处置率达到100%。要遏制重大、杜绝特别重大环境污染和生态破坏事故的发生。</w:t>
                  </w:r>
                </w:p>
              </w:tc>
              <w:tc>
                <w:tcPr>
                  <w:tcW w:w="3089" w:type="dxa"/>
                  <w:tcMar>
                    <w:left w:w="28" w:type="dxa"/>
                    <w:right w:w="28" w:type="dxa"/>
                  </w:tcMar>
                  <w:vAlign w:val="center"/>
                </w:tcPr>
                <w:p w14:paraId="4E8AA550">
                  <w:pPr>
                    <w:ind w:firstLine="420" w:firstLineChars="200"/>
                    <w:rPr>
                      <w:bCs/>
                      <w:szCs w:val="21"/>
                    </w:rPr>
                  </w:pPr>
                  <w:r>
                    <w:rPr>
                      <w:rFonts w:hint="eastAsia"/>
                      <w:bCs/>
                      <w:szCs w:val="21"/>
                    </w:rPr>
                    <w:t>项目使用了清洁生产工艺及技术，采用泥浆不落地循环系统装置，利用防渗钻井泥浆循环罐代替泥浆池，属于目前国内先进技术，有效减少了工程开挖带来的环境风险。钻井过程中采用水基钻井泥浆，钻井泥浆循环使用，废弃泥浆、钻井岩屑拉运至内蒙古众宁环保科技有限公司油气田废弃物集中处理厂处理，经压滤后产生的废水拉运至有资质单位处理，固相废弃泥浆、钻井岩屑（泥饼）拉运至有资质填埋场填埋。固体废物合理化处置。非正常工况下的落地油100%进行回收，交有资质单位拉运处置</w:t>
                  </w:r>
                  <w:r>
                    <w:rPr>
                      <w:bCs/>
                      <w:szCs w:val="21"/>
                    </w:rPr>
                    <w:t>。</w:t>
                  </w:r>
                </w:p>
              </w:tc>
              <w:tc>
                <w:tcPr>
                  <w:tcW w:w="619" w:type="dxa"/>
                  <w:tcMar>
                    <w:left w:w="28" w:type="dxa"/>
                    <w:right w:w="28" w:type="dxa"/>
                  </w:tcMar>
                  <w:vAlign w:val="center"/>
                </w:tcPr>
                <w:p w14:paraId="28C115E9">
                  <w:pPr>
                    <w:jc w:val="center"/>
                    <w:rPr>
                      <w:bCs/>
                      <w:szCs w:val="21"/>
                    </w:rPr>
                  </w:pPr>
                  <w:r>
                    <w:rPr>
                      <w:bCs/>
                      <w:szCs w:val="21"/>
                    </w:rPr>
                    <w:t>符合</w:t>
                  </w:r>
                </w:p>
              </w:tc>
            </w:tr>
            <w:tr w14:paraId="4AFA30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3323" w:type="dxa"/>
                  <w:tcMar>
                    <w:left w:w="28" w:type="dxa"/>
                    <w:right w:w="28" w:type="dxa"/>
                  </w:tcMar>
                  <w:vAlign w:val="center"/>
                </w:tcPr>
                <w:p w14:paraId="720AA74B">
                  <w:pPr>
                    <w:jc w:val="left"/>
                    <w:rPr>
                      <w:bCs/>
                      <w:szCs w:val="21"/>
                    </w:rPr>
                  </w:pPr>
                  <w:r>
                    <w:rPr>
                      <w:bCs/>
                      <w:szCs w:val="21"/>
                    </w:rPr>
                    <w:t>一、总则（五）</w:t>
                  </w:r>
                </w:p>
                <w:p w14:paraId="4330B2E2">
                  <w:pPr>
                    <w:jc w:val="left"/>
                    <w:rPr>
                      <w:bCs/>
                      <w:szCs w:val="21"/>
                    </w:rPr>
                  </w:pPr>
                  <w:r>
                    <w:rPr>
                      <w:bCs/>
                      <w:szCs w:val="21"/>
                    </w:rPr>
                    <w:t>在环境敏感区进行石油天然气勘探、开采的，要在开发前对生态、环境影响进行充分论证，并严格执行环</w:t>
                  </w:r>
                  <w:r>
                    <w:rPr>
                      <w:rFonts w:hint="eastAsia"/>
                      <w:bCs/>
                      <w:szCs w:val="21"/>
                    </w:rPr>
                    <w:t>境</w:t>
                  </w:r>
                  <w:r>
                    <w:rPr>
                      <w:bCs/>
                      <w:szCs w:val="21"/>
                    </w:rPr>
                    <w:t>影响评价文件的要求，积极采取缓解生态、环境破坏的措施</w:t>
                  </w:r>
                  <w:r>
                    <w:rPr>
                      <w:rFonts w:hint="eastAsia"/>
                      <w:bCs/>
                      <w:szCs w:val="21"/>
                    </w:rPr>
                    <w:t>。</w:t>
                  </w:r>
                </w:p>
              </w:tc>
              <w:tc>
                <w:tcPr>
                  <w:tcW w:w="3089" w:type="dxa"/>
                  <w:tcMar>
                    <w:left w:w="28" w:type="dxa"/>
                    <w:right w:w="28" w:type="dxa"/>
                  </w:tcMar>
                  <w:vAlign w:val="center"/>
                </w:tcPr>
                <w:p w14:paraId="2922164D">
                  <w:pPr>
                    <w:ind w:firstLine="420" w:firstLineChars="200"/>
                    <w:jc w:val="left"/>
                    <w:rPr>
                      <w:bCs/>
                      <w:szCs w:val="21"/>
                    </w:rPr>
                  </w:pPr>
                  <w:r>
                    <w:rPr>
                      <w:rFonts w:hint="eastAsia"/>
                      <w:bCs/>
                      <w:szCs w:val="21"/>
                    </w:rPr>
                    <w:t>项目施工前对表层土进行收集暂存，施工结束后对用地范围内进行平整、播撒草籽等，增加绿化植被的密度，减少表土裸露面积，确保植被恢复到原有状态</w:t>
                  </w:r>
                  <w:r>
                    <w:rPr>
                      <w:bCs/>
                      <w:szCs w:val="21"/>
                    </w:rPr>
                    <w:t>。</w:t>
                  </w:r>
                </w:p>
              </w:tc>
              <w:tc>
                <w:tcPr>
                  <w:tcW w:w="619" w:type="dxa"/>
                  <w:tcMar>
                    <w:left w:w="28" w:type="dxa"/>
                    <w:right w:w="28" w:type="dxa"/>
                  </w:tcMar>
                  <w:vAlign w:val="center"/>
                </w:tcPr>
                <w:p w14:paraId="16FFFF2B">
                  <w:pPr>
                    <w:jc w:val="center"/>
                    <w:rPr>
                      <w:bCs/>
                      <w:szCs w:val="21"/>
                    </w:rPr>
                  </w:pPr>
                  <w:r>
                    <w:rPr>
                      <w:bCs/>
                      <w:szCs w:val="21"/>
                    </w:rPr>
                    <w:t>符合</w:t>
                  </w:r>
                </w:p>
              </w:tc>
            </w:tr>
            <w:tr w14:paraId="5AD17A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23" w:type="dxa"/>
                  <w:tcMar>
                    <w:left w:w="28" w:type="dxa"/>
                    <w:right w:w="28" w:type="dxa"/>
                  </w:tcMar>
                  <w:vAlign w:val="center"/>
                </w:tcPr>
                <w:p w14:paraId="517037BC">
                  <w:pPr>
                    <w:jc w:val="left"/>
                    <w:rPr>
                      <w:bCs/>
                      <w:szCs w:val="21"/>
                    </w:rPr>
                  </w:pPr>
                  <w:r>
                    <w:rPr>
                      <w:bCs/>
                      <w:szCs w:val="21"/>
                    </w:rPr>
                    <w:t>二、清洁生产（二）</w:t>
                  </w:r>
                </w:p>
                <w:p w14:paraId="54A96455">
                  <w:pPr>
                    <w:jc w:val="left"/>
                    <w:rPr>
                      <w:bCs/>
                      <w:szCs w:val="21"/>
                    </w:rPr>
                  </w:pPr>
                  <w:r>
                    <w:rPr>
                      <w:bCs/>
                      <w:szCs w:val="21"/>
                    </w:rPr>
                    <w:t>油气田开发不得使用含有国际公约禁用化学物质的油气田化学剂，逐步淘汰微毒及以上油气田化学剂，鼓励使用无毒油气田化学剂。</w:t>
                  </w:r>
                </w:p>
              </w:tc>
              <w:tc>
                <w:tcPr>
                  <w:tcW w:w="3089" w:type="dxa"/>
                  <w:tcMar>
                    <w:left w:w="28" w:type="dxa"/>
                    <w:right w:w="28" w:type="dxa"/>
                  </w:tcMar>
                  <w:vAlign w:val="center"/>
                </w:tcPr>
                <w:p w14:paraId="1F91201C">
                  <w:pPr>
                    <w:ind w:firstLine="420" w:firstLineChars="200"/>
                    <w:rPr>
                      <w:bCs/>
                      <w:szCs w:val="21"/>
                    </w:rPr>
                  </w:pPr>
                  <w:r>
                    <w:rPr>
                      <w:bCs/>
                      <w:szCs w:val="21"/>
                    </w:rPr>
                    <w:t>项目使用水</w:t>
                  </w:r>
                  <w:r>
                    <w:rPr>
                      <w:rFonts w:hint="eastAsia"/>
                      <w:bCs/>
                      <w:szCs w:val="21"/>
                    </w:rPr>
                    <w:t>基</w:t>
                  </w:r>
                  <w:r>
                    <w:rPr>
                      <w:bCs/>
                      <w:szCs w:val="21"/>
                    </w:rPr>
                    <w:t>泥浆，水基泥浆配置所需原辅材料不含国际公约禁用化学物质的油气田化学剂。</w:t>
                  </w:r>
                </w:p>
              </w:tc>
              <w:tc>
                <w:tcPr>
                  <w:tcW w:w="619" w:type="dxa"/>
                  <w:tcMar>
                    <w:left w:w="28" w:type="dxa"/>
                    <w:right w:w="28" w:type="dxa"/>
                  </w:tcMar>
                  <w:vAlign w:val="center"/>
                </w:tcPr>
                <w:p w14:paraId="47CD67FA">
                  <w:pPr>
                    <w:jc w:val="center"/>
                    <w:rPr>
                      <w:bCs/>
                      <w:szCs w:val="21"/>
                    </w:rPr>
                  </w:pPr>
                  <w:r>
                    <w:rPr>
                      <w:bCs/>
                      <w:szCs w:val="21"/>
                    </w:rPr>
                    <w:t>符合</w:t>
                  </w:r>
                </w:p>
              </w:tc>
            </w:tr>
            <w:tr w14:paraId="75EF5D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23" w:type="dxa"/>
                  <w:tcMar>
                    <w:left w:w="28" w:type="dxa"/>
                    <w:right w:w="28" w:type="dxa"/>
                  </w:tcMar>
                  <w:vAlign w:val="center"/>
                </w:tcPr>
                <w:p w14:paraId="0591F967">
                  <w:pPr>
                    <w:jc w:val="left"/>
                    <w:rPr>
                      <w:bCs/>
                      <w:szCs w:val="21"/>
                    </w:rPr>
                  </w:pPr>
                  <w:r>
                    <w:rPr>
                      <w:bCs/>
                      <w:szCs w:val="21"/>
                    </w:rPr>
                    <w:t>二、清洁生产（三）</w:t>
                  </w:r>
                </w:p>
                <w:p w14:paraId="139B5AAB">
                  <w:pPr>
                    <w:jc w:val="left"/>
                    <w:rPr>
                      <w:bCs/>
                      <w:szCs w:val="21"/>
                    </w:rPr>
                  </w:pPr>
                  <w:r>
                    <w:rPr>
                      <w:bCs/>
                      <w:szCs w:val="21"/>
                    </w:rPr>
                    <w:t>在勘探开发过程中，应防止产生落地原油。其中井下作业过程中</w:t>
                  </w:r>
                  <w:r>
                    <w:rPr>
                      <w:rFonts w:hint="eastAsia"/>
                      <w:bCs/>
                      <w:szCs w:val="21"/>
                    </w:rPr>
                    <w:t>配备</w:t>
                  </w:r>
                  <w:r>
                    <w:rPr>
                      <w:bCs/>
                      <w:szCs w:val="21"/>
                    </w:rPr>
                    <w:t>泄油器、刮油器等。落地原油应及时回收，落地原油回收率应达到100%。</w:t>
                  </w:r>
                </w:p>
              </w:tc>
              <w:tc>
                <w:tcPr>
                  <w:tcW w:w="3089" w:type="dxa"/>
                  <w:tcMar>
                    <w:left w:w="28" w:type="dxa"/>
                    <w:right w:w="28" w:type="dxa"/>
                  </w:tcMar>
                  <w:vAlign w:val="center"/>
                </w:tcPr>
                <w:p w14:paraId="4766B091">
                  <w:pPr>
                    <w:ind w:firstLine="420" w:firstLineChars="200"/>
                    <w:rPr>
                      <w:bCs/>
                      <w:szCs w:val="21"/>
                    </w:rPr>
                  </w:pPr>
                  <w:r>
                    <w:rPr>
                      <w:rFonts w:hint="eastAsia"/>
                      <w:bCs/>
                      <w:szCs w:val="21"/>
                    </w:rPr>
                    <w:t>现场铺设防渗膜，防止原油对土壤环境造成影响。非正常工况下产生的落地油，及时将落地油连同周边污染土壤铲除，落地油100%进行回收，交有资质单位拉运处置</w:t>
                  </w:r>
                  <w:r>
                    <w:rPr>
                      <w:bCs/>
                      <w:szCs w:val="21"/>
                    </w:rPr>
                    <w:t>。</w:t>
                  </w:r>
                </w:p>
              </w:tc>
              <w:tc>
                <w:tcPr>
                  <w:tcW w:w="619" w:type="dxa"/>
                  <w:tcMar>
                    <w:left w:w="28" w:type="dxa"/>
                    <w:right w:w="28" w:type="dxa"/>
                  </w:tcMar>
                  <w:vAlign w:val="center"/>
                </w:tcPr>
                <w:p w14:paraId="3F2764CC">
                  <w:pPr>
                    <w:jc w:val="center"/>
                    <w:rPr>
                      <w:bCs/>
                      <w:szCs w:val="21"/>
                    </w:rPr>
                  </w:pPr>
                  <w:r>
                    <w:rPr>
                      <w:bCs/>
                      <w:szCs w:val="21"/>
                    </w:rPr>
                    <w:t>符合</w:t>
                  </w:r>
                </w:p>
              </w:tc>
            </w:tr>
            <w:tr w14:paraId="624C4A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61" w:hRule="atLeast"/>
                <w:jc w:val="center"/>
              </w:trPr>
              <w:tc>
                <w:tcPr>
                  <w:tcW w:w="3323" w:type="dxa"/>
                  <w:tcMar>
                    <w:left w:w="28" w:type="dxa"/>
                    <w:right w:w="28" w:type="dxa"/>
                  </w:tcMar>
                  <w:vAlign w:val="center"/>
                </w:tcPr>
                <w:p w14:paraId="758021CA">
                  <w:pPr>
                    <w:jc w:val="left"/>
                    <w:rPr>
                      <w:bCs/>
                      <w:szCs w:val="21"/>
                    </w:rPr>
                  </w:pPr>
                  <w:r>
                    <w:rPr>
                      <w:bCs/>
                      <w:szCs w:val="21"/>
                    </w:rPr>
                    <w:t>二、清洁生产（五）</w:t>
                  </w:r>
                </w:p>
                <w:p w14:paraId="6B27444E">
                  <w:pPr>
                    <w:jc w:val="left"/>
                    <w:rPr>
                      <w:bCs/>
                      <w:szCs w:val="21"/>
                    </w:rPr>
                  </w:pPr>
                  <w:r>
                    <w:t>在钻井过程中，鼓励采用环境友好的钻井液体系；配备完善的固控设备，钻井液循环率达到95%以上；钻井过程产生的废水应回用。</w:t>
                  </w:r>
                </w:p>
              </w:tc>
              <w:tc>
                <w:tcPr>
                  <w:tcW w:w="3089" w:type="dxa"/>
                  <w:tcMar>
                    <w:left w:w="28" w:type="dxa"/>
                    <w:right w:w="28" w:type="dxa"/>
                  </w:tcMar>
                  <w:vAlign w:val="center"/>
                </w:tcPr>
                <w:p w14:paraId="2588ABBC">
                  <w:pPr>
                    <w:ind w:firstLine="420" w:firstLineChars="200"/>
                    <w:rPr>
                      <w:bCs/>
                      <w:szCs w:val="21"/>
                    </w:rPr>
                  </w:pPr>
                  <w:r>
                    <w:rPr>
                      <w:bCs/>
                      <w:szCs w:val="21"/>
                    </w:rPr>
                    <w:t>项目钻井</w:t>
                  </w:r>
                  <w:r>
                    <w:rPr>
                      <w:rFonts w:hint="eastAsia"/>
                      <w:bCs/>
                      <w:szCs w:val="21"/>
                    </w:rPr>
                    <w:t>泥浆</w:t>
                  </w:r>
                  <w:r>
                    <w:rPr>
                      <w:bCs/>
                      <w:szCs w:val="21"/>
                    </w:rPr>
                    <w:t>使用水基泥浆，并配备完善的固控设备，钻井</w:t>
                  </w:r>
                  <w:r>
                    <w:rPr>
                      <w:rFonts w:hint="eastAsia"/>
                      <w:bCs/>
                      <w:szCs w:val="21"/>
                    </w:rPr>
                    <w:t>泥浆</w:t>
                  </w:r>
                  <w:r>
                    <w:rPr>
                      <w:bCs/>
                      <w:szCs w:val="21"/>
                    </w:rPr>
                    <w:t>循环率95%</w:t>
                  </w:r>
                  <w:r>
                    <w:rPr>
                      <w:rFonts w:hint="eastAsia"/>
                      <w:bCs/>
                      <w:szCs w:val="21"/>
                    </w:rPr>
                    <w:t>，废弃泥浆、钻井岩屑拉运至内蒙古众宁环保科技有限公司油气田废弃物集中处理厂处理，经压滤后产生的废水拉运至有资质单位处理。</w:t>
                  </w:r>
                </w:p>
              </w:tc>
              <w:tc>
                <w:tcPr>
                  <w:tcW w:w="619" w:type="dxa"/>
                  <w:tcMar>
                    <w:left w:w="28" w:type="dxa"/>
                    <w:right w:w="28" w:type="dxa"/>
                  </w:tcMar>
                  <w:vAlign w:val="center"/>
                </w:tcPr>
                <w:p w14:paraId="5532BF93">
                  <w:pPr>
                    <w:jc w:val="center"/>
                    <w:rPr>
                      <w:bCs/>
                      <w:szCs w:val="21"/>
                    </w:rPr>
                  </w:pPr>
                  <w:r>
                    <w:rPr>
                      <w:bCs/>
                      <w:szCs w:val="21"/>
                    </w:rPr>
                    <w:t>符合</w:t>
                  </w:r>
                </w:p>
              </w:tc>
            </w:tr>
            <w:tr w14:paraId="3C9957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691" w:hRule="atLeast"/>
                <w:jc w:val="center"/>
              </w:trPr>
              <w:tc>
                <w:tcPr>
                  <w:tcW w:w="3323" w:type="dxa"/>
                  <w:tcMar>
                    <w:left w:w="28" w:type="dxa"/>
                    <w:right w:w="28" w:type="dxa"/>
                  </w:tcMar>
                  <w:vAlign w:val="center"/>
                </w:tcPr>
                <w:p w14:paraId="007057CE">
                  <w:pPr>
                    <w:jc w:val="left"/>
                    <w:rPr>
                      <w:bCs/>
                      <w:szCs w:val="21"/>
                    </w:rPr>
                  </w:pPr>
                  <w:r>
                    <w:rPr>
                      <w:bCs/>
                      <w:szCs w:val="21"/>
                    </w:rPr>
                    <w:t>四、污染治理（三）</w:t>
                  </w:r>
                </w:p>
                <w:p w14:paraId="6E046277">
                  <w:pPr>
                    <w:jc w:val="left"/>
                    <w:rPr>
                      <w:bCs/>
                      <w:szCs w:val="21"/>
                    </w:rPr>
                  </w:pPr>
                  <w:r>
                    <w:rPr>
                      <w:bCs/>
                      <w:szCs w:val="21"/>
                    </w:rPr>
                    <w:t>固体废物收集、贮存、处理处置设施应按照标准</w:t>
                  </w:r>
                  <w:r>
                    <w:rPr>
                      <w:rFonts w:hint="eastAsia"/>
                      <w:bCs/>
                      <w:szCs w:val="21"/>
                    </w:rPr>
                    <w:t>要</w:t>
                  </w:r>
                  <w:r>
                    <w:rPr>
                      <w:bCs/>
                      <w:szCs w:val="21"/>
                    </w:rPr>
                    <w:t>求采取防渗措施。试油（气）后应立即封闭废弃钻井液贮池。</w:t>
                  </w:r>
                </w:p>
              </w:tc>
              <w:tc>
                <w:tcPr>
                  <w:tcW w:w="3089" w:type="dxa"/>
                  <w:tcMar>
                    <w:left w:w="28" w:type="dxa"/>
                    <w:right w:w="28" w:type="dxa"/>
                  </w:tcMar>
                  <w:vAlign w:val="center"/>
                </w:tcPr>
                <w:p w14:paraId="69BBB11F">
                  <w:pPr>
                    <w:ind w:firstLine="420" w:firstLineChars="200"/>
                    <w:rPr>
                      <w:bCs/>
                      <w:szCs w:val="21"/>
                    </w:rPr>
                  </w:pPr>
                  <w:r>
                    <w:rPr>
                      <w:rFonts w:hint="eastAsia"/>
                      <w:kern w:val="0"/>
                      <w:szCs w:val="21"/>
                    </w:rPr>
                    <w:t>项目按照要求采取防渗措施，现场采用</w:t>
                  </w:r>
                  <w:r>
                    <w:rPr>
                      <w:bCs/>
                      <w:szCs w:val="21"/>
                    </w:rPr>
                    <w:t>泥浆不落地循环</w:t>
                  </w:r>
                  <w:r>
                    <w:rPr>
                      <w:rFonts w:hint="eastAsia"/>
                      <w:bCs/>
                      <w:szCs w:val="21"/>
                    </w:rPr>
                    <w:t>系统</w:t>
                  </w:r>
                  <w:r>
                    <w:rPr>
                      <w:bCs/>
                      <w:szCs w:val="21"/>
                    </w:rPr>
                    <w:t>装置</w:t>
                  </w:r>
                  <w:r>
                    <w:rPr>
                      <w:rFonts w:hint="eastAsia"/>
                      <w:bCs/>
                      <w:szCs w:val="21"/>
                    </w:rPr>
                    <w:t>，</w:t>
                  </w:r>
                  <w:r>
                    <w:rPr>
                      <w:kern w:val="0"/>
                      <w:szCs w:val="21"/>
                    </w:rPr>
                    <w:t>不建泥浆池。</w:t>
                  </w:r>
                  <w:r>
                    <w:rPr>
                      <w:rFonts w:hint="eastAsia"/>
                      <w:bCs/>
                      <w:szCs w:val="21"/>
                    </w:rPr>
                    <w:t>废弃泥浆、钻井岩屑拉运至内蒙古众宁环保科技有限公司油气田废弃物集中处理厂处理</w:t>
                  </w:r>
                  <w:r>
                    <w:rPr>
                      <w:rFonts w:hint="eastAsia"/>
                      <w:kern w:val="0"/>
                      <w:szCs w:val="21"/>
                    </w:rPr>
                    <w:t>。</w:t>
                  </w:r>
                </w:p>
              </w:tc>
              <w:tc>
                <w:tcPr>
                  <w:tcW w:w="619" w:type="dxa"/>
                  <w:tcMar>
                    <w:left w:w="28" w:type="dxa"/>
                    <w:right w:w="28" w:type="dxa"/>
                  </w:tcMar>
                  <w:vAlign w:val="center"/>
                </w:tcPr>
                <w:p w14:paraId="3B45DEDC">
                  <w:pPr>
                    <w:jc w:val="center"/>
                    <w:rPr>
                      <w:bCs/>
                      <w:szCs w:val="21"/>
                    </w:rPr>
                  </w:pPr>
                  <w:r>
                    <w:rPr>
                      <w:rFonts w:hint="eastAsia"/>
                      <w:bCs/>
                      <w:szCs w:val="21"/>
                    </w:rPr>
                    <w:t>符合</w:t>
                  </w:r>
                </w:p>
              </w:tc>
            </w:tr>
            <w:tr w14:paraId="38EA32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3323" w:type="dxa"/>
                  <w:tcMar>
                    <w:left w:w="28" w:type="dxa"/>
                    <w:right w:w="28" w:type="dxa"/>
                  </w:tcMar>
                  <w:vAlign w:val="center"/>
                </w:tcPr>
                <w:p w14:paraId="6381FCD2">
                  <w:pPr>
                    <w:jc w:val="left"/>
                    <w:rPr>
                      <w:bCs/>
                      <w:szCs w:val="21"/>
                    </w:rPr>
                  </w:pPr>
                  <w:r>
                    <w:rPr>
                      <w:bCs/>
                      <w:szCs w:val="21"/>
                    </w:rPr>
                    <w:t>四、污染治理（四）</w:t>
                  </w:r>
                </w:p>
                <w:p w14:paraId="7B7E0A5C">
                  <w:pPr>
                    <w:jc w:val="left"/>
                    <w:rPr>
                      <w:bCs/>
                      <w:szCs w:val="21"/>
                    </w:rPr>
                  </w:pPr>
                  <w:r>
                    <w:rPr>
                      <w:bCs/>
                      <w:szCs w:val="21"/>
                    </w:rPr>
                    <w:t>应回收落地原油，以及原油处理、废水处理产生的油泥（砂）等中的油类物质，含油污泥资源化利用率应达到90%以上，残余固体废物应按照《国家危险废物名录》和危险废物鉴别标准识别，根据识别结果资源化利用或无害化处</w:t>
                  </w:r>
                  <w:r>
                    <w:rPr>
                      <w:rFonts w:hint="eastAsia"/>
                      <w:bCs/>
                      <w:szCs w:val="21"/>
                    </w:rPr>
                    <w:t>理</w:t>
                  </w:r>
                  <w:r>
                    <w:rPr>
                      <w:bCs/>
                      <w:szCs w:val="21"/>
                    </w:rPr>
                    <w:t>。</w:t>
                  </w:r>
                </w:p>
              </w:tc>
              <w:tc>
                <w:tcPr>
                  <w:tcW w:w="3089" w:type="dxa"/>
                  <w:tcMar>
                    <w:left w:w="28" w:type="dxa"/>
                    <w:right w:w="28" w:type="dxa"/>
                  </w:tcMar>
                  <w:vAlign w:val="center"/>
                </w:tcPr>
                <w:p w14:paraId="5F6D9A47">
                  <w:pPr>
                    <w:ind w:firstLine="420" w:firstLineChars="200"/>
                    <w:rPr>
                      <w:bCs/>
                      <w:szCs w:val="21"/>
                    </w:rPr>
                  </w:pPr>
                  <w:r>
                    <w:rPr>
                      <w:bCs/>
                      <w:szCs w:val="21"/>
                    </w:rPr>
                    <w:t>项目正常工况不会产生落地油、含油污泥。</w:t>
                  </w:r>
                  <w:r>
                    <w:rPr>
                      <w:rFonts w:hint="eastAsia"/>
                      <w:bCs/>
                      <w:szCs w:val="21"/>
                    </w:rPr>
                    <w:t>非正常工况下产生的落地油，会及时将落地油连同周边污染土壤铲除，落地油100%进行回收后，</w:t>
                  </w:r>
                  <w:r>
                    <w:rPr>
                      <w:bCs/>
                      <w:szCs w:val="21"/>
                    </w:rPr>
                    <w:t>交</w:t>
                  </w:r>
                  <w:r>
                    <w:rPr>
                      <w:rFonts w:hint="eastAsia"/>
                      <w:bCs/>
                      <w:szCs w:val="21"/>
                    </w:rPr>
                    <w:t>有资质单位拉运处置</w:t>
                  </w:r>
                  <w:r>
                    <w:rPr>
                      <w:bCs/>
                      <w:szCs w:val="21"/>
                    </w:rPr>
                    <w:t>。</w:t>
                  </w:r>
                </w:p>
              </w:tc>
              <w:tc>
                <w:tcPr>
                  <w:tcW w:w="619" w:type="dxa"/>
                  <w:tcMar>
                    <w:left w:w="28" w:type="dxa"/>
                    <w:right w:w="28" w:type="dxa"/>
                  </w:tcMar>
                  <w:vAlign w:val="center"/>
                </w:tcPr>
                <w:p w14:paraId="2E8F627F">
                  <w:pPr>
                    <w:jc w:val="center"/>
                    <w:rPr>
                      <w:bCs/>
                      <w:szCs w:val="21"/>
                    </w:rPr>
                  </w:pPr>
                  <w:r>
                    <w:rPr>
                      <w:bCs/>
                      <w:szCs w:val="21"/>
                    </w:rPr>
                    <w:t>符合</w:t>
                  </w:r>
                </w:p>
              </w:tc>
            </w:tr>
            <w:tr w14:paraId="4939DC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3" w:hRule="atLeast"/>
                <w:jc w:val="center"/>
              </w:trPr>
              <w:tc>
                <w:tcPr>
                  <w:tcW w:w="3323" w:type="dxa"/>
                  <w:tcMar>
                    <w:left w:w="28" w:type="dxa"/>
                    <w:right w:w="28" w:type="dxa"/>
                  </w:tcMar>
                  <w:vAlign w:val="center"/>
                </w:tcPr>
                <w:p w14:paraId="7244C885">
                  <w:pPr>
                    <w:jc w:val="left"/>
                    <w:rPr>
                      <w:bCs/>
                      <w:szCs w:val="21"/>
                    </w:rPr>
                  </w:pPr>
                  <w:r>
                    <w:rPr>
                      <w:bCs/>
                      <w:szCs w:val="21"/>
                    </w:rPr>
                    <w:t>六、运行管理与风险防范（一）</w:t>
                  </w:r>
                </w:p>
                <w:p w14:paraId="200C59C2">
                  <w:pPr>
                    <w:jc w:val="left"/>
                    <w:rPr>
                      <w:bCs/>
                      <w:szCs w:val="21"/>
                    </w:rPr>
                  </w:pPr>
                  <w:r>
                    <w:rPr>
                      <w:bCs/>
                      <w:szCs w:val="21"/>
                    </w:rPr>
                    <w:t>油气田企业应制定环境保护管理规定，建立并</w:t>
                  </w:r>
                  <w:r>
                    <w:rPr>
                      <w:rFonts w:hint="eastAsia"/>
                      <w:bCs/>
                      <w:szCs w:val="21"/>
                    </w:rPr>
                    <w:t>运</w:t>
                  </w:r>
                  <w:r>
                    <w:rPr>
                      <w:bCs/>
                      <w:szCs w:val="21"/>
                    </w:rPr>
                    <w:t>行健康、安全与环境管理体系。</w:t>
                  </w:r>
                </w:p>
              </w:tc>
              <w:tc>
                <w:tcPr>
                  <w:tcW w:w="3089" w:type="dxa"/>
                  <w:tcMar>
                    <w:left w:w="28" w:type="dxa"/>
                    <w:right w:w="28" w:type="dxa"/>
                  </w:tcMar>
                  <w:vAlign w:val="center"/>
                </w:tcPr>
                <w:p w14:paraId="660A7954">
                  <w:pPr>
                    <w:ind w:firstLine="420" w:firstLineChars="200"/>
                    <w:jc w:val="left"/>
                    <w:rPr>
                      <w:bCs/>
                      <w:szCs w:val="21"/>
                    </w:rPr>
                  </w:pPr>
                  <w:r>
                    <w:rPr>
                      <w:bCs/>
                      <w:szCs w:val="21"/>
                    </w:rPr>
                    <w:t>华北油田巴彦勘探开发分公司制定了</w:t>
                  </w:r>
                  <w:r>
                    <w:rPr>
                      <w:rFonts w:hint="eastAsia"/>
                      <w:bCs/>
                      <w:szCs w:val="21"/>
                    </w:rPr>
                    <w:t>环境</w:t>
                  </w:r>
                  <w:r>
                    <w:rPr>
                      <w:bCs/>
                      <w:szCs w:val="21"/>
                    </w:rPr>
                    <w:t>保护管理规定，建立并运行了健康、安全与环境管理体系。</w:t>
                  </w:r>
                </w:p>
              </w:tc>
              <w:tc>
                <w:tcPr>
                  <w:tcW w:w="619" w:type="dxa"/>
                  <w:tcMar>
                    <w:left w:w="28" w:type="dxa"/>
                    <w:right w:w="28" w:type="dxa"/>
                  </w:tcMar>
                  <w:vAlign w:val="center"/>
                </w:tcPr>
                <w:p w14:paraId="608C3CDF">
                  <w:pPr>
                    <w:jc w:val="center"/>
                    <w:rPr>
                      <w:bCs/>
                      <w:szCs w:val="21"/>
                    </w:rPr>
                  </w:pPr>
                  <w:r>
                    <w:rPr>
                      <w:bCs/>
                      <w:szCs w:val="21"/>
                    </w:rPr>
                    <w:t>符合</w:t>
                  </w:r>
                </w:p>
              </w:tc>
            </w:tr>
            <w:tr w14:paraId="5D02F7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2" w:hRule="atLeast"/>
                <w:jc w:val="center"/>
              </w:trPr>
              <w:tc>
                <w:tcPr>
                  <w:tcW w:w="3323" w:type="dxa"/>
                  <w:tcMar>
                    <w:left w:w="28" w:type="dxa"/>
                    <w:right w:w="28" w:type="dxa"/>
                  </w:tcMar>
                  <w:vAlign w:val="center"/>
                </w:tcPr>
                <w:p w14:paraId="2158BF33">
                  <w:pPr>
                    <w:jc w:val="left"/>
                    <w:rPr>
                      <w:bCs/>
                      <w:szCs w:val="21"/>
                    </w:rPr>
                  </w:pPr>
                  <w:r>
                    <w:rPr>
                      <w:bCs/>
                      <w:szCs w:val="21"/>
                    </w:rPr>
                    <w:t>六、运行管理与风险防范（五）</w:t>
                  </w:r>
                </w:p>
                <w:p w14:paraId="4CBFEC5D">
                  <w:pPr>
                    <w:jc w:val="left"/>
                    <w:rPr>
                      <w:bCs/>
                      <w:szCs w:val="21"/>
                    </w:rPr>
                  </w:pPr>
                  <w:r>
                    <w:rPr>
                      <w:bCs/>
                      <w:szCs w:val="21"/>
                    </w:rPr>
                    <w:t>油气田企业应对勘探开发过程进行环境风险因素识别，制定突发环境事件应急预案并定期进行演练。应开展特征污染物监测工作，采取环境风险防范和应急措施，防止发生由突发</w:t>
                  </w:r>
                  <w:r>
                    <w:rPr>
                      <w:rFonts w:hint="eastAsia"/>
                      <w:bCs/>
                      <w:szCs w:val="21"/>
                    </w:rPr>
                    <w:t>性</w:t>
                  </w:r>
                  <w:r>
                    <w:rPr>
                      <w:bCs/>
                      <w:szCs w:val="21"/>
                    </w:rPr>
                    <w:t>油气泄漏产生的环境事故。</w:t>
                  </w:r>
                </w:p>
              </w:tc>
              <w:tc>
                <w:tcPr>
                  <w:tcW w:w="3089" w:type="dxa"/>
                  <w:tcMar>
                    <w:left w:w="28" w:type="dxa"/>
                    <w:right w:w="28" w:type="dxa"/>
                  </w:tcMar>
                  <w:vAlign w:val="center"/>
                </w:tcPr>
                <w:p w14:paraId="68696621">
                  <w:pPr>
                    <w:ind w:firstLine="420" w:firstLineChars="200"/>
                    <w:jc w:val="left"/>
                    <w:rPr>
                      <w:bCs/>
                      <w:szCs w:val="21"/>
                    </w:rPr>
                  </w:pPr>
                  <w:r>
                    <w:rPr>
                      <w:bCs/>
                      <w:szCs w:val="21"/>
                    </w:rPr>
                    <w:t>对勘探过程进行了环境风险因素识别，成立了环境风险管控机构，</w:t>
                  </w:r>
                  <w:r>
                    <w:rPr>
                      <w:rFonts w:hint="eastAsia"/>
                      <w:bCs/>
                      <w:szCs w:val="21"/>
                    </w:rPr>
                    <w:t>定期</w:t>
                  </w:r>
                  <w:r>
                    <w:rPr>
                      <w:bCs/>
                      <w:szCs w:val="21"/>
                    </w:rPr>
                    <w:t>进行应急演练</w:t>
                  </w:r>
                  <w:r>
                    <w:rPr>
                      <w:rFonts w:hint="eastAsia"/>
                      <w:bCs/>
                      <w:szCs w:val="21"/>
                    </w:rPr>
                    <w:t>。施工过程中</w:t>
                  </w:r>
                  <w:r>
                    <w:rPr>
                      <w:bCs/>
                      <w:szCs w:val="21"/>
                    </w:rPr>
                    <w:t>安装防井喷装置，落实各项风险应急物资等防止发生由突发性油气泄漏产生的环境事故。</w:t>
                  </w:r>
                </w:p>
              </w:tc>
              <w:tc>
                <w:tcPr>
                  <w:tcW w:w="619" w:type="dxa"/>
                  <w:tcMar>
                    <w:left w:w="28" w:type="dxa"/>
                    <w:right w:w="28" w:type="dxa"/>
                  </w:tcMar>
                  <w:vAlign w:val="center"/>
                </w:tcPr>
                <w:p w14:paraId="27FF8AE5">
                  <w:pPr>
                    <w:jc w:val="center"/>
                    <w:rPr>
                      <w:bCs/>
                      <w:szCs w:val="21"/>
                    </w:rPr>
                  </w:pPr>
                  <w:r>
                    <w:rPr>
                      <w:bCs/>
                      <w:szCs w:val="21"/>
                    </w:rPr>
                    <w:t>符合</w:t>
                  </w:r>
                </w:p>
              </w:tc>
            </w:tr>
          </w:tbl>
          <w:p w14:paraId="058E661D">
            <w:pPr>
              <w:adjustRightInd w:val="0"/>
              <w:snapToGrid w:val="0"/>
              <w:spacing w:line="360" w:lineRule="auto"/>
              <w:ind w:firstLine="482" w:firstLineChars="200"/>
              <w:rPr>
                <w:b/>
                <w:sz w:val="24"/>
              </w:rPr>
            </w:pPr>
            <w:r>
              <w:rPr>
                <w:rFonts w:hint="eastAsia"/>
                <w:b/>
                <w:sz w:val="24"/>
              </w:rPr>
              <w:t>6、《陆上石油天然气开采钻井废物处置污染控制技术要求》</w:t>
            </w:r>
          </w:p>
          <w:p w14:paraId="776B433D">
            <w:pPr>
              <w:adjustRightInd w:val="0"/>
              <w:snapToGrid w:val="0"/>
              <w:spacing w:line="360" w:lineRule="auto"/>
              <w:ind w:firstLine="480" w:firstLineChars="200"/>
              <w:rPr>
                <w:sz w:val="24"/>
              </w:rPr>
            </w:pPr>
            <w:r>
              <w:rPr>
                <w:rFonts w:hint="eastAsia"/>
                <w:sz w:val="24"/>
              </w:rPr>
              <w:t>项目与《陆上石油天然气开采钻井废物处置污染控制技术要求》（SY/T7119.25-2016）符合性分析如下。</w:t>
            </w:r>
          </w:p>
          <w:p w14:paraId="12452A56">
            <w:pPr>
              <w:jc w:val="center"/>
              <w:rPr>
                <w:b/>
                <w:bCs/>
                <w:sz w:val="24"/>
              </w:rPr>
            </w:pPr>
            <w:r>
              <w:rPr>
                <w:b/>
                <w:bCs/>
                <w:sz w:val="24"/>
              </w:rPr>
              <w:t>表1-</w:t>
            </w:r>
            <w:r>
              <w:rPr>
                <w:rFonts w:hint="eastAsia"/>
                <w:b/>
                <w:bCs/>
                <w:sz w:val="24"/>
              </w:rPr>
              <w:t>8</w:t>
            </w:r>
            <w:r>
              <w:rPr>
                <w:b/>
                <w:bCs/>
                <w:sz w:val="24"/>
              </w:rPr>
              <w:t xml:space="preserve"> 与</w:t>
            </w:r>
            <w:r>
              <w:rPr>
                <w:rFonts w:hint="eastAsia"/>
                <w:b/>
                <w:bCs/>
                <w:sz w:val="24"/>
              </w:rPr>
              <w:t>《陆上石油天然气开采钻井废物处置污染控制技术要求》</w:t>
            </w:r>
            <w:r>
              <w:rPr>
                <w:b/>
                <w:bCs/>
                <w:sz w:val="24"/>
              </w:rPr>
              <w:t>符合性分析</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3409"/>
              <w:gridCol w:w="2954"/>
              <w:gridCol w:w="668"/>
            </w:tblGrid>
            <w:tr w14:paraId="783677B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2424" w:type="pct"/>
                  <w:vAlign w:val="center"/>
                </w:tcPr>
                <w:p w14:paraId="5FF7E4F7">
                  <w:pPr>
                    <w:widowControl/>
                    <w:snapToGrid w:val="0"/>
                    <w:jc w:val="center"/>
                    <w:rPr>
                      <w:kern w:val="0"/>
                      <w:szCs w:val="21"/>
                    </w:rPr>
                  </w:pPr>
                  <w:r>
                    <w:rPr>
                      <w:rFonts w:hint="eastAsia"/>
                      <w:kern w:val="0"/>
                      <w:szCs w:val="21"/>
                    </w:rPr>
                    <w:t>污染控制技术要求</w:t>
                  </w:r>
                </w:p>
              </w:tc>
              <w:tc>
                <w:tcPr>
                  <w:tcW w:w="2101" w:type="pct"/>
                  <w:vAlign w:val="center"/>
                </w:tcPr>
                <w:p w14:paraId="3DEDF699">
                  <w:pPr>
                    <w:jc w:val="center"/>
                    <w:rPr>
                      <w:kern w:val="0"/>
                      <w:szCs w:val="21"/>
                    </w:rPr>
                  </w:pPr>
                  <w:r>
                    <w:rPr>
                      <w:rFonts w:hint="eastAsia"/>
                      <w:kern w:val="0"/>
                      <w:szCs w:val="21"/>
                    </w:rPr>
                    <w:t>项目情况</w:t>
                  </w:r>
                </w:p>
              </w:tc>
              <w:tc>
                <w:tcPr>
                  <w:tcW w:w="476" w:type="pct"/>
                  <w:vAlign w:val="center"/>
                </w:tcPr>
                <w:p w14:paraId="26A06598">
                  <w:pPr>
                    <w:jc w:val="center"/>
                    <w:rPr>
                      <w:kern w:val="0"/>
                      <w:szCs w:val="21"/>
                    </w:rPr>
                  </w:pPr>
                  <w:r>
                    <w:rPr>
                      <w:kern w:val="0"/>
                      <w:szCs w:val="21"/>
                    </w:rPr>
                    <w:t>符合性</w:t>
                  </w:r>
                </w:p>
              </w:tc>
            </w:tr>
            <w:tr w14:paraId="40FB316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2" w:hRule="atLeast"/>
                <w:jc w:val="center"/>
              </w:trPr>
              <w:tc>
                <w:tcPr>
                  <w:tcW w:w="2424" w:type="pct"/>
                  <w:vAlign w:val="center"/>
                </w:tcPr>
                <w:p w14:paraId="3082EC44">
                  <w:pPr>
                    <w:widowControl/>
                    <w:snapToGrid w:val="0"/>
                    <w:jc w:val="left"/>
                    <w:rPr>
                      <w:kern w:val="0"/>
                      <w:szCs w:val="21"/>
                    </w:rPr>
                  </w:pPr>
                  <w:r>
                    <w:rPr>
                      <w:rFonts w:hint="eastAsia"/>
                      <w:kern w:val="0"/>
                      <w:szCs w:val="21"/>
                    </w:rPr>
                    <w:t>4.1.1钻井废物的收集、贮存、运输、利用、处置，以及钻井废物处置工程的选址、设计、施工、验收和运行应符合国家和地方相关固体废物污染防治法律法规与标准的要求。</w:t>
                  </w:r>
                </w:p>
              </w:tc>
              <w:tc>
                <w:tcPr>
                  <w:tcW w:w="2101" w:type="pct"/>
                  <w:vAlign w:val="center"/>
                </w:tcPr>
                <w:p w14:paraId="186FBB3E">
                  <w:pPr>
                    <w:widowControl/>
                    <w:snapToGrid w:val="0"/>
                    <w:ind w:firstLine="420" w:firstLineChars="200"/>
                    <w:jc w:val="left"/>
                    <w:rPr>
                      <w:kern w:val="0"/>
                      <w:szCs w:val="21"/>
                    </w:rPr>
                  </w:pPr>
                  <w:r>
                    <w:rPr>
                      <w:rFonts w:hint="eastAsia"/>
                      <w:kern w:val="0"/>
                      <w:szCs w:val="21"/>
                    </w:rPr>
                    <w:t>项目勘探过程使用无害化水基泥浆，施工过程采用泥浆不落地循环系统装置，产生的废弃泥浆、钻井岩屑暂存废水罐，定期拉运至内蒙古众宁环保科技有限公司油气田废弃物集中处理厂处理（油气田废弃物集中处理厂已取得环评批复并完成环保竣工自主验收工作）。</w:t>
                  </w:r>
                </w:p>
              </w:tc>
              <w:tc>
                <w:tcPr>
                  <w:tcW w:w="476" w:type="pct"/>
                  <w:vAlign w:val="center"/>
                </w:tcPr>
                <w:p w14:paraId="5644FD6E">
                  <w:pPr>
                    <w:widowControl/>
                    <w:snapToGrid w:val="0"/>
                    <w:jc w:val="center"/>
                    <w:rPr>
                      <w:kern w:val="0"/>
                      <w:szCs w:val="21"/>
                    </w:rPr>
                  </w:pPr>
                  <w:r>
                    <w:rPr>
                      <w:kern w:val="0"/>
                      <w:szCs w:val="21"/>
                    </w:rPr>
                    <w:t>符合</w:t>
                  </w:r>
                </w:p>
              </w:tc>
            </w:tr>
            <w:tr w14:paraId="497E40E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41" w:hRule="atLeast"/>
                <w:jc w:val="center"/>
              </w:trPr>
              <w:tc>
                <w:tcPr>
                  <w:tcW w:w="2424" w:type="pct"/>
                  <w:vAlign w:val="center"/>
                </w:tcPr>
                <w:p w14:paraId="34959F20">
                  <w:pPr>
                    <w:widowControl/>
                    <w:snapToGrid w:val="0"/>
                    <w:jc w:val="left"/>
                    <w:rPr>
                      <w:kern w:val="0"/>
                      <w:szCs w:val="21"/>
                    </w:rPr>
                  </w:pPr>
                  <w:r>
                    <w:rPr>
                      <w:rFonts w:hint="eastAsia"/>
                      <w:kern w:val="0"/>
                      <w:szCs w:val="21"/>
                    </w:rPr>
                    <w:t>4.1.2钻井废物处置过程宜使用环境友好的原材料与添加剂。</w:t>
                  </w:r>
                </w:p>
              </w:tc>
              <w:tc>
                <w:tcPr>
                  <w:tcW w:w="2101" w:type="pct"/>
                  <w:vAlign w:val="center"/>
                </w:tcPr>
                <w:p w14:paraId="4B9612FD">
                  <w:pPr>
                    <w:widowControl/>
                    <w:snapToGrid w:val="0"/>
                    <w:ind w:firstLine="420" w:firstLineChars="200"/>
                    <w:jc w:val="left"/>
                    <w:rPr>
                      <w:kern w:val="0"/>
                      <w:szCs w:val="21"/>
                    </w:rPr>
                  </w:pPr>
                  <w:r>
                    <w:rPr>
                      <w:rFonts w:hint="eastAsia"/>
                      <w:kern w:val="0"/>
                      <w:szCs w:val="21"/>
                    </w:rPr>
                    <w:t>项目使用水基泥浆，水基泥浆配置所需原辅材料不涉及有毒有害及易燃易爆等危险品。</w:t>
                  </w:r>
                </w:p>
              </w:tc>
              <w:tc>
                <w:tcPr>
                  <w:tcW w:w="476" w:type="pct"/>
                  <w:vAlign w:val="center"/>
                </w:tcPr>
                <w:p w14:paraId="613C47DD">
                  <w:pPr>
                    <w:widowControl/>
                    <w:snapToGrid w:val="0"/>
                    <w:jc w:val="center"/>
                    <w:rPr>
                      <w:kern w:val="0"/>
                      <w:szCs w:val="21"/>
                    </w:rPr>
                  </w:pPr>
                  <w:r>
                    <w:rPr>
                      <w:kern w:val="0"/>
                      <w:szCs w:val="21"/>
                    </w:rPr>
                    <w:t>符合</w:t>
                  </w:r>
                </w:p>
              </w:tc>
            </w:tr>
            <w:tr w14:paraId="7301BA4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3" w:hRule="atLeast"/>
                <w:jc w:val="center"/>
              </w:trPr>
              <w:tc>
                <w:tcPr>
                  <w:tcW w:w="2424" w:type="pct"/>
                  <w:vAlign w:val="center"/>
                </w:tcPr>
                <w:p w14:paraId="72AC99F9">
                  <w:pPr>
                    <w:widowControl/>
                    <w:snapToGrid w:val="0"/>
                    <w:jc w:val="left"/>
                    <w:rPr>
                      <w:kern w:val="0"/>
                      <w:szCs w:val="21"/>
                    </w:rPr>
                  </w:pPr>
                  <w:r>
                    <w:rPr>
                      <w:rFonts w:hint="eastAsia"/>
                      <w:kern w:val="0"/>
                      <w:szCs w:val="21"/>
                    </w:rPr>
                    <w:t>4.1.3对水基钻井液体系钻井废物宜实施固液分离处置，对液相尽可能进行回收再利用。</w:t>
                  </w:r>
                </w:p>
              </w:tc>
              <w:tc>
                <w:tcPr>
                  <w:tcW w:w="2101" w:type="pct"/>
                  <w:vAlign w:val="center"/>
                </w:tcPr>
                <w:p w14:paraId="5EBB490B">
                  <w:pPr>
                    <w:widowControl/>
                    <w:snapToGrid w:val="0"/>
                    <w:ind w:firstLine="420" w:firstLineChars="200"/>
                    <w:jc w:val="left"/>
                    <w:rPr>
                      <w:kern w:val="0"/>
                      <w:szCs w:val="21"/>
                    </w:rPr>
                  </w:pPr>
                  <w:r>
                    <w:rPr>
                      <w:rFonts w:hint="eastAsia"/>
                      <w:kern w:val="0"/>
                      <w:szCs w:val="21"/>
                    </w:rPr>
                    <w:t>项目使用水基泥浆，并配备完善的固控设备，废弃泥浆、钻井岩屑拉运至内蒙古众宁环保科技有限公司油气田废弃物集中处理厂处理，经压滤后产生的废水拉运至有资质单位处理。</w:t>
                  </w:r>
                </w:p>
              </w:tc>
              <w:tc>
                <w:tcPr>
                  <w:tcW w:w="476" w:type="pct"/>
                  <w:vAlign w:val="center"/>
                </w:tcPr>
                <w:p w14:paraId="01B18006">
                  <w:pPr>
                    <w:widowControl/>
                    <w:snapToGrid w:val="0"/>
                    <w:jc w:val="center"/>
                    <w:rPr>
                      <w:kern w:val="0"/>
                      <w:szCs w:val="21"/>
                    </w:rPr>
                  </w:pPr>
                  <w:r>
                    <w:rPr>
                      <w:kern w:val="0"/>
                      <w:szCs w:val="21"/>
                    </w:rPr>
                    <w:t>符合</w:t>
                  </w:r>
                </w:p>
              </w:tc>
            </w:tr>
            <w:tr w14:paraId="3B6610B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2" w:hRule="atLeast"/>
                <w:jc w:val="center"/>
              </w:trPr>
              <w:tc>
                <w:tcPr>
                  <w:tcW w:w="2424" w:type="pct"/>
                  <w:vAlign w:val="center"/>
                </w:tcPr>
                <w:p w14:paraId="5793F3B2">
                  <w:pPr>
                    <w:widowControl/>
                    <w:snapToGrid w:val="0"/>
                    <w:jc w:val="left"/>
                    <w:rPr>
                      <w:kern w:val="0"/>
                      <w:szCs w:val="21"/>
                    </w:rPr>
                  </w:pPr>
                  <w:r>
                    <w:rPr>
                      <w:rFonts w:hint="eastAsia"/>
                      <w:kern w:val="0"/>
                      <w:szCs w:val="21"/>
                    </w:rPr>
                    <w:t>4.1.4钻井废物处置过程中应采取必要措施，保护处置场地周边地表水、地下水、土壤、空气、植被以及野生动物栖息环境，避免造成环境污染和生态破坏。</w:t>
                  </w:r>
                </w:p>
              </w:tc>
              <w:tc>
                <w:tcPr>
                  <w:tcW w:w="2101" w:type="pct"/>
                  <w:vAlign w:val="center"/>
                </w:tcPr>
                <w:p w14:paraId="5AEE593D">
                  <w:pPr>
                    <w:widowControl/>
                    <w:snapToGrid w:val="0"/>
                    <w:ind w:firstLine="420" w:firstLineChars="200"/>
                    <w:jc w:val="left"/>
                    <w:rPr>
                      <w:kern w:val="0"/>
                      <w:szCs w:val="21"/>
                    </w:rPr>
                  </w:pPr>
                  <w:r>
                    <w:rPr>
                      <w:rFonts w:hint="eastAsia"/>
                      <w:kern w:val="0"/>
                      <w:szCs w:val="21"/>
                    </w:rPr>
                    <w:t>项目钻井现场采用泥浆不落地循环系统装置，不建泥浆池。按照要求对井场采取分区防渗措施，对泥浆不落地循环系统装置区等进行重点防渗。</w:t>
                  </w:r>
                </w:p>
              </w:tc>
              <w:tc>
                <w:tcPr>
                  <w:tcW w:w="476" w:type="pct"/>
                  <w:vAlign w:val="center"/>
                </w:tcPr>
                <w:p w14:paraId="310C4538">
                  <w:pPr>
                    <w:widowControl/>
                    <w:snapToGrid w:val="0"/>
                    <w:jc w:val="center"/>
                    <w:rPr>
                      <w:kern w:val="0"/>
                      <w:szCs w:val="21"/>
                    </w:rPr>
                  </w:pPr>
                  <w:r>
                    <w:rPr>
                      <w:kern w:val="0"/>
                      <w:szCs w:val="21"/>
                    </w:rPr>
                    <w:t>符合</w:t>
                  </w:r>
                </w:p>
              </w:tc>
            </w:tr>
          </w:tbl>
          <w:p w14:paraId="31B55397">
            <w:pPr>
              <w:adjustRightInd w:val="0"/>
              <w:snapToGrid w:val="0"/>
              <w:spacing w:line="360" w:lineRule="auto"/>
              <w:ind w:firstLine="482" w:firstLineChars="200"/>
              <w:rPr>
                <w:b/>
                <w:sz w:val="24"/>
              </w:rPr>
            </w:pPr>
            <w:r>
              <w:rPr>
                <w:rFonts w:hint="eastAsia"/>
                <w:b/>
                <w:sz w:val="24"/>
              </w:rPr>
              <w:t>7、</w:t>
            </w:r>
            <w:r>
              <w:rPr>
                <w:b/>
                <w:sz w:val="24"/>
              </w:rPr>
              <w:t>《矿山生态环境保护与恢复治理技术规范（试行）》</w:t>
            </w:r>
          </w:p>
          <w:p w14:paraId="4A85A612">
            <w:pPr>
              <w:adjustRightInd w:val="0"/>
              <w:snapToGrid w:val="0"/>
              <w:spacing w:line="360" w:lineRule="auto"/>
              <w:ind w:firstLine="480" w:firstLineChars="200"/>
              <w:rPr>
                <w:sz w:val="24"/>
              </w:rPr>
            </w:pPr>
            <w:r>
              <w:rPr>
                <w:rFonts w:hint="eastAsia"/>
                <w:sz w:val="24"/>
              </w:rPr>
              <w:t>项目与</w:t>
            </w:r>
            <w:r>
              <w:rPr>
                <w:sz w:val="24"/>
              </w:rPr>
              <w:t>《矿山生态环境保护与恢复治理技术规范（试行）》（HJ651-2013）符合性分析</w:t>
            </w:r>
            <w:r>
              <w:rPr>
                <w:rFonts w:hint="eastAsia"/>
                <w:sz w:val="24"/>
              </w:rPr>
              <w:t>如下。</w:t>
            </w:r>
          </w:p>
          <w:p w14:paraId="3F9A1C2D">
            <w:pPr>
              <w:jc w:val="center"/>
              <w:rPr>
                <w:b/>
                <w:sz w:val="24"/>
                <w:szCs w:val="21"/>
              </w:rPr>
            </w:pPr>
            <w:r>
              <w:rPr>
                <w:b/>
                <w:sz w:val="24"/>
                <w:szCs w:val="21"/>
              </w:rPr>
              <w:t>表1-</w:t>
            </w:r>
            <w:r>
              <w:rPr>
                <w:rFonts w:hint="eastAsia"/>
                <w:b/>
                <w:sz w:val="24"/>
                <w:szCs w:val="21"/>
              </w:rPr>
              <w:t>9 与</w:t>
            </w:r>
            <w:r>
              <w:rPr>
                <w:b/>
                <w:sz w:val="24"/>
                <w:szCs w:val="21"/>
              </w:rPr>
              <w:t>《矿山生态环境保护与恢复治理技术规范（试行）》</w:t>
            </w:r>
          </w:p>
          <w:p w14:paraId="75DB53E2">
            <w:pPr>
              <w:jc w:val="center"/>
              <w:rPr>
                <w:b/>
                <w:sz w:val="24"/>
                <w:szCs w:val="21"/>
              </w:rPr>
            </w:pPr>
            <w:r>
              <w:rPr>
                <w:b/>
                <w:sz w:val="24"/>
                <w:szCs w:val="21"/>
              </w:rPr>
              <w:t>符合性分析</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24"/>
              <w:gridCol w:w="2804"/>
              <w:gridCol w:w="3703"/>
            </w:tblGrid>
            <w:tr w14:paraId="52EF06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16" w:hRule="atLeast"/>
                <w:jc w:val="center"/>
              </w:trPr>
              <w:tc>
                <w:tcPr>
                  <w:tcW w:w="2645" w:type="pct"/>
                  <w:gridSpan w:val="2"/>
                  <w:vAlign w:val="center"/>
                </w:tcPr>
                <w:p w14:paraId="1520F31D">
                  <w:pPr>
                    <w:widowControl/>
                    <w:snapToGrid w:val="0"/>
                    <w:jc w:val="center"/>
                    <w:rPr>
                      <w:kern w:val="0"/>
                      <w:szCs w:val="21"/>
                    </w:rPr>
                  </w:pPr>
                  <w:r>
                    <w:rPr>
                      <w:rFonts w:hint="eastAsia"/>
                      <w:szCs w:val="21"/>
                    </w:rPr>
                    <w:t>技术规范</w:t>
                  </w:r>
                  <w:r>
                    <w:rPr>
                      <w:szCs w:val="21"/>
                    </w:rPr>
                    <w:t>要求</w:t>
                  </w:r>
                </w:p>
              </w:tc>
              <w:tc>
                <w:tcPr>
                  <w:tcW w:w="2355" w:type="pct"/>
                  <w:vAlign w:val="center"/>
                </w:tcPr>
                <w:p w14:paraId="7F20CE64">
                  <w:pPr>
                    <w:widowControl/>
                    <w:snapToGrid w:val="0"/>
                    <w:jc w:val="center"/>
                    <w:rPr>
                      <w:kern w:val="0"/>
                      <w:szCs w:val="21"/>
                    </w:rPr>
                  </w:pPr>
                  <w:r>
                    <w:rPr>
                      <w:szCs w:val="21"/>
                    </w:rPr>
                    <w:t>符合性分析</w:t>
                  </w:r>
                </w:p>
              </w:tc>
            </w:tr>
            <w:tr w14:paraId="66544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6" w:hRule="atLeast"/>
                <w:jc w:val="center"/>
              </w:trPr>
              <w:tc>
                <w:tcPr>
                  <w:tcW w:w="321" w:type="pct"/>
                  <w:vAlign w:val="center"/>
                </w:tcPr>
                <w:p w14:paraId="654B28AD">
                  <w:pPr>
                    <w:widowControl/>
                    <w:snapToGrid w:val="0"/>
                    <w:jc w:val="center"/>
                    <w:rPr>
                      <w:szCs w:val="21"/>
                    </w:rPr>
                  </w:pPr>
                  <w:r>
                    <w:rPr>
                      <w:rFonts w:hint="eastAsia"/>
                      <w:szCs w:val="21"/>
                    </w:rPr>
                    <w:t>4.1</w:t>
                  </w:r>
                </w:p>
              </w:tc>
              <w:tc>
                <w:tcPr>
                  <w:tcW w:w="2324" w:type="pct"/>
                  <w:vAlign w:val="center"/>
                </w:tcPr>
                <w:p w14:paraId="327FF38A">
                  <w:pPr>
                    <w:widowControl/>
                    <w:snapToGrid w:val="0"/>
                    <w:rPr>
                      <w:kern w:val="0"/>
                      <w:szCs w:val="21"/>
                    </w:rPr>
                  </w:pPr>
                  <w:r>
                    <w:rPr>
                      <w:kern w:val="0"/>
                      <w:szCs w:val="21"/>
                    </w:rPr>
                    <w:t>禁止在依法划定的自然保护区、风景名胜区、森林公园、饮用水水源保护区、文物古迹所在地、地质遗迹保护区、基本农田保护区等重要生态保护地以及其他法律法规规定的禁采区域内采矿。禁止在重要道路、航道两侧及重要生态环境</w:t>
                  </w:r>
                  <w:r>
                    <w:rPr>
                      <w:rFonts w:hint="eastAsia"/>
                      <w:kern w:val="0"/>
                      <w:szCs w:val="21"/>
                    </w:rPr>
                    <w:t>敏感</w:t>
                  </w:r>
                  <w:r>
                    <w:rPr>
                      <w:kern w:val="0"/>
                      <w:szCs w:val="21"/>
                    </w:rPr>
                    <w:t>目标可视范围内进行对景观破坏明显的露天开采。</w:t>
                  </w:r>
                </w:p>
              </w:tc>
              <w:tc>
                <w:tcPr>
                  <w:tcW w:w="2355" w:type="pct"/>
                  <w:tcMar>
                    <w:left w:w="0" w:type="dxa"/>
                    <w:right w:w="0" w:type="dxa"/>
                  </w:tcMar>
                  <w:vAlign w:val="center"/>
                </w:tcPr>
                <w:p w14:paraId="4FD079D7">
                  <w:pPr>
                    <w:widowControl/>
                    <w:snapToGrid w:val="0"/>
                    <w:ind w:firstLine="420" w:firstLineChars="200"/>
                  </w:pPr>
                  <w:r>
                    <w:rPr>
                      <w:rFonts w:hint="eastAsia"/>
                      <w:kern w:val="0"/>
                      <w:szCs w:val="21"/>
                    </w:rPr>
                    <w:t>项目不</w:t>
                  </w:r>
                  <w:r>
                    <w:rPr>
                      <w:kern w:val="0"/>
                      <w:szCs w:val="21"/>
                    </w:rPr>
                    <w:t>在</w:t>
                  </w:r>
                  <w:r>
                    <w:rPr>
                      <w:rFonts w:hint="eastAsia"/>
                      <w:kern w:val="0"/>
                      <w:szCs w:val="21"/>
                    </w:rPr>
                    <w:t>自然保护区、风景名胜区、森林公园、饮用水水源保护区、文物古迹所在地、地质遗迹保护区、</w:t>
                  </w:r>
                  <w:r>
                    <w:rPr>
                      <w:kern w:val="0"/>
                      <w:szCs w:val="21"/>
                    </w:rPr>
                    <w:t>基本农田保护区</w:t>
                  </w:r>
                  <w:r>
                    <w:rPr>
                      <w:rFonts w:hint="eastAsia"/>
                      <w:kern w:val="0"/>
                      <w:szCs w:val="21"/>
                    </w:rPr>
                    <w:t>等重要生态保护地以及其他法律法规规定的禁采区域内</w:t>
                  </w:r>
                  <w:r>
                    <w:t>。</w:t>
                  </w:r>
                </w:p>
                <w:p w14:paraId="2F62586D">
                  <w:pPr>
                    <w:widowControl/>
                    <w:snapToGrid w:val="0"/>
                    <w:ind w:firstLine="420" w:firstLineChars="200"/>
                    <w:rPr>
                      <w:kern w:val="0"/>
                      <w:szCs w:val="21"/>
                    </w:rPr>
                  </w:pPr>
                  <w:r>
                    <w:rPr>
                      <w:rFonts w:hint="eastAsia"/>
                      <w:kern w:val="0"/>
                      <w:szCs w:val="21"/>
                    </w:rPr>
                    <w:t>2026年6月16日，磴口县防沙治沙局下发《关于中国石油天然气股份有限公司华北油田巴彦勘探开发分公司油气勘探开发项目（磴4平台井）临时占用草原的批复》（磴防治签〔2026〕928号），同意项目临时用地。</w:t>
                  </w:r>
                </w:p>
              </w:tc>
            </w:tr>
            <w:tr w14:paraId="54B9F8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21" w:type="pct"/>
                  <w:vAlign w:val="center"/>
                </w:tcPr>
                <w:p w14:paraId="2AF1102A">
                  <w:pPr>
                    <w:widowControl/>
                    <w:snapToGrid w:val="0"/>
                    <w:rPr>
                      <w:kern w:val="0"/>
                      <w:szCs w:val="21"/>
                    </w:rPr>
                  </w:pPr>
                  <w:r>
                    <w:rPr>
                      <w:kern w:val="0"/>
                      <w:szCs w:val="21"/>
                    </w:rPr>
                    <w:t>4.</w:t>
                  </w:r>
                  <w:r>
                    <w:rPr>
                      <w:rFonts w:hint="eastAsia"/>
                      <w:kern w:val="0"/>
                      <w:szCs w:val="21"/>
                    </w:rPr>
                    <w:t>2</w:t>
                  </w:r>
                </w:p>
              </w:tc>
              <w:tc>
                <w:tcPr>
                  <w:tcW w:w="2324" w:type="pct"/>
                  <w:vAlign w:val="center"/>
                </w:tcPr>
                <w:p w14:paraId="1D5BB882">
                  <w:pPr>
                    <w:widowControl/>
                    <w:snapToGrid w:val="0"/>
                    <w:rPr>
                      <w:kern w:val="0"/>
                      <w:szCs w:val="21"/>
                    </w:rPr>
                  </w:pPr>
                  <w:r>
                    <w:rPr>
                      <w:kern w:val="0"/>
                      <w:szCs w:val="21"/>
                    </w:rPr>
                    <w:t>矿产资源开发活动应符合国家</w:t>
                  </w:r>
                  <w:r>
                    <w:rPr>
                      <w:rFonts w:hint="eastAsia"/>
                      <w:kern w:val="0"/>
                      <w:szCs w:val="21"/>
                    </w:rPr>
                    <w:t>和</w:t>
                  </w:r>
                  <w:r>
                    <w:rPr>
                      <w:kern w:val="0"/>
                      <w:szCs w:val="21"/>
                    </w:rPr>
                    <w:t>区域主体功能区规划、生态功能区划、生态环境保护规划的要求，采取有效预防</w:t>
                  </w:r>
                  <w:r>
                    <w:rPr>
                      <w:rFonts w:hint="eastAsia"/>
                      <w:kern w:val="0"/>
                      <w:szCs w:val="21"/>
                    </w:rPr>
                    <w:t>和</w:t>
                  </w:r>
                  <w:r>
                    <w:rPr>
                      <w:kern w:val="0"/>
                      <w:szCs w:val="21"/>
                    </w:rPr>
                    <w:t>保护措施，避免或减轻矿产资源开发活动造成的生态破坏和环境污染。</w:t>
                  </w:r>
                </w:p>
              </w:tc>
              <w:tc>
                <w:tcPr>
                  <w:tcW w:w="2355" w:type="pct"/>
                  <w:tcMar>
                    <w:left w:w="0" w:type="dxa"/>
                    <w:right w:w="0" w:type="dxa"/>
                  </w:tcMar>
                  <w:vAlign w:val="center"/>
                </w:tcPr>
                <w:p w14:paraId="53EE5716">
                  <w:pPr>
                    <w:widowControl/>
                    <w:snapToGrid w:val="0"/>
                    <w:ind w:firstLine="420" w:firstLineChars="200"/>
                    <w:rPr>
                      <w:kern w:val="0"/>
                      <w:szCs w:val="21"/>
                    </w:rPr>
                  </w:pPr>
                  <w:r>
                    <w:rPr>
                      <w:kern w:val="0"/>
                      <w:szCs w:val="21"/>
                    </w:rPr>
                    <w:t>中华人民共和国自然资源部颁发内蒙古河套盆地吉锦油气勘查证书（</w:t>
                  </w:r>
                  <w:r>
                    <w:rPr>
                      <w:szCs w:val="21"/>
                    </w:rPr>
                    <w:t>T1000002020121018000204</w:t>
                  </w:r>
                  <w:r>
                    <w:rPr>
                      <w:kern w:val="0"/>
                      <w:szCs w:val="21"/>
                    </w:rPr>
                    <w:t>），同意中国石油天然气股份有限公司华北油田巴彦勘探开发分公司在矿权范围开展油气勘探工作。</w:t>
                  </w:r>
                </w:p>
                <w:p w14:paraId="70433B2E">
                  <w:pPr>
                    <w:widowControl/>
                    <w:snapToGrid w:val="0"/>
                    <w:ind w:firstLine="420" w:firstLineChars="200"/>
                    <w:rPr>
                      <w:kern w:val="0"/>
                      <w:szCs w:val="21"/>
                    </w:rPr>
                  </w:pPr>
                  <w:r>
                    <w:rPr>
                      <w:rFonts w:hint="eastAsia"/>
                      <w:kern w:val="0"/>
                      <w:szCs w:val="21"/>
                    </w:rPr>
                    <w:t>项目符合国家和区域主体功能区规划、生态功能区划、生态环境保护规划的要求。</w:t>
                  </w:r>
                </w:p>
                <w:p w14:paraId="79B08D92">
                  <w:pPr>
                    <w:widowControl/>
                    <w:snapToGrid w:val="0"/>
                    <w:ind w:firstLine="420" w:firstLineChars="200"/>
                    <w:rPr>
                      <w:kern w:val="0"/>
                      <w:szCs w:val="21"/>
                    </w:rPr>
                  </w:pPr>
                  <w:r>
                    <w:rPr>
                      <w:rFonts w:hint="eastAsia"/>
                      <w:kern w:val="0"/>
                      <w:szCs w:val="21"/>
                    </w:rPr>
                    <w:t>项目勘探结束后，若不具备开采价值，则进行封井封场处理，采取减缓生态环境影响措施，对临时用地进行平整、播撒草籽等，增加绿化植被的密度，减少表土裸露面积，及时将临时用地恢复为原有状态。在严格落实防治措施的前提下，可有效减轻对生态的破坏和环境污染</w:t>
                  </w:r>
                  <w:r>
                    <w:rPr>
                      <w:kern w:val="0"/>
                      <w:szCs w:val="21"/>
                    </w:rPr>
                    <w:t>。</w:t>
                  </w:r>
                </w:p>
              </w:tc>
            </w:tr>
            <w:tr w14:paraId="7FEBD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614" w:hRule="atLeast"/>
                <w:jc w:val="center"/>
              </w:trPr>
              <w:tc>
                <w:tcPr>
                  <w:tcW w:w="321" w:type="pct"/>
                  <w:vAlign w:val="center"/>
                </w:tcPr>
                <w:p w14:paraId="3718B07E">
                  <w:pPr>
                    <w:widowControl/>
                    <w:snapToGrid w:val="0"/>
                    <w:rPr>
                      <w:rFonts w:hAnsi="宋体"/>
                      <w:kern w:val="0"/>
                      <w:szCs w:val="21"/>
                    </w:rPr>
                  </w:pPr>
                  <w:r>
                    <w:rPr>
                      <w:rFonts w:hint="eastAsia" w:hAnsi="宋体"/>
                      <w:kern w:val="0"/>
                      <w:szCs w:val="21"/>
                    </w:rPr>
                    <w:t>4.3</w:t>
                  </w:r>
                </w:p>
              </w:tc>
              <w:tc>
                <w:tcPr>
                  <w:tcW w:w="2324" w:type="pct"/>
                  <w:vAlign w:val="center"/>
                </w:tcPr>
                <w:p w14:paraId="4F1C70DC">
                  <w:pPr>
                    <w:widowControl/>
                    <w:snapToGrid w:val="0"/>
                    <w:rPr>
                      <w:kern w:val="0"/>
                      <w:szCs w:val="21"/>
                    </w:rPr>
                  </w:pPr>
                  <w:r>
                    <w:rPr>
                      <w:rFonts w:hint="eastAsia"/>
                      <w:kern w:val="0"/>
                      <w:szCs w:val="21"/>
                    </w:rPr>
                    <w:t>坚持“预防为主、防治结合、过程控制”的原则，将矿山生态环境保护与恢复治理贯穿矿产资源开发的全过程。根据矿山生态环境保护与恢复治理的重点任务，合理确定矿山生态保护与恢复治理分区，优化矿山生产与生活空间格局。采用新技术、新方法、新工艺提高矿山生态环境保护和恢复治理水平。</w:t>
                  </w:r>
                </w:p>
              </w:tc>
              <w:tc>
                <w:tcPr>
                  <w:tcW w:w="2355" w:type="pct"/>
                  <w:vAlign w:val="center"/>
                </w:tcPr>
                <w:p w14:paraId="599D0647">
                  <w:pPr>
                    <w:widowControl/>
                    <w:snapToGrid w:val="0"/>
                    <w:ind w:firstLine="420" w:firstLineChars="200"/>
                    <w:rPr>
                      <w:kern w:val="0"/>
                      <w:szCs w:val="21"/>
                    </w:rPr>
                  </w:pPr>
                  <w:r>
                    <w:rPr>
                      <w:kern w:val="0"/>
                      <w:szCs w:val="21"/>
                    </w:rPr>
                    <w:t>项目在实施过程中坚持</w:t>
                  </w:r>
                  <w:r>
                    <w:rPr>
                      <w:rFonts w:hint="eastAsia"/>
                      <w:kern w:val="0"/>
                      <w:szCs w:val="21"/>
                    </w:rPr>
                    <w:t>“</w:t>
                  </w:r>
                  <w:r>
                    <w:rPr>
                      <w:kern w:val="0"/>
                      <w:szCs w:val="21"/>
                    </w:rPr>
                    <w:t>预防为主、防治结合、过程控制</w:t>
                  </w:r>
                  <w:r>
                    <w:rPr>
                      <w:rFonts w:hint="eastAsia"/>
                      <w:kern w:val="0"/>
                      <w:szCs w:val="21"/>
                    </w:rPr>
                    <w:t>”</w:t>
                  </w:r>
                  <w:r>
                    <w:rPr>
                      <w:kern w:val="0"/>
                      <w:szCs w:val="21"/>
                    </w:rPr>
                    <w:t>的原则，将生态环境保护与恢复治理贯</w:t>
                  </w:r>
                  <w:r>
                    <w:rPr>
                      <w:kern w:val="0"/>
                      <w:szCs w:val="21"/>
                    </w:rPr>
                    <w:cr/>
                  </w:r>
                  <w:r>
                    <w:rPr>
                      <w:kern w:val="0"/>
                      <w:szCs w:val="21"/>
                    </w:rPr>
                    <w:t>油气资源开发的全过程。</w:t>
                  </w:r>
                </w:p>
              </w:tc>
            </w:tr>
            <w:tr w14:paraId="652CB0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16" w:hRule="atLeast"/>
                <w:jc w:val="center"/>
              </w:trPr>
              <w:tc>
                <w:tcPr>
                  <w:tcW w:w="321" w:type="pct"/>
                  <w:vAlign w:val="center"/>
                </w:tcPr>
                <w:p w14:paraId="109E7EC7">
                  <w:pPr>
                    <w:widowControl/>
                    <w:snapToGrid w:val="0"/>
                    <w:rPr>
                      <w:kern w:val="0"/>
                      <w:szCs w:val="21"/>
                    </w:rPr>
                  </w:pPr>
                  <w:r>
                    <w:rPr>
                      <w:kern w:val="0"/>
                      <w:szCs w:val="21"/>
                    </w:rPr>
                    <w:cr/>
                  </w:r>
                  <w:r>
                    <w:rPr>
                      <w:kern w:val="0"/>
                      <w:szCs w:val="21"/>
                    </w:rPr>
                    <w:t>.7</w:t>
                  </w:r>
                </w:p>
              </w:tc>
              <w:tc>
                <w:tcPr>
                  <w:tcW w:w="2324" w:type="pct"/>
                  <w:vAlign w:val="center"/>
                </w:tcPr>
                <w:p w14:paraId="49323948">
                  <w:pPr>
                    <w:widowControl/>
                    <w:snapToGrid w:val="0"/>
                    <w:rPr>
                      <w:kern w:val="0"/>
                      <w:szCs w:val="21"/>
                    </w:rPr>
                  </w:pPr>
                  <w:r>
                    <w:rPr>
                      <w:kern w:val="0"/>
                      <w:szCs w:val="21"/>
                    </w:rPr>
                    <w:t>采矿产生的固体废物，应在专用场所堆放，并采取措施防止二次污染；禁止向河流、湖泊、水库等水体及行洪渠道排放岩土、含油垃圾、泥浆、煤渣、煤</w:t>
                  </w:r>
                  <w:r>
                    <w:rPr>
                      <w:rFonts w:hint="eastAsia"/>
                      <w:kern w:val="0"/>
                      <w:szCs w:val="21"/>
                    </w:rPr>
                    <w:t>矸</w:t>
                  </w:r>
                  <w:r>
                    <w:rPr>
                      <w:kern w:val="0"/>
                      <w:szCs w:val="21"/>
                    </w:rPr>
                    <w:t>石和其他固体废物。</w:t>
                  </w:r>
                </w:p>
              </w:tc>
              <w:tc>
                <w:tcPr>
                  <w:tcW w:w="2355" w:type="pct"/>
                  <w:vAlign w:val="center"/>
                </w:tcPr>
                <w:p w14:paraId="731C2474">
                  <w:pPr>
                    <w:widowControl/>
                    <w:snapToGrid w:val="0"/>
                    <w:ind w:firstLine="420" w:firstLineChars="200"/>
                    <w:rPr>
                      <w:kern w:val="0"/>
                      <w:szCs w:val="21"/>
                    </w:rPr>
                  </w:pPr>
                  <w:r>
                    <w:rPr>
                      <w:rFonts w:hint="eastAsia"/>
                      <w:kern w:val="0"/>
                      <w:szCs w:val="21"/>
                    </w:rPr>
                    <w:t>项目采用泥浆不落地循环系统装置，产生的废弃泥浆、钻井岩屑拉运至内蒙古众宁环保科技有限公司油气田废弃物集中处理厂处理</w:t>
                  </w:r>
                  <w:r>
                    <w:rPr>
                      <w:bCs/>
                      <w:kern w:val="0"/>
                      <w:szCs w:val="21"/>
                    </w:rPr>
                    <w:t>。</w:t>
                  </w:r>
                </w:p>
              </w:tc>
            </w:tr>
            <w:tr w14:paraId="60AD1B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77" w:hRule="atLeast"/>
                <w:jc w:val="center"/>
              </w:trPr>
              <w:tc>
                <w:tcPr>
                  <w:tcW w:w="321" w:type="pct"/>
                  <w:vAlign w:val="center"/>
                </w:tcPr>
                <w:p w14:paraId="0241D9BF">
                  <w:pPr>
                    <w:widowControl/>
                    <w:snapToGrid w:val="0"/>
                    <w:rPr>
                      <w:kern w:val="0"/>
                      <w:szCs w:val="21"/>
                    </w:rPr>
                  </w:pPr>
                  <w:r>
                    <w:rPr>
                      <w:kern w:val="0"/>
                      <w:szCs w:val="21"/>
                    </w:rPr>
                    <w:t>5.8</w:t>
                  </w:r>
                </w:p>
              </w:tc>
              <w:tc>
                <w:tcPr>
                  <w:tcW w:w="2324" w:type="pct"/>
                  <w:vAlign w:val="center"/>
                </w:tcPr>
                <w:p w14:paraId="37EFF917">
                  <w:pPr>
                    <w:widowControl/>
                    <w:snapToGrid w:val="0"/>
                    <w:rPr>
                      <w:kern w:val="0"/>
                      <w:szCs w:val="21"/>
                    </w:rPr>
                  </w:pPr>
                  <w:r>
                    <w:rPr>
                      <w:kern w:val="0"/>
                      <w:szCs w:val="21"/>
                    </w:rPr>
                    <w:t>评估采矿活动对地表</w:t>
                  </w:r>
                  <w:r>
                    <w:rPr>
                      <w:rFonts w:hint="eastAsia"/>
                      <w:kern w:val="0"/>
                      <w:szCs w:val="21"/>
                    </w:rPr>
                    <w:t>水</w:t>
                  </w:r>
                  <w:r>
                    <w:rPr>
                      <w:kern w:val="0"/>
                      <w:szCs w:val="21"/>
                    </w:rPr>
                    <w:t>和地下水的影响，避免破坏流域水平衡</w:t>
                  </w:r>
                  <w:r>
                    <w:rPr>
                      <w:rFonts w:hint="eastAsia"/>
                      <w:kern w:val="0"/>
                      <w:szCs w:val="21"/>
                    </w:rPr>
                    <w:t>和</w:t>
                  </w:r>
                  <w:r>
                    <w:rPr>
                      <w:kern w:val="0"/>
                      <w:szCs w:val="21"/>
                    </w:rPr>
                    <w:t>污染水环境；采矿区与河道之间应保留环境安全距离，防止采</w:t>
                  </w:r>
                  <w:r>
                    <w:rPr>
                      <w:rFonts w:hint="eastAsia"/>
                      <w:kern w:val="0"/>
                      <w:szCs w:val="21"/>
                    </w:rPr>
                    <w:t>矿</w:t>
                  </w:r>
                  <w:r>
                    <w:rPr>
                      <w:kern w:val="0"/>
                      <w:szCs w:val="21"/>
                    </w:rPr>
                    <w:t>对河流生物、河岸植被、河流水环境功能和防洪安全造成破坏性影响。</w:t>
                  </w:r>
                </w:p>
              </w:tc>
              <w:tc>
                <w:tcPr>
                  <w:tcW w:w="2355" w:type="pct"/>
                  <w:vAlign w:val="center"/>
                </w:tcPr>
                <w:p w14:paraId="5896BF5C">
                  <w:pPr>
                    <w:snapToGrid w:val="0"/>
                    <w:ind w:firstLine="420" w:firstLineChars="200"/>
                    <w:rPr>
                      <w:kern w:val="0"/>
                      <w:szCs w:val="21"/>
                    </w:rPr>
                  </w:pPr>
                  <w:r>
                    <w:rPr>
                      <w:rFonts w:hint="eastAsia"/>
                      <w:kern w:val="0"/>
                      <w:szCs w:val="21"/>
                    </w:rPr>
                    <w:t>项目施工过程产生的废弃泥浆、钻井岩屑拉运至内蒙古众宁环保科技有限公司油气田废弃物集中处理厂处理，经压滤产生的废水拉运至有资质单位处理</w:t>
                  </w:r>
                  <w:r>
                    <w:rPr>
                      <w:kern w:val="0"/>
                      <w:szCs w:val="21"/>
                    </w:rPr>
                    <w:t>，不会对地表水环境造成不利影响。</w:t>
                  </w:r>
                </w:p>
                <w:p w14:paraId="26A42C70">
                  <w:pPr>
                    <w:snapToGrid w:val="0"/>
                    <w:ind w:firstLine="420" w:firstLineChars="200"/>
                    <w:rPr>
                      <w:kern w:val="0"/>
                      <w:szCs w:val="21"/>
                    </w:rPr>
                  </w:pPr>
                  <w:r>
                    <w:rPr>
                      <w:kern w:val="0"/>
                      <w:szCs w:val="21"/>
                    </w:rPr>
                    <w:t>项目钻进过程中保持平衡操作，并对钻井</w:t>
                  </w:r>
                  <w:r>
                    <w:rPr>
                      <w:rFonts w:hint="eastAsia"/>
                      <w:kern w:val="0"/>
                      <w:szCs w:val="21"/>
                    </w:rPr>
                    <w:t>泥浆</w:t>
                  </w:r>
                  <w:r>
                    <w:rPr>
                      <w:kern w:val="0"/>
                      <w:szCs w:val="21"/>
                    </w:rPr>
                    <w:t>进行实时监控，并采用无毒的钻井</w:t>
                  </w:r>
                  <w:r>
                    <w:rPr>
                      <w:rFonts w:hint="eastAsia"/>
                      <w:kern w:val="0"/>
                      <w:szCs w:val="21"/>
                    </w:rPr>
                    <w:t>泥浆</w:t>
                  </w:r>
                  <w:r>
                    <w:rPr>
                      <w:kern w:val="0"/>
                      <w:szCs w:val="21"/>
                    </w:rPr>
                    <w:t>，配备足够量、高效的堵漏剂等，防止钻井</w:t>
                  </w:r>
                  <w:r>
                    <w:rPr>
                      <w:rFonts w:hint="eastAsia"/>
                      <w:kern w:val="0"/>
                      <w:szCs w:val="21"/>
                    </w:rPr>
                    <w:t>泥浆</w:t>
                  </w:r>
                  <w:r>
                    <w:rPr>
                      <w:kern w:val="0"/>
                      <w:szCs w:val="21"/>
                    </w:rPr>
                    <w:t>泄漏。每次钻井结束后的固井作业可有效封隔地层与套管之间的环空，防止污染地下水。作业用材料集中放置在防渗漏地面，防止对地下水的污染。</w:t>
                  </w:r>
                </w:p>
              </w:tc>
            </w:tr>
            <w:tr w14:paraId="163FF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525" w:hRule="atLeast"/>
                <w:jc w:val="center"/>
              </w:trPr>
              <w:tc>
                <w:tcPr>
                  <w:tcW w:w="321" w:type="pct"/>
                  <w:vAlign w:val="center"/>
                </w:tcPr>
                <w:p w14:paraId="1D8D9DF6">
                  <w:pPr>
                    <w:widowControl/>
                    <w:snapToGrid w:val="0"/>
                    <w:rPr>
                      <w:kern w:val="0"/>
                      <w:szCs w:val="21"/>
                    </w:rPr>
                  </w:pPr>
                  <w:r>
                    <w:rPr>
                      <w:kern w:val="0"/>
                      <w:szCs w:val="21"/>
                    </w:rPr>
                    <w:t>5</w:t>
                  </w:r>
                  <w:r>
                    <w:rPr>
                      <w:kern w:val="0"/>
                      <w:szCs w:val="21"/>
                    </w:rPr>
                    <w:cr/>
                  </w:r>
                  <w:r>
                    <w:rPr>
                      <w:kern w:val="0"/>
                      <w:szCs w:val="21"/>
                    </w:rPr>
                    <w:t>9</w:t>
                  </w:r>
                </w:p>
              </w:tc>
              <w:tc>
                <w:tcPr>
                  <w:tcW w:w="2324" w:type="pct"/>
                  <w:vAlign w:val="center"/>
                </w:tcPr>
                <w:p w14:paraId="33482D65">
                  <w:pPr>
                    <w:widowControl/>
                    <w:snapToGrid w:val="0"/>
                    <w:rPr>
                      <w:kern w:val="0"/>
                      <w:szCs w:val="21"/>
                    </w:rPr>
                  </w:pPr>
                  <w:r>
                    <w:rPr>
                      <w:kern w:val="0"/>
                      <w:szCs w:val="21"/>
                    </w:rPr>
                    <w:t>矿区专用道路选线应绕避环境敏感区和环境敏</w:t>
                  </w:r>
                  <w:r>
                    <w:rPr>
                      <w:rFonts w:hint="eastAsia"/>
                      <w:kern w:val="0"/>
                      <w:szCs w:val="21"/>
                    </w:rPr>
                    <w:t>感</w:t>
                  </w:r>
                  <w:r>
                    <w:rPr>
                      <w:kern w:val="0"/>
                      <w:szCs w:val="21"/>
                    </w:rPr>
                    <w:t>点，防止对环境保护目标造成不利影响。</w:t>
                  </w:r>
                </w:p>
              </w:tc>
              <w:tc>
                <w:tcPr>
                  <w:tcW w:w="2355" w:type="pct"/>
                  <w:vAlign w:val="center"/>
                </w:tcPr>
                <w:p w14:paraId="34F45A70">
                  <w:pPr>
                    <w:widowControl/>
                    <w:snapToGrid w:val="0"/>
                    <w:ind w:firstLine="420" w:firstLineChars="200"/>
                    <w:rPr>
                      <w:kern w:val="0"/>
                      <w:szCs w:val="21"/>
                    </w:rPr>
                  </w:pPr>
                  <w:r>
                    <w:rPr>
                      <w:rFonts w:hint="eastAsia"/>
                      <w:kern w:val="0"/>
                      <w:szCs w:val="21"/>
                    </w:rPr>
                    <w:t>项目充分利用现有乡村道路，无需新建进场道路。运输车辆通过乡村道路时减速慢行，合理调配车辆来往行车密度，避免对乡村道路沿线村庄等造成不利影响</w:t>
                  </w:r>
                  <w:r>
                    <w:rPr>
                      <w:kern w:val="0"/>
                      <w:szCs w:val="21"/>
                    </w:rPr>
                    <w:t>。</w:t>
                  </w:r>
                </w:p>
              </w:tc>
            </w:tr>
            <w:tr w14:paraId="6E892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54" w:hRule="atLeast"/>
                <w:jc w:val="center"/>
              </w:trPr>
              <w:tc>
                <w:tcPr>
                  <w:tcW w:w="321" w:type="pct"/>
                  <w:vAlign w:val="center"/>
                </w:tcPr>
                <w:p w14:paraId="7D9F8198">
                  <w:pPr>
                    <w:widowControl/>
                    <w:snapToGrid w:val="0"/>
                    <w:rPr>
                      <w:kern w:val="0"/>
                      <w:szCs w:val="21"/>
                    </w:rPr>
                  </w:pPr>
                  <w:r>
                    <w:rPr>
                      <w:kern w:val="0"/>
                      <w:szCs w:val="21"/>
                    </w:rPr>
                    <w:t>5.10</w:t>
                  </w:r>
                </w:p>
              </w:tc>
              <w:tc>
                <w:tcPr>
                  <w:tcW w:w="2324" w:type="pct"/>
                  <w:vAlign w:val="center"/>
                </w:tcPr>
                <w:p w14:paraId="367EA41B">
                  <w:pPr>
                    <w:widowControl/>
                    <w:snapToGrid w:val="0"/>
                    <w:rPr>
                      <w:kern w:val="0"/>
                      <w:szCs w:val="21"/>
                    </w:rPr>
                  </w:pPr>
                  <w:r>
                    <w:rPr>
                      <w:kern w:val="0"/>
                      <w:szCs w:val="21"/>
                    </w:rPr>
                    <w:t>对矿区耕作土壤的剥离，应对耕作层和心土层单独剥离与回填，表土剥离厚度一般情况下不少于30cm；对矿区非耕作土壤的采集，应对表土层进行单独剥离，如果表</w:t>
                  </w:r>
                  <w:r>
                    <w:rPr>
                      <w:rFonts w:hint="eastAsia"/>
                      <w:kern w:val="0"/>
                      <w:szCs w:val="21"/>
                    </w:rPr>
                    <w:t>土</w:t>
                  </w:r>
                  <w:r>
                    <w:rPr>
                      <w:kern w:val="0"/>
                      <w:szCs w:val="21"/>
                    </w:rPr>
                    <w:t>层厚度小于20cm，则将表土层及其下面贴近的心土层一起构成的至少20cm厚的土层进行单独剥离；高寒区表土剥离应保留好草皮层，剥离厚度不少于20cm。剥离的表层土壤不能及时铺覆到已整</w:t>
                  </w:r>
                  <w:r>
                    <w:rPr>
                      <w:rFonts w:hint="eastAsia"/>
                      <w:kern w:val="0"/>
                      <w:szCs w:val="21"/>
                    </w:rPr>
                    <w:t>治</w:t>
                  </w:r>
                  <w:r>
                    <w:rPr>
                      <w:kern w:val="0"/>
                      <w:szCs w:val="21"/>
                    </w:rPr>
                    <w:t>场地的，应选择</w:t>
                  </w:r>
                  <w:r>
                    <w:rPr>
                      <w:kern w:val="0"/>
                      <w:szCs w:val="21"/>
                    </w:rPr>
                    <w:cr/>
                  </w:r>
                  <w:r>
                    <w:rPr>
                      <w:kern w:val="0"/>
                      <w:szCs w:val="21"/>
                    </w:rPr>
                    <w:t>宜的场地进行堆存，并采取围挡等措施防止水土流失。</w:t>
                  </w:r>
                </w:p>
              </w:tc>
              <w:tc>
                <w:tcPr>
                  <w:tcW w:w="2355" w:type="pct"/>
                  <w:vAlign w:val="center"/>
                </w:tcPr>
                <w:p w14:paraId="36D41113">
                  <w:pPr>
                    <w:widowControl/>
                    <w:snapToGrid w:val="0"/>
                    <w:ind w:firstLine="420" w:firstLineChars="200"/>
                    <w:rPr>
                      <w:kern w:val="0"/>
                      <w:szCs w:val="21"/>
                    </w:rPr>
                  </w:pPr>
                  <w:r>
                    <w:rPr>
                      <w:rFonts w:hint="eastAsia"/>
                      <w:kern w:val="0"/>
                      <w:szCs w:val="21"/>
                    </w:rPr>
                    <w:t>根据土地勘测定界技术报告书，临时用地地类为天然牧草地、其他草地</w:t>
                  </w:r>
                  <w:r>
                    <w:rPr>
                      <w:kern w:val="0"/>
                      <w:szCs w:val="21"/>
                    </w:rPr>
                    <w:t>。施工前对表土进行剥离和堆存，剥离厚度为</w:t>
                  </w:r>
                  <w:r>
                    <w:rPr>
                      <w:rFonts w:hint="eastAsia"/>
                      <w:kern w:val="0"/>
                      <w:szCs w:val="21"/>
                    </w:rPr>
                    <w:t>2</w:t>
                  </w:r>
                  <w:r>
                    <w:rPr>
                      <w:kern w:val="0"/>
                      <w:szCs w:val="21"/>
                    </w:rPr>
                    <w:t>0cm</w:t>
                  </w:r>
                  <w:r>
                    <w:rPr>
                      <w:rFonts w:hint="eastAsia"/>
                      <w:kern w:val="0"/>
                      <w:szCs w:val="21"/>
                    </w:rPr>
                    <w:t>，</w:t>
                  </w:r>
                  <w:r>
                    <w:rPr>
                      <w:kern w:val="0"/>
                      <w:szCs w:val="21"/>
                    </w:rPr>
                    <w:t>将表土集中堆放在不影响临时用地使用的边界处。表土堆存区</w:t>
                  </w:r>
                  <w:r>
                    <w:rPr>
                      <w:rFonts w:hint="eastAsia"/>
                      <w:kern w:val="0"/>
                      <w:szCs w:val="21"/>
                    </w:rPr>
                    <w:t>为20</w:t>
                  </w:r>
                  <w:r>
                    <w:rPr>
                      <w:kern w:val="0"/>
                      <w:szCs w:val="21"/>
                    </w:rPr>
                    <w:t>×</w:t>
                  </w:r>
                  <w:r>
                    <w:rPr>
                      <w:rFonts w:hint="eastAsia"/>
                      <w:szCs w:val="21"/>
                    </w:rPr>
                    <w:t>30</w:t>
                  </w:r>
                  <w:r>
                    <w:rPr>
                      <w:szCs w:val="21"/>
                    </w:rPr>
                    <w:t>m</w:t>
                  </w:r>
                  <w:r>
                    <w:rPr>
                      <w:kern w:val="0"/>
                      <w:szCs w:val="21"/>
                    </w:rPr>
                    <w:t>，采用</w:t>
                  </w:r>
                  <w:r>
                    <w:rPr>
                      <w:rFonts w:hint="eastAsia"/>
                      <w:kern w:val="0"/>
                      <w:szCs w:val="21"/>
                    </w:rPr>
                    <w:t>密目网遮盖</w:t>
                  </w:r>
                  <w:r>
                    <w:rPr>
                      <w:kern w:val="0"/>
                      <w:szCs w:val="21"/>
                    </w:rPr>
                    <w:t>，以加强表土土堆的稳定性，防止水土流失。</w:t>
                  </w:r>
                </w:p>
              </w:tc>
            </w:tr>
            <w:tr w14:paraId="148D5B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268" w:hRule="atLeast"/>
                <w:jc w:val="center"/>
              </w:trPr>
              <w:tc>
                <w:tcPr>
                  <w:tcW w:w="321" w:type="pct"/>
                  <w:vAlign w:val="center"/>
                </w:tcPr>
                <w:p w14:paraId="4CFAF763">
                  <w:pPr>
                    <w:widowControl/>
                    <w:snapToGrid w:val="0"/>
                    <w:rPr>
                      <w:kern w:val="0"/>
                      <w:szCs w:val="21"/>
                    </w:rPr>
                  </w:pPr>
                  <w:r>
                    <w:rPr>
                      <w:kern w:val="0"/>
                      <w:szCs w:val="21"/>
                    </w:rPr>
                    <w:t>6.1</w:t>
                  </w:r>
                </w:p>
              </w:tc>
              <w:tc>
                <w:tcPr>
                  <w:tcW w:w="2324" w:type="pct"/>
                  <w:vAlign w:val="center"/>
                </w:tcPr>
                <w:p w14:paraId="2DE0AB48">
                  <w:pPr>
                    <w:widowControl/>
                    <w:snapToGrid w:val="0"/>
                    <w:rPr>
                      <w:kern w:val="0"/>
                      <w:szCs w:val="21"/>
                    </w:rPr>
                  </w:pPr>
                  <w:r>
                    <w:rPr>
                      <w:kern w:val="0"/>
                      <w:szCs w:val="21"/>
                    </w:rPr>
                    <w:t>探矿活动结束后，应根据</w:t>
                  </w:r>
                  <w:r>
                    <w:rPr>
                      <w:rFonts w:hint="eastAsia"/>
                      <w:kern w:val="0"/>
                      <w:szCs w:val="21"/>
                    </w:rPr>
                    <w:t>景</w:t>
                  </w:r>
                  <w:r>
                    <w:rPr>
                      <w:kern w:val="0"/>
                      <w:szCs w:val="21"/>
                    </w:rPr>
                    <w:t>观相似原则，对探矿活动造成的土壤、植被和地表景观破坏进行恢复。</w:t>
                  </w:r>
                </w:p>
              </w:tc>
              <w:tc>
                <w:tcPr>
                  <w:tcW w:w="2355" w:type="pct"/>
                  <w:vAlign w:val="center"/>
                </w:tcPr>
                <w:p w14:paraId="74B98617">
                  <w:pPr>
                    <w:widowControl/>
                    <w:snapToGrid w:val="0"/>
                    <w:ind w:firstLine="420" w:firstLineChars="200"/>
                    <w:rPr>
                      <w:kern w:val="0"/>
                      <w:szCs w:val="21"/>
                    </w:rPr>
                  </w:pPr>
                  <w:r>
                    <w:rPr>
                      <w:kern w:val="0"/>
                      <w:szCs w:val="21"/>
                    </w:rPr>
                    <w:t>根据勘探结果，不具备开采价值的井口进行永久封井，</w:t>
                  </w:r>
                  <w:r>
                    <w:rPr>
                      <w:rFonts w:hint="eastAsia"/>
                      <w:kern w:val="0"/>
                      <w:szCs w:val="21"/>
                    </w:rPr>
                    <w:t>对临时用地进行平整、播撒草籽等，及时将临时用地恢复为原有状态</w:t>
                  </w:r>
                  <w:r>
                    <w:rPr>
                      <w:kern w:val="0"/>
                      <w:szCs w:val="21"/>
                    </w:rPr>
                    <w:t>。</w:t>
                  </w:r>
                </w:p>
                <w:p w14:paraId="1F35545F">
                  <w:pPr>
                    <w:widowControl/>
                    <w:snapToGrid w:val="0"/>
                    <w:ind w:firstLine="420" w:firstLineChars="200"/>
                    <w:rPr>
                      <w:kern w:val="0"/>
                      <w:szCs w:val="21"/>
                    </w:rPr>
                  </w:pPr>
                  <w:r>
                    <w:rPr>
                      <w:kern w:val="0"/>
                      <w:szCs w:val="21"/>
                    </w:rPr>
                    <w:t>具有开采价值，则保留试</w:t>
                  </w:r>
                  <w:r>
                    <w:rPr>
                      <w:rFonts w:hint="eastAsia"/>
                      <w:kern w:val="0"/>
                      <w:szCs w:val="21"/>
                    </w:rPr>
                    <w:t>油</w:t>
                  </w:r>
                  <w:r>
                    <w:rPr>
                      <w:kern w:val="0"/>
                      <w:szCs w:val="21"/>
                    </w:rPr>
                    <w:t>井场和进场道路，移交相关部门转作开发井处理，后期若利用勘探井从事生产等活动，需另行履行环保手续。</w:t>
                  </w:r>
                </w:p>
              </w:tc>
            </w:tr>
            <w:tr w14:paraId="774A5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289" w:hRule="atLeast"/>
                <w:jc w:val="center"/>
              </w:trPr>
              <w:tc>
                <w:tcPr>
                  <w:tcW w:w="321" w:type="pct"/>
                  <w:vAlign w:val="center"/>
                </w:tcPr>
                <w:p w14:paraId="66F4EE9C">
                  <w:pPr>
                    <w:widowControl/>
                    <w:snapToGrid w:val="0"/>
                    <w:rPr>
                      <w:kern w:val="0"/>
                      <w:szCs w:val="21"/>
                    </w:rPr>
                  </w:pPr>
                  <w:r>
                    <w:rPr>
                      <w:kern w:val="0"/>
                      <w:szCs w:val="21"/>
                    </w:rPr>
                    <w:t>6.2</w:t>
                  </w:r>
                </w:p>
              </w:tc>
              <w:tc>
                <w:tcPr>
                  <w:tcW w:w="2324" w:type="pct"/>
                  <w:vAlign w:val="center"/>
                </w:tcPr>
                <w:p w14:paraId="396702AE">
                  <w:pPr>
                    <w:widowControl/>
                    <w:snapToGrid w:val="0"/>
                    <w:rPr>
                      <w:kern w:val="0"/>
                      <w:szCs w:val="21"/>
                    </w:rPr>
                  </w:pPr>
                  <w:r>
                    <w:rPr>
                      <w:kern w:val="0"/>
                      <w:szCs w:val="21"/>
                    </w:rPr>
                    <w:t>对水文地质条件</w:t>
                  </w:r>
                  <w:r>
                    <w:rPr>
                      <w:rFonts w:hint="eastAsia"/>
                      <w:kern w:val="0"/>
                      <w:szCs w:val="21"/>
                    </w:rPr>
                    <w:t>、</w:t>
                  </w:r>
                  <w:r>
                    <w:rPr>
                      <w:kern w:val="0"/>
                      <w:szCs w:val="21"/>
                    </w:rPr>
                    <w:t>土地耕作及道路安全有影响或位于江、河、湖、海防护堤或重要建筑物附近</w:t>
                  </w:r>
                  <w:r>
                    <w:rPr>
                      <w:rFonts w:hint="eastAsia"/>
                      <w:kern w:val="0"/>
                      <w:szCs w:val="21"/>
                    </w:rPr>
                    <w:t>的</w:t>
                  </w:r>
                  <w:r>
                    <w:rPr>
                      <w:kern w:val="0"/>
                      <w:szCs w:val="21"/>
                    </w:rPr>
                    <w:t>钻孔或坑井应予回填封闭，并恢复其原有生态</w:t>
                  </w:r>
                  <w:r>
                    <w:rPr>
                      <w:rFonts w:hint="eastAsia"/>
                      <w:kern w:val="0"/>
                      <w:szCs w:val="21"/>
                    </w:rPr>
                    <w:t>功</w:t>
                  </w:r>
                  <w:r>
                    <w:rPr>
                      <w:kern w:val="0"/>
                      <w:szCs w:val="21"/>
                    </w:rPr>
                    <w:t>能。</w:t>
                  </w:r>
                </w:p>
              </w:tc>
              <w:tc>
                <w:tcPr>
                  <w:tcW w:w="2355" w:type="pct"/>
                  <w:vAlign w:val="center"/>
                </w:tcPr>
                <w:p w14:paraId="241399A5">
                  <w:pPr>
                    <w:widowControl/>
                    <w:snapToGrid w:val="0"/>
                    <w:ind w:firstLine="420" w:firstLineChars="200"/>
                    <w:rPr>
                      <w:kern w:val="0"/>
                      <w:szCs w:val="21"/>
                    </w:rPr>
                  </w:pPr>
                  <w:r>
                    <w:rPr>
                      <w:kern w:val="0"/>
                      <w:szCs w:val="21"/>
                    </w:rPr>
                    <w:t>项目</w:t>
                  </w:r>
                  <w:r>
                    <w:rPr>
                      <w:rFonts w:hint="eastAsia"/>
                      <w:kern w:val="0"/>
                      <w:szCs w:val="21"/>
                    </w:rPr>
                    <w:t>整个井身均采用了套管固封和水泥固井，在进行水泥和套管固封后含水层的地下水不会经井身发生漏失，不会改变区域地下水流场。</w:t>
                  </w:r>
                </w:p>
                <w:p w14:paraId="578BF306">
                  <w:pPr>
                    <w:widowControl/>
                    <w:snapToGrid w:val="0"/>
                    <w:ind w:firstLine="420" w:firstLineChars="200"/>
                    <w:rPr>
                      <w:kern w:val="0"/>
                      <w:szCs w:val="21"/>
                    </w:rPr>
                  </w:pPr>
                  <w:r>
                    <w:rPr>
                      <w:rFonts w:hint="eastAsia"/>
                      <w:kern w:val="0"/>
                      <w:szCs w:val="21"/>
                    </w:rPr>
                    <w:t>勘探结束后，若具有开采价值，则转为产能井；若不具备开采价值，则进行封井封场处理，对临时用地进行地表清理、平整、播撒草籽等措施，及时将临时用地恢复为原有状态。</w:t>
                  </w:r>
                </w:p>
                <w:p w14:paraId="019F111D">
                  <w:pPr>
                    <w:widowControl/>
                    <w:snapToGrid w:val="0"/>
                    <w:ind w:firstLine="420" w:firstLineChars="200"/>
                    <w:rPr>
                      <w:kern w:val="0"/>
                      <w:szCs w:val="21"/>
                    </w:rPr>
                  </w:pPr>
                  <w:r>
                    <w:rPr>
                      <w:kern w:val="0"/>
                      <w:szCs w:val="21"/>
                    </w:rPr>
                    <w:t>因此</w:t>
                  </w:r>
                  <w:r>
                    <w:rPr>
                      <w:rFonts w:hint="eastAsia"/>
                      <w:kern w:val="0"/>
                      <w:szCs w:val="21"/>
                    </w:rPr>
                    <w:t>，</w:t>
                  </w:r>
                  <w:r>
                    <w:rPr>
                      <w:kern w:val="0"/>
                      <w:szCs w:val="21"/>
                    </w:rPr>
                    <w:t>不会对水文地质条件</w:t>
                  </w:r>
                  <w:r>
                    <w:rPr>
                      <w:rFonts w:hint="eastAsia"/>
                      <w:kern w:val="0"/>
                      <w:szCs w:val="21"/>
                    </w:rPr>
                    <w:t>、</w:t>
                  </w:r>
                  <w:r>
                    <w:rPr>
                      <w:kern w:val="0"/>
                      <w:szCs w:val="21"/>
                    </w:rPr>
                    <w:t>土地耕作及道路安全产生不利影响，附近无</w:t>
                  </w:r>
                  <w:r>
                    <w:rPr>
                      <w:rFonts w:hint="eastAsia"/>
                      <w:kern w:val="0"/>
                      <w:szCs w:val="21"/>
                    </w:rPr>
                    <w:t>江</w:t>
                  </w:r>
                  <w:r>
                    <w:rPr>
                      <w:kern w:val="0"/>
                      <w:szCs w:val="21"/>
                    </w:rPr>
                    <w:t>、湖、海防护堤或重要建筑物。</w:t>
                  </w:r>
                </w:p>
              </w:tc>
            </w:tr>
          </w:tbl>
          <w:p w14:paraId="4296D3FD">
            <w:pPr>
              <w:adjustRightInd w:val="0"/>
              <w:snapToGrid w:val="0"/>
              <w:spacing w:line="360" w:lineRule="auto"/>
              <w:ind w:firstLine="482" w:firstLineChars="200"/>
              <w:rPr>
                <w:b/>
                <w:sz w:val="24"/>
              </w:rPr>
            </w:pPr>
            <w:r>
              <w:rPr>
                <w:rFonts w:hint="eastAsia"/>
                <w:b/>
                <w:sz w:val="24"/>
              </w:rPr>
              <w:t>8、《绿色勘查指南》</w:t>
            </w:r>
          </w:p>
          <w:p w14:paraId="2C9B73EB">
            <w:pPr>
              <w:adjustRightInd w:val="0"/>
              <w:snapToGrid w:val="0"/>
              <w:spacing w:line="360" w:lineRule="auto"/>
              <w:ind w:firstLine="480" w:firstLineChars="200"/>
              <w:rPr>
                <w:sz w:val="24"/>
              </w:rPr>
            </w:pPr>
            <w:r>
              <w:rPr>
                <w:rFonts w:hint="eastAsia"/>
                <w:sz w:val="24"/>
              </w:rPr>
              <w:t>项目与《绿色勘查指南》（</w:t>
            </w:r>
            <w:r>
              <w:rPr>
                <w:sz w:val="24"/>
              </w:rPr>
              <w:t>T/CMAS0001-2018</w:t>
            </w:r>
            <w:r>
              <w:rPr>
                <w:rFonts w:hint="eastAsia"/>
                <w:sz w:val="24"/>
              </w:rPr>
              <w:t>）符合性分析如下。</w:t>
            </w:r>
          </w:p>
          <w:p w14:paraId="42BAAB3F">
            <w:pPr>
              <w:jc w:val="center"/>
              <w:rPr>
                <w:b/>
                <w:bCs/>
                <w:sz w:val="24"/>
              </w:rPr>
            </w:pPr>
            <w:r>
              <w:rPr>
                <w:b/>
                <w:bCs/>
                <w:sz w:val="24"/>
              </w:rPr>
              <w:t>表1-</w:t>
            </w:r>
            <w:r>
              <w:rPr>
                <w:rFonts w:hint="eastAsia"/>
                <w:b/>
                <w:bCs/>
                <w:sz w:val="24"/>
              </w:rPr>
              <w:t>10</w:t>
            </w:r>
            <w:r>
              <w:rPr>
                <w:b/>
                <w:bCs/>
                <w:sz w:val="24"/>
              </w:rPr>
              <w:t xml:space="preserve"> 与</w:t>
            </w:r>
            <w:r>
              <w:rPr>
                <w:rFonts w:hint="eastAsia"/>
                <w:b/>
                <w:bCs/>
                <w:sz w:val="24"/>
              </w:rPr>
              <w:t>《绿色勘查指南》</w:t>
            </w:r>
            <w:r>
              <w:rPr>
                <w:b/>
                <w:bCs/>
                <w:sz w:val="24"/>
              </w:rPr>
              <w:t>符合性分析</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3409"/>
              <w:gridCol w:w="2954"/>
              <w:gridCol w:w="668"/>
            </w:tblGrid>
            <w:tr w14:paraId="0CB85D4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424" w:type="pct"/>
                  <w:vAlign w:val="center"/>
                </w:tcPr>
                <w:p w14:paraId="7832B779">
                  <w:pPr>
                    <w:widowControl/>
                    <w:snapToGrid w:val="0"/>
                    <w:jc w:val="center"/>
                    <w:rPr>
                      <w:kern w:val="0"/>
                      <w:szCs w:val="21"/>
                    </w:rPr>
                  </w:pPr>
                  <w:r>
                    <w:rPr>
                      <w:rFonts w:hint="eastAsia"/>
                      <w:kern w:val="0"/>
                      <w:szCs w:val="21"/>
                    </w:rPr>
                    <w:t>指南要求</w:t>
                  </w:r>
                </w:p>
              </w:tc>
              <w:tc>
                <w:tcPr>
                  <w:tcW w:w="2101" w:type="pct"/>
                  <w:vAlign w:val="center"/>
                </w:tcPr>
                <w:p w14:paraId="7C9D3270">
                  <w:pPr>
                    <w:jc w:val="center"/>
                    <w:rPr>
                      <w:kern w:val="0"/>
                      <w:szCs w:val="21"/>
                    </w:rPr>
                  </w:pPr>
                  <w:r>
                    <w:rPr>
                      <w:rFonts w:hint="eastAsia"/>
                      <w:kern w:val="0"/>
                      <w:szCs w:val="21"/>
                    </w:rPr>
                    <w:t>项目情况</w:t>
                  </w:r>
                </w:p>
              </w:tc>
              <w:tc>
                <w:tcPr>
                  <w:tcW w:w="475" w:type="pct"/>
                  <w:vAlign w:val="center"/>
                </w:tcPr>
                <w:p w14:paraId="32D2883E">
                  <w:pPr>
                    <w:jc w:val="center"/>
                    <w:rPr>
                      <w:kern w:val="0"/>
                      <w:szCs w:val="21"/>
                    </w:rPr>
                  </w:pPr>
                  <w:r>
                    <w:rPr>
                      <w:kern w:val="0"/>
                      <w:szCs w:val="21"/>
                    </w:rPr>
                    <w:t>符合性</w:t>
                  </w:r>
                </w:p>
              </w:tc>
            </w:tr>
            <w:tr w14:paraId="21C5FB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05" w:hRule="atLeast"/>
                <w:jc w:val="center"/>
              </w:trPr>
              <w:tc>
                <w:tcPr>
                  <w:tcW w:w="2424" w:type="pct"/>
                  <w:vAlign w:val="center"/>
                </w:tcPr>
                <w:p w14:paraId="77B85B61">
                  <w:pPr>
                    <w:widowControl/>
                    <w:snapToGrid w:val="0"/>
                    <w:jc w:val="left"/>
                    <w:rPr>
                      <w:kern w:val="0"/>
                      <w:szCs w:val="21"/>
                    </w:rPr>
                  </w:pPr>
                  <w:r>
                    <w:rPr>
                      <w:rFonts w:hint="eastAsia"/>
                      <w:kern w:val="0"/>
                      <w:szCs w:val="21"/>
                    </w:rPr>
                    <w:t>修筑道路及施工场地，应根据自然条件及安全文明、环境保护等管理要求进行规划布置。修筑道路和施工场地尽可能减少土地的占用面积、树木与植被的破坏。需要并可移植的树木应尽量移植保存，用于项目施工结束的复绿或就近栽培。</w:t>
                  </w:r>
                </w:p>
              </w:tc>
              <w:tc>
                <w:tcPr>
                  <w:tcW w:w="2101" w:type="pct"/>
                  <w:vAlign w:val="center"/>
                </w:tcPr>
                <w:p w14:paraId="61B54D4C">
                  <w:pPr>
                    <w:widowControl/>
                    <w:snapToGrid w:val="0"/>
                    <w:ind w:firstLine="420" w:firstLineChars="200"/>
                    <w:jc w:val="left"/>
                    <w:rPr>
                      <w:kern w:val="0"/>
                      <w:szCs w:val="21"/>
                    </w:rPr>
                  </w:pPr>
                  <w:r>
                    <w:rPr>
                      <w:rFonts w:hint="eastAsia"/>
                      <w:kern w:val="0"/>
                      <w:szCs w:val="21"/>
                    </w:rPr>
                    <w:t>项目充分利用现有乡村道路，无需新建进场道路。</w:t>
                  </w:r>
                </w:p>
              </w:tc>
              <w:tc>
                <w:tcPr>
                  <w:tcW w:w="475" w:type="pct"/>
                  <w:vAlign w:val="center"/>
                </w:tcPr>
                <w:p w14:paraId="6B99EE7B">
                  <w:pPr>
                    <w:widowControl/>
                    <w:snapToGrid w:val="0"/>
                    <w:jc w:val="center"/>
                    <w:rPr>
                      <w:kern w:val="0"/>
                      <w:szCs w:val="21"/>
                    </w:rPr>
                  </w:pPr>
                  <w:r>
                    <w:rPr>
                      <w:kern w:val="0"/>
                      <w:szCs w:val="21"/>
                    </w:rPr>
                    <w:t>符合</w:t>
                  </w:r>
                </w:p>
              </w:tc>
            </w:tr>
            <w:tr w14:paraId="4D91BE6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841" w:hRule="atLeast"/>
                <w:jc w:val="center"/>
              </w:trPr>
              <w:tc>
                <w:tcPr>
                  <w:tcW w:w="2424" w:type="pct"/>
                  <w:vAlign w:val="center"/>
                </w:tcPr>
                <w:p w14:paraId="6110FF9D">
                  <w:pPr>
                    <w:widowControl/>
                    <w:snapToGrid w:val="0"/>
                    <w:jc w:val="left"/>
                    <w:rPr>
                      <w:kern w:val="0"/>
                      <w:szCs w:val="21"/>
                    </w:rPr>
                  </w:pPr>
                  <w:r>
                    <w:rPr>
                      <w:rFonts w:hint="eastAsia"/>
                      <w:kern w:val="0"/>
                      <w:szCs w:val="21"/>
                    </w:rPr>
                    <w:t>施工剥离的适合复垦的表土，应当收集存放管理，作为施工结束后的复垦、复绿用土。宜将开挖的土石用于工程回填、路基建设及边坡填筑。需外运土石应指定位置并规范管理。</w:t>
                  </w:r>
                </w:p>
              </w:tc>
              <w:tc>
                <w:tcPr>
                  <w:tcW w:w="2101" w:type="pct"/>
                  <w:vAlign w:val="center"/>
                </w:tcPr>
                <w:p w14:paraId="7A59225C">
                  <w:pPr>
                    <w:widowControl/>
                    <w:snapToGrid w:val="0"/>
                    <w:ind w:firstLine="420" w:firstLineChars="200"/>
                    <w:jc w:val="left"/>
                    <w:rPr>
                      <w:kern w:val="0"/>
                      <w:szCs w:val="21"/>
                    </w:rPr>
                  </w:pPr>
                  <w:r>
                    <w:rPr>
                      <w:rFonts w:hint="eastAsia"/>
                      <w:kern w:val="0"/>
                      <w:szCs w:val="21"/>
                    </w:rPr>
                    <w:t>施工前对表层土进行剥离和堆存，将表土集中堆放在不影响临时用地使用的边界处，采用密目网遮盖，以加强表土土堆的稳定性，防止水土流失</w:t>
                  </w:r>
                  <w:r>
                    <w:rPr>
                      <w:kern w:val="0"/>
                      <w:szCs w:val="21"/>
                    </w:rPr>
                    <w:t>。</w:t>
                  </w:r>
                </w:p>
              </w:tc>
              <w:tc>
                <w:tcPr>
                  <w:tcW w:w="475" w:type="pct"/>
                  <w:vAlign w:val="center"/>
                </w:tcPr>
                <w:p w14:paraId="6232BD65">
                  <w:pPr>
                    <w:widowControl/>
                    <w:snapToGrid w:val="0"/>
                    <w:jc w:val="center"/>
                    <w:rPr>
                      <w:kern w:val="0"/>
                      <w:szCs w:val="21"/>
                    </w:rPr>
                  </w:pPr>
                  <w:r>
                    <w:rPr>
                      <w:kern w:val="0"/>
                      <w:szCs w:val="21"/>
                    </w:rPr>
                    <w:t>符合</w:t>
                  </w:r>
                </w:p>
              </w:tc>
            </w:tr>
            <w:tr w14:paraId="0CFCA9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1" w:hRule="atLeast"/>
                <w:jc w:val="center"/>
              </w:trPr>
              <w:tc>
                <w:tcPr>
                  <w:tcW w:w="2424" w:type="pct"/>
                  <w:vAlign w:val="center"/>
                </w:tcPr>
                <w:p w14:paraId="3ECB3FE8">
                  <w:pPr>
                    <w:widowControl/>
                    <w:snapToGrid w:val="0"/>
                    <w:jc w:val="left"/>
                    <w:rPr>
                      <w:kern w:val="0"/>
                      <w:szCs w:val="21"/>
                    </w:rPr>
                  </w:pPr>
                  <w:r>
                    <w:rPr>
                      <w:rFonts w:hint="eastAsia"/>
                      <w:kern w:val="0"/>
                      <w:szCs w:val="21"/>
                    </w:rPr>
                    <w:t>施工中挖填形成的边坡及土石堆场边坡应做好支护或拦挡，预防崩塌、滑坡、泥石流等地质灾害，尽量减少土石压占土地面积。</w:t>
                  </w:r>
                </w:p>
              </w:tc>
              <w:tc>
                <w:tcPr>
                  <w:tcW w:w="2101" w:type="pct"/>
                  <w:vAlign w:val="center"/>
                </w:tcPr>
                <w:p w14:paraId="423B1D35">
                  <w:pPr>
                    <w:widowControl/>
                    <w:snapToGrid w:val="0"/>
                    <w:ind w:firstLine="420" w:firstLineChars="200"/>
                    <w:jc w:val="left"/>
                    <w:rPr>
                      <w:kern w:val="0"/>
                      <w:szCs w:val="21"/>
                    </w:rPr>
                  </w:pPr>
                  <w:r>
                    <w:rPr>
                      <w:kern w:val="0"/>
                      <w:szCs w:val="21"/>
                    </w:rPr>
                    <w:t>项目位于河套平原西部，地势相对平坦，井场平整过程中不会形成边坡。施工前</w:t>
                  </w:r>
                  <w:r>
                    <w:rPr>
                      <w:rFonts w:hint="eastAsia"/>
                      <w:kern w:val="0"/>
                      <w:szCs w:val="21"/>
                    </w:rPr>
                    <w:t>对表层土进行剥离、堆存，为减少土石压占土地面积，表土集中堆放于井场范围内，采用密目网遮盖。</w:t>
                  </w:r>
                </w:p>
              </w:tc>
              <w:tc>
                <w:tcPr>
                  <w:tcW w:w="475" w:type="pct"/>
                  <w:vAlign w:val="center"/>
                </w:tcPr>
                <w:p w14:paraId="65301E7F">
                  <w:pPr>
                    <w:widowControl/>
                    <w:snapToGrid w:val="0"/>
                    <w:jc w:val="center"/>
                    <w:rPr>
                      <w:kern w:val="0"/>
                      <w:szCs w:val="21"/>
                    </w:rPr>
                  </w:pPr>
                  <w:r>
                    <w:rPr>
                      <w:kern w:val="0"/>
                      <w:szCs w:val="21"/>
                    </w:rPr>
                    <w:t>符合</w:t>
                  </w:r>
                </w:p>
              </w:tc>
            </w:tr>
            <w:tr w14:paraId="5A4CC25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657" w:hRule="atLeast"/>
                <w:jc w:val="center"/>
              </w:trPr>
              <w:tc>
                <w:tcPr>
                  <w:tcW w:w="2424" w:type="pct"/>
                  <w:vAlign w:val="center"/>
                </w:tcPr>
                <w:p w14:paraId="1BA605FF">
                  <w:pPr>
                    <w:widowControl/>
                    <w:snapToGrid w:val="0"/>
                    <w:jc w:val="left"/>
                    <w:rPr>
                      <w:kern w:val="0"/>
                      <w:szCs w:val="21"/>
                    </w:rPr>
                  </w:pPr>
                  <w:r>
                    <w:rPr>
                      <w:rFonts w:hint="eastAsia"/>
                      <w:kern w:val="0"/>
                      <w:szCs w:val="21"/>
                    </w:rPr>
                    <w:t>统筹规划勘查场地进入通道，充分利用已有可利用的公路、村道等。</w:t>
                  </w:r>
                </w:p>
              </w:tc>
              <w:tc>
                <w:tcPr>
                  <w:tcW w:w="2101" w:type="pct"/>
                  <w:vAlign w:val="center"/>
                </w:tcPr>
                <w:p w14:paraId="37C0A0D8">
                  <w:pPr>
                    <w:widowControl/>
                    <w:snapToGrid w:val="0"/>
                    <w:ind w:firstLine="420" w:firstLineChars="200"/>
                    <w:jc w:val="left"/>
                    <w:rPr>
                      <w:kern w:val="0"/>
                      <w:szCs w:val="21"/>
                    </w:rPr>
                  </w:pPr>
                  <w:r>
                    <w:rPr>
                      <w:rFonts w:hint="eastAsia"/>
                      <w:kern w:val="0"/>
                      <w:szCs w:val="21"/>
                    </w:rPr>
                    <w:t>项目充分利用现有乡村道路，无需新建进场道路。</w:t>
                  </w:r>
                </w:p>
              </w:tc>
              <w:tc>
                <w:tcPr>
                  <w:tcW w:w="475" w:type="pct"/>
                  <w:vAlign w:val="center"/>
                </w:tcPr>
                <w:p w14:paraId="2A4B0B4B">
                  <w:pPr>
                    <w:widowControl/>
                    <w:snapToGrid w:val="0"/>
                    <w:jc w:val="center"/>
                    <w:rPr>
                      <w:kern w:val="0"/>
                      <w:szCs w:val="21"/>
                    </w:rPr>
                  </w:pPr>
                  <w:r>
                    <w:rPr>
                      <w:kern w:val="0"/>
                      <w:szCs w:val="21"/>
                    </w:rPr>
                    <w:t>符合</w:t>
                  </w:r>
                </w:p>
              </w:tc>
            </w:tr>
            <w:tr w14:paraId="0093BC2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2" w:hRule="atLeast"/>
                <w:jc w:val="center"/>
              </w:trPr>
              <w:tc>
                <w:tcPr>
                  <w:tcW w:w="2424" w:type="pct"/>
                  <w:vAlign w:val="center"/>
                </w:tcPr>
                <w:p w14:paraId="0BC7C1AB">
                  <w:pPr>
                    <w:widowControl/>
                    <w:snapToGrid w:val="0"/>
                    <w:jc w:val="left"/>
                    <w:rPr>
                      <w:kern w:val="0"/>
                      <w:szCs w:val="21"/>
                    </w:rPr>
                  </w:pPr>
                  <w:r>
                    <w:rPr>
                      <w:rFonts w:hint="eastAsia"/>
                      <w:kern w:val="0"/>
                      <w:szCs w:val="21"/>
                    </w:rPr>
                    <w:t>在确保安全情况下，道路修筑尽可能减少占用土地和植物移植，以及对水环境和野生动物保护的影响。</w:t>
                  </w:r>
                </w:p>
              </w:tc>
              <w:tc>
                <w:tcPr>
                  <w:tcW w:w="2101" w:type="pct"/>
                  <w:vAlign w:val="center"/>
                </w:tcPr>
                <w:p w14:paraId="75FA7444">
                  <w:pPr>
                    <w:widowControl/>
                    <w:snapToGrid w:val="0"/>
                    <w:ind w:firstLine="420" w:firstLineChars="200"/>
                    <w:jc w:val="left"/>
                    <w:rPr>
                      <w:kern w:val="0"/>
                      <w:szCs w:val="21"/>
                    </w:rPr>
                  </w:pPr>
                  <w:r>
                    <w:rPr>
                      <w:rFonts w:hint="eastAsia"/>
                      <w:kern w:val="0"/>
                      <w:szCs w:val="21"/>
                    </w:rPr>
                    <w:t>项目充分利用现有乡村道路，无需新建进场道路。</w:t>
                  </w:r>
                </w:p>
              </w:tc>
              <w:tc>
                <w:tcPr>
                  <w:tcW w:w="475" w:type="pct"/>
                  <w:vAlign w:val="center"/>
                </w:tcPr>
                <w:p w14:paraId="3C0B0025">
                  <w:pPr>
                    <w:widowControl/>
                    <w:snapToGrid w:val="0"/>
                    <w:jc w:val="center"/>
                    <w:rPr>
                      <w:kern w:val="0"/>
                      <w:szCs w:val="21"/>
                    </w:rPr>
                  </w:pPr>
                  <w:r>
                    <w:rPr>
                      <w:kern w:val="0"/>
                      <w:szCs w:val="21"/>
                    </w:rPr>
                    <w:t>符合</w:t>
                  </w:r>
                </w:p>
              </w:tc>
            </w:tr>
            <w:tr w14:paraId="4B9CD0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83" w:hRule="atLeast"/>
                <w:jc w:val="center"/>
              </w:trPr>
              <w:tc>
                <w:tcPr>
                  <w:tcW w:w="2424" w:type="pct"/>
                  <w:vAlign w:val="center"/>
                </w:tcPr>
                <w:p w14:paraId="455FEC1D">
                  <w:pPr>
                    <w:widowControl/>
                    <w:snapToGrid w:val="0"/>
                    <w:jc w:val="left"/>
                    <w:rPr>
                      <w:kern w:val="0"/>
                      <w:szCs w:val="21"/>
                    </w:rPr>
                  </w:pPr>
                  <w:r>
                    <w:rPr>
                      <w:rFonts w:hint="eastAsia"/>
                      <w:kern w:val="0"/>
                      <w:szCs w:val="21"/>
                    </w:rPr>
                    <w:t>钻探（钻井）施工场地一般应按照现场施工设备、附属设施安装、施工操作、钻进液循环系统、材料物资存放、临建房屋等施工需要，依据现场地形条件进行分区布置，以满足减小环境影响和安全文明施工为原则，严格控制场地平整使用土地面积。</w:t>
                  </w:r>
                </w:p>
              </w:tc>
              <w:tc>
                <w:tcPr>
                  <w:tcW w:w="2101" w:type="pct"/>
                  <w:vAlign w:val="center"/>
                </w:tcPr>
                <w:p w14:paraId="65066998">
                  <w:pPr>
                    <w:widowControl/>
                    <w:snapToGrid w:val="0"/>
                    <w:ind w:firstLine="420" w:firstLineChars="200"/>
                    <w:jc w:val="left"/>
                    <w:rPr>
                      <w:kern w:val="0"/>
                      <w:szCs w:val="21"/>
                    </w:rPr>
                  </w:pPr>
                  <w:r>
                    <w:rPr>
                      <w:rFonts w:hint="eastAsia"/>
                      <w:kern w:val="0"/>
                      <w:szCs w:val="21"/>
                    </w:rPr>
                    <w:t>项目钻探施工场地按要求分区布设，满足安全距离要求同时严格控制占地面积，进行文明施工。</w:t>
                  </w:r>
                </w:p>
              </w:tc>
              <w:tc>
                <w:tcPr>
                  <w:tcW w:w="475" w:type="pct"/>
                  <w:vAlign w:val="center"/>
                </w:tcPr>
                <w:p w14:paraId="41CDDD92">
                  <w:pPr>
                    <w:widowControl/>
                    <w:snapToGrid w:val="0"/>
                    <w:jc w:val="center"/>
                    <w:rPr>
                      <w:kern w:val="0"/>
                      <w:szCs w:val="21"/>
                    </w:rPr>
                  </w:pPr>
                  <w:r>
                    <w:rPr>
                      <w:kern w:val="0"/>
                      <w:szCs w:val="21"/>
                    </w:rPr>
                    <w:t>符合</w:t>
                  </w:r>
                </w:p>
              </w:tc>
            </w:tr>
            <w:tr w14:paraId="6C4AB7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667" w:hRule="atLeast"/>
                <w:jc w:val="center"/>
              </w:trPr>
              <w:tc>
                <w:tcPr>
                  <w:tcW w:w="2424" w:type="pct"/>
                  <w:vAlign w:val="center"/>
                </w:tcPr>
                <w:p w14:paraId="3809ECC5">
                  <w:pPr>
                    <w:widowControl/>
                    <w:snapToGrid w:val="0"/>
                    <w:jc w:val="left"/>
                    <w:rPr>
                      <w:kern w:val="0"/>
                      <w:szCs w:val="21"/>
                    </w:rPr>
                  </w:pPr>
                  <w:r>
                    <w:rPr>
                      <w:rFonts w:hint="eastAsia"/>
                      <w:kern w:val="0"/>
                      <w:szCs w:val="21"/>
                    </w:rPr>
                    <w:t>钻探施工主要设备及配套技术应处于国内先进水平。施工设备应具备安拆快捷、便于搬运，机械化、智能化程度高，施工操作安全简便、劳动强度低、生产效率高，工程质量好、节能、环保等特点。优先使用模块化、轻便化、小型化、集成度高的钻探施工及其配套设备。</w:t>
                  </w:r>
                </w:p>
              </w:tc>
              <w:tc>
                <w:tcPr>
                  <w:tcW w:w="2101" w:type="pct"/>
                  <w:vAlign w:val="center"/>
                </w:tcPr>
                <w:p w14:paraId="52202A63">
                  <w:pPr>
                    <w:widowControl/>
                    <w:snapToGrid w:val="0"/>
                    <w:ind w:firstLine="420" w:firstLineChars="200"/>
                    <w:jc w:val="left"/>
                    <w:rPr>
                      <w:kern w:val="0"/>
                      <w:szCs w:val="21"/>
                    </w:rPr>
                  </w:pPr>
                  <w:r>
                    <w:rPr>
                      <w:rFonts w:hint="eastAsia"/>
                      <w:kern w:val="0"/>
                      <w:szCs w:val="21"/>
                    </w:rPr>
                    <w:t>项目采用ZJ70钻机及配套钻井设备，属于模块化、集成度高的设备；采用泥浆不落地循环系统装置，利用防渗钻井泥浆循环罐代替泥浆池，属于目前国内先进技术，有效减少了工程开挖带来的环境风险。</w:t>
                  </w:r>
                </w:p>
              </w:tc>
              <w:tc>
                <w:tcPr>
                  <w:tcW w:w="475" w:type="pct"/>
                  <w:vAlign w:val="center"/>
                </w:tcPr>
                <w:p w14:paraId="2832BFB5">
                  <w:pPr>
                    <w:widowControl/>
                    <w:snapToGrid w:val="0"/>
                    <w:jc w:val="center"/>
                    <w:rPr>
                      <w:kern w:val="0"/>
                      <w:szCs w:val="21"/>
                    </w:rPr>
                  </w:pPr>
                  <w:r>
                    <w:rPr>
                      <w:rFonts w:hint="eastAsia"/>
                      <w:kern w:val="0"/>
                      <w:szCs w:val="21"/>
                    </w:rPr>
                    <w:t>符合</w:t>
                  </w:r>
                </w:p>
              </w:tc>
            </w:tr>
            <w:tr w14:paraId="760227C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2" w:hRule="atLeast"/>
                <w:jc w:val="center"/>
              </w:trPr>
              <w:tc>
                <w:tcPr>
                  <w:tcW w:w="2424" w:type="pct"/>
                  <w:vAlign w:val="center"/>
                </w:tcPr>
                <w:p w14:paraId="0C049E64">
                  <w:pPr>
                    <w:widowControl/>
                    <w:snapToGrid w:val="0"/>
                    <w:jc w:val="left"/>
                    <w:rPr>
                      <w:kern w:val="0"/>
                      <w:szCs w:val="21"/>
                    </w:rPr>
                  </w:pPr>
                  <w:r>
                    <w:rPr>
                      <w:rFonts w:hint="eastAsia"/>
                      <w:kern w:val="0"/>
                      <w:szCs w:val="21"/>
                    </w:rPr>
                    <w:t>钻探施工循环液使用泥浆时，应采用无固相或低固相的优质环保浆液。泥浆材料及处理剂具备无毒无害、可自然降解性能，符合环保标准要求。加强循环液的现场使用管理，做好施工中防渗、护壁及净化处理，预防浆液使用中造成地面及地下污染。</w:t>
                  </w:r>
                </w:p>
              </w:tc>
              <w:tc>
                <w:tcPr>
                  <w:tcW w:w="2101" w:type="pct"/>
                  <w:vAlign w:val="center"/>
                </w:tcPr>
                <w:p w14:paraId="339620B3">
                  <w:pPr>
                    <w:widowControl/>
                    <w:snapToGrid w:val="0"/>
                    <w:ind w:firstLine="420" w:firstLineChars="200"/>
                    <w:jc w:val="left"/>
                    <w:rPr>
                      <w:kern w:val="0"/>
                      <w:szCs w:val="21"/>
                    </w:rPr>
                  </w:pPr>
                  <w:r>
                    <w:rPr>
                      <w:rFonts w:hint="eastAsia"/>
                      <w:kern w:val="0"/>
                      <w:szCs w:val="21"/>
                    </w:rPr>
                    <w:t>项目使用水基泥浆，采用泥浆不落地循环系统装置，并配备完善的固控设备，钻井泥浆循环率95%。</w:t>
                  </w:r>
                </w:p>
              </w:tc>
              <w:tc>
                <w:tcPr>
                  <w:tcW w:w="475" w:type="pct"/>
                  <w:vAlign w:val="center"/>
                </w:tcPr>
                <w:p w14:paraId="5270426C">
                  <w:pPr>
                    <w:widowControl/>
                    <w:snapToGrid w:val="0"/>
                    <w:jc w:val="center"/>
                    <w:rPr>
                      <w:kern w:val="0"/>
                      <w:szCs w:val="21"/>
                    </w:rPr>
                  </w:pPr>
                  <w:r>
                    <w:rPr>
                      <w:kern w:val="0"/>
                      <w:szCs w:val="21"/>
                    </w:rPr>
                    <w:t>符合</w:t>
                  </w:r>
                </w:p>
              </w:tc>
            </w:tr>
            <w:tr w14:paraId="113689A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2" w:hRule="atLeast"/>
                <w:jc w:val="center"/>
              </w:trPr>
              <w:tc>
                <w:tcPr>
                  <w:tcW w:w="2424" w:type="pct"/>
                  <w:vAlign w:val="center"/>
                </w:tcPr>
                <w:p w14:paraId="257568AB">
                  <w:pPr>
                    <w:widowControl/>
                    <w:snapToGrid w:val="0"/>
                    <w:jc w:val="left"/>
                    <w:rPr>
                      <w:kern w:val="0"/>
                      <w:szCs w:val="21"/>
                    </w:rPr>
                  </w:pPr>
                  <w:r>
                    <w:rPr>
                      <w:rFonts w:hint="eastAsia"/>
                      <w:kern w:val="0"/>
                      <w:szCs w:val="21"/>
                    </w:rPr>
                    <w:t>勘查产生的废水可循环利用的应循环利用；对外排放应经沉淀和按规定进行技术处理，按照GB8978标准执行。</w:t>
                  </w:r>
                </w:p>
              </w:tc>
              <w:tc>
                <w:tcPr>
                  <w:tcW w:w="2101" w:type="pct"/>
                  <w:vAlign w:val="center"/>
                </w:tcPr>
                <w:p w14:paraId="4D383CEA">
                  <w:pPr>
                    <w:widowControl/>
                    <w:snapToGrid w:val="0"/>
                    <w:ind w:firstLine="420" w:firstLineChars="200"/>
                    <w:jc w:val="left"/>
                    <w:rPr>
                      <w:kern w:val="0"/>
                      <w:szCs w:val="21"/>
                    </w:rPr>
                  </w:pPr>
                  <w:r>
                    <w:rPr>
                      <w:rFonts w:hint="eastAsia"/>
                      <w:kern w:val="0"/>
                      <w:szCs w:val="21"/>
                    </w:rPr>
                    <w:t>废弃泥浆、钻井岩屑拉运至内蒙古众宁环保科技有限公司油气田废弃物集中处理厂处理，经压滤后产生的废水拉运至有资质单位处理。</w:t>
                  </w:r>
                </w:p>
              </w:tc>
              <w:tc>
                <w:tcPr>
                  <w:tcW w:w="475" w:type="pct"/>
                  <w:vAlign w:val="center"/>
                </w:tcPr>
                <w:p w14:paraId="62D70A6F">
                  <w:pPr>
                    <w:widowControl/>
                    <w:snapToGrid w:val="0"/>
                    <w:jc w:val="center"/>
                    <w:rPr>
                      <w:kern w:val="0"/>
                      <w:szCs w:val="21"/>
                    </w:rPr>
                  </w:pPr>
                  <w:r>
                    <w:rPr>
                      <w:kern w:val="0"/>
                      <w:szCs w:val="21"/>
                    </w:rPr>
                    <w:t>符合</w:t>
                  </w:r>
                </w:p>
              </w:tc>
            </w:tr>
            <w:tr w14:paraId="23EA99F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544" w:hRule="atLeast"/>
                <w:jc w:val="center"/>
              </w:trPr>
              <w:tc>
                <w:tcPr>
                  <w:tcW w:w="2424" w:type="pct"/>
                  <w:vAlign w:val="center"/>
                </w:tcPr>
                <w:p w14:paraId="56CCF394">
                  <w:pPr>
                    <w:widowControl/>
                    <w:snapToGrid w:val="0"/>
                    <w:jc w:val="left"/>
                    <w:rPr>
                      <w:kern w:val="0"/>
                      <w:szCs w:val="21"/>
                    </w:rPr>
                  </w:pPr>
                  <w:r>
                    <w:rPr>
                      <w:rFonts w:hint="eastAsia"/>
                      <w:kern w:val="0"/>
                      <w:szCs w:val="21"/>
                    </w:rPr>
                    <w:t>勘查施工道路、场地平整、现场作业应充分考虑到野生动植物保护。勘查机械设备应安装消声装置或场地修隔音设施，降低施工噪音；在有人居住区和野生动物栖息附近，夜间应停止有噪声影响的作业活动。</w:t>
                  </w:r>
                </w:p>
              </w:tc>
              <w:tc>
                <w:tcPr>
                  <w:tcW w:w="2101" w:type="pct"/>
                  <w:vAlign w:val="center"/>
                </w:tcPr>
                <w:p w14:paraId="602AF78F">
                  <w:pPr>
                    <w:widowControl/>
                    <w:snapToGrid w:val="0"/>
                    <w:ind w:firstLine="420" w:firstLineChars="200"/>
                    <w:jc w:val="left"/>
                    <w:rPr>
                      <w:kern w:val="0"/>
                      <w:szCs w:val="21"/>
                    </w:rPr>
                  </w:pPr>
                  <w:r>
                    <w:rPr>
                      <w:rFonts w:hint="eastAsia"/>
                      <w:kern w:val="0"/>
                      <w:szCs w:val="21"/>
                    </w:rPr>
                    <w:t>由于勘探工作为24小时作业，为了降低对周边居民生产、生活的影响，选址已尽量远离村庄居住区等；同时选用低噪声设备和工艺，对钻机、钻井泵、柴油机等高噪声设备采取基础减振等措施，并定期维护保养。项目施工期短，施工噪声对周围环境影响较小，在施工结束后噪声影响随即消失。</w:t>
                  </w:r>
                </w:p>
              </w:tc>
              <w:tc>
                <w:tcPr>
                  <w:tcW w:w="475" w:type="pct"/>
                  <w:vAlign w:val="center"/>
                </w:tcPr>
                <w:p w14:paraId="71BF4011">
                  <w:pPr>
                    <w:widowControl/>
                    <w:snapToGrid w:val="0"/>
                    <w:jc w:val="center"/>
                    <w:rPr>
                      <w:kern w:val="0"/>
                      <w:szCs w:val="21"/>
                    </w:rPr>
                  </w:pPr>
                  <w:r>
                    <w:rPr>
                      <w:kern w:val="0"/>
                      <w:szCs w:val="21"/>
                    </w:rPr>
                    <w:t>符合</w:t>
                  </w:r>
                </w:p>
              </w:tc>
            </w:tr>
            <w:tr w14:paraId="6F92EDD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545" w:hRule="atLeast"/>
                <w:jc w:val="center"/>
              </w:trPr>
              <w:tc>
                <w:tcPr>
                  <w:tcW w:w="2424" w:type="pct"/>
                  <w:vAlign w:val="center"/>
                </w:tcPr>
                <w:p w14:paraId="467B55D9">
                  <w:pPr>
                    <w:widowControl/>
                    <w:snapToGrid w:val="0"/>
                    <w:jc w:val="left"/>
                    <w:rPr>
                      <w:kern w:val="0"/>
                      <w:szCs w:val="21"/>
                    </w:rPr>
                  </w:pPr>
                  <w:r>
                    <w:rPr>
                      <w:rFonts w:hint="eastAsia"/>
                      <w:kern w:val="0"/>
                      <w:szCs w:val="21"/>
                    </w:rPr>
                    <w:t>对容易产生粉尘的作业，采取喷雾和洒水等措施最大限度地降低勘查施工作业中产生的粉尘。</w:t>
                  </w:r>
                </w:p>
              </w:tc>
              <w:tc>
                <w:tcPr>
                  <w:tcW w:w="2101" w:type="pct"/>
                  <w:vAlign w:val="center"/>
                </w:tcPr>
                <w:p w14:paraId="70B2AE89">
                  <w:pPr>
                    <w:widowControl/>
                    <w:snapToGrid w:val="0"/>
                    <w:ind w:firstLine="420" w:firstLineChars="200"/>
                    <w:jc w:val="left"/>
                    <w:rPr>
                      <w:kern w:val="0"/>
                      <w:szCs w:val="21"/>
                    </w:rPr>
                  </w:pPr>
                  <w:r>
                    <w:rPr>
                      <w:rFonts w:hint="eastAsia"/>
                      <w:kern w:val="0"/>
                      <w:szCs w:val="21"/>
                    </w:rPr>
                    <w:t>项目场界设置围挡，井场内设置洒水泵定期洒水，原材料堆存区上部设苫布遮盖，表土堆放区上铺密目网。在采取抑尘措施后可最大限度的降低施工扬尘对周围环境的影响。</w:t>
                  </w:r>
                </w:p>
              </w:tc>
              <w:tc>
                <w:tcPr>
                  <w:tcW w:w="475" w:type="pct"/>
                  <w:vAlign w:val="center"/>
                </w:tcPr>
                <w:p w14:paraId="481429C2">
                  <w:pPr>
                    <w:widowControl/>
                    <w:snapToGrid w:val="0"/>
                    <w:jc w:val="center"/>
                    <w:rPr>
                      <w:kern w:val="0"/>
                      <w:szCs w:val="21"/>
                    </w:rPr>
                  </w:pPr>
                  <w:r>
                    <w:rPr>
                      <w:kern w:val="0"/>
                      <w:szCs w:val="21"/>
                    </w:rPr>
                    <w:t>符合</w:t>
                  </w:r>
                </w:p>
              </w:tc>
            </w:tr>
            <w:tr w14:paraId="6637654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3" w:hRule="atLeast"/>
                <w:jc w:val="center"/>
              </w:trPr>
              <w:tc>
                <w:tcPr>
                  <w:tcW w:w="2424" w:type="pct"/>
                  <w:vAlign w:val="center"/>
                </w:tcPr>
                <w:p w14:paraId="467A8210">
                  <w:pPr>
                    <w:widowControl/>
                    <w:snapToGrid w:val="0"/>
                    <w:jc w:val="left"/>
                    <w:rPr>
                      <w:kern w:val="0"/>
                      <w:szCs w:val="21"/>
                    </w:rPr>
                  </w:pPr>
                  <w:r>
                    <w:rPr>
                      <w:rFonts w:hint="eastAsia"/>
                      <w:kern w:val="0"/>
                      <w:szCs w:val="21"/>
                    </w:rPr>
                    <w:t>勘查过程中，柴油机动力设备应安装尾气净化装置，尾气排放执行国家环保排放标准，不同地区应满足勘查所在地地方相关标准要求。</w:t>
                  </w:r>
                </w:p>
              </w:tc>
              <w:tc>
                <w:tcPr>
                  <w:tcW w:w="2101" w:type="pct"/>
                  <w:vAlign w:val="center"/>
                </w:tcPr>
                <w:p w14:paraId="2DB7FA43">
                  <w:pPr>
                    <w:widowControl/>
                    <w:snapToGrid w:val="0"/>
                    <w:ind w:firstLine="420" w:firstLineChars="200"/>
                    <w:jc w:val="left"/>
                    <w:rPr>
                      <w:kern w:val="0"/>
                      <w:szCs w:val="21"/>
                    </w:rPr>
                  </w:pPr>
                  <w:r>
                    <w:rPr>
                      <w:rFonts w:hint="eastAsia"/>
                      <w:kern w:val="0"/>
                      <w:szCs w:val="21"/>
                    </w:rPr>
                    <w:t>柴油机使用高标准清洁燃油，并定期检修，保持设备运行良好，尾气通过自带排气筒排放，满足《大气污染物综合排放标准》（GB16297-1996）中表2最高允许排放浓度指标要求。</w:t>
                  </w:r>
                </w:p>
              </w:tc>
              <w:tc>
                <w:tcPr>
                  <w:tcW w:w="475" w:type="pct"/>
                  <w:vAlign w:val="center"/>
                </w:tcPr>
                <w:p w14:paraId="5027CBB4">
                  <w:pPr>
                    <w:widowControl/>
                    <w:snapToGrid w:val="0"/>
                    <w:jc w:val="center"/>
                    <w:rPr>
                      <w:kern w:val="0"/>
                      <w:szCs w:val="21"/>
                    </w:rPr>
                  </w:pPr>
                  <w:r>
                    <w:rPr>
                      <w:kern w:val="0"/>
                      <w:szCs w:val="21"/>
                    </w:rPr>
                    <w:t>符合</w:t>
                  </w:r>
                </w:p>
              </w:tc>
            </w:tr>
            <w:tr w14:paraId="0A7FDE1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3" w:hRule="atLeast"/>
                <w:jc w:val="center"/>
              </w:trPr>
              <w:tc>
                <w:tcPr>
                  <w:tcW w:w="2424" w:type="pct"/>
                  <w:vAlign w:val="center"/>
                </w:tcPr>
                <w:p w14:paraId="50E1F324">
                  <w:pPr>
                    <w:widowControl/>
                    <w:snapToGrid w:val="0"/>
                    <w:jc w:val="left"/>
                    <w:rPr>
                      <w:kern w:val="0"/>
                      <w:szCs w:val="21"/>
                    </w:rPr>
                  </w:pPr>
                  <w:r>
                    <w:rPr>
                      <w:rFonts w:hint="eastAsia"/>
                      <w:kern w:val="0"/>
                      <w:szCs w:val="21"/>
                    </w:rPr>
                    <w:t>钻探现场应严格按照地质设计要求认真做好封孔工作，保证封孔质量，孔口用水泥砂浆树立规范的标志桩。</w:t>
                  </w:r>
                </w:p>
              </w:tc>
              <w:tc>
                <w:tcPr>
                  <w:tcW w:w="2101" w:type="pct"/>
                  <w:vAlign w:val="center"/>
                </w:tcPr>
                <w:p w14:paraId="458616E2">
                  <w:pPr>
                    <w:widowControl/>
                    <w:snapToGrid w:val="0"/>
                    <w:ind w:firstLine="420" w:firstLineChars="200"/>
                    <w:jc w:val="left"/>
                    <w:rPr>
                      <w:kern w:val="0"/>
                      <w:szCs w:val="21"/>
                    </w:rPr>
                  </w:pPr>
                  <w:r>
                    <w:rPr>
                      <w:rFonts w:hint="eastAsia"/>
                      <w:kern w:val="0"/>
                      <w:szCs w:val="21"/>
                    </w:rPr>
                    <w:t>项目已提出封井要求，应根据相关要求认真做好封孔工作，保证封孔质量，孔口用水泥砂浆树立规范的标志桩。</w:t>
                  </w:r>
                </w:p>
              </w:tc>
              <w:tc>
                <w:tcPr>
                  <w:tcW w:w="475" w:type="pct"/>
                  <w:vAlign w:val="center"/>
                </w:tcPr>
                <w:p w14:paraId="6CA607FD">
                  <w:pPr>
                    <w:widowControl/>
                    <w:snapToGrid w:val="0"/>
                    <w:jc w:val="center"/>
                    <w:rPr>
                      <w:kern w:val="0"/>
                      <w:szCs w:val="21"/>
                    </w:rPr>
                  </w:pPr>
                  <w:r>
                    <w:rPr>
                      <w:kern w:val="0"/>
                      <w:szCs w:val="21"/>
                    </w:rPr>
                    <w:t>符合</w:t>
                  </w:r>
                </w:p>
              </w:tc>
            </w:tr>
            <w:tr w14:paraId="4BE2577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3" w:hRule="atLeast"/>
                <w:jc w:val="center"/>
              </w:trPr>
              <w:tc>
                <w:tcPr>
                  <w:tcW w:w="2424" w:type="pct"/>
                  <w:vAlign w:val="center"/>
                </w:tcPr>
                <w:p w14:paraId="340E1402">
                  <w:pPr>
                    <w:widowControl/>
                    <w:snapToGrid w:val="0"/>
                    <w:jc w:val="left"/>
                    <w:rPr>
                      <w:kern w:val="0"/>
                      <w:szCs w:val="21"/>
                    </w:rPr>
                  </w:pPr>
                  <w:r>
                    <w:rPr>
                      <w:rFonts w:hint="eastAsia"/>
                      <w:kern w:val="0"/>
                      <w:szCs w:val="21"/>
                    </w:rPr>
                    <w:t>恢复治理工作应达到现场无污染破坏痕迹，生态恢复良好，环境协调。</w:t>
                  </w:r>
                </w:p>
              </w:tc>
              <w:tc>
                <w:tcPr>
                  <w:tcW w:w="2101" w:type="pct"/>
                  <w:vAlign w:val="center"/>
                </w:tcPr>
                <w:p w14:paraId="01701061">
                  <w:pPr>
                    <w:widowControl/>
                    <w:snapToGrid w:val="0"/>
                    <w:ind w:firstLine="420" w:firstLineChars="200"/>
                    <w:jc w:val="left"/>
                    <w:rPr>
                      <w:kern w:val="0"/>
                      <w:szCs w:val="21"/>
                    </w:rPr>
                  </w:pPr>
                  <w:r>
                    <w:rPr>
                      <w:rFonts w:hint="eastAsia"/>
                      <w:kern w:val="0"/>
                      <w:szCs w:val="21"/>
                    </w:rPr>
                    <w:t>项目勘探结束后对临时用地进行地表清理、平整、播撒草籽等措施，及时将临时用地恢复为原有状态。</w:t>
                  </w:r>
                </w:p>
              </w:tc>
              <w:tc>
                <w:tcPr>
                  <w:tcW w:w="475" w:type="pct"/>
                  <w:vAlign w:val="center"/>
                </w:tcPr>
                <w:p w14:paraId="684EDBE1">
                  <w:pPr>
                    <w:widowControl/>
                    <w:snapToGrid w:val="0"/>
                    <w:jc w:val="center"/>
                    <w:rPr>
                      <w:kern w:val="0"/>
                      <w:szCs w:val="21"/>
                    </w:rPr>
                  </w:pPr>
                  <w:r>
                    <w:rPr>
                      <w:kern w:val="0"/>
                      <w:szCs w:val="21"/>
                    </w:rPr>
                    <w:t>符合</w:t>
                  </w:r>
                </w:p>
              </w:tc>
            </w:tr>
          </w:tbl>
          <w:p w14:paraId="1338D4EF">
            <w:pPr>
              <w:adjustRightInd w:val="0"/>
              <w:snapToGrid w:val="0"/>
              <w:spacing w:line="360" w:lineRule="auto"/>
              <w:ind w:firstLine="482" w:firstLineChars="200"/>
              <w:rPr>
                <w:b/>
                <w:sz w:val="24"/>
              </w:rPr>
            </w:pPr>
            <w:r>
              <w:rPr>
                <w:rFonts w:hint="eastAsia"/>
                <w:b/>
                <w:sz w:val="24"/>
              </w:rPr>
              <w:t>9、《内蒙古自治区草原管理条例》</w:t>
            </w:r>
          </w:p>
          <w:p w14:paraId="733BBA20">
            <w:pPr>
              <w:adjustRightInd w:val="0"/>
              <w:snapToGrid w:val="0"/>
              <w:spacing w:line="360" w:lineRule="auto"/>
              <w:ind w:firstLine="480" w:firstLineChars="200"/>
              <w:rPr>
                <w:sz w:val="24"/>
              </w:rPr>
            </w:pPr>
            <w:r>
              <w:rPr>
                <w:rFonts w:hint="eastAsia"/>
                <w:sz w:val="24"/>
              </w:rPr>
              <w:t>项目与《内蒙古自治区草原管理条例》符合性分析如下。</w:t>
            </w:r>
          </w:p>
          <w:p w14:paraId="14CC4BB0">
            <w:pPr>
              <w:jc w:val="center"/>
              <w:rPr>
                <w:b/>
                <w:sz w:val="24"/>
                <w:szCs w:val="21"/>
              </w:rPr>
            </w:pPr>
            <w:r>
              <w:rPr>
                <w:b/>
                <w:sz w:val="24"/>
                <w:szCs w:val="21"/>
              </w:rPr>
              <w:t>表1-</w:t>
            </w:r>
            <w:r>
              <w:rPr>
                <w:rFonts w:hint="eastAsia"/>
                <w:b/>
                <w:sz w:val="24"/>
                <w:szCs w:val="21"/>
              </w:rPr>
              <w:t>11 管理条例</w:t>
            </w:r>
            <w:r>
              <w:rPr>
                <w:b/>
                <w:sz w:val="24"/>
                <w:szCs w:val="21"/>
              </w:rPr>
              <w:t>符合性分析</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3325"/>
              <w:gridCol w:w="2956"/>
              <w:gridCol w:w="750"/>
            </w:tblGrid>
            <w:tr w14:paraId="67559AE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2364" w:type="pct"/>
                  <w:tcMar>
                    <w:left w:w="0" w:type="dxa"/>
                    <w:right w:w="0" w:type="dxa"/>
                  </w:tcMar>
                  <w:vAlign w:val="center"/>
                </w:tcPr>
                <w:p w14:paraId="22DC0FD1">
                  <w:pPr>
                    <w:widowControl/>
                    <w:snapToGrid w:val="0"/>
                    <w:jc w:val="center"/>
                    <w:rPr>
                      <w:kern w:val="0"/>
                      <w:szCs w:val="21"/>
                    </w:rPr>
                  </w:pPr>
                  <w:r>
                    <w:rPr>
                      <w:rFonts w:hint="eastAsia"/>
                      <w:kern w:val="0"/>
                      <w:szCs w:val="21"/>
                    </w:rPr>
                    <w:t>条例规定</w:t>
                  </w:r>
                </w:p>
              </w:tc>
              <w:tc>
                <w:tcPr>
                  <w:tcW w:w="2102" w:type="pct"/>
                  <w:tcMar>
                    <w:left w:w="0" w:type="dxa"/>
                    <w:right w:w="0" w:type="dxa"/>
                  </w:tcMar>
                  <w:vAlign w:val="center"/>
                </w:tcPr>
                <w:p w14:paraId="51A9A558">
                  <w:pPr>
                    <w:jc w:val="center"/>
                    <w:rPr>
                      <w:kern w:val="0"/>
                      <w:szCs w:val="21"/>
                    </w:rPr>
                  </w:pPr>
                  <w:r>
                    <w:rPr>
                      <w:kern w:val="0"/>
                      <w:szCs w:val="21"/>
                    </w:rPr>
                    <w:t>项目情况</w:t>
                  </w:r>
                </w:p>
              </w:tc>
              <w:tc>
                <w:tcPr>
                  <w:tcW w:w="533" w:type="pct"/>
                  <w:tcMar>
                    <w:left w:w="0" w:type="dxa"/>
                    <w:right w:w="0" w:type="dxa"/>
                  </w:tcMar>
                  <w:vAlign w:val="center"/>
                </w:tcPr>
                <w:p w14:paraId="30F649A1">
                  <w:pPr>
                    <w:jc w:val="center"/>
                    <w:rPr>
                      <w:kern w:val="0"/>
                      <w:szCs w:val="21"/>
                    </w:rPr>
                  </w:pPr>
                  <w:r>
                    <w:rPr>
                      <w:kern w:val="0"/>
                      <w:szCs w:val="21"/>
                    </w:rPr>
                    <w:t>符合性</w:t>
                  </w:r>
                </w:p>
              </w:tc>
            </w:tr>
            <w:tr w14:paraId="5996F9D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33" w:hRule="atLeast"/>
                <w:jc w:val="center"/>
              </w:trPr>
              <w:tc>
                <w:tcPr>
                  <w:tcW w:w="2364" w:type="pct"/>
                  <w:tcMar>
                    <w:left w:w="0" w:type="dxa"/>
                    <w:right w:w="0" w:type="dxa"/>
                  </w:tcMar>
                  <w:vAlign w:val="center"/>
                </w:tcPr>
                <w:p w14:paraId="40B44962">
                  <w:pPr>
                    <w:widowControl/>
                    <w:snapToGrid w:val="0"/>
                    <w:rPr>
                      <w:kern w:val="0"/>
                      <w:szCs w:val="21"/>
                    </w:rPr>
                  </w:pPr>
                  <w:r>
                    <w:rPr>
                      <w:rFonts w:hint="eastAsia"/>
                      <w:kern w:val="0"/>
                      <w:szCs w:val="21"/>
                    </w:rPr>
                    <w:t>在草原上进行勘探、钻井、修筑地上地下工程等需要临时占用草原的，草原占用者应当根据草原权属，征得草原所有权或者使用权单位以及草原承包经营者的同意，报旗县级以上人民政府草原行政主管部门批准，按照规定的时间、区域和作业方式进行。占用期满，占用者应当恢复草原植被，并及时退还。</w:t>
                  </w:r>
                </w:p>
              </w:tc>
              <w:tc>
                <w:tcPr>
                  <w:tcW w:w="2102" w:type="pct"/>
                  <w:tcMar>
                    <w:left w:w="0" w:type="dxa"/>
                    <w:right w:w="0" w:type="dxa"/>
                  </w:tcMar>
                  <w:vAlign w:val="center"/>
                </w:tcPr>
                <w:p w14:paraId="2D30BE79">
                  <w:pPr>
                    <w:widowControl/>
                    <w:snapToGrid w:val="0"/>
                    <w:ind w:firstLine="420" w:firstLineChars="200"/>
                    <w:rPr>
                      <w:kern w:val="0"/>
                      <w:szCs w:val="21"/>
                    </w:rPr>
                  </w:pPr>
                  <w:r>
                    <w:rPr>
                      <w:rFonts w:hint="eastAsia"/>
                      <w:kern w:val="0"/>
                      <w:szCs w:val="21"/>
                    </w:rPr>
                    <w:t>项目井场为临时占地，用地类型为天然牧草地和其他草地。根据磴口县防沙治沙局出具的《关于查询石油勘探开发项目是否占用林地和草地的函》（磴防治签〔2026〕234号），不在基本草原范围内。</w:t>
                  </w:r>
                </w:p>
                <w:p w14:paraId="567C1CAD">
                  <w:pPr>
                    <w:widowControl/>
                    <w:snapToGrid w:val="0"/>
                    <w:ind w:firstLine="420" w:firstLineChars="200"/>
                    <w:rPr>
                      <w:kern w:val="0"/>
                      <w:szCs w:val="21"/>
                    </w:rPr>
                  </w:pPr>
                  <w:r>
                    <w:rPr>
                      <w:rFonts w:hint="eastAsia"/>
                      <w:kern w:val="0"/>
                      <w:szCs w:val="21"/>
                    </w:rPr>
                    <w:t>2026年6月16日，磴口县防沙治沙局出具《关于中国石油天然气股份有限公司华北油田巴彦勘探开发分公司油气勘探开发项目（磴4平台井）临时占用草原的批复》（磴防治签〔2026〕928号），同意临时占用草原，占用面积0.9983公顷，作业内容为油气勘探，有效期2026年6月16日至2028年4月10日。</w:t>
                  </w:r>
                </w:p>
                <w:p w14:paraId="48FF9282">
                  <w:pPr>
                    <w:widowControl/>
                    <w:snapToGrid w:val="0"/>
                    <w:ind w:firstLine="420" w:firstLineChars="200"/>
                    <w:rPr>
                      <w:kern w:val="0"/>
                      <w:szCs w:val="21"/>
                    </w:rPr>
                  </w:pPr>
                  <w:r>
                    <w:rPr>
                      <w:rFonts w:hint="eastAsia"/>
                      <w:kern w:val="0"/>
                      <w:szCs w:val="21"/>
                    </w:rPr>
                    <w:t>施工前对表层土进行剥离和集中堆存，并采用密目网遮盖；施工结束后，严格按照土地复垦方案进行地表清理、表土回覆、播撒草籽等，使项目临时占地范围内的天然牧草地得到恢复。</w:t>
                  </w:r>
                </w:p>
              </w:tc>
              <w:tc>
                <w:tcPr>
                  <w:tcW w:w="533" w:type="pct"/>
                  <w:tcMar>
                    <w:left w:w="0" w:type="dxa"/>
                    <w:right w:w="0" w:type="dxa"/>
                  </w:tcMar>
                  <w:vAlign w:val="center"/>
                </w:tcPr>
                <w:p w14:paraId="084BE127">
                  <w:pPr>
                    <w:widowControl/>
                    <w:snapToGrid w:val="0"/>
                    <w:jc w:val="center"/>
                    <w:rPr>
                      <w:kern w:val="0"/>
                      <w:szCs w:val="21"/>
                    </w:rPr>
                  </w:pPr>
                  <w:r>
                    <w:rPr>
                      <w:kern w:val="0"/>
                      <w:szCs w:val="21"/>
                    </w:rPr>
                    <w:t>符合</w:t>
                  </w:r>
                </w:p>
              </w:tc>
            </w:tr>
          </w:tbl>
          <w:p w14:paraId="2DE6884D">
            <w:pPr>
              <w:adjustRightInd w:val="0"/>
              <w:snapToGrid w:val="0"/>
              <w:spacing w:line="360" w:lineRule="auto"/>
              <w:ind w:firstLine="482" w:firstLineChars="200"/>
              <w:rPr>
                <w:b/>
                <w:sz w:val="24"/>
              </w:rPr>
            </w:pPr>
            <w:r>
              <w:rPr>
                <w:rFonts w:hint="eastAsia"/>
                <w:b/>
                <w:sz w:val="24"/>
              </w:rPr>
              <w:t>10、《内蒙古自治区人民政府关于划分水土流失重点预防区和重点治理区的通告》</w:t>
            </w:r>
          </w:p>
          <w:p w14:paraId="2156A437">
            <w:pPr>
              <w:adjustRightInd w:val="0"/>
              <w:snapToGrid w:val="0"/>
              <w:spacing w:line="360" w:lineRule="auto"/>
              <w:ind w:firstLine="480" w:firstLineChars="200"/>
              <w:rPr>
                <w:sz w:val="24"/>
              </w:rPr>
            </w:pPr>
            <w:r>
              <w:rPr>
                <w:rFonts w:hint="eastAsia"/>
                <w:sz w:val="24"/>
              </w:rPr>
              <w:t>项目与《内蒙古自治区人民政府关于划分水土流失重点预防区和重点治理区的通告》（内政发〔2016〕44号）符合性分析如下。</w:t>
            </w:r>
          </w:p>
          <w:p w14:paraId="53DD2AFE">
            <w:pPr>
              <w:jc w:val="center"/>
              <w:rPr>
                <w:b/>
                <w:sz w:val="24"/>
                <w:szCs w:val="21"/>
              </w:rPr>
            </w:pPr>
            <w:r>
              <w:rPr>
                <w:b/>
                <w:sz w:val="24"/>
                <w:szCs w:val="21"/>
              </w:rPr>
              <w:t>表1-</w:t>
            </w:r>
            <w:r>
              <w:rPr>
                <w:rFonts w:hint="eastAsia"/>
                <w:b/>
                <w:sz w:val="24"/>
                <w:szCs w:val="21"/>
              </w:rPr>
              <w:t xml:space="preserve">12 </w:t>
            </w:r>
            <w:r>
              <w:rPr>
                <w:b/>
                <w:sz w:val="24"/>
                <w:szCs w:val="21"/>
              </w:rPr>
              <w:t>与</w:t>
            </w:r>
            <w:r>
              <w:rPr>
                <w:rFonts w:hint="eastAsia"/>
                <w:b/>
                <w:sz w:val="24"/>
                <w:szCs w:val="21"/>
              </w:rPr>
              <w:t>内政发〔2016〕44号通告</w:t>
            </w:r>
            <w:r>
              <w:rPr>
                <w:b/>
                <w:sz w:val="24"/>
                <w:szCs w:val="21"/>
              </w:rPr>
              <w:t>符合性分析</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3325"/>
              <w:gridCol w:w="2956"/>
              <w:gridCol w:w="750"/>
            </w:tblGrid>
            <w:tr w14:paraId="5A3D952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2364" w:type="pct"/>
                  <w:tcMar>
                    <w:left w:w="0" w:type="dxa"/>
                    <w:right w:w="0" w:type="dxa"/>
                  </w:tcMar>
                  <w:vAlign w:val="center"/>
                </w:tcPr>
                <w:p w14:paraId="0100DA02">
                  <w:pPr>
                    <w:widowControl/>
                    <w:snapToGrid w:val="0"/>
                    <w:jc w:val="center"/>
                    <w:rPr>
                      <w:kern w:val="0"/>
                      <w:szCs w:val="21"/>
                    </w:rPr>
                  </w:pPr>
                  <w:r>
                    <w:rPr>
                      <w:rFonts w:hint="eastAsia"/>
                      <w:kern w:val="0"/>
                      <w:szCs w:val="21"/>
                    </w:rPr>
                    <w:t>通告</w:t>
                  </w:r>
                  <w:r>
                    <w:rPr>
                      <w:kern w:val="0"/>
                      <w:szCs w:val="21"/>
                    </w:rPr>
                    <w:t>要求</w:t>
                  </w:r>
                </w:p>
              </w:tc>
              <w:tc>
                <w:tcPr>
                  <w:tcW w:w="2102" w:type="pct"/>
                  <w:tcMar>
                    <w:left w:w="0" w:type="dxa"/>
                    <w:right w:w="0" w:type="dxa"/>
                  </w:tcMar>
                  <w:vAlign w:val="center"/>
                </w:tcPr>
                <w:p w14:paraId="678A17FD">
                  <w:pPr>
                    <w:jc w:val="center"/>
                    <w:rPr>
                      <w:kern w:val="0"/>
                      <w:szCs w:val="21"/>
                    </w:rPr>
                  </w:pPr>
                  <w:r>
                    <w:rPr>
                      <w:kern w:val="0"/>
                      <w:szCs w:val="21"/>
                    </w:rPr>
                    <w:t>项目情况</w:t>
                  </w:r>
                </w:p>
              </w:tc>
              <w:tc>
                <w:tcPr>
                  <w:tcW w:w="533" w:type="pct"/>
                  <w:tcMar>
                    <w:left w:w="0" w:type="dxa"/>
                    <w:right w:w="0" w:type="dxa"/>
                  </w:tcMar>
                  <w:vAlign w:val="center"/>
                </w:tcPr>
                <w:p w14:paraId="45F5E557">
                  <w:pPr>
                    <w:jc w:val="center"/>
                    <w:rPr>
                      <w:kern w:val="0"/>
                      <w:szCs w:val="21"/>
                    </w:rPr>
                  </w:pPr>
                  <w:r>
                    <w:rPr>
                      <w:kern w:val="0"/>
                      <w:szCs w:val="21"/>
                    </w:rPr>
                    <w:t>符合性</w:t>
                  </w:r>
                </w:p>
              </w:tc>
            </w:tr>
            <w:tr w14:paraId="47C1432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823" w:hRule="atLeast"/>
                <w:jc w:val="center"/>
              </w:trPr>
              <w:tc>
                <w:tcPr>
                  <w:tcW w:w="2364" w:type="pct"/>
                  <w:tcMar>
                    <w:left w:w="0" w:type="dxa"/>
                    <w:right w:w="0" w:type="dxa"/>
                  </w:tcMar>
                  <w:vAlign w:val="center"/>
                </w:tcPr>
                <w:p w14:paraId="5433B34E">
                  <w:pPr>
                    <w:widowControl/>
                    <w:snapToGrid w:val="0"/>
                    <w:rPr>
                      <w:kern w:val="0"/>
                      <w:szCs w:val="21"/>
                    </w:rPr>
                  </w:pPr>
                  <w:r>
                    <w:rPr>
                      <w:rFonts w:hint="eastAsia"/>
                      <w:kern w:val="0"/>
                      <w:szCs w:val="21"/>
                    </w:rPr>
                    <w:t>本区域要坚持“因地制宜、综合治理”的方针，开展以小流域为单元的综合治理，改善生态环境和生产条件；鼓励单位和个人参与水土流失治理；加强管护，巩固治理成果。</w:t>
                  </w:r>
                </w:p>
              </w:tc>
              <w:tc>
                <w:tcPr>
                  <w:tcW w:w="2102" w:type="pct"/>
                  <w:tcMar>
                    <w:left w:w="0" w:type="dxa"/>
                    <w:right w:w="0" w:type="dxa"/>
                  </w:tcMar>
                  <w:vAlign w:val="center"/>
                </w:tcPr>
                <w:p w14:paraId="69CD894F">
                  <w:pPr>
                    <w:widowControl/>
                    <w:snapToGrid w:val="0"/>
                    <w:ind w:firstLine="420" w:firstLineChars="200"/>
                    <w:rPr>
                      <w:kern w:val="0"/>
                      <w:szCs w:val="21"/>
                    </w:rPr>
                  </w:pPr>
                  <w:r>
                    <w:rPr>
                      <w:rFonts w:hint="eastAsia"/>
                      <w:kern w:val="0"/>
                      <w:szCs w:val="21"/>
                    </w:rPr>
                    <w:t>项目位于黄河多沙粗沙国家级水土流失重点治理区。项目施工期严格控制占地范围，加强施工期监督管理，减少对周边植被的破坏，施工结束后，采取人工辅助进行植被恢复，避免造成水土流失。项目占地现状为天然牧草地其他草地，占地面积较小，在采取防治措施后可有效避免人为造成水土流失。</w:t>
                  </w:r>
                </w:p>
              </w:tc>
              <w:tc>
                <w:tcPr>
                  <w:tcW w:w="533" w:type="pct"/>
                  <w:tcMar>
                    <w:left w:w="0" w:type="dxa"/>
                    <w:right w:w="0" w:type="dxa"/>
                  </w:tcMar>
                  <w:vAlign w:val="center"/>
                </w:tcPr>
                <w:p w14:paraId="6803CF9B">
                  <w:pPr>
                    <w:widowControl/>
                    <w:snapToGrid w:val="0"/>
                    <w:jc w:val="center"/>
                    <w:rPr>
                      <w:kern w:val="0"/>
                      <w:szCs w:val="21"/>
                    </w:rPr>
                  </w:pPr>
                  <w:r>
                    <w:rPr>
                      <w:kern w:val="0"/>
                      <w:szCs w:val="21"/>
                    </w:rPr>
                    <w:t>符合</w:t>
                  </w:r>
                </w:p>
              </w:tc>
            </w:tr>
          </w:tbl>
          <w:p w14:paraId="4516A97F">
            <w:pPr>
              <w:adjustRightInd w:val="0"/>
              <w:snapToGrid w:val="0"/>
              <w:spacing w:line="360" w:lineRule="auto"/>
              <w:ind w:firstLine="480" w:firstLineChars="200"/>
              <w:rPr>
                <w:sz w:val="24"/>
              </w:rPr>
            </w:pPr>
          </w:p>
          <w:p w14:paraId="3DD66DC2">
            <w:pPr>
              <w:adjustRightInd w:val="0"/>
              <w:snapToGrid w:val="0"/>
              <w:spacing w:line="360" w:lineRule="auto"/>
              <w:ind w:firstLine="480" w:firstLineChars="200"/>
              <w:rPr>
                <w:sz w:val="24"/>
              </w:rPr>
            </w:pPr>
          </w:p>
          <w:p w14:paraId="49992259">
            <w:pPr>
              <w:adjustRightInd w:val="0"/>
              <w:snapToGrid w:val="0"/>
              <w:spacing w:line="360" w:lineRule="auto"/>
              <w:ind w:firstLine="480" w:firstLineChars="200"/>
              <w:rPr>
                <w:sz w:val="24"/>
              </w:rPr>
            </w:pPr>
          </w:p>
          <w:p w14:paraId="1262E630">
            <w:pPr>
              <w:adjustRightInd w:val="0"/>
              <w:snapToGrid w:val="0"/>
              <w:spacing w:line="360" w:lineRule="auto"/>
              <w:ind w:firstLine="480" w:firstLineChars="200"/>
              <w:rPr>
                <w:sz w:val="24"/>
              </w:rPr>
            </w:pPr>
          </w:p>
          <w:p w14:paraId="6DDC8252">
            <w:pPr>
              <w:adjustRightInd w:val="0"/>
              <w:snapToGrid w:val="0"/>
              <w:spacing w:line="360" w:lineRule="auto"/>
              <w:ind w:firstLine="480" w:firstLineChars="200"/>
              <w:rPr>
                <w:sz w:val="24"/>
              </w:rPr>
            </w:pPr>
          </w:p>
          <w:p w14:paraId="4AC1F8E1">
            <w:pPr>
              <w:adjustRightInd w:val="0"/>
              <w:snapToGrid w:val="0"/>
              <w:spacing w:line="360" w:lineRule="auto"/>
              <w:ind w:firstLine="480" w:firstLineChars="200"/>
              <w:rPr>
                <w:sz w:val="24"/>
              </w:rPr>
            </w:pPr>
          </w:p>
          <w:p w14:paraId="6BA7F3B2">
            <w:pPr>
              <w:adjustRightInd w:val="0"/>
              <w:snapToGrid w:val="0"/>
              <w:spacing w:line="360" w:lineRule="auto"/>
              <w:ind w:firstLine="480" w:firstLineChars="200"/>
              <w:rPr>
                <w:sz w:val="24"/>
              </w:rPr>
            </w:pPr>
          </w:p>
          <w:p w14:paraId="4F695CC2">
            <w:pPr>
              <w:adjustRightInd w:val="0"/>
              <w:snapToGrid w:val="0"/>
              <w:spacing w:line="360" w:lineRule="auto"/>
              <w:ind w:firstLine="480" w:firstLineChars="200"/>
              <w:rPr>
                <w:sz w:val="24"/>
              </w:rPr>
            </w:pPr>
          </w:p>
          <w:p w14:paraId="534E7A8D">
            <w:pPr>
              <w:adjustRightInd w:val="0"/>
              <w:snapToGrid w:val="0"/>
              <w:spacing w:line="360" w:lineRule="auto"/>
              <w:ind w:firstLine="480" w:firstLineChars="200"/>
              <w:rPr>
                <w:sz w:val="24"/>
              </w:rPr>
            </w:pPr>
          </w:p>
          <w:p w14:paraId="67FF61A6">
            <w:pPr>
              <w:adjustRightInd w:val="0"/>
              <w:snapToGrid w:val="0"/>
              <w:spacing w:line="360" w:lineRule="auto"/>
              <w:ind w:firstLine="480" w:firstLineChars="200"/>
              <w:rPr>
                <w:sz w:val="24"/>
              </w:rPr>
            </w:pPr>
          </w:p>
          <w:p w14:paraId="15FEE6F8">
            <w:pPr>
              <w:rPr>
                <w:b/>
                <w:sz w:val="24"/>
                <w:szCs w:val="32"/>
              </w:rPr>
            </w:pPr>
          </w:p>
        </w:tc>
      </w:tr>
    </w:tbl>
    <w:p w14:paraId="230ECE13">
      <w:pPr>
        <w:spacing w:line="360" w:lineRule="auto"/>
        <w:outlineLvl w:val="0"/>
        <w:rPr>
          <w:rFonts w:eastAsia="黑体"/>
          <w:sz w:val="30"/>
        </w:rPr>
        <w:sectPr>
          <w:footerReference r:id="rId5" w:type="default"/>
          <w:pgSz w:w="11906" w:h="16838"/>
          <w:pgMar w:top="1588" w:right="1531" w:bottom="1418" w:left="1531" w:header="851" w:footer="1077" w:gutter="0"/>
          <w:pgNumType w:start="1"/>
          <w:cols w:space="720" w:num="1"/>
          <w:docGrid w:linePitch="312" w:charSpace="0"/>
        </w:sectPr>
      </w:pPr>
    </w:p>
    <w:p w14:paraId="552E80CE">
      <w:pPr>
        <w:pStyle w:val="25"/>
        <w:spacing w:before="0" w:beforeAutospacing="0" w:after="0" w:afterAutospacing="0"/>
        <w:jc w:val="center"/>
        <w:outlineLvl w:val="0"/>
        <w:rPr>
          <w:rFonts w:ascii="黑体" w:hAnsi="黑体" w:eastAsia="黑体"/>
          <w:b/>
          <w:snapToGrid w:val="0"/>
          <w:kern w:val="2"/>
          <w:sz w:val="30"/>
          <w:szCs w:val="30"/>
        </w:rPr>
      </w:pPr>
      <w:bookmarkStart w:id="4" w:name="_Toc214007545"/>
      <w:r>
        <w:rPr>
          <w:rFonts w:ascii="黑体" w:hAnsi="黑体" w:eastAsia="黑体"/>
          <w:b/>
          <w:snapToGrid w:val="0"/>
          <w:kern w:val="2"/>
          <w:sz w:val="30"/>
          <w:szCs w:val="30"/>
        </w:rPr>
        <w:t>二、建设内容</w:t>
      </w:r>
      <w:bookmarkEnd w:id="4"/>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454"/>
      </w:tblGrid>
      <w:tr w14:paraId="5BB25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57" w:type="dxa"/>
            <w:vAlign w:val="center"/>
          </w:tcPr>
          <w:p w14:paraId="7028FF28">
            <w:pPr>
              <w:adjustRightInd w:val="0"/>
              <w:snapToGrid w:val="0"/>
              <w:jc w:val="center"/>
              <w:rPr>
                <w:b/>
                <w:kern w:val="0"/>
                <w:sz w:val="24"/>
              </w:rPr>
            </w:pPr>
            <w:r>
              <w:rPr>
                <w:b/>
                <w:kern w:val="0"/>
                <w:sz w:val="24"/>
              </w:rPr>
              <w:t>地理位置</w:t>
            </w:r>
          </w:p>
        </w:tc>
        <w:tc>
          <w:tcPr>
            <w:tcW w:w="8454" w:type="dxa"/>
            <w:vAlign w:val="center"/>
          </w:tcPr>
          <w:p w14:paraId="6DF853BA">
            <w:pPr>
              <w:adjustRightInd w:val="0"/>
              <w:snapToGrid w:val="0"/>
              <w:spacing w:line="360" w:lineRule="auto"/>
              <w:ind w:firstLine="480" w:firstLineChars="200"/>
              <w:rPr>
                <w:sz w:val="24"/>
              </w:rPr>
            </w:pPr>
            <w:r>
              <w:rPr>
                <w:rFonts w:hint="eastAsia"/>
                <w:sz w:val="24"/>
              </w:rPr>
              <w:t>项目</w:t>
            </w:r>
            <w:r>
              <w:rPr>
                <w:sz w:val="24"/>
              </w:rPr>
              <w:t>位于内蒙古自治区</w:t>
            </w:r>
            <w:r>
              <w:rPr>
                <w:rFonts w:hint="eastAsia"/>
                <w:sz w:val="24"/>
              </w:rPr>
              <w:t>巴彦淖尔市磴口县沙漠林业实验中心农场四实验场西北约480m，井场中心地理坐标：</w:t>
            </w:r>
            <w:r>
              <w:rPr>
                <w:sz w:val="24"/>
              </w:rPr>
              <w:t>106°42′48.417″，40°25′45.892″</w:t>
            </w:r>
            <w:r>
              <w:rPr>
                <w:rFonts w:hint="eastAsia"/>
                <w:sz w:val="24"/>
              </w:rPr>
              <w:t>，占地面积共9983m</w:t>
            </w:r>
            <w:r>
              <w:rPr>
                <w:sz w:val="24"/>
                <w:vertAlign w:val="superscript"/>
              </w:rPr>
              <w:t>2</w:t>
            </w:r>
            <w:r>
              <w:rPr>
                <w:rFonts w:hint="eastAsia"/>
                <w:sz w:val="24"/>
              </w:rPr>
              <w:t>。</w:t>
            </w:r>
          </w:p>
        </w:tc>
      </w:tr>
      <w:tr w14:paraId="0F1C1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57" w:type="dxa"/>
            <w:vAlign w:val="center"/>
          </w:tcPr>
          <w:p w14:paraId="282D195C">
            <w:pPr>
              <w:adjustRightInd w:val="0"/>
              <w:snapToGrid w:val="0"/>
              <w:jc w:val="center"/>
              <w:rPr>
                <w:b/>
                <w:kern w:val="0"/>
                <w:sz w:val="24"/>
              </w:rPr>
            </w:pPr>
            <w:r>
              <w:rPr>
                <w:b/>
                <w:kern w:val="0"/>
                <w:sz w:val="24"/>
              </w:rPr>
              <w:t>项目组成及规模</w:t>
            </w:r>
          </w:p>
        </w:tc>
        <w:tc>
          <w:tcPr>
            <w:tcW w:w="8454" w:type="dxa"/>
            <w:vAlign w:val="center"/>
          </w:tcPr>
          <w:p w14:paraId="2A5DCD5C">
            <w:pPr>
              <w:autoSpaceDE w:val="0"/>
              <w:autoSpaceDN w:val="0"/>
              <w:adjustRightInd w:val="0"/>
              <w:snapToGrid w:val="0"/>
              <w:spacing w:line="360" w:lineRule="auto"/>
              <w:ind w:firstLine="482" w:firstLineChars="200"/>
              <w:rPr>
                <w:b/>
                <w:kern w:val="0"/>
                <w:sz w:val="24"/>
              </w:rPr>
            </w:pPr>
            <w:r>
              <w:rPr>
                <w:rFonts w:hint="eastAsia"/>
                <w:b/>
                <w:kern w:val="0"/>
                <w:sz w:val="24"/>
              </w:rPr>
              <w:t>一、项目由来</w:t>
            </w:r>
          </w:p>
          <w:p w14:paraId="270D9F3E">
            <w:pPr>
              <w:spacing w:line="360" w:lineRule="auto"/>
              <w:ind w:firstLine="480" w:firstLineChars="200"/>
              <w:rPr>
                <w:sz w:val="24"/>
                <w:szCs w:val="32"/>
              </w:rPr>
            </w:pPr>
            <w:r>
              <w:rPr>
                <w:rFonts w:hint="eastAsia"/>
                <w:sz w:val="24"/>
                <w:szCs w:val="32"/>
              </w:rPr>
              <w:t>2022年4月1日中华人民共和国自然资源部颁发探矿权证书（证号：T1000002020121018000204），勘查项目名称：内蒙古河套盆地吉锦油气勘查，地理位置：内蒙古自治区杭锦后旗、磴口、阿拉善左旗、</w:t>
            </w:r>
            <w:r>
              <w:rPr>
                <w:sz w:val="24"/>
                <w:szCs w:val="32"/>
              </w:rPr>
              <w:t>杭锦旗</w:t>
            </w:r>
            <w:r>
              <w:rPr>
                <w:rFonts w:hint="eastAsia"/>
                <w:sz w:val="24"/>
                <w:szCs w:val="32"/>
              </w:rPr>
              <w:t>、巴彦淖尔、五原，探矿权证书有效期限为2022年4月1日至2027年4月1日。经核实</w:t>
            </w:r>
            <w:r>
              <w:rPr>
                <w:rFonts w:hint="eastAsia"/>
                <w:sz w:val="24"/>
              </w:rPr>
              <w:t>磴4平台3口井位</w:t>
            </w:r>
            <w:r>
              <w:rPr>
                <w:rFonts w:hint="eastAsia"/>
                <w:sz w:val="24"/>
                <w:szCs w:val="32"/>
              </w:rPr>
              <w:t>于该勘查区范围内，探矿权证书见附件</w:t>
            </w:r>
            <w:r>
              <w:rPr>
                <w:sz w:val="24"/>
                <w:szCs w:val="32"/>
              </w:rPr>
              <w:t>。</w:t>
            </w:r>
          </w:p>
          <w:p w14:paraId="6DEF9FBC">
            <w:pPr>
              <w:spacing w:line="360" w:lineRule="auto"/>
              <w:ind w:firstLine="480" w:firstLineChars="200"/>
              <w:rPr>
                <w:sz w:val="24"/>
                <w:szCs w:val="32"/>
              </w:rPr>
            </w:pPr>
            <w:r>
              <w:rPr>
                <w:rFonts w:hint="eastAsia"/>
                <w:sz w:val="24"/>
                <w:szCs w:val="32"/>
              </w:rPr>
              <w:t>在勘查区范围内，为确定油气藏是否存在，圈定油气藏边界，并对油气藏进行工业评价，取得油气开发所需要的地质资料而钻的井称为探井。根据华北油田巴彦勘探开发分公司在临河坳陷磴口构造带部署的预探井勘探结果分析，</w:t>
            </w:r>
            <w:r>
              <w:rPr>
                <w:sz w:val="24"/>
                <w:szCs w:val="32"/>
              </w:rPr>
              <w:t>该</w:t>
            </w:r>
            <w:r>
              <w:rPr>
                <w:rFonts w:hint="eastAsia"/>
                <w:sz w:val="24"/>
                <w:szCs w:val="32"/>
              </w:rPr>
              <w:t>区块</w:t>
            </w:r>
            <w:r>
              <w:rPr>
                <w:sz w:val="24"/>
                <w:szCs w:val="32"/>
              </w:rPr>
              <w:t>油藏埋藏较深，储层致密，油层厚度较大，</w:t>
            </w:r>
            <w:r>
              <w:rPr>
                <w:rFonts w:hint="eastAsia"/>
                <w:sz w:val="24"/>
                <w:szCs w:val="32"/>
              </w:rPr>
              <w:t>为进一步落实磴口构造带吉华19区块含油范围，确定区块的储量规模、产能及经济价值，同时</w:t>
            </w:r>
            <w:r>
              <w:rPr>
                <w:rFonts w:hint="eastAsia"/>
                <w:sz w:val="24"/>
              </w:rPr>
              <w:t>按照</w:t>
            </w:r>
            <w:r>
              <w:rPr>
                <w:sz w:val="24"/>
              </w:rPr>
              <w:t>《</w:t>
            </w:r>
            <w:r>
              <w:rPr>
                <w:rFonts w:hint="eastAsia"/>
                <w:sz w:val="24"/>
              </w:rPr>
              <w:t>石油天然气开采业污染防治技术政策</w:t>
            </w:r>
            <w:r>
              <w:rPr>
                <w:sz w:val="24"/>
              </w:rPr>
              <w:t>》等</w:t>
            </w:r>
            <w:r>
              <w:rPr>
                <w:rFonts w:hint="eastAsia"/>
                <w:sz w:val="24"/>
              </w:rPr>
              <w:t>相关要求（油田建设宜布置丛式井组，采用多分支井、水平井、小孔钻井、空气钻井等钻井技术，以减少废物产生和占地）且满足钻探目的的前提下，布置为丛式井组（多口井共享一个井场），利用定向钻井与井眼防碰技术，能确保施工安全，斜井可精准钻探到直井无法到达的地下目标储层，因此可在磴4平台井场内部署钻探3口勘探井</w:t>
            </w:r>
            <w:r>
              <w:rPr>
                <w:rFonts w:hint="eastAsia"/>
                <w:sz w:val="24"/>
                <w:szCs w:val="32"/>
              </w:rPr>
              <w:t>。</w:t>
            </w:r>
          </w:p>
          <w:p w14:paraId="3A698F7D">
            <w:pPr>
              <w:autoSpaceDE w:val="0"/>
              <w:autoSpaceDN w:val="0"/>
              <w:adjustRightInd w:val="0"/>
              <w:snapToGrid w:val="0"/>
              <w:spacing w:line="360" w:lineRule="auto"/>
              <w:ind w:firstLine="482" w:firstLineChars="200"/>
              <w:rPr>
                <w:b/>
                <w:kern w:val="0"/>
                <w:sz w:val="24"/>
              </w:rPr>
            </w:pPr>
            <w:r>
              <w:rPr>
                <w:rFonts w:hint="eastAsia"/>
                <w:b/>
                <w:kern w:val="0"/>
                <w:sz w:val="24"/>
              </w:rPr>
              <w:t>二</w:t>
            </w:r>
            <w:r>
              <w:rPr>
                <w:b/>
                <w:kern w:val="0"/>
                <w:sz w:val="24"/>
              </w:rPr>
              <w:t>、项目组成</w:t>
            </w:r>
          </w:p>
          <w:p w14:paraId="39A66068">
            <w:pPr>
              <w:adjustRightInd w:val="0"/>
              <w:snapToGrid w:val="0"/>
              <w:spacing w:line="360" w:lineRule="auto"/>
              <w:ind w:firstLine="480" w:firstLineChars="200"/>
              <w:rPr>
                <w:sz w:val="24"/>
              </w:rPr>
            </w:pPr>
            <w:r>
              <w:rPr>
                <w:rFonts w:hint="eastAsia"/>
                <w:sz w:val="24"/>
              </w:rPr>
              <w:t>项目在磴4平台井场内部署钻探3口勘探井，3口勘探井依次施工。1号井设计井深为4000m，井型为直井式，采用二开井身结构，勘探期预计为60天；2号井设计井深为4100m，井型为斜井式，采用二开井身结构，勘探期预计为60天；3号井设计井深为4100m，井型为斜井式，采用二开井身结构，勘探期预计为60天。</w:t>
            </w:r>
          </w:p>
          <w:p w14:paraId="71C9ED00">
            <w:pPr>
              <w:adjustRightInd w:val="0"/>
              <w:snapToGrid w:val="0"/>
              <w:spacing w:line="360" w:lineRule="auto"/>
              <w:ind w:firstLine="480" w:firstLineChars="200"/>
              <w:rPr>
                <w:sz w:val="24"/>
              </w:rPr>
            </w:pPr>
            <w:r>
              <w:rPr>
                <w:rFonts w:hint="eastAsia"/>
                <w:sz w:val="24"/>
              </w:rPr>
              <w:t>项目属于石油开采过程的钻探、试采时期，其工程内容包含钻前工程、钻井工程、试油工程、封井工程等部分。项目勘探任务完成后，根据测试情况，若有开采价值，则保留试油井场，其余临时占地恢复原貌，井口安装采油设备后转为产能井（转为产能井的相关工作内容等需另行设计和开展环境评价，并完善井场永久占地征地手续）；若无开采价值，则进行封井封场处理（无永久占地，临时占地恢复原貌），故项目仅为钻探、试采施工，不涉及油井开发，不涉及运营期。</w:t>
            </w:r>
            <w:r>
              <w:rPr>
                <w:sz w:val="24"/>
              </w:rPr>
              <w:t>项目主要建设内容见下表。</w:t>
            </w:r>
          </w:p>
          <w:p w14:paraId="27AD596E">
            <w:pPr>
              <w:jc w:val="center"/>
              <w:rPr>
                <w:b/>
                <w:sz w:val="24"/>
                <w:szCs w:val="21"/>
              </w:rPr>
            </w:pPr>
            <w:r>
              <w:rPr>
                <w:b/>
                <w:sz w:val="24"/>
                <w:szCs w:val="21"/>
              </w:rPr>
              <w:t>表2-</w:t>
            </w:r>
            <w:r>
              <w:rPr>
                <w:rFonts w:hint="eastAsia"/>
                <w:b/>
                <w:sz w:val="24"/>
                <w:szCs w:val="21"/>
              </w:rPr>
              <w:t>1</w:t>
            </w:r>
            <w:r>
              <w:rPr>
                <w:b/>
                <w:sz w:val="24"/>
                <w:szCs w:val="21"/>
              </w:rPr>
              <w:t xml:space="preserve"> 项目主要建设工程一览表</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601"/>
              <w:gridCol w:w="400"/>
              <w:gridCol w:w="708"/>
              <w:gridCol w:w="6529"/>
            </w:tblGrid>
            <w:tr w14:paraId="05757BB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24" w:hRule="atLeast"/>
                <w:jc w:val="center"/>
              </w:trPr>
              <w:tc>
                <w:tcPr>
                  <w:tcW w:w="365" w:type="pct"/>
                  <w:tcMar>
                    <w:left w:w="0" w:type="dxa"/>
                    <w:right w:w="0" w:type="dxa"/>
                  </w:tcMar>
                  <w:vAlign w:val="center"/>
                </w:tcPr>
                <w:p w14:paraId="6B010730">
                  <w:pPr>
                    <w:jc w:val="center"/>
                    <w:rPr>
                      <w:szCs w:val="21"/>
                    </w:rPr>
                  </w:pPr>
                  <w:r>
                    <w:rPr>
                      <w:rFonts w:hint="eastAsia"/>
                      <w:szCs w:val="21"/>
                    </w:rPr>
                    <w:t>工程类别</w:t>
                  </w:r>
                </w:p>
              </w:tc>
              <w:tc>
                <w:tcPr>
                  <w:tcW w:w="672" w:type="pct"/>
                  <w:gridSpan w:val="2"/>
                  <w:tcMar>
                    <w:left w:w="0" w:type="dxa"/>
                    <w:right w:w="0" w:type="dxa"/>
                  </w:tcMar>
                  <w:vAlign w:val="center"/>
                </w:tcPr>
                <w:p w14:paraId="7A2B58EF">
                  <w:pPr>
                    <w:jc w:val="center"/>
                    <w:rPr>
                      <w:szCs w:val="21"/>
                    </w:rPr>
                  </w:pPr>
                  <w:r>
                    <w:rPr>
                      <w:rFonts w:hint="eastAsia"/>
                      <w:szCs w:val="21"/>
                    </w:rPr>
                    <w:t>项目名称</w:t>
                  </w:r>
                </w:p>
              </w:tc>
              <w:tc>
                <w:tcPr>
                  <w:tcW w:w="3962" w:type="pct"/>
                  <w:tcMar>
                    <w:left w:w="0" w:type="dxa"/>
                    <w:right w:w="0" w:type="dxa"/>
                  </w:tcMar>
                  <w:vAlign w:val="center"/>
                </w:tcPr>
                <w:p w14:paraId="38FC6863">
                  <w:pPr>
                    <w:jc w:val="center"/>
                    <w:rPr>
                      <w:szCs w:val="21"/>
                    </w:rPr>
                  </w:pPr>
                  <w:r>
                    <w:rPr>
                      <w:rFonts w:hint="eastAsia"/>
                      <w:szCs w:val="21"/>
                    </w:rPr>
                    <w:t>主要工程内容</w:t>
                  </w:r>
                </w:p>
              </w:tc>
            </w:tr>
            <w:tr w14:paraId="4BE06E0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jc w:val="center"/>
              </w:trPr>
              <w:tc>
                <w:tcPr>
                  <w:tcW w:w="365" w:type="pct"/>
                  <w:vMerge w:val="restart"/>
                  <w:tcMar>
                    <w:left w:w="0" w:type="dxa"/>
                    <w:right w:w="0" w:type="dxa"/>
                  </w:tcMar>
                  <w:vAlign w:val="center"/>
                </w:tcPr>
                <w:p w14:paraId="387070CB">
                  <w:pPr>
                    <w:jc w:val="center"/>
                    <w:rPr>
                      <w:szCs w:val="21"/>
                    </w:rPr>
                  </w:pPr>
                  <w:r>
                    <w:rPr>
                      <w:rFonts w:hint="eastAsia"/>
                      <w:szCs w:val="21"/>
                    </w:rPr>
                    <w:t>主体工程</w:t>
                  </w:r>
                </w:p>
              </w:tc>
              <w:tc>
                <w:tcPr>
                  <w:tcW w:w="672" w:type="pct"/>
                  <w:gridSpan w:val="2"/>
                  <w:vMerge w:val="restart"/>
                  <w:tcMar>
                    <w:left w:w="0" w:type="dxa"/>
                    <w:right w:w="0" w:type="dxa"/>
                  </w:tcMar>
                  <w:vAlign w:val="center"/>
                </w:tcPr>
                <w:p w14:paraId="5449B29E">
                  <w:pPr>
                    <w:jc w:val="center"/>
                    <w:rPr>
                      <w:szCs w:val="21"/>
                    </w:rPr>
                  </w:pPr>
                  <w:r>
                    <w:rPr>
                      <w:rFonts w:hint="eastAsia"/>
                      <w:szCs w:val="21"/>
                    </w:rPr>
                    <w:t>钻前工程</w:t>
                  </w:r>
                </w:p>
              </w:tc>
              <w:tc>
                <w:tcPr>
                  <w:tcW w:w="3962" w:type="pct"/>
                  <w:tcMar>
                    <w:left w:w="0" w:type="dxa"/>
                    <w:right w:w="0" w:type="dxa"/>
                  </w:tcMar>
                  <w:vAlign w:val="center"/>
                </w:tcPr>
                <w:p w14:paraId="66862D29">
                  <w:pPr>
                    <w:rPr>
                      <w:szCs w:val="21"/>
                    </w:rPr>
                  </w:pPr>
                  <w:r>
                    <w:rPr>
                      <w:rFonts w:hint="eastAsia"/>
                      <w:szCs w:val="21"/>
                    </w:rPr>
                    <w:t>项目井场位于现有乡村道路旁，乡村道路为6m宽砂石路，可以做为机械设备等运输道路，无需再新</w:t>
                  </w:r>
                  <w:r>
                    <w:rPr>
                      <w:szCs w:val="21"/>
                    </w:rPr>
                    <w:t>建进场道路。</w:t>
                  </w:r>
                </w:p>
              </w:tc>
            </w:tr>
            <w:tr w14:paraId="2823B20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496" w:hRule="atLeast"/>
                <w:jc w:val="center"/>
              </w:trPr>
              <w:tc>
                <w:tcPr>
                  <w:tcW w:w="365" w:type="pct"/>
                  <w:vMerge w:val="continue"/>
                  <w:tcMar>
                    <w:left w:w="0" w:type="dxa"/>
                    <w:right w:w="0" w:type="dxa"/>
                  </w:tcMar>
                  <w:vAlign w:val="center"/>
                </w:tcPr>
                <w:p w14:paraId="42EF86C2">
                  <w:pPr>
                    <w:jc w:val="center"/>
                    <w:rPr>
                      <w:szCs w:val="21"/>
                    </w:rPr>
                  </w:pPr>
                </w:p>
              </w:tc>
              <w:tc>
                <w:tcPr>
                  <w:tcW w:w="672" w:type="pct"/>
                  <w:gridSpan w:val="2"/>
                  <w:vMerge w:val="continue"/>
                  <w:tcMar>
                    <w:left w:w="0" w:type="dxa"/>
                    <w:right w:w="0" w:type="dxa"/>
                  </w:tcMar>
                  <w:vAlign w:val="center"/>
                </w:tcPr>
                <w:p w14:paraId="57D81DA6">
                  <w:pPr>
                    <w:jc w:val="center"/>
                    <w:rPr>
                      <w:szCs w:val="21"/>
                    </w:rPr>
                  </w:pPr>
                </w:p>
              </w:tc>
              <w:tc>
                <w:tcPr>
                  <w:tcW w:w="3962" w:type="pct"/>
                  <w:tcMar>
                    <w:left w:w="0" w:type="dxa"/>
                    <w:right w:w="0" w:type="dxa"/>
                  </w:tcMar>
                  <w:vAlign w:val="center"/>
                </w:tcPr>
                <w:p w14:paraId="4A99F7AD">
                  <w:pPr>
                    <w:rPr>
                      <w:szCs w:val="21"/>
                    </w:rPr>
                  </w:pPr>
                  <w:r>
                    <w:rPr>
                      <w:rFonts w:hint="eastAsia"/>
                      <w:szCs w:val="21"/>
                    </w:rPr>
                    <w:t>平台</w:t>
                  </w:r>
                  <w:r>
                    <w:rPr>
                      <w:szCs w:val="21"/>
                    </w:rPr>
                    <w:t>井场占地面积</w:t>
                  </w:r>
                  <w:r>
                    <w:rPr>
                      <w:rFonts w:hint="eastAsia"/>
                      <w:szCs w:val="21"/>
                    </w:rPr>
                    <w:t>9983</w:t>
                  </w:r>
                  <w:r>
                    <w:rPr>
                      <w:szCs w:val="21"/>
                    </w:rPr>
                    <w:t>m</w:t>
                  </w:r>
                  <w:r>
                    <w:rPr>
                      <w:szCs w:val="21"/>
                      <w:vertAlign w:val="superscript"/>
                    </w:rPr>
                    <w:t>2</w:t>
                  </w:r>
                  <w:r>
                    <w:rPr>
                      <w:szCs w:val="21"/>
                    </w:rPr>
                    <w:t>。勘探施工前对井场表土进行剥离</w:t>
                  </w:r>
                  <w:r>
                    <w:rPr>
                      <w:rFonts w:hint="eastAsia"/>
                      <w:szCs w:val="21"/>
                    </w:rPr>
                    <w:t>并堆存（表土堆存区面积600m</w:t>
                  </w:r>
                  <w:r>
                    <w:rPr>
                      <w:rFonts w:hint="eastAsia"/>
                      <w:szCs w:val="21"/>
                      <w:vertAlign w:val="superscript"/>
                    </w:rPr>
                    <w:t>2</w:t>
                  </w:r>
                  <w:r>
                    <w:rPr>
                      <w:rFonts w:hint="eastAsia"/>
                      <w:szCs w:val="21"/>
                    </w:rPr>
                    <w:t>，堆存区范围内不进行表土剥离工程），随后</w:t>
                  </w:r>
                  <w:r>
                    <w:rPr>
                      <w:szCs w:val="21"/>
                    </w:rPr>
                    <w:t>平整场地</w:t>
                  </w:r>
                  <w:r>
                    <w:rPr>
                      <w:rFonts w:hint="eastAsia"/>
                      <w:szCs w:val="21"/>
                    </w:rPr>
                    <w:t>。表土堆存区面积600m</w:t>
                  </w:r>
                  <w:r>
                    <w:rPr>
                      <w:rFonts w:hint="eastAsia"/>
                      <w:szCs w:val="21"/>
                      <w:vertAlign w:val="superscript"/>
                    </w:rPr>
                    <w:t>2</w:t>
                  </w:r>
                  <w:r>
                    <w:rPr>
                      <w:rFonts w:hint="eastAsia"/>
                      <w:szCs w:val="21"/>
                    </w:rPr>
                    <w:t>、</w:t>
                  </w:r>
                  <w:r>
                    <w:rPr>
                      <w:szCs w:val="21"/>
                    </w:rPr>
                    <w:t>生活区</w:t>
                  </w:r>
                  <w:r>
                    <w:rPr>
                      <w:rFonts w:hint="eastAsia"/>
                      <w:szCs w:val="21"/>
                    </w:rPr>
                    <w:t>面积1500m</w:t>
                  </w:r>
                  <w:r>
                    <w:rPr>
                      <w:rFonts w:hint="eastAsia"/>
                      <w:szCs w:val="21"/>
                      <w:vertAlign w:val="superscript"/>
                    </w:rPr>
                    <w:t>2</w:t>
                  </w:r>
                  <w:r>
                    <w:rPr>
                      <w:rFonts w:hint="eastAsia"/>
                      <w:szCs w:val="21"/>
                    </w:rPr>
                    <w:t>、</w:t>
                  </w:r>
                  <w:r>
                    <w:rPr>
                      <w:szCs w:val="21"/>
                    </w:rPr>
                    <w:t>设备区面积2500m</w:t>
                  </w:r>
                  <w:r>
                    <w:rPr>
                      <w:szCs w:val="21"/>
                      <w:vertAlign w:val="superscript"/>
                    </w:rPr>
                    <w:t>2</w:t>
                  </w:r>
                  <w:r>
                    <w:rPr>
                      <w:szCs w:val="21"/>
                    </w:rPr>
                    <w:t>、柴油储罐区面积36m</w:t>
                  </w:r>
                  <w:r>
                    <w:rPr>
                      <w:szCs w:val="21"/>
                      <w:vertAlign w:val="superscript"/>
                    </w:rPr>
                    <w:t>2</w:t>
                  </w:r>
                  <w:r>
                    <w:rPr>
                      <w:szCs w:val="21"/>
                    </w:rPr>
                    <w:t>、泥浆不落地循环系统装置区面积350m</w:t>
                  </w:r>
                  <w:r>
                    <w:rPr>
                      <w:szCs w:val="21"/>
                      <w:vertAlign w:val="superscript"/>
                    </w:rPr>
                    <w:t>2</w:t>
                  </w:r>
                  <w:r>
                    <w:rPr>
                      <w:szCs w:val="21"/>
                    </w:rPr>
                    <w:t>、撬装式危废贮存点</w:t>
                  </w:r>
                  <w:r>
                    <w:rPr>
                      <w:rFonts w:hint="eastAsia"/>
                      <w:szCs w:val="21"/>
                    </w:rPr>
                    <w:t>面积</w:t>
                  </w:r>
                  <w:r>
                    <w:rPr>
                      <w:szCs w:val="21"/>
                    </w:rPr>
                    <w:t>10m</w:t>
                  </w:r>
                  <w:r>
                    <w:rPr>
                      <w:szCs w:val="21"/>
                      <w:vertAlign w:val="superscript"/>
                    </w:rPr>
                    <w:t>2</w:t>
                  </w:r>
                  <w:r>
                    <w:rPr>
                      <w:szCs w:val="21"/>
                    </w:rPr>
                    <w:t>、原材料堆存区面积100m</w:t>
                  </w:r>
                  <w:r>
                    <w:rPr>
                      <w:szCs w:val="21"/>
                      <w:vertAlign w:val="superscript"/>
                    </w:rPr>
                    <w:t>2</w:t>
                  </w:r>
                  <w:r>
                    <w:rPr>
                      <w:rFonts w:hint="eastAsia"/>
                      <w:szCs w:val="21"/>
                    </w:rPr>
                    <w:t>、其他4887m</w:t>
                  </w:r>
                  <w:r>
                    <w:rPr>
                      <w:rFonts w:hint="eastAsia"/>
                      <w:szCs w:val="21"/>
                      <w:vertAlign w:val="superscript"/>
                    </w:rPr>
                    <w:t>2</w:t>
                  </w:r>
                  <w:r>
                    <w:rPr>
                      <w:szCs w:val="21"/>
                    </w:rPr>
                    <w:t>。</w:t>
                  </w:r>
                </w:p>
              </w:tc>
            </w:tr>
            <w:tr w14:paraId="6E4ED1C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continue"/>
                  <w:tcMar>
                    <w:left w:w="0" w:type="dxa"/>
                    <w:right w:w="0" w:type="dxa"/>
                  </w:tcMar>
                  <w:vAlign w:val="center"/>
                </w:tcPr>
                <w:p w14:paraId="032B6E78">
                  <w:pPr>
                    <w:jc w:val="center"/>
                    <w:rPr>
                      <w:szCs w:val="21"/>
                    </w:rPr>
                  </w:pPr>
                </w:p>
              </w:tc>
              <w:tc>
                <w:tcPr>
                  <w:tcW w:w="672" w:type="pct"/>
                  <w:gridSpan w:val="2"/>
                  <w:vMerge w:val="continue"/>
                  <w:tcMar>
                    <w:left w:w="0" w:type="dxa"/>
                    <w:right w:w="0" w:type="dxa"/>
                  </w:tcMar>
                  <w:vAlign w:val="center"/>
                </w:tcPr>
                <w:p w14:paraId="0BFC63DB">
                  <w:pPr>
                    <w:jc w:val="center"/>
                    <w:rPr>
                      <w:szCs w:val="21"/>
                      <w:highlight w:val="yellow"/>
                    </w:rPr>
                  </w:pPr>
                </w:p>
              </w:tc>
              <w:tc>
                <w:tcPr>
                  <w:tcW w:w="3962" w:type="pct"/>
                  <w:tcMar>
                    <w:left w:w="0" w:type="dxa"/>
                    <w:right w:w="0" w:type="dxa"/>
                  </w:tcMar>
                  <w:vAlign w:val="center"/>
                </w:tcPr>
                <w:p w14:paraId="41E4DC98">
                  <w:pPr>
                    <w:rPr>
                      <w:szCs w:val="21"/>
                      <w:highlight w:val="yellow"/>
                    </w:rPr>
                  </w:pPr>
                  <w:r>
                    <w:rPr>
                      <w:rFonts w:hint="eastAsia"/>
                      <w:szCs w:val="21"/>
                    </w:rPr>
                    <w:t>项目3口井井口间距为10~15m，地面</w:t>
                  </w:r>
                  <w:r>
                    <w:rPr>
                      <w:szCs w:val="21"/>
                    </w:rPr>
                    <w:t>铺设井架基础，井架基础采用钢结构活动基础，承载能力不小于0.15MPa，</w:t>
                  </w:r>
                  <w:r>
                    <w:rPr>
                      <w:rFonts w:hint="eastAsia"/>
                      <w:szCs w:val="21"/>
                    </w:rPr>
                    <w:t>钻探</w:t>
                  </w:r>
                  <w:r>
                    <w:rPr>
                      <w:szCs w:val="21"/>
                    </w:rPr>
                    <w:t>结束后拉运至</w:t>
                  </w:r>
                  <w:r>
                    <w:rPr>
                      <w:rFonts w:hint="eastAsia"/>
                      <w:szCs w:val="21"/>
                    </w:rPr>
                    <w:t>其他</w:t>
                  </w:r>
                  <w:r>
                    <w:rPr>
                      <w:szCs w:val="21"/>
                    </w:rPr>
                    <w:t>井场继续使用。</w:t>
                  </w:r>
                </w:p>
              </w:tc>
            </w:tr>
            <w:tr w14:paraId="2AD414E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95" w:hRule="atLeast"/>
                <w:jc w:val="center"/>
              </w:trPr>
              <w:tc>
                <w:tcPr>
                  <w:tcW w:w="365" w:type="pct"/>
                  <w:vMerge w:val="continue"/>
                  <w:tcMar>
                    <w:left w:w="0" w:type="dxa"/>
                    <w:right w:w="0" w:type="dxa"/>
                  </w:tcMar>
                  <w:vAlign w:val="center"/>
                </w:tcPr>
                <w:p w14:paraId="1017890E">
                  <w:pPr>
                    <w:widowControl/>
                    <w:jc w:val="left"/>
                    <w:rPr>
                      <w:szCs w:val="21"/>
                    </w:rPr>
                  </w:pPr>
                </w:p>
              </w:tc>
              <w:tc>
                <w:tcPr>
                  <w:tcW w:w="672" w:type="pct"/>
                  <w:gridSpan w:val="2"/>
                  <w:vMerge w:val="restart"/>
                  <w:tcMar>
                    <w:left w:w="0" w:type="dxa"/>
                    <w:right w:w="0" w:type="dxa"/>
                  </w:tcMar>
                  <w:vAlign w:val="center"/>
                </w:tcPr>
                <w:p w14:paraId="1BA3F2E1">
                  <w:pPr>
                    <w:jc w:val="center"/>
                    <w:rPr>
                      <w:szCs w:val="21"/>
                    </w:rPr>
                  </w:pPr>
                  <w:r>
                    <w:rPr>
                      <w:rFonts w:hint="eastAsia"/>
                      <w:szCs w:val="21"/>
                    </w:rPr>
                    <w:t>钻井工程</w:t>
                  </w:r>
                </w:p>
              </w:tc>
              <w:tc>
                <w:tcPr>
                  <w:tcW w:w="3962" w:type="pct"/>
                  <w:tcMar>
                    <w:left w:w="0" w:type="dxa"/>
                    <w:right w:w="0" w:type="dxa"/>
                  </w:tcMar>
                  <w:vAlign w:val="center"/>
                </w:tcPr>
                <w:p w14:paraId="7283A9AE">
                  <w:pPr>
                    <w:rPr>
                      <w:szCs w:val="21"/>
                    </w:rPr>
                  </w:pPr>
                  <w:r>
                    <w:rPr>
                      <w:szCs w:val="21"/>
                    </w:rPr>
                    <w:t>钻井设备安装：ZJ</w:t>
                  </w:r>
                  <w:r>
                    <w:rPr>
                      <w:rFonts w:hint="eastAsia"/>
                      <w:szCs w:val="21"/>
                    </w:rPr>
                    <w:t>7</w:t>
                  </w:r>
                  <w:r>
                    <w:rPr>
                      <w:szCs w:val="21"/>
                    </w:rPr>
                    <w:t>0钻机，设备搬运、安装、调试</w:t>
                  </w:r>
                  <w:r>
                    <w:rPr>
                      <w:rFonts w:hint="eastAsia"/>
                      <w:szCs w:val="21"/>
                    </w:rPr>
                    <w:t>。3口勘探井使用同一部钻机依次施工。</w:t>
                  </w:r>
                </w:p>
              </w:tc>
            </w:tr>
            <w:tr w14:paraId="3516262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50" w:hRule="atLeast"/>
                <w:jc w:val="center"/>
              </w:trPr>
              <w:tc>
                <w:tcPr>
                  <w:tcW w:w="365" w:type="pct"/>
                  <w:vMerge w:val="continue"/>
                  <w:tcMar>
                    <w:left w:w="0" w:type="dxa"/>
                    <w:right w:w="0" w:type="dxa"/>
                  </w:tcMar>
                  <w:vAlign w:val="center"/>
                </w:tcPr>
                <w:p w14:paraId="3AF1C8C3">
                  <w:pPr>
                    <w:widowControl/>
                    <w:jc w:val="left"/>
                    <w:rPr>
                      <w:szCs w:val="21"/>
                    </w:rPr>
                  </w:pPr>
                </w:p>
              </w:tc>
              <w:tc>
                <w:tcPr>
                  <w:tcW w:w="672" w:type="pct"/>
                  <w:gridSpan w:val="2"/>
                  <w:vMerge w:val="continue"/>
                  <w:tcMar>
                    <w:left w:w="0" w:type="dxa"/>
                    <w:right w:w="0" w:type="dxa"/>
                  </w:tcMar>
                  <w:vAlign w:val="center"/>
                </w:tcPr>
                <w:p w14:paraId="58ACD65B">
                  <w:pPr>
                    <w:widowControl/>
                    <w:jc w:val="left"/>
                    <w:rPr>
                      <w:szCs w:val="21"/>
                    </w:rPr>
                  </w:pPr>
                </w:p>
              </w:tc>
              <w:tc>
                <w:tcPr>
                  <w:tcW w:w="3962" w:type="pct"/>
                  <w:tcMar>
                    <w:left w:w="0" w:type="dxa"/>
                    <w:right w:w="0" w:type="dxa"/>
                  </w:tcMar>
                  <w:vAlign w:val="center"/>
                </w:tcPr>
                <w:p w14:paraId="645C54BD">
                  <w:pPr>
                    <w:jc w:val="left"/>
                    <w:rPr>
                      <w:szCs w:val="21"/>
                    </w:rPr>
                  </w:pPr>
                  <w:r>
                    <w:rPr>
                      <w:rFonts w:hint="eastAsia"/>
                      <w:szCs w:val="21"/>
                    </w:rPr>
                    <w:t>1号</w:t>
                  </w:r>
                  <w:r>
                    <w:rPr>
                      <w:szCs w:val="21"/>
                    </w:rPr>
                    <w:t>井设计井深</w:t>
                  </w:r>
                  <w:r>
                    <w:rPr>
                      <w:rFonts w:hint="eastAsia"/>
                      <w:szCs w:val="21"/>
                    </w:rPr>
                    <w:t>4000</w:t>
                  </w:r>
                  <w:r>
                    <w:rPr>
                      <w:szCs w:val="21"/>
                    </w:rPr>
                    <w:t>m，</w:t>
                  </w:r>
                  <w:r>
                    <w:rPr>
                      <w:rFonts w:hint="eastAsia"/>
                      <w:szCs w:val="21"/>
                    </w:rPr>
                    <w:t>2号</w:t>
                  </w:r>
                  <w:r>
                    <w:rPr>
                      <w:szCs w:val="21"/>
                    </w:rPr>
                    <w:t>井设计井深</w:t>
                  </w:r>
                  <w:r>
                    <w:rPr>
                      <w:rFonts w:hint="eastAsia"/>
                      <w:szCs w:val="21"/>
                    </w:rPr>
                    <w:t>4100</w:t>
                  </w:r>
                  <w:r>
                    <w:rPr>
                      <w:szCs w:val="21"/>
                    </w:rPr>
                    <w:t>m，</w:t>
                  </w:r>
                  <w:r>
                    <w:rPr>
                      <w:rFonts w:hint="eastAsia"/>
                      <w:szCs w:val="21"/>
                    </w:rPr>
                    <w:t>3号</w:t>
                  </w:r>
                  <w:r>
                    <w:rPr>
                      <w:szCs w:val="21"/>
                    </w:rPr>
                    <w:t>井设计井深</w:t>
                  </w:r>
                  <w:r>
                    <w:rPr>
                      <w:rFonts w:hint="eastAsia"/>
                      <w:szCs w:val="21"/>
                    </w:rPr>
                    <w:t>4100</w:t>
                  </w:r>
                  <w:r>
                    <w:rPr>
                      <w:szCs w:val="21"/>
                    </w:rPr>
                    <w:t>m，均</w:t>
                  </w:r>
                  <w:r>
                    <w:rPr>
                      <w:rFonts w:hint="eastAsia"/>
                      <w:szCs w:val="21"/>
                    </w:rPr>
                    <w:t>使用水基钻井泥浆，现场设置泥浆不落地循环系统装置，采用钻井泥浆循环罐，不设置泥浆池</w:t>
                  </w:r>
                  <w:r>
                    <w:rPr>
                      <w:szCs w:val="21"/>
                    </w:rPr>
                    <w:t>。</w:t>
                  </w:r>
                </w:p>
              </w:tc>
            </w:tr>
            <w:tr w14:paraId="4199337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continue"/>
                  <w:tcMar>
                    <w:left w:w="0" w:type="dxa"/>
                    <w:right w:w="0" w:type="dxa"/>
                  </w:tcMar>
                  <w:vAlign w:val="center"/>
                </w:tcPr>
                <w:p w14:paraId="55098397">
                  <w:pPr>
                    <w:widowControl/>
                    <w:jc w:val="left"/>
                    <w:rPr>
                      <w:szCs w:val="21"/>
                    </w:rPr>
                  </w:pPr>
                </w:p>
              </w:tc>
              <w:tc>
                <w:tcPr>
                  <w:tcW w:w="672" w:type="pct"/>
                  <w:gridSpan w:val="2"/>
                  <w:vMerge w:val="continue"/>
                  <w:tcMar>
                    <w:left w:w="0" w:type="dxa"/>
                    <w:right w:w="0" w:type="dxa"/>
                  </w:tcMar>
                  <w:vAlign w:val="center"/>
                </w:tcPr>
                <w:p w14:paraId="2F0FA612">
                  <w:pPr>
                    <w:widowControl/>
                    <w:jc w:val="left"/>
                    <w:rPr>
                      <w:szCs w:val="21"/>
                    </w:rPr>
                  </w:pPr>
                </w:p>
              </w:tc>
              <w:tc>
                <w:tcPr>
                  <w:tcW w:w="3962" w:type="pct"/>
                  <w:tcMar>
                    <w:left w:w="0" w:type="dxa"/>
                    <w:right w:w="0" w:type="dxa"/>
                  </w:tcMar>
                  <w:vAlign w:val="center"/>
                </w:tcPr>
                <w:p w14:paraId="75CEACF5">
                  <w:pPr>
                    <w:jc w:val="left"/>
                    <w:rPr>
                      <w:szCs w:val="21"/>
                    </w:rPr>
                  </w:pPr>
                  <w:r>
                    <w:rPr>
                      <w:szCs w:val="21"/>
                    </w:rPr>
                    <w:t>固井工程全井段实施套管保护+</w:t>
                  </w:r>
                  <w:r>
                    <w:rPr>
                      <w:rFonts w:hint="eastAsia"/>
                      <w:szCs w:val="21"/>
                    </w:rPr>
                    <w:t>水</w:t>
                  </w:r>
                  <w:r>
                    <w:rPr>
                      <w:szCs w:val="21"/>
                    </w:rPr>
                    <w:t>泥固井</w:t>
                  </w:r>
                  <w:r>
                    <w:rPr>
                      <w:rFonts w:hint="eastAsia"/>
                      <w:szCs w:val="21"/>
                    </w:rPr>
                    <w:t>+</w:t>
                  </w:r>
                  <w:r>
                    <w:rPr>
                      <w:szCs w:val="21"/>
                    </w:rPr>
                    <w:t>测井工作。</w:t>
                  </w:r>
                </w:p>
              </w:tc>
            </w:tr>
            <w:tr w14:paraId="6FA08C4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continue"/>
                  <w:tcMar>
                    <w:left w:w="0" w:type="dxa"/>
                    <w:right w:w="0" w:type="dxa"/>
                  </w:tcMar>
                  <w:vAlign w:val="center"/>
                </w:tcPr>
                <w:p w14:paraId="5212D587">
                  <w:pPr>
                    <w:widowControl/>
                    <w:jc w:val="left"/>
                    <w:rPr>
                      <w:szCs w:val="21"/>
                    </w:rPr>
                  </w:pPr>
                </w:p>
              </w:tc>
              <w:tc>
                <w:tcPr>
                  <w:tcW w:w="672" w:type="pct"/>
                  <w:gridSpan w:val="2"/>
                  <w:vMerge w:val="continue"/>
                  <w:tcMar>
                    <w:left w:w="0" w:type="dxa"/>
                    <w:right w:w="0" w:type="dxa"/>
                  </w:tcMar>
                  <w:vAlign w:val="center"/>
                </w:tcPr>
                <w:p w14:paraId="20CF790D">
                  <w:pPr>
                    <w:widowControl/>
                    <w:jc w:val="left"/>
                    <w:rPr>
                      <w:szCs w:val="21"/>
                    </w:rPr>
                  </w:pPr>
                </w:p>
              </w:tc>
              <w:tc>
                <w:tcPr>
                  <w:tcW w:w="3962" w:type="pct"/>
                  <w:tcMar>
                    <w:left w:w="0" w:type="dxa"/>
                    <w:right w:w="0" w:type="dxa"/>
                  </w:tcMar>
                  <w:vAlign w:val="center"/>
                </w:tcPr>
                <w:p w14:paraId="3774A510">
                  <w:pPr>
                    <w:jc w:val="left"/>
                    <w:rPr>
                      <w:szCs w:val="21"/>
                    </w:rPr>
                  </w:pPr>
                  <w:r>
                    <w:rPr>
                      <w:szCs w:val="21"/>
                    </w:rPr>
                    <w:t>井控装置：液压泵站、</w:t>
                  </w:r>
                  <w:r>
                    <w:rPr>
                      <w:rFonts w:hint="eastAsia"/>
                      <w:szCs w:val="21"/>
                    </w:rPr>
                    <w:t>节流压井</w:t>
                  </w:r>
                  <w:r>
                    <w:rPr>
                      <w:szCs w:val="21"/>
                    </w:rPr>
                    <w:t>管汇和井口</w:t>
                  </w:r>
                  <w:r>
                    <w:rPr>
                      <w:rFonts w:hint="eastAsia"/>
                      <w:szCs w:val="21"/>
                    </w:rPr>
                    <w:t>防</w:t>
                  </w:r>
                  <w:r>
                    <w:rPr>
                      <w:szCs w:val="21"/>
                    </w:rPr>
                    <w:t>喷器设备。</w:t>
                  </w:r>
                </w:p>
              </w:tc>
            </w:tr>
            <w:tr w14:paraId="54EA624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continue"/>
                  <w:tcMar>
                    <w:left w:w="0" w:type="dxa"/>
                    <w:right w:w="0" w:type="dxa"/>
                  </w:tcMar>
                  <w:vAlign w:val="center"/>
                </w:tcPr>
                <w:p w14:paraId="54FDD724">
                  <w:pPr>
                    <w:widowControl/>
                    <w:jc w:val="left"/>
                    <w:rPr>
                      <w:szCs w:val="21"/>
                    </w:rPr>
                  </w:pPr>
                </w:p>
              </w:tc>
              <w:tc>
                <w:tcPr>
                  <w:tcW w:w="672" w:type="pct"/>
                  <w:gridSpan w:val="2"/>
                  <w:vMerge w:val="restart"/>
                  <w:tcMar>
                    <w:left w:w="0" w:type="dxa"/>
                    <w:right w:w="0" w:type="dxa"/>
                  </w:tcMar>
                  <w:vAlign w:val="center"/>
                </w:tcPr>
                <w:p w14:paraId="033FDC86">
                  <w:pPr>
                    <w:jc w:val="center"/>
                    <w:rPr>
                      <w:szCs w:val="21"/>
                    </w:rPr>
                  </w:pPr>
                  <w:r>
                    <w:rPr>
                      <w:rFonts w:hint="eastAsia"/>
                      <w:szCs w:val="21"/>
                    </w:rPr>
                    <w:t>试油工程</w:t>
                  </w:r>
                </w:p>
              </w:tc>
              <w:tc>
                <w:tcPr>
                  <w:tcW w:w="3962" w:type="pct"/>
                  <w:tcMar>
                    <w:left w:w="0" w:type="dxa"/>
                    <w:right w:w="0" w:type="dxa"/>
                  </w:tcMar>
                  <w:vAlign w:val="center"/>
                </w:tcPr>
                <w:p w14:paraId="50C3F7FE">
                  <w:pPr>
                    <w:rPr>
                      <w:szCs w:val="21"/>
                    </w:rPr>
                  </w:pPr>
                  <w:r>
                    <w:rPr>
                      <w:szCs w:val="21"/>
                    </w:rPr>
                    <w:t>采用抽油机进行试油，试油</w:t>
                  </w:r>
                  <w:r>
                    <w:rPr>
                      <w:rFonts w:hint="eastAsia"/>
                      <w:szCs w:val="21"/>
                    </w:rPr>
                    <w:t>阶段</w:t>
                  </w:r>
                  <w:r>
                    <w:rPr>
                      <w:szCs w:val="21"/>
                    </w:rPr>
                    <w:t>井场设置储液罐2个（一用一备），均为高架卧式固定罐，容积40m</w:t>
                  </w:r>
                  <w:r>
                    <w:rPr>
                      <w:szCs w:val="21"/>
                      <w:vertAlign w:val="superscript"/>
                    </w:rPr>
                    <w:t>3</w:t>
                  </w:r>
                  <w:r>
                    <w:rPr>
                      <w:szCs w:val="21"/>
                    </w:rPr>
                    <w:t>/个</w:t>
                  </w:r>
                  <w:r>
                    <w:rPr>
                      <w:rFonts w:hint="eastAsia"/>
                      <w:szCs w:val="21"/>
                    </w:rPr>
                    <w:t>，</w:t>
                  </w:r>
                  <w:r>
                    <w:rPr>
                      <w:szCs w:val="21"/>
                    </w:rPr>
                    <w:t>储液罐区约</w:t>
                  </w:r>
                  <w:r>
                    <w:rPr>
                      <w:rFonts w:hint="eastAsia"/>
                      <w:szCs w:val="21"/>
                    </w:rPr>
                    <w:t>7m</w:t>
                  </w:r>
                  <w:r>
                    <w:rPr>
                      <w:bCs/>
                      <w:szCs w:val="21"/>
                    </w:rPr>
                    <w:t>×</w:t>
                  </w:r>
                  <w:r>
                    <w:rPr>
                      <w:rFonts w:hint="eastAsia"/>
                      <w:szCs w:val="21"/>
                    </w:rPr>
                    <w:t>9m</w:t>
                  </w:r>
                  <w:r>
                    <w:rPr>
                      <w:szCs w:val="21"/>
                    </w:rPr>
                    <w:t>。</w:t>
                  </w:r>
                </w:p>
              </w:tc>
            </w:tr>
            <w:tr w14:paraId="69F4B38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51" w:hRule="atLeast"/>
                <w:jc w:val="center"/>
              </w:trPr>
              <w:tc>
                <w:tcPr>
                  <w:tcW w:w="365" w:type="pct"/>
                  <w:vMerge w:val="continue"/>
                  <w:tcMar>
                    <w:left w:w="0" w:type="dxa"/>
                    <w:right w:w="0" w:type="dxa"/>
                  </w:tcMar>
                  <w:vAlign w:val="center"/>
                </w:tcPr>
                <w:p w14:paraId="5B9E0A18">
                  <w:pPr>
                    <w:widowControl/>
                    <w:jc w:val="left"/>
                    <w:rPr>
                      <w:szCs w:val="21"/>
                    </w:rPr>
                  </w:pPr>
                </w:p>
              </w:tc>
              <w:tc>
                <w:tcPr>
                  <w:tcW w:w="672" w:type="pct"/>
                  <w:gridSpan w:val="2"/>
                  <w:vMerge w:val="continue"/>
                  <w:tcMar>
                    <w:left w:w="0" w:type="dxa"/>
                    <w:right w:w="0" w:type="dxa"/>
                  </w:tcMar>
                  <w:vAlign w:val="center"/>
                </w:tcPr>
                <w:p w14:paraId="41BB50B7">
                  <w:pPr>
                    <w:widowControl/>
                    <w:jc w:val="left"/>
                    <w:rPr>
                      <w:szCs w:val="21"/>
                    </w:rPr>
                  </w:pPr>
                </w:p>
              </w:tc>
              <w:tc>
                <w:tcPr>
                  <w:tcW w:w="3962" w:type="pct"/>
                  <w:tcMar>
                    <w:left w:w="0" w:type="dxa"/>
                    <w:right w:w="0" w:type="dxa"/>
                  </w:tcMar>
                  <w:vAlign w:val="center"/>
                </w:tcPr>
                <w:p w14:paraId="4BAEF83C">
                  <w:pPr>
                    <w:jc w:val="left"/>
                    <w:rPr>
                      <w:szCs w:val="21"/>
                    </w:rPr>
                  </w:pPr>
                  <w:r>
                    <w:rPr>
                      <w:szCs w:val="21"/>
                    </w:rPr>
                    <w:t>井口与储液罐之间输油管线长约30</w:t>
                  </w:r>
                  <w:r>
                    <w:rPr>
                      <w:rFonts w:hint="eastAsia"/>
                      <w:szCs w:val="21"/>
                    </w:rPr>
                    <w:t>-50</w:t>
                  </w:r>
                  <w:r>
                    <w:rPr>
                      <w:szCs w:val="21"/>
                    </w:rPr>
                    <w:t>m，井口与储液罐均设置切断阀，</w:t>
                  </w:r>
                  <w:r>
                    <w:rPr>
                      <w:rFonts w:hint="eastAsia"/>
                      <w:szCs w:val="21"/>
                    </w:rPr>
                    <w:t>输油管线采用架空敷设，距离地面约10cm，</w:t>
                  </w:r>
                  <w:r>
                    <w:rPr>
                      <w:szCs w:val="21"/>
                    </w:rPr>
                    <w:t>输油管线下方铺设有</w:t>
                  </w:r>
                  <w:r>
                    <w:rPr>
                      <w:rFonts w:hint="eastAsia"/>
                      <w:szCs w:val="21"/>
                    </w:rPr>
                    <w:t>防渗膜</w:t>
                  </w:r>
                  <w:r>
                    <w:rPr>
                      <w:szCs w:val="21"/>
                    </w:rPr>
                    <w:t>，若管线漏油可收集。</w:t>
                  </w:r>
                </w:p>
              </w:tc>
            </w:tr>
            <w:tr w14:paraId="694DE67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continue"/>
                  <w:tcMar>
                    <w:left w:w="0" w:type="dxa"/>
                    <w:right w:w="0" w:type="dxa"/>
                  </w:tcMar>
                  <w:vAlign w:val="center"/>
                </w:tcPr>
                <w:p w14:paraId="7E5799B9">
                  <w:pPr>
                    <w:widowControl/>
                    <w:jc w:val="left"/>
                    <w:rPr>
                      <w:szCs w:val="21"/>
                    </w:rPr>
                  </w:pPr>
                </w:p>
              </w:tc>
              <w:tc>
                <w:tcPr>
                  <w:tcW w:w="672" w:type="pct"/>
                  <w:gridSpan w:val="2"/>
                  <w:vMerge w:val="continue"/>
                  <w:tcMar>
                    <w:left w:w="0" w:type="dxa"/>
                    <w:right w:w="0" w:type="dxa"/>
                  </w:tcMar>
                  <w:vAlign w:val="center"/>
                </w:tcPr>
                <w:p w14:paraId="54ACA219">
                  <w:pPr>
                    <w:widowControl/>
                    <w:jc w:val="left"/>
                    <w:rPr>
                      <w:szCs w:val="21"/>
                    </w:rPr>
                  </w:pPr>
                </w:p>
              </w:tc>
              <w:tc>
                <w:tcPr>
                  <w:tcW w:w="3962" w:type="pct"/>
                  <w:tcMar>
                    <w:left w:w="0" w:type="dxa"/>
                    <w:right w:w="0" w:type="dxa"/>
                  </w:tcMar>
                  <w:vAlign w:val="center"/>
                </w:tcPr>
                <w:p w14:paraId="33786871">
                  <w:pPr>
                    <w:jc w:val="left"/>
                    <w:rPr>
                      <w:szCs w:val="21"/>
                    </w:rPr>
                  </w:pPr>
                  <w:r>
                    <w:rPr>
                      <w:szCs w:val="21"/>
                    </w:rPr>
                    <w:t>试油过程中采出液在储液罐内暂存，定期</w:t>
                  </w:r>
                  <w:r>
                    <w:rPr>
                      <w:rFonts w:hint="eastAsia"/>
                      <w:szCs w:val="21"/>
                    </w:rPr>
                    <w:t>拉运至临河联合站进行处理。</w:t>
                  </w:r>
                  <w:r>
                    <w:rPr>
                      <w:szCs w:val="21"/>
                    </w:rPr>
                    <w:t>若采出液中存在伴生气则经管道输送至井口50m外的火炬燃烧后排放。</w:t>
                  </w:r>
                </w:p>
              </w:tc>
            </w:tr>
            <w:tr w14:paraId="5E7764D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152" w:hRule="atLeast"/>
                <w:jc w:val="center"/>
              </w:trPr>
              <w:tc>
                <w:tcPr>
                  <w:tcW w:w="365" w:type="pct"/>
                  <w:vMerge w:val="continue"/>
                  <w:tcMar>
                    <w:left w:w="0" w:type="dxa"/>
                    <w:right w:w="0" w:type="dxa"/>
                  </w:tcMar>
                  <w:vAlign w:val="center"/>
                </w:tcPr>
                <w:p w14:paraId="043A6CD9">
                  <w:pPr>
                    <w:widowControl/>
                    <w:jc w:val="left"/>
                    <w:rPr>
                      <w:szCs w:val="21"/>
                    </w:rPr>
                  </w:pPr>
                </w:p>
              </w:tc>
              <w:tc>
                <w:tcPr>
                  <w:tcW w:w="672" w:type="pct"/>
                  <w:gridSpan w:val="2"/>
                  <w:vMerge w:val="restart"/>
                  <w:tcMar>
                    <w:left w:w="0" w:type="dxa"/>
                    <w:right w:w="0" w:type="dxa"/>
                  </w:tcMar>
                  <w:vAlign w:val="center"/>
                </w:tcPr>
                <w:p w14:paraId="2908CDDD">
                  <w:pPr>
                    <w:jc w:val="center"/>
                    <w:rPr>
                      <w:szCs w:val="21"/>
                    </w:rPr>
                  </w:pPr>
                  <w:r>
                    <w:rPr>
                      <w:rFonts w:hint="eastAsia"/>
                      <w:szCs w:val="21"/>
                    </w:rPr>
                    <w:t>封井作业</w:t>
                  </w:r>
                </w:p>
              </w:tc>
              <w:tc>
                <w:tcPr>
                  <w:tcW w:w="3962" w:type="pct"/>
                  <w:tcMar>
                    <w:left w:w="0" w:type="dxa"/>
                    <w:right w:w="0" w:type="dxa"/>
                  </w:tcMar>
                  <w:vAlign w:val="center"/>
                </w:tcPr>
                <w:p w14:paraId="177B699D">
                  <w:pPr>
                    <w:jc w:val="left"/>
                    <w:rPr>
                      <w:szCs w:val="21"/>
                    </w:rPr>
                  </w:pPr>
                  <w:r>
                    <w:rPr>
                      <w:rFonts w:hint="eastAsia"/>
                      <w:szCs w:val="21"/>
                    </w:rPr>
                    <w:t>若有利用价值则临时封井，地面设置醒目的警示标志，定期对勘探井巡视，若后续利用该勘探井从事生产活动，需另行履行环保手续。</w:t>
                  </w:r>
                </w:p>
                <w:p w14:paraId="477E1B27">
                  <w:pPr>
                    <w:jc w:val="left"/>
                    <w:rPr>
                      <w:szCs w:val="21"/>
                    </w:rPr>
                  </w:pPr>
                  <w:r>
                    <w:rPr>
                      <w:rFonts w:hint="eastAsia"/>
                      <w:szCs w:val="21"/>
                    </w:rPr>
                    <w:t>若无利用价值则永久封井，井口下挖2m，割掉井口套管后用电焊封死井口，然后用表层土覆盖，恢复地貌，在井口位置处安装可供识别的标志</w:t>
                  </w:r>
                  <w:r>
                    <w:rPr>
                      <w:szCs w:val="21"/>
                    </w:rPr>
                    <w:t>。</w:t>
                  </w:r>
                </w:p>
              </w:tc>
            </w:tr>
            <w:tr w14:paraId="35E2613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continue"/>
                  <w:tcMar>
                    <w:left w:w="0" w:type="dxa"/>
                    <w:right w:w="0" w:type="dxa"/>
                  </w:tcMar>
                  <w:vAlign w:val="center"/>
                </w:tcPr>
                <w:p w14:paraId="332EC799">
                  <w:pPr>
                    <w:widowControl/>
                    <w:jc w:val="left"/>
                    <w:rPr>
                      <w:szCs w:val="21"/>
                    </w:rPr>
                  </w:pPr>
                </w:p>
              </w:tc>
              <w:tc>
                <w:tcPr>
                  <w:tcW w:w="672" w:type="pct"/>
                  <w:gridSpan w:val="2"/>
                  <w:vMerge w:val="continue"/>
                  <w:tcMar>
                    <w:left w:w="0" w:type="dxa"/>
                    <w:right w:w="0" w:type="dxa"/>
                  </w:tcMar>
                  <w:vAlign w:val="center"/>
                </w:tcPr>
                <w:p w14:paraId="369B7357">
                  <w:pPr>
                    <w:jc w:val="center"/>
                    <w:rPr>
                      <w:szCs w:val="21"/>
                    </w:rPr>
                  </w:pPr>
                </w:p>
              </w:tc>
              <w:tc>
                <w:tcPr>
                  <w:tcW w:w="3962" w:type="pct"/>
                  <w:tcMar>
                    <w:left w:w="0" w:type="dxa"/>
                    <w:right w:w="0" w:type="dxa"/>
                  </w:tcMar>
                  <w:vAlign w:val="center"/>
                </w:tcPr>
                <w:p w14:paraId="58B21E24">
                  <w:pPr>
                    <w:rPr>
                      <w:szCs w:val="21"/>
                    </w:rPr>
                  </w:pPr>
                  <w:r>
                    <w:rPr>
                      <w:szCs w:val="21"/>
                    </w:rPr>
                    <w:t>拆除临时占地设备、建筑物，将保留的表土直接摊铺覆盖于井场上，</w:t>
                  </w:r>
                  <w:r>
                    <w:rPr>
                      <w:rFonts w:hint="eastAsia"/>
                      <w:szCs w:val="21"/>
                    </w:rPr>
                    <w:t>然后进行植被恢复。植被选用当地耐寒、保水固土能力强根系发达的物种</w:t>
                  </w:r>
                  <w:r>
                    <w:rPr>
                      <w:szCs w:val="21"/>
                    </w:rPr>
                    <w:t>。</w:t>
                  </w:r>
                </w:p>
              </w:tc>
            </w:tr>
            <w:tr w14:paraId="783C341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restart"/>
                  <w:tcMar>
                    <w:left w:w="0" w:type="dxa"/>
                    <w:right w:w="0" w:type="dxa"/>
                  </w:tcMar>
                  <w:vAlign w:val="center"/>
                </w:tcPr>
                <w:p w14:paraId="363AD275">
                  <w:pPr>
                    <w:jc w:val="center"/>
                    <w:rPr>
                      <w:szCs w:val="21"/>
                    </w:rPr>
                  </w:pPr>
                  <w:r>
                    <w:rPr>
                      <w:rFonts w:hint="eastAsia"/>
                      <w:szCs w:val="21"/>
                    </w:rPr>
                    <w:t>辅助工程</w:t>
                  </w:r>
                </w:p>
              </w:tc>
              <w:tc>
                <w:tcPr>
                  <w:tcW w:w="672" w:type="pct"/>
                  <w:gridSpan w:val="2"/>
                  <w:tcMar>
                    <w:left w:w="0" w:type="dxa"/>
                    <w:right w:w="0" w:type="dxa"/>
                  </w:tcMar>
                  <w:vAlign w:val="center"/>
                </w:tcPr>
                <w:p w14:paraId="237168E9">
                  <w:pPr>
                    <w:jc w:val="center"/>
                    <w:rPr>
                      <w:szCs w:val="21"/>
                    </w:rPr>
                  </w:pPr>
                  <w:r>
                    <w:rPr>
                      <w:rFonts w:hint="eastAsia"/>
                      <w:szCs w:val="21"/>
                    </w:rPr>
                    <w:t>场界围挡</w:t>
                  </w:r>
                </w:p>
              </w:tc>
              <w:tc>
                <w:tcPr>
                  <w:tcW w:w="3962" w:type="pct"/>
                  <w:tcMar>
                    <w:left w:w="0" w:type="dxa"/>
                    <w:right w:w="0" w:type="dxa"/>
                  </w:tcMar>
                  <w:vAlign w:val="center"/>
                </w:tcPr>
                <w:p w14:paraId="2F4BE71F">
                  <w:pPr>
                    <w:rPr>
                      <w:szCs w:val="21"/>
                    </w:rPr>
                  </w:pPr>
                  <w:r>
                    <w:rPr>
                      <w:rFonts w:hint="eastAsia"/>
                      <w:szCs w:val="21"/>
                    </w:rPr>
                    <w:t>在井场</w:t>
                  </w:r>
                  <w:r>
                    <w:rPr>
                      <w:szCs w:val="21"/>
                    </w:rPr>
                    <w:t>边界设置</w:t>
                  </w:r>
                  <w:r>
                    <w:rPr>
                      <w:rFonts w:hint="eastAsia"/>
                      <w:szCs w:val="21"/>
                    </w:rPr>
                    <w:t>不低于1.8</w:t>
                  </w:r>
                  <w:r>
                    <w:rPr>
                      <w:szCs w:val="21"/>
                    </w:rPr>
                    <w:t>m的</w:t>
                  </w:r>
                  <w:r>
                    <w:rPr>
                      <w:rFonts w:hint="eastAsia"/>
                      <w:szCs w:val="21"/>
                    </w:rPr>
                    <w:t>围挡</w:t>
                  </w:r>
                  <w:r>
                    <w:rPr>
                      <w:szCs w:val="21"/>
                    </w:rPr>
                    <w:t>，若封井则拆除</w:t>
                  </w:r>
                  <w:r>
                    <w:rPr>
                      <w:rFonts w:hint="eastAsia"/>
                      <w:szCs w:val="21"/>
                    </w:rPr>
                    <w:t>围挡</w:t>
                  </w:r>
                  <w:r>
                    <w:rPr>
                      <w:szCs w:val="21"/>
                    </w:rPr>
                    <w:t>。</w:t>
                  </w:r>
                </w:p>
              </w:tc>
            </w:tr>
            <w:tr w14:paraId="1D960CF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continue"/>
                  <w:tcMar>
                    <w:left w:w="0" w:type="dxa"/>
                    <w:right w:w="0" w:type="dxa"/>
                  </w:tcMar>
                  <w:vAlign w:val="center"/>
                </w:tcPr>
                <w:p w14:paraId="10A7E105">
                  <w:pPr>
                    <w:widowControl/>
                    <w:jc w:val="left"/>
                    <w:rPr>
                      <w:szCs w:val="21"/>
                    </w:rPr>
                  </w:pPr>
                </w:p>
              </w:tc>
              <w:tc>
                <w:tcPr>
                  <w:tcW w:w="672" w:type="pct"/>
                  <w:gridSpan w:val="2"/>
                  <w:tcMar>
                    <w:left w:w="0" w:type="dxa"/>
                    <w:right w:w="0" w:type="dxa"/>
                  </w:tcMar>
                  <w:vAlign w:val="center"/>
                </w:tcPr>
                <w:p w14:paraId="3B245920">
                  <w:pPr>
                    <w:jc w:val="center"/>
                    <w:rPr>
                      <w:szCs w:val="21"/>
                    </w:rPr>
                  </w:pPr>
                  <w:r>
                    <w:rPr>
                      <w:rFonts w:hint="eastAsia"/>
                      <w:szCs w:val="21"/>
                    </w:rPr>
                    <w:t>钻井测定装置</w:t>
                  </w:r>
                </w:p>
              </w:tc>
              <w:tc>
                <w:tcPr>
                  <w:tcW w:w="3962" w:type="pct"/>
                  <w:tcMar>
                    <w:left w:w="0" w:type="dxa"/>
                    <w:right w:w="0" w:type="dxa"/>
                  </w:tcMar>
                  <w:vAlign w:val="center"/>
                </w:tcPr>
                <w:p w14:paraId="4041477C">
                  <w:pPr>
                    <w:rPr>
                      <w:szCs w:val="21"/>
                    </w:rPr>
                  </w:pPr>
                  <w:r>
                    <w:rPr>
                      <w:szCs w:val="21"/>
                    </w:rPr>
                    <w:t>井场配备钻井测定装置1套，对钻压、扭矩、转速、泵压、泵冲、悬重、泥浆体积等参数在司钻台、监督房</w:t>
                  </w:r>
                  <w:r>
                    <w:rPr>
                      <w:rFonts w:hint="eastAsia"/>
                      <w:szCs w:val="21"/>
                    </w:rPr>
                    <w:t>内</w:t>
                  </w:r>
                  <w:r>
                    <w:rPr>
                      <w:szCs w:val="21"/>
                    </w:rPr>
                    <w:t>显示。</w:t>
                  </w:r>
                </w:p>
              </w:tc>
            </w:tr>
            <w:tr w14:paraId="61EE856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continue"/>
                  <w:tcMar>
                    <w:left w:w="0" w:type="dxa"/>
                    <w:right w:w="0" w:type="dxa"/>
                  </w:tcMar>
                  <w:vAlign w:val="center"/>
                </w:tcPr>
                <w:p w14:paraId="591FF3EF">
                  <w:pPr>
                    <w:widowControl/>
                    <w:jc w:val="left"/>
                    <w:rPr>
                      <w:szCs w:val="21"/>
                    </w:rPr>
                  </w:pPr>
                </w:p>
              </w:tc>
              <w:tc>
                <w:tcPr>
                  <w:tcW w:w="672" w:type="pct"/>
                  <w:gridSpan w:val="2"/>
                  <w:tcMar>
                    <w:left w:w="0" w:type="dxa"/>
                    <w:right w:w="0" w:type="dxa"/>
                  </w:tcMar>
                  <w:vAlign w:val="center"/>
                </w:tcPr>
                <w:p w14:paraId="5C1FB0AE">
                  <w:pPr>
                    <w:jc w:val="center"/>
                    <w:rPr>
                      <w:szCs w:val="21"/>
                    </w:rPr>
                  </w:pPr>
                  <w:r>
                    <w:rPr>
                      <w:rFonts w:hint="eastAsia"/>
                      <w:szCs w:val="21"/>
                    </w:rPr>
                    <w:t>钻井监控装置</w:t>
                  </w:r>
                </w:p>
              </w:tc>
              <w:tc>
                <w:tcPr>
                  <w:tcW w:w="3962" w:type="pct"/>
                  <w:tcMar>
                    <w:left w:w="0" w:type="dxa"/>
                    <w:right w:w="0" w:type="dxa"/>
                  </w:tcMar>
                  <w:vAlign w:val="center"/>
                </w:tcPr>
                <w:p w14:paraId="6643CEE3">
                  <w:pPr>
                    <w:rPr>
                      <w:szCs w:val="21"/>
                    </w:rPr>
                  </w:pPr>
                  <w:r>
                    <w:rPr>
                      <w:szCs w:val="21"/>
                    </w:rPr>
                    <w:t>井场配备钻井</w:t>
                  </w:r>
                  <w:r>
                    <w:rPr>
                      <w:rFonts w:hint="eastAsia"/>
                      <w:szCs w:val="21"/>
                    </w:rPr>
                    <w:t>监</w:t>
                  </w:r>
                  <w:r>
                    <w:rPr>
                      <w:szCs w:val="21"/>
                    </w:rPr>
                    <w:t>控装置1套，</w:t>
                  </w:r>
                  <w:r>
                    <w:rPr>
                      <w:rFonts w:hint="eastAsia"/>
                      <w:szCs w:val="21"/>
                    </w:rPr>
                    <w:t>含</w:t>
                  </w:r>
                  <w:r>
                    <w:rPr>
                      <w:szCs w:val="21"/>
                    </w:rPr>
                    <w:t>司钻控制台、节流</w:t>
                  </w:r>
                  <w:r>
                    <w:rPr>
                      <w:rFonts w:hint="eastAsia"/>
                      <w:szCs w:val="21"/>
                    </w:rPr>
                    <w:t>控制</w:t>
                  </w:r>
                  <w:r>
                    <w:rPr>
                      <w:szCs w:val="21"/>
                    </w:rPr>
                    <w:t>室、远程控制台，均可独立开启井控装置。</w:t>
                  </w:r>
                </w:p>
              </w:tc>
            </w:tr>
            <w:tr w14:paraId="5646831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continue"/>
                  <w:tcMar>
                    <w:left w:w="0" w:type="dxa"/>
                    <w:right w:w="0" w:type="dxa"/>
                  </w:tcMar>
                  <w:vAlign w:val="center"/>
                </w:tcPr>
                <w:p w14:paraId="3599D9FE">
                  <w:pPr>
                    <w:widowControl/>
                    <w:jc w:val="left"/>
                    <w:rPr>
                      <w:szCs w:val="21"/>
                    </w:rPr>
                  </w:pPr>
                </w:p>
              </w:tc>
              <w:tc>
                <w:tcPr>
                  <w:tcW w:w="672" w:type="pct"/>
                  <w:gridSpan w:val="2"/>
                  <w:tcMar>
                    <w:left w:w="0" w:type="dxa"/>
                    <w:right w:w="0" w:type="dxa"/>
                  </w:tcMar>
                  <w:vAlign w:val="center"/>
                </w:tcPr>
                <w:p w14:paraId="484E52C7">
                  <w:pPr>
                    <w:jc w:val="center"/>
                    <w:rPr>
                      <w:szCs w:val="21"/>
                    </w:rPr>
                  </w:pPr>
                  <w:r>
                    <w:rPr>
                      <w:szCs w:val="21"/>
                    </w:rPr>
                    <w:t>施</w:t>
                  </w:r>
                  <w:r>
                    <w:rPr>
                      <w:rFonts w:hint="eastAsia"/>
                      <w:szCs w:val="21"/>
                    </w:rPr>
                    <w:t>工</w:t>
                  </w:r>
                  <w:r>
                    <w:rPr>
                      <w:szCs w:val="21"/>
                    </w:rPr>
                    <w:t>营地</w:t>
                  </w:r>
                </w:p>
              </w:tc>
              <w:tc>
                <w:tcPr>
                  <w:tcW w:w="3962" w:type="pct"/>
                  <w:tcMar>
                    <w:left w:w="0" w:type="dxa"/>
                    <w:right w:w="0" w:type="dxa"/>
                  </w:tcMar>
                  <w:vAlign w:val="center"/>
                </w:tcPr>
                <w:p w14:paraId="78F39AC1">
                  <w:pPr>
                    <w:rPr>
                      <w:szCs w:val="21"/>
                    </w:rPr>
                  </w:pPr>
                  <w:r>
                    <w:rPr>
                      <w:rFonts w:hint="eastAsia"/>
                      <w:szCs w:val="21"/>
                    </w:rPr>
                    <w:t>施工营地</w:t>
                  </w:r>
                  <w:r>
                    <w:rPr>
                      <w:szCs w:val="21"/>
                    </w:rPr>
                    <w:t>位于井场范围内，</w:t>
                  </w:r>
                  <w:r>
                    <w:rPr>
                      <w:rFonts w:hint="eastAsia"/>
                      <w:szCs w:val="21"/>
                    </w:rPr>
                    <w:t>采用</w:t>
                  </w:r>
                  <w:r>
                    <w:rPr>
                      <w:szCs w:val="21"/>
                    </w:rPr>
                    <w:t>移动板房，占地面积1500m</w:t>
                  </w:r>
                  <w:r>
                    <w:rPr>
                      <w:szCs w:val="21"/>
                      <w:vertAlign w:val="superscript"/>
                    </w:rPr>
                    <w:t>2</w:t>
                  </w:r>
                  <w:r>
                    <w:rPr>
                      <w:szCs w:val="21"/>
                    </w:rPr>
                    <w:t>。用于施工人员临时休息、办公使用。</w:t>
                  </w:r>
                </w:p>
              </w:tc>
            </w:tr>
            <w:tr w14:paraId="6E179DD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restart"/>
                  <w:tcMar>
                    <w:left w:w="0" w:type="dxa"/>
                    <w:right w:w="0" w:type="dxa"/>
                  </w:tcMar>
                  <w:vAlign w:val="center"/>
                </w:tcPr>
                <w:p w14:paraId="0ED01354">
                  <w:pPr>
                    <w:widowControl/>
                    <w:jc w:val="center"/>
                    <w:rPr>
                      <w:szCs w:val="21"/>
                    </w:rPr>
                  </w:pPr>
                  <w:r>
                    <w:rPr>
                      <w:rFonts w:hint="eastAsia"/>
                      <w:szCs w:val="21"/>
                    </w:rPr>
                    <w:t>储运工程</w:t>
                  </w:r>
                </w:p>
              </w:tc>
              <w:tc>
                <w:tcPr>
                  <w:tcW w:w="672" w:type="pct"/>
                  <w:gridSpan w:val="2"/>
                  <w:tcMar>
                    <w:left w:w="0" w:type="dxa"/>
                    <w:right w:w="0" w:type="dxa"/>
                  </w:tcMar>
                  <w:vAlign w:val="center"/>
                </w:tcPr>
                <w:p w14:paraId="716C12AD">
                  <w:pPr>
                    <w:jc w:val="center"/>
                    <w:rPr>
                      <w:bCs/>
                      <w:szCs w:val="21"/>
                    </w:rPr>
                  </w:pPr>
                  <w:r>
                    <w:rPr>
                      <w:rFonts w:hint="eastAsia"/>
                      <w:bCs/>
                      <w:szCs w:val="21"/>
                    </w:rPr>
                    <w:t>表土堆存区</w:t>
                  </w:r>
                </w:p>
              </w:tc>
              <w:tc>
                <w:tcPr>
                  <w:tcW w:w="3962" w:type="pct"/>
                  <w:tcMar>
                    <w:left w:w="0" w:type="dxa"/>
                    <w:right w:w="0" w:type="dxa"/>
                  </w:tcMar>
                  <w:vAlign w:val="center"/>
                </w:tcPr>
                <w:p w14:paraId="7759D33D">
                  <w:pPr>
                    <w:rPr>
                      <w:szCs w:val="21"/>
                    </w:rPr>
                  </w:pPr>
                  <w:r>
                    <w:rPr>
                      <w:rFonts w:hint="eastAsia"/>
                      <w:szCs w:val="21"/>
                    </w:rPr>
                    <w:t>设置表土堆存区，位于井场东北部，占地面积600m</w:t>
                  </w:r>
                  <w:r>
                    <w:rPr>
                      <w:rFonts w:hint="eastAsia"/>
                      <w:szCs w:val="21"/>
                      <w:vertAlign w:val="superscript"/>
                    </w:rPr>
                    <w:t>2</w:t>
                  </w:r>
                  <w:r>
                    <w:rPr>
                      <w:rFonts w:hint="eastAsia"/>
                      <w:szCs w:val="21"/>
                    </w:rPr>
                    <w:t>。</w:t>
                  </w:r>
                  <w:r>
                    <w:t>勘探施工前将表层土壤剥离，用</w:t>
                  </w:r>
                  <w:r>
                    <w:rPr>
                      <w:rFonts w:hint="eastAsia"/>
                    </w:rPr>
                    <w:t>密目网遮盖。</w:t>
                  </w:r>
                </w:p>
              </w:tc>
            </w:tr>
            <w:tr w14:paraId="403949A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continue"/>
                  <w:tcMar>
                    <w:left w:w="0" w:type="dxa"/>
                    <w:right w:w="0" w:type="dxa"/>
                  </w:tcMar>
                  <w:vAlign w:val="center"/>
                </w:tcPr>
                <w:p w14:paraId="5FFD7A03">
                  <w:pPr>
                    <w:widowControl/>
                    <w:jc w:val="center"/>
                    <w:rPr>
                      <w:szCs w:val="21"/>
                    </w:rPr>
                  </w:pPr>
                </w:p>
              </w:tc>
              <w:tc>
                <w:tcPr>
                  <w:tcW w:w="672" w:type="pct"/>
                  <w:gridSpan w:val="2"/>
                  <w:tcMar>
                    <w:left w:w="0" w:type="dxa"/>
                    <w:right w:w="0" w:type="dxa"/>
                  </w:tcMar>
                  <w:vAlign w:val="center"/>
                </w:tcPr>
                <w:p w14:paraId="1A89AE32">
                  <w:pPr>
                    <w:jc w:val="center"/>
                    <w:rPr>
                      <w:szCs w:val="21"/>
                    </w:rPr>
                  </w:pPr>
                  <w:r>
                    <w:rPr>
                      <w:rFonts w:hint="eastAsia"/>
                      <w:szCs w:val="21"/>
                    </w:rPr>
                    <w:t>原材料堆存区</w:t>
                  </w:r>
                </w:p>
              </w:tc>
              <w:tc>
                <w:tcPr>
                  <w:tcW w:w="3962" w:type="pct"/>
                  <w:tcMar>
                    <w:left w:w="0" w:type="dxa"/>
                    <w:right w:w="0" w:type="dxa"/>
                  </w:tcMar>
                  <w:vAlign w:val="center"/>
                </w:tcPr>
                <w:p w14:paraId="3DF90EF5">
                  <w:pPr>
                    <w:rPr>
                      <w:szCs w:val="21"/>
                    </w:rPr>
                  </w:pPr>
                  <w:r>
                    <w:rPr>
                      <w:szCs w:val="21"/>
                    </w:rPr>
                    <w:t>用于调配钻井泥浆的原材料均从外部购买，为桶装或袋装，分区分类贮存于井场内原材料堆存区，堆存区下部铺设防渗膜，上部设</w:t>
                  </w:r>
                  <w:r>
                    <w:rPr>
                      <w:rFonts w:hint="eastAsia"/>
                      <w:szCs w:val="21"/>
                    </w:rPr>
                    <w:t>苫布遮盖</w:t>
                  </w:r>
                  <w:r>
                    <w:rPr>
                      <w:szCs w:val="21"/>
                    </w:rPr>
                    <w:t>。</w:t>
                  </w:r>
                </w:p>
              </w:tc>
            </w:tr>
            <w:tr w14:paraId="7B3A2FC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527" w:hRule="atLeast"/>
                <w:jc w:val="center"/>
              </w:trPr>
              <w:tc>
                <w:tcPr>
                  <w:tcW w:w="365" w:type="pct"/>
                  <w:vMerge w:val="continue"/>
                  <w:tcMar>
                    <w:left w:w="0" w:type="dxa"/>
                    <w:right w:w="0" w:type="dxa"/>
                  </w:tcMar>
                  <w:vAlign w:val="center"/>
                </w:tcPr>
                <w:p w14:paraId="1965A730">
                  <w:pPr>
                    <w:widowControl/>
                    <w:jc w:val="center"/>
                    <w:rPr>
                      <w:szCs w:val="21"/>
                    </w:rPr>
                  </w:pPr>
                </w:p>
              </w:tc>
              <w:tc>
                <w:tcPr>
                  <w:tcW w:w="672" w:type="pct"/>
                  <w:gridSpan w:val="2"/>
                  <w:tcMar>
                    <w:left w:w="0" w:type="dxa"/>
                    <w:right w:w="0" w:type="dxa"/>
                  </w:tcMar>
                  <w:vAlign w:val="center"/>
                </w:tcPr>
                <w:p w14:paraId="7F12579D">
                  <w:pPr>
                    <w:jc w:val="center"/>
                    <w:rPr>
                      <w:szCs w:val="21"/>
                    </w:rPr>
                  </w:pPr>
                  <w:r>
                    <w:rPr>
                      <w:szCs w:val="21"/>
                    </w:rPr>
                    <w:t>撬装式危废贮存点</w:t>
                  </w:r>
                </w:p>
              </w:tc>
              <w:tc>
                <w:tcPr>
                  <w:tcW w:w="3962" w:type="pct"/>
                  <w:tcMar>
                    <w:left w:w="0" w:type="dxa"/>
                    <w:right w:w="0" w:type="dxa"/>
                  </w:tcMar>
                  <w:vAlign w:val="center"/>
                </w:tcPr>
                <w:p w14:paraId="503503CD">
                  <w:pPr>
                    <w:rPr>
                      <w:szCs w:val="21"/>
                    </w:rPr>
                  </w:pPr>
                  <w:r>
                    <w:rPr>
                      <w:szCs w:val="21"/>
                    </w:rPr>
                    <w:t>设置撬装式</w:t>
                  </w:r>
                  <w:r>
                    <w:rPr>
                      <w:rFonts w:hint="eastAsia"/>
                      <w:szCs w:val="21"/>
                    </w:rPr>
                    <w:t>危废</w:t>
                  </w:r>
                  <w:r>
                    <w:rPr>
                      <w:szCs w:val="21"/>
                    </w:rPr>
                    <w:t>暂存设施</w:t>
                  </w:r>
                  <w:r>
                    <w:rPr>
                      <w:rFonts w:hint="eastAsia"/>
                      <w:szCs w:val="21"/>
                    </w:rPr>
                    <w:t>，</w:t>
                  </w:r>
                  <w:r>
                    <w:rPr>
                      <w:szCs w:val="21"/>
                    </w:rPr>
                    <w:t>面积为</w:t>
                  </w:r>
                  <w:r>
                    <w:rPr>
                      <w:rFonts w:hint="eastAsia"/>
                      <w:szCs w:val="21"/>
                    </w:rPr>
                    <w:t>10m</w:t>
                  </w:r>
                  <w:r>
                    <w:rPr>
                      <w:rFonts w:hint="eastAsia"/>
                      <w:szCs w:val="21"/>
                      <w:vertAlign w:val="superscript"/>
                    </w:rPr>
                    <w:t>2</w:t>
                  </w:r>
                  <w:r>
                    <w:rPr>
                      <w:rFonts w:hint="eastAsia"/>
                      <w:szCs w:val="21"/>
                    </w:rPr>
                    <w:t>。</w:t>
                  </w:r>
                  <w:r>
                    <w:rPr>
                      <w:szCs w:val="21"/>
                    </w:rPr>
                    <w:t>撬装式</w:t>
                  </w:r>
                  <w:r>
                    <w:rPr>
                      <w:rFonts w:hint="eastAsia"/>
                      <w:szCs w:val="21"/>
                    </w:rPr>
                    <w:t>危废</w:t>
                  </w:r>
                  <w:r>
                    <w:rPr>
                      <w:szCs w:val="21"/>
                    </w:rPr>
                    <w:t>暂存设施内部</w:t>
                  </w:r>
                  <w:r>
                    <w:rPr>
                      <w:rFonts w:hint="eastAsia"/>
                      <w:szCs w:val="21"/>
                    </w:rPr>
                    <w:t>铺设</w:t>
                  </w:r>
                  <w:r>
                    <w:rPr>
                      <w:szCs w:val="21"/>
                    </w:rPr>
                    <w:t>双层</w:t>
                  </w:r>
                  <w:r>
                    <w:rPr>
                      <w:rFonts w:hint="eastAsia"/>
                      <w:szCs w:val="21"/>
                    </w:rPr>
                    <w:t>2mm厚</w:t>
                  </w:r>
                  <w:r>
                    <w:rPr>
                      <w:szCs w:val="21"/>
                    </w:rPr>
                    <w:t>高密度聚乙烯防渗膜，</w:t>
                  </w:r>
                  <w:r>
                    <w:rPr>
                      <w:rFonts w:hint="eastAsia"/>
                      <w:szCs w:val="21"/>
                    </w:rPr>
                    <w:t>设置</w:t>
                  </w:r>
                  <w:r>
                    <w:rPr>
                      <w:szCs w:val="21"/>
                    </w:rPr>
                    <w:t>隔板、托盘，</w:t>
                  </w:r>
                  <w:r>
                    <w:rPr>
                      <w:rFonts w:hint="eastAsia"/>
                      <w:szCs w:val="21"/>
                    </w:rPr>
                    <w:t>液体物料泄漏后，可全部收集</w:t>
                  </w:r>
                  <w:r>
                    <w:rPr>
                      <w:szCs w:val="21"/>
                    </w:rPr>
                    <w:t>。撬装式</w:t>
                  </w:r>
                  <w:r>
                    <w:rPr>
                      <w:rFonts w:hint="eastAsia"/>
                      <w:szCs w:val="21"/>
                    </w:rPr>
                    <w:t>危废</w:t>
                  </w:r>
                  <w:r>
                    <w:rPr>
                      <w:szCs w:val="21"/>
                    </w:rPr>
                    <w:t>暂存设施四周加设高度为20cm的围堰，然后</w:t>
                  </w:r>
                  <w:r>
                    <w:rPr>
                      <w:rFonts w:hint="eastAsia"/>
                      <w:szCs w:val="21"/>
                    </w:rPr>
                    <w:t>铺设</w:t>
                  </w:r>
                  <w:r>
                    <w:rPr>
                      <w:szCs w:val="21"/>
                    </w:rPr>
                    <w:t>双层2mm厚高密度聚乙烯防渗膜覆盖</w:t>
                  </w:r>
                  <w:r>
                    <w:rPr>
                      <w:rFonts w:hint="eastAsia"/>
                      <w:szCs w:val="21"/>
                    </w:rPr>
                    <w:t>作为</w:t>
                  </w:r>
                  <w:r>
                    <w:rPr>
                      <w:szCs w:val="21"/>
                    </w:rPr>
                    <w:t>底层，渗透系数K≤1×10</w:t>
                  </w:r>
                  <w:r>
                    <w:rPr>
                      <w:szCs w:val="21"/>
                      <w:vertAlign w:val="superscript"/>
                    </w:rPr>
                    <w:t>-10</w:t>
                  </w:r>
                  <w:r>
                    <w:rPr>
                      <w:szCs w:val="21"/>
                    </w:rPr>
                    <w:t>cm/s。</w:t>
                  </w:r>
                </w:p>
              </w:tc>
            </w:tr>
            <w:tr w14:paraId="1107B3C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60" w:hRule="atLeast"/>
                <w:jc w:val="center"/>
              </w:trPr>
              <w:tc>
                <w:tcPr>
                  <w:tcW w:w="365" w:type="pct"/>
                  <w:vMerge w:val="continue"/>
                  <w:tcMar>
                    <w:left w:w="0" w:type="dxa"/>
                    <w:right w:w="0" w:type="dxa"/>
                  </w:tcMar>
                  <w:vAlign w:val="center"/>
                </w:tcPr>
                <w:p w14:paraId="53E7D22D">
                  <w:pPr>
                    <w:widowControl/>
                    <w:jc w:val="center"/>
                    <w:rPr>
                      <w:szCs w:val="21"/>
                    </w:rPr>
                  </w:pPr>
                </w:p>
              </w:tc>
              <w:tc>
                <w:tcPr>
                  <w:tcW w:w="672" w:type="pct"/>
                  <w:gridSpan w:val="2"/>
                  <w:tcMar>
                    <w:left w:w="0" w:type="dxa"/>
                    <w:right w:w="0" w:type="dxa"/>
                  </w:tcMar>
                  <w:vAlign w:val="center"/>
                </w:tcPr>
                <w:p w14:paraId="6C218388">
                  <w:pPr>
                    <w:jc w:val="center"/>
                    <w:rPr>
                      <w:szCs w:val="21"/>
                    </w:rPr>
                  </w:pPr>
                  <w:r>
                    <w:rPr>
                      <w:szCs w:val="21"/>
                    </w:rPr>
                    <w:t>柴油罐</w:t>
                  </w:r>
                </w:p>
              </w:tc>
              <w:tc>
                <w:tcPr>
                  <w:tcW w:w="3962" w:type="pct"/>
                  <w:tcMar>
                    <w:left w:w="0" w:type="dxa"/>
                    <w:right w:w="0" w:type="dxa"/>
                  </w:tcMar>
                  <w:vAlign w:val="center"/>
                </w:tcPr>
                <w:p w14:paraId="486467C5">
                  <w:pPr>
                    <w:rPr>
                      <w:szCs w:val="21"/>
                    </w:rPr>
                  </w:pPr>
                  <w:r>
                    <w:rPr>
                      <w:szCs w:val="21"/>
                    </w:rPr>
                    <w:t>项目设置柴油发电机组，提供动力和电力，设置一具40m</w:t>
                  </w:r>
                  <w:r>
                    <w:rPr>
                      <w:szCs w:val="21"/>
                      <w:vertAlign w:val="superscript"/>
                    </w:rPr>
                    <w:t>3</w:t>
                  </w:r>
                  <w:r>
                    <w:rPr>
                      <w:szCs w:val="21"/>
                    </w:rPr>
                    <w:t>卧式固定柴油罐。柴油罐区四周加设高度为20cm的围堰，然后</w:t>
                  </w:r>
                  <w:r>
                    <w:rPr>
                      <w:rFonts w:hint="eastAsia"/>
                      <w:szCs w:val="21"/>
                    </w:rPr>
                    <w:t>铺设双层2mm厚</w:t>
                  </w:r>
                  <w:r>
                    <w:rPr>
                      <w:szCs w:val="21"/>
                    </w:rPr>
                    <w:t>高密度聚乙烯防渗膜覆盖</w:t>
                  </w:r>
                  <w:r>
                    <w:rPr>
                      <w:rFonts w:hint="eastAsia"/>
                      <w:szCs w:val="21"/>
                    </w:rPr>
                    <w:t>作为</w:t>
                  </w:r>
                  <w:r>
                    <w:rPr>
                      <w:szCs w:val="21"/>
                    </w:rPr>
                    <w:t>底层。</w:t>
                  </w:r>
                  <w:r>
                    <w:rPr>
                      <w:rFonts w:hint="eastAsia"/>
                      <w:szCs w:val="21"/>
                    </w:rPr>
                    <w:t>柴油</w:t>
                  </w:r>
                  <w:r>
                    <w:rPr>
                      <w:szCs w:val="21"/>
                    </w:rPr>
                    <w:t>罐区约</w:t>
                  </w:r>
                  <w:r>
                    <w:rPr>
                      <w:rFonts w:hint="eastAsia"/>
                      <w:szCs w:val="21"/>
                    </w:rPr>
                    <w:t>4m</w:t>
                  </w:r>
                  <w:r>
                    <w:rPr>
                      <w:bCs/>
                      <w:szCs w:val="21"/>
                    </w:rPr>
                    <w:t>×</w:t>
                  </w:r>
                  <w:r>
                    <w:rPr>
                      <w:rFonts w:hint="eastAsia"/>
                      <w:szCs w:val="21"/>
                    </w:rPr>
                    <w:t>6m。</w:t>
                  </w:r>
                </w:p>
              </w:tc>
            </w:tr>
            <w:tr w14:paraId="4707071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59" w:hRule="atLeast"/>
                <w:jc w:val="center"/>
              </w:trPr>
              <w:tc>
                <w:tcPr>
                  <w:tcW w:w="365" w:type="pct"/>
                  <w:vMerge w:val="continue"/>
                  <w:tcMar>
                    <w:left w:w="0" w:type="dxa"/>
                    <w:right w:w="0" w:type="dxa"/>
                  </w:tcMar>
                  <w:vAlign w:val="center"/>
                </w:tcPr>
                <w:p w14:paraId="1974B9E3">
                  <w:pPr>
                    <w:widowControl/>
                    <w:jc w:val="left"/>
                    <w:rPr>
                      <w:szCs w:val="21"/>
                    </w:rPr>
                  </w:pPr>
                </w:p>
              </w:tc>
              <w:tc>
                <w:tcPr>
                  <w:tcW w:w="672" w:type="pct"/>
                  <w:gridSpan w:val="2"/>
                  <w:tcMar>
                    <w:left w:w="0" w:type="dxa"/>
                    <w:right w:w="0" w:type="dxa"/>
                  </w:tcMar>
                  <w:vAlign w:val="center"/>
                </w:tcPr>
                <w:p w14:paraId="4F183817">
                  <w:pPr>
                    <w:jc w:val="center"/>
                    <w:rPr>
                      <w:szCs w:val="21"/>
                    </w:rPr>
                  </w:pPr>
                  <w:r>
                    <w:rPr>
                      <w:rFonts w:hint="eastAsia"/>
                      <w:szCs w:val="21"/>
                    </w:rPr>
                    <w:t>废水罐</w:t>
                  </w:r>
                </w:p>
              </w:tc>
              <w:tc>
                <w:tcPr>
                  <w:tcW w:w="3962" w:type="pct"/>
                  <w:tcMar>
                    <w:left w:w="0" w:type="dxa"/>
                    <w:right w:w="0" w:type="dxa"/>
                  </w:tcMar>
                  <w:vAlign w:val="center"/>
                </w:tcPr>
                <w:p w14:paraId="73E926FB">
                  <w:pPr>
                    <w:rPr>
                      <w:szCs w:val="21"/>
                    </w:rPr>
                  </w:pPr>
                  <w:r>
                    <w:rPr>
                      <w:rFonts w:hint="eastAsia"/>
                      <w:szCs w:val="21"/>
                    </w:rPr>
                    <w:t>在泥浆不落地循环系统装置旁</w:t>
                  </w:r>
                  <w:r>
                    <w:rPr>
                      <w:szCs w:val="21"/>
                    </w:rPr>
                    <w:t>设3具30m</w:t>
                  </w:r>
                  <w:r>
                    <w:rPr>
                      <w:szCs w:val="21"/>
                      <w:vertAlign w:val="superscript"/>
                    </w:rPr>
                    <w:t>3</w:t>
                  </w:r>
                  <w:r>
                    <w:rPr>
                      <w:szCs w:val="21"/>
                    </w:rPr>
                    <w:t>（2×2.5×6m）、壁厚约5mm的废水罐，用于存放废弃泥浆</w:t>
                  </w:r>
                  <w:r>
                    <w:rPr>
                      <w:rFonts w:hint="eastAsia"/>
                      <w:szCs w:val="21"/>
                    </w:rPr>
                    <w:t>、</w:t>
                  </w:r>
                  <w:r>
                    <w:rPr>
                      <w:szCs w:val="21"/>
                    </w:rPr>
                    <w:t>钻井岩屑</w:t>
                  </w:r>
                  <w:r>
                    <w:rPr>
                      <w:rFonts w:hint="eastAsia"/>
                      <w:szCs w:val="21"/>
                    </w:rPr>
                    <w:t>。废水罐</w:t>
                  </w:r>
                  <w:r>
                    <w:rPr>
                      <w:szCs w:val="21"/>
                    </w:rPr>
                    <w:t>四周加设高度为20cm的围堰，然后</w:t>
                  </w:r>
                  <w:r>
                    <w:rPr>
                      <w:rFonts w:hint="eastAsia"/>
                      <w:szCs w:val="21"/>
                    </w:rPr>
                    <w:t>铺设双层1.5mm厚</w:t>
                  </w:r>
                  <w:r>
                    <w:rPr>
                      <w:szCs w:val="21"/>
                    </w:rPr>
                    <w:t>高密度聚乙烯防渗膜覆盖</w:t>
                  </w:r>
                  <w:r>
                    <w:rPr>
                      <w:rFonts w:hint="eastAsia"/>
                      <w:szCs w:val="21"/>
                    </w:rPr>
                    <w:t>作为</w:t>
                  </w:r>
                  <w:r>
                    <w:rPr>
                      <w:szCs w:val="21"/>
                    </w:rPr>
                    <w:t>底层</w:t>
                  </w:r>
                  <w:r>
                    <w:rPr>
                      <w:rFonts w:hint="eastAsia"/>
                      <w:szCs w:val="21"/>
                    </w:rPr>
                    <w:t>。</w:t>
                  </w:r>
                </w:p>
              </w:tc>
            </w:tr>
            <w:tr w14:paraId="78397D4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8" w:hRule="atLeast"/>
                <w:jc w:val="center"/>
              </w:trPr>
              <w:tc>
                <w:tcPr>
                  <w:tcW w:w="365" w:type="pct"/>
                  <w:vMerge w:val="continue"/>
                  <w:tcMar>
                    <w:left w:w="0" w:type="dxa"/>
                    <w:right w:w="0" w:type="dxa"/>
                  </w:tcMar>
                  <w:vAlign w:val="center"/>
                </w:tcPr>
                <w:p w14:paraId="2E48429F">
                  <w:pPr>
                    <w:widowControl/>
                    <w:jc w:val="left"/>
                    <w:rPr>
                      <w:szCs w:val="21"/>
                    </w:rPr>
                  </w:pPr>
                </w:p>
              </w:tc>
              <w:tc>
                <w:tcPr>
                  <w:tcW w:w="672" w:type="pct"/>
                  <w:gridSpan w:val="2"/>
                  <w:tcMar>
                    <w:left w:w="0" w:type="dxa"/>
                    <w:right w:w="0" w:type="dxa"/>
                  </w:tcMar>
                  <w:vAlign w:val="center"/>
                </w:tcPr>
                <w:p w14:paraId="38FB7925">
                  <w:pPr>
                    <w:jc w:val="center"/>
                    <w:rPr>
                      <w:szCs w:val="21"/>
                    </w:rPr>
                  </w:pPr>
                  <w:r>
                    <w:rPr>
                      <w:rFonts w:hint="eastAsia"/>
                      <w:szCs w:val="21"/>
                    </w:rPr>
                    <w:t>储液罐</w:t>
                  </w:r>
                </w:p>
              </w:tc>
              <w:tc>
                <w:tcPr>
                  <w:tcW w:w="3962" w:type="pct"/>
                  <w:tcMar>
                    <w:left w:w="0" w:type="dxa"/>
                    <w:right w:w="0" w:type="dxa"/>
                  </w:tcMar>
                  <w:vAlign w:val="center"/>
                </w:tcPr>
                <w:p w14:paraId="7CC88D3D">
                  <w:pPr>
                    <w:rPr>
                      <w:szCs w:val="21"/>
                    </w:rPr>
                  </w:pPr>
                  <w:r>
                    <w:rPr>
                      <w:rFonts w:hint="eastAsia"/>
                      <w:szCs w:val="21"/>
                    </w:rPr>
                    <w:t>采出液储液罐</w:t>
                  </w:r>
                  <w:r>
                    <w:rPr>
                      <w:szCs w:val="21"/>
                    </w:rPr>
                    <w:t>区</w:t>
                  </w:r>
                  <w:r>
                    <w:rPr>
                      <w:rFonts w:hint="eastAsia"/>
                      <w:szCs w:val="21"/>
                    </w:rPr>
                    <w:t>设置2个（一用一备）40m</w:t>
                  </w:r>
                  <w:r>
                    <w:rPr>
                      <w:rFonts w:hint="eastAsia"/>
                      <w:szCs w:val="21"/>
                      <w:vertAlign w:val="superscript"/>
                    </w:rPr>
                    <w:t>3</w:t>
                  </w:r>
                  <w:r>
                    <w:rPr>
                      <w:rFonts w:hint="eastAsia"/>
                      <w:szCs w:val="21"/>
                    </w:rPr>
                    <w:t>的卧式固定罐。储液</w:t>
                  </w:r>
                  <w:r>
                    <w:rPr>
                      <w:szCs w:val="21"/>
                    </w:rPr>
                    <w:t>罐区四周</w:t>
                  </w:r>
                  <w:r>
                    <w:rPr>
                      <w:rFonts w:hint="eastAsia"/>
                      <w:szCs w:val="21"/>
                    </w:rPr>
                    <w:t>设置</w:t>
                  </w:r>
                  <w:r>
                    <w:rPr>
                      <w:szCs w:val="21"/>
                    </w:rPr>
                    <w:t>高度为20cm的围堰，然后</w:t>
                  </w:r>
                  <w:r>
                    <w:rPr>
                      <w:rFonts w:hint="eastAsia"/>
                      <w:szCs w:val="21"/>
                    </w:rPr>
                    <w:t>铺设双层2mm厚</w:t>
                  </w:r>
                  <w:r>
                    <w:rPr>
                      <w:szCs w:val="21"/>
                    </w:rPr>
                    <w:t>高密度聚乙烯防渗膜覆盖</w:t>
                  </w:r>
                  <w:r>
                    <w:rPr>
                      <w:rFonts w:hint="eastAsia"/>
                      <w:szCs w:val="21"/>
                    </w:rPr>
                    <w:t>作为</w:t>
                  </w:r>
                  <w:r>
                    <w:rPr>
                      <w:szCs w:val="21"/>
                    </w:rPr>
                    <w:t>底层。</w:t>
                  </w:r>
                </w:p>
              </w:tc>
            </w:tr>
            <w:tr w14:paraId="0B06FC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jc w:val="center"/>
              </w:trPr>
              <w:tc>
                <w:tcPr>
                  <w:tcW w:w="365" w:type="pct"/>
                  <w:vMerge w:val="restart"/>
                  <w:tcMar>
                    <w:left w:w="0" w:type="dxa"/>
                    <w:right w:w="0" w:type="dxa"/>
                  </w:tcMar>
                  <w:vAlign w:val="center"/>
                </w:tcPr>
                <w:p w14:paraId="1503B14F">
                  <w:pPr>
                    <w:jc w:val="center"/>
                    <w:rPr>
                      <w:szCs w:val="21"/>
                    </w:rPr>
                  </w:pPr>
                  <w:r>
                    <w:rPr>
                      <w:rFonts w:hint="eastAsia"/>
                      <w:szCs w:val="21"/>
                    </w:rPr>
                    <w:t>公用工程</w:t>
                  </w:r>
                </w:p>
              </w:tc>
              <w:tc>
                <w:tcPr>
                  <w:tcW w:w="672" w:type="pct"/>
                  <w:gridSpan w:val="2"/>
                  <w:tcMar>
                    <w:left w:w="0" w:type="dxa"/>
                    <w:right w:w="0" w:type="dxa"/>
                  </w:tcMar>
                  <w:vAlign w:val="center"/>
                </w:tcPr>
                <w:p w14:paraId="411345CD">
                  <w:pPr>
                    <w:jc w:val="center"/>
                    <w:rPr>
                      <w:szCs w:val="21"/>
                    </w:rPr>
                  </w:pPr>
                  <w:r>
                    <w:rPr>
                      <w:rFonts w:hint="eastAsia"/>
                      <w:szCs w:val="21"/>
                    </w:rPr>
                    <w:t>供电</w:t>
                  </w:r>
                </w:p>
              </w:tc>
              <w:tc>
                <w:tcPr>
                  <w:tcW w:w="3962" w:type="pct"/>
                  <w:tcMar>
                    <w:left w:w="0" w:type="dxa"/>
                    <w:right w:w="0" w:type="dxa"/>
                  </w:tcMar>
                  <w:vAlign w:val="center"/>
                </w:tcPr>
                <w:p w14:paraId="1D248A83">
                  <w:pPr>
                    <w:rPr>
                      <w:szCs w:val="21"/>
                    </w:rPr>
                  </w:pPr>
                  <w:r>
                    <w:rPr>
                      <w:szCs w:val="21"/>
                    </w:rPr>
                    <w:t>由井场柴油发电机组提供，柴油机使用符合国标的0#或-35#轻质柴油。</w:t>
                  </w:r>
                </w:p>
              </w:tc>
            </w:tr>
            <w:tr w14:paraId="2C5F845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05" w:hRule="atLeast"/>
                <w:jc w:val="center"/>
              </w:trPr>
              <w:tc>
                <w:tcPr>
                  <w:tcW w:w="365" w:type="pct"/>
                  <w:vMerge w:val="continue"/>
                  <w:tcMar>
                    <w:left w:w="0" w:type="dxa"/>
                    <w:right w:w="0" w:type="dxa"/>
                  </w:tcMar>
                  <w:vAlign w:val="center"/>
                </w:tcPr>
                <w:p w14:paraId="0D26F650">
                  <w:pPr>
                    <w:widowControl/>
                    <w:jc w:val="left"/>
                    <w:rPr>
                      <w:szCs w:val="21"/>
                    </w:rPr>
                  </w:pPr>
                </w:p>
              </w:tc>
              <w:tc>
                <w:tcPr>
                  <w:tcW w:w="672" w:type="pct"/>
                  <w:gridSpan w:val="2"/>
                  <w:tcMar>
                    <w:left w:w="0" w:type="dxa"/>
                    <w:right w:w="0" w:type="dxa"/>
                  </w:tcMar>
                  <w:vAlign w:val="center"/>
                </w:tcPr>
                <w:p w14:paraId="7910E519">
                  <w:pPr>
                    <w:jc w:val="center"/>
                    <w:rPr>
                      <w:szCs w:val="21"/>
                    </w:rPr>
                  </w:pPr>
                  <w:r>
                    <w:rPr>
                      <w:rFonts w:hint="eastAsia"/>
                      <w:szCs w:val="21"/>
                    </w:rPr>
                    <w:t>供热</w:t>
                  </w:r>
                </w:p>
              </w:tc>
              <w:tc>
                <w:tcPr>
                  <w:tcW w:w="3962" w:type="pct"/>
                  <w:tcMar>
                    <w:left w:w="0" w:type="dxa"/>
                    <w:right w:w="0" w:type="dxa"/>
                  </w:tcMar>
                  <w:vAlign w:val="center"/>
                </w:tcPr>
                <w:p w14:paraId="26CE638C">
                  <w:pPr>
                    <w:rPr>
                      <w:szCs w:val="21"/>
                    </w:rPr>
                  </w:pPr>
                  <w:r>
                    <w:rPr>
                      <w:szCs w:val="21"/>
                    </w:rPr>
                    <w:t>项目不设置加热炉，如勘探期为冬季，则办公生活区采用电暖器取暖；采出液输送管线利用伴热带保温，单井储液罐使用电加热器加热。由柴油发电机组提供电力。</w:t>
                  </w:r>
                </w:p>
              </w:tc>
            </w:tr>
            <w:tr w14:paraId="2B36EEC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continue"/>
                  <w:tcMar>
                    <w:left w:w="0" w:type="dxa"/>
                    <w:right w:w="0" w:type="dxa"/>
                  </w:tcMar>
                  <w:vAlign w:val="center"/>
                </w:tcPr>
                <w:p w14:paraId="67EFC205">
                  <w:pPr>
                    <w:widowControl/>
                    <w:jc w:val="left"/>
                    <w:rPr>
                      <w:szCs w:val="21"/>
                    </w:rPr>
                  </w:pPr>
                </w:p>
              </w:tc>
              <w:tc>
                <w:tcPr>
                  <w:tcW w:w="672" w:type="pct"/>
                  <w:gridSpan w:val="2"/>
                  <w:tcMar>
                    <w:left w:w="0" w:type="dxa"/>
                    <w:right w:w="0" w:type="dxa"/>
                  </w:tcMar>
                  <w:vAlign w:val="center"/>
                </w:tcPr>
                <w:p w14:paraId="15658580">
                  <w:pPr>
                    <w:jc w:val="center"/>
                    <w:rPr>
                      <w:szCs w:val="21"/>
                    </w:rPr>
                  </w:pPr>
                  <w:r>
                    <w:rPr>
                      <w:rFonts w:hint="eastAsia"/>
                      <w:szCs w:val="21"/>
                    </w:rPr>
                    <w:t>供水</w:t>
                  </w:r>
                </w:p>
              </w:tc>
              <w:tc>
                <w:tcPr>
                  <w:tcW w:w="3962" w:type="pct"/>
                  <w:tcMar>
                    <w:left w:w="0" w:type="dxa"/>
                    <w:right w:w="0" w:type="dxa"/>
                  </w:tcMar>
                  <w:vAlign w:val="center"/>
                </w:tcPr>
                <w:p w14:paraId="54E38166">
                  <w:pPr>
                    <w:rPr>
                      <w:szCs w:val="21"/>
                    </w:rPr>
                  </w:pPr>
                  <w:r>
                    <w:rPr>
                      <w:szCs w:val="21"/>
                    </w:rPr>
                    <w:t>生活用水来源为附近村庄自来水，用10m</w:t>
                  </w:r>
                  <w:r>
                    <w:rPr>
                      <w:szCs w:val="21"/>
                      <w:vertAlign w:val="superscript"/>
                    </w:rPr>
                    <w:t>3</w:t>
                  </w:r>
                  <w:r>
                    <w:rPr>
                      <w:szCs w:val="21"/>
                    </w:rPr>
                    <w:t>的水罐车拉运；生产用水从</w:t>
                  </w:r>
                  <w:r>
                    <w:rPr>
                      <w:rFonts w:hint="eastAsia"/>
                      <w:szCs w:val="21"/>
                    </w:rPr>
                    <w:t>巴彦淖尔市市政环境（集团）有限公司</w:t>
                  </w:r>
                  <w:r>
                    <w:rPr>
                      <w:szCs w:val="21"/>
                    </w:rPr>
                    <w:t>由20m</w:t>
                  </w:r>
                  <w:r>
                    <w:rPr>
                      <w:szCs w:val="21"/>
                      <w:vertAlign w:val="superscript"/>
                    </w:rPr>
                    <w:t>3</w:t>
                  </w:r>
                  <w:r>
                    <w:rPr>
                      <w:szCs w:val="21"/>
                    </w:rPr>
                    <w:t>水罐车拉运。</w:t>
                  </w:r>
                </w:p>
              </w:tc>
            </w:tr>
            <w:tr w14:paraId="76CAEE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68" w:hRule="atLeast"/>
                <w:jc w:val="center"/>
              </w:trPr>
              <w:tc>
                <w:tcPr>
                  <w:tcW w:w="365" w:type="pct"/>
                  <w:vMerge w:val="continue"/>
                  <w:tcMar>
                    <w:left w:w="0" w:type="dxa"/>
                    <w:right w:w="0" w:type="dxa"/>
                  </w:tcMar>
                  <w:vAlign w:val="center"/>
                </w:tcPr>
                <w:p w14:paraId="5B389F79">
                  <w:pPr>
                    <w:widowControl/>
                    <w:jc w:val="left"/>
                    <w:rPr>
                      <w:szCs w:val="21"/>
                    </w:rPr>
                  </w:pPr>
                </w:p>
              </w:tc>
              <w:tc>
                <w:tcPr>
                  <w:tcW w:w="672" w:type="pct"/>
                  <w:gridSpan w:val="2"/>
                  <w:tcMar>
                    <w:left w:w="0" w:type="dxa"/>
                    <w:right w:w="0" w:type="dxa"/>
                  </w:tcMar>
                  <w:vAlign w:val="center"/>
                </w:tcPr>
                <w:p w14:paraId="17909D58">
                  <w:pPr>
                    <w:jc w:val="center"/>
                    <w:rPr>
                      <w:szCs w:val="21"/>
                    </w:rPr>
                  </w:pPr>
                  <w:r>
                    <w:rPr>
                      <w:rFonts w:hint="eastAsia"/>
                      <w:szCs w:val="21"/>
                    </w:rPr>
                    <w:t>排水</w:t>
                  </w:r>
                </w:p>
              </w:tc>
              <w:tc>
                <w:tcPr>
                  <w:tcW w:w="3962" w:type="pct"/>
                  <w:tcMar>
                    <w:left w:w="0" w:type="dxa"/>
                    <w:right w:w="0" w:type="dxa"/>
                  </w:tcMar>
                  <w:vAlign w:val="center"/>
                </w:tcPr>
                <w:p w14:paraId="1E023B96">
                  <w:pPr>
                    <w:rPr>
                      <w:szCs w:val="21"/>
                    </w:rPr>
                  </w:pPr>
                  <w:r>
                    <w:rPr>
                      <w:rFonts w:hint="eastAsia"/>
                      <w:szCs w:val="21"/>
                    </w:rPr>
                    <w:t>钻井过程中废水随同废弃泥浆、钻井岩屑收集至可移动废水罐，定期拉运至内蒙古众宁环保科技有限公司油气田废弃物集中处理厂处理。盥洗废水排入井场设置的环保厕所，定期清掏。</w:t>
                  </w:r>
                </w:p>
              </w:tc>
            </w:tr>
            <w:tr w14:paraId="089D49A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continue"/>
                  <w:tcMar>
                    <w:left w:w="0" w:type="dxa"/>
                    <w:right w:w="0" w:type="dxa"/>
                  </w:tcMar>
                  <w:vAlign w:val="center"/>
                </w:tcPr>
                <w:p w14:paraId="58C58FE6">
                  <w:pPr>
                    <w:widowControl/>
                    <w:jc w:val="left"/>
                    <w:rPr>
                      <w:szCs w:val="21"/>
                    </w:rPr>
                  </w:pPr>
                </w:p>
              </w:tc>
              <w:tc>
                <w:tcPr>
                  <w:tcW w:w="672" w:type="pct"/>
                  <w:gridSpan w:val="2"/>
                  <w:tcMar>
                    <w:left w:w="0" w:type="dxa"/>
                    <w:right w:w="0" w:type="dxa"/>
                  </w:tcMar>
                  <w:vAlign w:val="center"/>
                </w:tcPr>
                <w:p w14:paraId="12E5675F">
                  <w:pPr>
                    <w:jc w:val="center"/>
                    <w:rPr>
                      <w:szCs w:val="21"/>
                    </w:rPr>
                  </w:pPr>
                  <w:r>
                    <w:rPr>
                      <w:rFonts w:hint="eastAsia"/>
                      <w:szCs w:val="21"/>
                    </w:rPr>
                    <w:t>消防设施</w:t>
                  </w:r>
                </w:p>
              </w:tc>
              <w:tc>
                <w:tcPr>
                  <w:tcW w:w="3962" w:type="pct"/>
                  <w:tcMar>
                    <w:left w:w="0" w:type="dxa"/>
                    <w:right w:w="0" w:type="dxa"/>
                  </w:tcMar>
                  <w:vAlign w:val="center"/>
                </w:tcPr>
                <w:p w14:paraId="1A719DD5">
                  <w:pPr>
                    <w:rPr>
                      <w:szCs w:val="21"/>
                    </w:rPr>
                  </w:pPr>
                  <w:r>
                    <w:rPr>
                      <w:szCs w:val="21"/>
                    </w:rPr>
                    <w:t>项目不设消防给水设施，火灾危险场所配置小型移动式灭火器。设置推车式干粉灭火器、手提式干</w:t>
                  </w:r>
                  <w:r>
                    <w:rPr>
                      <w:rFonts w:hint="eastAsia"/>
                      <w:szCs w:val="21"/>
                    </w:rPr>
                    <w:t>粉</w:t>
                  </w:r>
                  <w:r>
                    <w:rPr>
                      <w:szCs w:val="21"/>
                    </w:rPr>
                    <w:t>灭火器若干。</w:t>
                  </w:r>
                </w:p>
              </w:tc>
            </w:tr>
            <w:tr w14:paraId="5C7420F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16" w:hRule="atLeast"/>
                <w:jc w:val="center"/>
              </w:trPr>
              <w:tc>
                <w:tcPr>
                  <w:tcW w:w="365" w:type="pct"/>
                  <w:vMerge w:val="restart"/>
                  <w:tcMar>
                    <w:left w:w="0" w:type="dxa"/>
                    <w:right w:w="0" w:type="dxa"/>
                  </w:tcMar>
                  <w:vAlign w:val="center"/>
                </w:tcPr>
                <w:p w14:paraId="1F9822C0">
                  <w:pPr>
                    <w:jc w:val="center"/>
                    <w:rPr>
                      <w:szCs w:val="21"/>
                    </w:rPr>
                  </w:pPr>
                  <w:r>
                    <w:rPr>
                      <w:rFonts w:hint="eastAsia"/>
                      <w:szCs w:val="21"/>
                    </w:rPr>
                    <w:t>环保工程</w:t>
                  </w:r>
                </w:p>
              </w:tc>
              <w:tc>
                <w:tcPr>
                  <w:tcW w:w="243" w:type="pct"/>
                  <w:vMerge w:val="restart"/>
                  <w:tcMar>
                    <w:left w:w="0" w:type="dxa"/>
                    <w:right w:w="0" w:type="dxa"/>
                  </w:tcMar>
                  <w:vAlign w:val="center"/>
                </w:tcPr>
                <w:p w14:paraId="5FCB3A17">
                  <w:pPr>
                    <w:jc w:val="center"/>
                    <w:rPr>
                      <w:szCs w:val="21"/>
                    </w:rPr>
                  </w:pPr>
                  <w:r>
                    <w:rPr>
                      <w:rFonts w:hint="eastAsia"/>
                      <w:szCs w:val="21"/>
                    </w:rPr>
                    <w:t>废气</w:t>
                  </w:r>
                </w:p>
              </w:tc>
              <w:tc>
                <w:tcPr>
                  <w:tcW w:w="430" w:type="pct"/>
                  <w:tcMar>
                    <w:left w:w="0" w:type="dxa"/>
                    <w:right w:w="0" w:type="dxa"/>
                  </w:tcMar>
                  <w:vAlign w:val="center"/>
                </w:tcPr>
                <w:p w14:paraId="2F346EBB">
                  <w:pPr>
                    <w:jc w:val="center"/>
                    <w:rPr>
                      <w:szCs w:val="21"/>
                    </w:rPr>
                  </w:pPr>
                  <w:r>
                    <w:rPr>
                      <w:szCs w:val="21"/>
                    </w:rPr>
                    <w:t>施工扬尘</w:t>
                  </w:r>
                </w:p>
              </w:tc>
              <w:tc>
                <w:tcPr>
                  <w:tcW w:w="3962" w:type="pct"/>
                  <w:tcMar>
                    <w:left w:w="28" w:type="dxa"/>
                    <w:right w:w="28" w:type="dxa"/>
                  </w:tcMar>
                  <w:vAlign w:val="center"/>
                </w:tcPr>
                <w:p w14:paraId="13D282BD">
                  <w:pPr>
                    <w:rPr>
                      <w:szCs w:val="21"/>
                    </w:rPr>
                  </w:pPr>
                  <w:r>
                    <w:rPr>
                      <w:rFonts w:hint="eastAsia"/>
                      <w:szCs w:val="21"/>
                    </w:rPr>
                    <w:t>场界设置不低于1.8m的围挡，</w:t>
                  </w:r>
                  <w:r>
                    <w:rPr>
                      <w:szCs w:val="21"/>
                    </w:rPr>
                    <w:t>井场设置洒水泵定期洒水</w:t>
                  </w:r>
                  <w:r>
                    <w:rPr>
                      <w:rFonts w:hint="eastAsia"/>
                      <w:szCs w:val="21"/>
                    </w:rPr>
                    <w:t>抑尘</w:t>
                  </w:r>
                  <w:r>
                    <w:rPr>
                      <w:szCs w:val="21"/>
                    </w:rPr>
                    <w:t>，</w:t>
                  </w:r>
                  <w:r>
                    <w:rPr>
                      <w:rFonts w:hint="eastAsia"/>
                      <w:szCs w:val="21"/>
                    </w:rPr>
                    <w:t>原材料堆存区上部设苫布遮盖，表土堆放区采用密目网遮盖。</w:t>
                  </w:r>
                </w:p>
              </w:tc>
            </w:tr>
            <w:tr w14:paraId="3C0DD4C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24" w:hRule="atLeast"/>
                <w:jc w:val="center"/>
              </w:trPr>
              <w:tc>
                <w:tcPr>
                  <w:tcW w:w="365" w:type="pct"/>
                  <w:vMerge w:val="continue"/>
                  <w:tcMar>
                    <w:left w:w="0" w:type="dxa"/>
                    <w:right w:w="0" w:type="dxa"/>
                  </w:tcMar>
                  <w:vAlign w:val="center"/>
                </w:tcPr>
                <w:p w14:paraId="49A8976F">
                  <w:pPr>
                    <w:widowControl/>
                    <w:jc w:val="left"/>
                    <w:rPr>
                      <w:szCs w:val="21"/>
                    </w:rPr>
                  </w:pPr>
                </w:p>
              </w:tc>
              <w:tc>
                <w:tcPr>
                  <w:tcW w:w="243" w:type="pct"/>
                  <w:vMerge w:val="continue"/>
                  <w:tcMar>
                    <w:left w:w="0" w:type="dxa"/>
                    <w:right w:w="0" w:type="dxa"/>
                  </w:tcMar>
                  <w:vAlign w:val="center"/>
                </w:tcPr>
                <w:p w14:paraId="0464CA7B">
                  <w:pPr>
                    <w:widowControl/>
                    <w:jc w:val="left"/>
                    <w:rPr>
                      <w:szCs w:val="21"/>
                    </w:rPr>
                  </w:pPr>
                </w:p>
              </w:tc>
              <w:tc>
                <w:tcPr>
                  <w:tcW w:w="430" w:type="pct"/>
                  <w:tcMar>
                    <w:left w:w="0" w:type="dxa"/>
                    <w:right w:w="0" w:type="dxa"/>
                  </w:tcMar>
                  <w:vAlign w:val="center"/>
                </w:tcPr>
                <w:p w14:paraId="5DBF56A3">
                  <w:pPr>
                    <w:jc w:val="center"/>
                    <w:rPr>
                      <w:szCs w:val="21"/>
                    </w:rPr>
                  </w:pPr>
                  <w:r>
                    <w:rPr>
                      <w:rFonts w:hint="eastAsia"/>
                      <w:szCs w:val="21"/>
                    </w:rPr>
                    <w:t>柴油发电机组尾气</w:t>
                  </w:r>
                </w:p>
              </w:tc>
              <w:tc>
                <w:tcPr>
                  <w:tcW w:w="3962" w:type="pct"/>
                  <w:tcMar>
                    <w:left w:w="28" w:type="dxa"/>
                    <w:right w:w="28" w:type="dxa"/>
                  </w:tcMar>
                  <w:vAlign w:val="center"/>
                </w:tcPr>
                <w:p w14:paraId="0BE04771">
                  <w:pPr>
                    <w:rPr>
                      <w:szCs w:val="21"/>
                    </w:rPr>
                  </w:pPr>
                  <w:r>
                    <w:rPr>
                      <w:szCs w:val="21"/>
                    </w:rPr>
                    <w:t>现场</w:t>
                  </w:r>
                  <w:r>
                    <w:rPr>
                      <w:rFonts w:hint="eastAsia"/>
                      <w:szCs w:val="21"/>
                    </w:rPr>
                    <w:t>采用</w:t>
                  </w:r>
                  <w:r>
                    <w:rPr>
                      <w:szCs w:val="21"/>
                    </w:rPr>
                    <w:t>符合环保要求的柴油发电机组，使用</w:t>
                  </w:r>
                  <w:r>
                    <w:rPr>
                      <w:rFonts w:hint="eastAsia"/>
                      <w:szCs w:val="21"/>
                    </w:rPr>
                    <w:t>0#或-35#</w:t>
                  </w:r>
                  <w:r>
                    <w:rPr>
                      <w:szCs w:val="21"/>
                    </w:rPr>
                    <w:t>轻质柴油为燃料，使用设备自带的排气设备排放。</w:t>
                  </w:r>
                </w:p>
              </w:tc>
            </w:tr>
            <w:tr w14:paraId="2448543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continue"/>
                  <w:tcMar>
                    <w:left w:w="0" w:type="dxa"/>
                    <w:right w:w="0" w:type="dxa"/>
                  </w:tcMar>
                  <w:vAlign w:val="center"/>
                </w:tcPr>
                <w:p w14:paraId="110C1CFA">
                  <w:pPr>
                    <w:widowControl/>
                    <w:jc w:val="left"/>
                    <w:rPr>
                      <w:szCs w:val="21"/>
                    </w:rPr>
                  </w:pPr>
                </w:p>
              </w:tc>
              <w:tc>
                <w:tcPr>
                  <w:tcW w:w="243" w:type="pct"/>
                  <w:vMerge w:val="continue"/>
                  <w:tcMar>
                    <w:left w:w="0" w:type="dxa"/>
                    <w:right w:w="0" w:type="dxa"/>
                  </w:tcMar>
                  <w:vAlign w:val="center"/>
                </w:tcPr>
                <w:p w14:paraId="6A83670C">
                  <w:pPr>
                    <w:widowControl/>
                    <w:jc w:val="left"/>
                    <w:rPr>
                      <w:szCs w:val="21"/>
                    </w:rPr>
                  </w:pPr>
                </w:p>
              </w:tc>
              <w:tc>
                <w:tcPr>
                  <w:tcW w:w="430" w:type="pct"/>
                  <w:tcMar>
                    <w:left w:w="0" w:type="dxa"/>
                    <w:right w:w="0" w:type="dxa"/>
                  </w:tcMar>
                  <w:vAlign w:val="center"/>
                </w:tcPr>
                <w:p w14:paraId="3CFABAD5">
                  <w:pPr>
                    <w:jc w:val="center"/>
                    <w:rPr>
                      <w:szCs w:val="21"/>
                    </w:rPr>
                  </w:pPr>
                  <w:r>
                    <w:rPr>
                      <w:rFonts w:hint="eastAsia"/>
                      <w:szCs w:val="21"/>
                    </w:rPr>
                    <w:t>柴油罐挥发废气</w:t>
                  </w:r>
                </w:p>
              </w:tc>
              <w:tc>
                <w:tcPr>
                  <w:tcW w:w="3962" w:type="pct"/>
                  <w:tcMar>
                    <w:left w:w="28" w:type="dxa"/>
                    <w:right w:w="28" w:type="dxa"/>
                  </w:tcMar>
                  <w:vAlign w:val="center"/>
                </w:tcPr>
                <w:p w14:paraId="068952E8">
                  <w:pPr>
                    <w:rPr>
                      <w:szCs w:val="21"/>
                    </w:rPr>
                  </w:pPr>
                  <w:r>
                    <w:rPr>
                      <w:szCs w:val="21"/>
                    </w:rPr>
                    <w:t>采用防腐储罐，采用环密技术防止烃类泄漏</w:t>
                  </w:r>
                  <w:r>
                    <w:rPr>
                      <w:rFonts w:hint="eastAsia"/>
                      <w:szCs w:val="21"/>
                    </w:rPr>
                    <w:t>及挥发；设置切断系统，对管线、阀门等进行定期的检查、检修。</w:t>
                  </w:r>
                </w:p>
              </w:tc>
            </w:tr>
            <w:tr w14:paraId="007D15D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833" w:hRule="atLeast"/>
                <w:jc w:val="center"/>
              </w:trPr>
              <w:tc>
                <w:tcPr>
                  <w:tcW w:w="365" w:type="pct"/>
                  <w:vMerge w:val="continue"/>
                  <w:tcMar>
                    <w:left w:w="0" w:type="dxa"/>
                    <w:right w:w="0" w:type="dxa"/>
                  </w:tcMar>
                  <w:vAlign w:val="center"/>
                </w:tcPr>
                <w:p w14:paraId="0E1D1B7D">
                  <w:pPr>
                    <w:widowControl/>
                    <w:jc w:val="left"/>
                    <w:rPr>
                      <w:szCs w:val="21"/>
                    </w:rPr>
                  </w:pPr>
                </w:p>
              </w:tc>
              <w:tc>
                <w:tcPr>
                  <w:tcW w:w="243" w:type="pct"/>
                  <w:vMerge w:val="continue"/>
                  <w:tcMar>
                    <w:left w:w="0" w:type="dxa"/>
                    <w:right w:w="0" w:type="dxa"/>
                  </w:tcMar>
                  <w:vAlign w:val="center"/>
                </w:tcPr>
                <w:p w14:paraId="022ECA80">
                  <w:pPr>
                    <w:widowControl/>
                    <w:jc w:val="left"/>
                    <w:rPr>
                      <w:szCs w:val="21"/>
                    </w:rPr>
                  </w:pPr>
                </w:p>
              </w:tc>
              <w:tc>
                <w:tcPr>
                  <w:tcW w:w="430" w:type="pct"/>
                  <w:tcMar>
                    <w:left w:w="0" w:type="dxa"/>
                    <w:right w:w="0" w:type="dxa"/>
                  </w:tcMar>
                  <w:vAlign w:val="center"/>
                </w:tcPr>
                <w:p w14:paraId="30DD99F0">
                  <w:pPr>
                    <w:jc w:val="center"/>
                    <w:rPr>
                      <w:szCs w:val="21"/>
                    </w:rPr>
                  </w:pPr>
                  <w:r>
                    <w:rPr>
                      <w:rFonts w:hint="eastAsia"/>
                      <w:szCs w:val="21"/>
                    </w:rPr>
                    <w:t>储液罐挥发废气</w:t>
                  </w:r>
                </w:p>
              </w:tc>
              <w:tc>
                <w:tcPr>
                  <w:tcW w:w="3962" w:type="pct"/>
                  <w:tcMar>
                    <w:left w:w="28" w:type="dxa"/>
                    <w:right w:w="28" w:type="dxa"/>
                  </w:tcMar>
                  <w:vAlign w:val="center"/>
                </w:tcPr>
                <w:p w14:paraId="1BBE718F">
                  <w:pPr>
                    <w:rPr>
                      <w:szCs w:val="21"/>
                    </w:rPr>
                  </w:pPr>
                  <w:r>
                    <w:rPr>
                      <w:szCs w:val="21"/>
                    </w:rPr>
                    <w:t>（1）储液罐采用防腐储罐，采用环密技术</w:t>
                  </w:r>
                  <w:r>
                    <w:rPr>
                      <w:rFonts w:hint="eastAsia"/>
                      <w:szCs w:val="21"/>
                    </w:rPr>
                    <w:t>，减少</w:t>
                  </w:r>
                  <w:r>
                    <w:rPr>
                      <w:szCs w:val="21"/>
                    </w:rPr>
                    <w:t>烃类废气无组织挥发。</w:t>
                  </w:r>
                </w:p>
                <w:p w14:paraId="4A929857">
                  <w:pPr>
                    <w:rPr>
                      <w:szCs w:val="21"/>
                    </w:rPr>
                  </w:pPr>
                  <w:r>
                    <w:rPr>
                      <w:szCs w:val="21"/>
                    </w:rPr>
                    <w:t>（2）采用密闭集输流程，井口、储液罐设置切断阀，一旦发生事故，紧急切断油源，从而最大限度地减少油气集输过程中烃类的排放量。</w:t>
                  </w:r>
                </w:p>
                <w:p w14:paraId="615DBDCA">
                  <w:pPr>
                    <w:rPr>
                      <w:szCs w:val="21"/>
                    </w:rPr>
                  </w:pPr>
                  <w:r>
                    <w:rPr>
                      <w:szCs w:val="21"/>
                    </w:rPr>
                    <w:t>（3）对井场的设备、管线、阀门等进行定期的检查、检修，以防止跑、冒、滴、漏的发生。</w:t>
                  </w:r>
                </w:p>
                <w:p w14:paraId="2164651D">
                  <w:pPr>
                    <w:rPr>
                      <w:szCs w:val="21"/>
                    </w:rPr>
                  </w:pPr>
                  <w:r>
                    <w:rPr>
                      <w:szCs w:val="21"/>
                    </w:rPr>
                    <w:t>（4）加强原油装车过程管理，在储液罐上安装简易装车流程。装车过程中，采用浸没式装车方式，储液罐中的采出液通过罐体上端的拉油鹤管输送到拉油罐车里，且确保拉油鹤管出口一直延伸至罐车底部，有效地降低烃类气体的挥发。</w:t>
                  </w:r>
                </w:p>
                <w:p w14:paraId="71D015CA">
                  <w:pPr>
                    <w:rPr>
                      <w:szCs w:val="21"/>
                    </w:rPr>
                  </w:pPr>
                  <w:r>
                    <w:rPr>
                      <w:szCs w:val="21"/>
                    </w:rPr>
                    <w:t>（5）油罐车运输过程中油罐</w:t>
                  </w:r>
                  <w:r>
                    <w:rPr>
                      <w:szCs w:val="21"/>
                    </w:rPr>
                    <w:cr/>
                  </w:r>
                  <w:r>
                    <w:rPr>
                      <w:szCs w:val="21"/>
                    </w:rPr>
                    <w:t>程密闭，减少烃类气体的挥发。</w:t>
                  </w:r>
                </w:p>
              </w:tc>
            </w:tr>
            <w:tr w14:paraId="40BA565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2" w:hRule="atLeast"/>
                <w:jc w:val="center"/>
              </w:trPr>
              <w:tc>
                <w:tcPr>
                  <w:tcW w:w="365" w:type="pct"/>
                  <w:vMerge w:val="continue"/>
                  <w:tcMar>
                    <w:left w:w="0" w:type="dxa"/>
                    <w:right w:w="0" w:type="dxa"/>
                  </w:tcMar>
                  <w:vAlign w:val="center"/>
                </w:tcPr>
                <w:p w14:paraId="12CD7DFB"/>
              </w:tc>
              <w:tc>
                <w:tcPr>
                  <w:tcW w:w="243" w:type="pct"/>
                  <w:vMerge w:val="continue"/>
                  <w:tcMar>
                    <w:left w:w="0" w:type="dxa"/>
                    <w:right w:w="0" w:type="dxa"/>
                  </w:tcMar>
                  <w:vAlign w:val="center"/>
                </w:tcPr>
                <w:p w14:paraId="7A40864A"/>
              </w:tc>
              <w:tc>
                <w:tcPr>
                  <w:tcW w:w="430" w:type="pct"/>
                  <w:tcMar>
                    <w:left w:w="0" w:type="dxa"/>
                    <w:right w:w="0" w:type="dxa"/>
                  </w:tcMar>
                  <w:vAlign w:val="center"/>
                </w:tcPr>
                <w:p w14:paraId="463F51B2">
                  <w:pPr>
                    <w:jc w:val="center"/>
                    <w:rPr>
                      <w:szCs w:val="21"/>
                    </w:rPr>
                  </w:pPr>
                  <w:r>
                    <w:rPr>
                      <w:szCs w:val="21"/>
                    </w:rPr>
                    <w:t>伴生气燃烧</w:t>
                  </w:r>
                </w:p>
              </w:tc>
              <w:tc>
                <w:tcPr>
                  <w:tcW w:w="3962" w:type="pct"/>
                  <w:tcMar>
                    <w:left w:w="28" w:type="dxa"/>
                    <w:right w:w="28" w:type="dxa"/>
                  </w:tcMar>
                  <w:vAlign w:val="center"/>
                </w:tcPr>
                <w:p w14:paraId="1121C9EB">
                  <w:pPr>
                    <w:rPr>
                      <w:szCs w:val="21"/>
                    </w:rPr>
                  </w:pPr>
                  <w:r>
                    <w:rPr>
                      <w:szCs w:val="21"/>
                    </w:rPr>
                    <w:t>试油阶段勘探井伴生气体主要为天然气及少量非甲烷总烃，采用火炬就地燃烧，燃烧产物主要为二氧化碳。火炬为8m排气筒（配套防回火与自动点火装置），设置于井口50m以外。</w:t>
                  </w:r>
                </w:p>
              </w:tc>
            </w:tr>
            <w:tr w14:paraId="63319B2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258" w:hRule="atLeast"/>
                <w:jc w:val="center"/>
              </w:trPr>
              <w:tc>
                <w:tcPr>
                  <w:tcW w:w="365" w:type="pct"/>
                  <w:vMerge w:val="continue"/>
                  <w:tcMar>
                    <w:left w:w="0" w:type="dxa"/>
                    <w:right w:w="0" w:type="dxa"/>
                  </w:tcMar>
                  <w:vAlign w:val="center"/>
                </w:tcPr>
                <w:p w14:paraId="0CA824EF">
                  <w:pPr>
                    <w:widowControl/>
                    <w:jc w:val="left"/>
                    <w:rPr>
                      <w:szCs w:val="21"/>
                    </w:rPr>
                  </w:pPr>
                </w:p>
              </w:tc>
              <w:tc>
                <w:tcPr>
                  <w:tcW w:w="672" w:type="pct"/>
                  <w:gridSpan w:val="2"/>
                  <w:tcMar>
                    <w:left w:w="0" w:type="dxa"/>
                    <w:right w:w="0" w:type="dxa"/>
                  </w:tcMar>
                  <w:vAlign w:val="center"/>
                </w:tcPr>
                <w:p w14:paraId="78F29AAF">
                  <w:pPr>
                    <w:jc w:val="center"/>
                    <w:rPr>
                      <w:szCs w:val="21"/>
                    </w:rPr>
                  </w:pPr>
                  <w:r>
                    <w:rPr>
                      <w:szCs w:val="21"/>
                    </w:rPr>
                    <w:t>废水</w:t>
                  </w:r>
                </w:p>
              </w:tc>
              <w:tc>
                <w:tcPr>
                  <w:tcW w:w="3962" w:type="pct"/>
                  <w:tcMar>
                    <w:left w:w="28" w:type="dxa"/>
                    <w:right w:w="28" w:type="dxa"/>
                  </w:tcMar>
                  <w:vAlign w:val="center"/>
                </w:tcPr>
                <w:p w14:paraId="011D81DE">
                  <w:r>
                    <w:rPr>
                      <w:rFonts w:hint="eastAsia"/>
                      <w:szCs w:val="21"/>
                    </w:rPr>
                    <w:t>钻井过程中废水随同废弃泥浆、钻井岩屑收集至泥浆不落地循环系统装置旁的可移动废水罐（3</w:t>
                  </w:r>
                  <w:r>
                    <w:rPr>
                      <w:szCs w:val="21"/>
                    </w:rPr>
                    <w:t>×30m</w:t>
                  </w:r>
                  <w:r>
                    <w:rPr>
                      <w:szCs w:val="21"/>
                      <w:vertAlign w:val="superscript"/>
                    </w:rPr>
                    <w:t>3</w:t>
                  </w:r>
                  <w:r>
                    <w:rPr>
                      <w:rFonts w:hint="eastAsia"/>
                      <w:szCs w:val="21"/>
                    </w:rPr>
                    <w:t>）临时贮存，定期拉运至内蒙古众宁环保科技有限公司油气田废弃物集中处理厂处理</w:t>
                  </w:r>
                  <w:r>
                    <w:rPr>
                      <w:rFonts w:hint="eastAsia"/>
                    </w:rPr>
                    <w:t>。项目距离</w:t>
                  </w:r>
                  <w:r>
                    <w:rPr>
                      <w:rFonts w:hint="eastAsia"/>
                      <w:bCs/>
                      <w:szCs w:val="21"/>
                    </w:rPr>
                    <w:t>内蒙古众宁环保科技有限公司油气田废弃物集中处理厂约120</w:t>
                  </w:r>
                  <w:r>
                    <w:rPr>
                      <w:bCs/>
                      <w:szCs w:val="21"/>
                    </w:rPr>
                    <w:t>km。</w:t>
                  </w:r>
                </w:p>
                <w:p w14:paraId="40CD50E4">
                  <w:r>
                    <w:rPr>
                      <w:rFonts w:hint="eastAsia"/>
                      <w:szCs w:val="21"/>
                    </w:rPr>
                    <w:t>盥洗废水排入</w:t>
                  </w:r>
                  <w:r>
                    <w:rPr>
                      <w:szCs w:val="21"/>
                    </w:rPr>
                    <w:t>井场设置的</w:t>
                  </w:r>
                  <w:r>
                    <w:rPr>
                      <w:rFonts w:hint="eastAsia"/>
                      <w:szCs w:val="21"/>
                    </w:rPr>
                    <w:t>环保厕所</w:t>
                  </w:r>
                  <w:r>
                    <w:rPr>
                      <w:szCs w:val="21"/>
                    </w:rPr>
                    <w:t>，定期清掏</w:t>
                  </w:r>
                  <w:r>
                    <w:t>。</w:t>
                  </w:r>
                </w:p>
                <w:p w14:paraId="0194C601">
                  <w:r>
                    <w:rPr>
                      <w:rFonts w:hint="eastAsia"/>
                    </w:rPr>
                    <w:t>项目不进行油水分离，采出液进入储液罐贮存，由罐车拉运至临河联合站进行处理，无采出水产生。</w:t>
                  </w:r>
                </w:p>
              </w:tc>
            </w:tr>
            <w:tr w14:paraId="364FD7D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9" w:hRule="atLeast"/>
                <w:jc w:val="center"/>
              </w:trPr>
              <w:tc>
                <w:tcPr>
                  <w:tcW w:w="365" w:type="pct"/>
                  <w:vMerge w:val="continue"/>
                  <w:tcMar>
                    <w:left w:w="0" w:type="dxa"/>
                    <w:right w:w="0" w:type="dxa"/>
                  </w:tcMar>
                  <w:vAlign w:val="center"/>
                </w:tcPr>
                <w:p w14:paraId="49524F9E">
                  <w:pPr>
                    <w:widowControl/>
                    <w:jc w:val="left"/>
                    <w:rPr>
                      <w:szCs w:val="21"/>
                    </w:rPr>
                  </w:pPr>
                </w:p>
              </w:tc>
              <w:tc>
                <w:tcPr>
                  <w:tcW w:w="672" w:type="pct"/>
                  <w:gridSpan w:val="2"/>
                  <w:tcMar>
                    <w:left w:w="0" w:type="dxa"/>
                    <w:right w:w="0" w:type="dxa"/>
                  </w:tcMar>
                  <w:vAlign w:val="center"/>
                </w:tcPr>
                <w:p w14:paraId="070189D2">
                  <w:pPr>
                    <w:jc w:val="center"/>
                    <w:rPr>
                      <w:szCs w:val="21"/>
                    </w:rPr>
                  </w:pPr>
                  <w:r>
                    <w:rPr>
                      <w:rFonts w:hint="eastAsia"/>
                      <w:szCs w:val="21"/>
                    </w:rPr>
                    <w:t>噪声</w:t>
                  </w:r>
                </w:p>
              </w:tc>
              <w:tc>
                <w:tcPr>
                  <w:tcW w:w="3962" w:type="pct"/>
                  <w:tcMar>
                    <w:left w:w="0" w:type="dxa"/>
                    <w:right w:w="0" w:type="dxa"/>
                  </w:tcMar>
                  <w:vAlign w:val="center"/>
                </w:tcPr>
                <w:p w14:paraId="2CDAE121">
                  <w:pPr>
                    <w:rPr>
                      <w:szCs w:val="21"/>
                    </w:rPr>
                  </w:pPr>
                  <w:r>
                    <w:rPr>
                      <w:rFonts w:hint="eastAsia"/>
                      <w:szCs w:val="21"/>
                    </w:rPr>
                    <w:t>选用低噪声设备，采用基础减振、隔声等措施。</w:t>
                  </w:r>
                </w:p>
              </w:tc>
            </w:tr>
            <w:tr w14:paraId="0AAD21D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249" w:hRule="atLeast"/>
                <w:jc w:val="center"/>
              </w:trPr>
              <w:tc>
                <w:tcPr>
                  <w:tcW w:w="365" w:type="pct"/>
                  <w:vMerge w:val="continue"/>
                  <w:tcMar>
                    <w:left w:w="0" w:type="dxa"/>
                    <w:right w:w="0" w:type="dxa"/>
                  </w:tcMar>
                  <w:vAlign w:val="center"/>
                </w:tcPr>
                <w:p w14:paraId="1949DE5F">
                  <w:pPr>
                    <w:widowControl/>
                    <w:jc w:val="left"/>
                    <w:rPr>
                      <w:szCs w:val="21"/>
                    </w:rPr>
                  </w:pPr>
                </w:p>
              </w:tc>
              <w:tc>
                <w:tcPr>
                  <w:tcW w:w="672" w:type="pct"/>
                  <w:gridSpan w:val="2"/>
                  <w:tcMar>
                    <w:left w:w="0" w:type="dxa"/>
                    <w:right w:w="0" w:type="dxa"/>
                  </w:tcMar>
                  <w:vAlign w:val="center"/>
                </w:tcPr>
                <w:p w14:paraId="7AA70674">
                  <w:pPr>
                    <w:jc w:val="center"/>
                    <w:rPr>
                      <w:szCs w:val="21"/>
                    </w:rPr>
                  </w:pPr>
                  <w:r>
                    <w:rPr>
                      <w:rFonts w:hint="eastAsia"/>
                      <w:szCs w:val="21"/>
                    </w:rPr>
                    <w:t>固体废弃物</w:t>
                  </w:r>
                </w:p>
              </w:tc>
              <w:tc>
                <w:tcPr>
                  <w:tcW w:w="3962" w:type="pct"/>
                  <w:tcMar>
                    <w:left w:w="0" w:type="dxa"/>
                    <w:right w:w="0" w:type="dxa"/>
                  </w:tcMar>
                  <w:vAlign w:val="center"/>
                </w:tcPr>
                <w:p w14:paraId="722368C8">
                  <w:pPr>
                    <w:rPr>
                      <w:bCs/>
                      <w:szCs w:val="21"/>
                    </w:rPr>
                  </w:pPr>
                  <w:r>
                    <w:rPr>
                      <w:rFonts w:hint="eastAsia"/>
                      <w:szCs w:val="21"/>
                    </w:rPr>
                    <w:t>一般固废：废弃泥浆、钻井岩屑收集至泥浆不落地循环系统装置旁的可移动废水罐（</w:t>
                  </w:r>
                  <w:r>
                    <w:rPr>
                      <w:szCs w:val="21"/>
                    </w:rPr>
                    <w:t>3×30m</w:t>
                  </w:r>
                  <w:r>
                    <w:rPr>
                      <w:szCs w:val="21"/>
                      <w:vertAlign w:val="superscript"/>
                    </w:rPr>
                    <w:t>3</w:t>
                  </w:r>
                  <w:r>
                    <w:rPr>
                      <w:rFonts w:hint="eastAsia"/>
                      <w:szCs w:val="21"/>
                    </w:rPr>
                    <w:t>）临时贮存，定期拉运至内蒙古众宁环保科技有限公司油气田废弃物集中处理厂处理</w:t>
                  </w:r>
                  <w:r>
                    <w:rPr>
                      <w:rFonts w:hint="eastAsia"/>
                      <w:bCs/>
                      <w:kern w:val="0"/>
                      <w:szCs w:val="21"/>
                    </w:rPr>
                    <w:t>。</w:t>
                  </w:r>
                </w:p>
                <w:p w14:paraId="31F4BADA">
                  <w:pPr>
                    <w:rPr>
                      <w:bCs/>
                      <w:szCs w:val="21"/>
                    </w:rPr>
                  </w:pPr>
                  <w:r>
                    <w:rPr>
                      <w:bCs/>
                      <w:szCs w:val="21"/>
                    </w:rPr>
                    <w:t>井场设置生活垃圾箱，生活垃圾集中收集后，拉运至当地乡镇生活垃圾点，由当地环卫部门处置。</w:t>
                  </w:r>
                </w:p>
                <w:p w14:paraId="2143C9F7">
                  <w:r>
                    <w:rPr>
                      <w:rFonts w:hint="eastAsia"/>
                    </w:rPr>
                    <w:t>危险废物：废润滑油、落地油及废防渗材料定期交</w:t>
                  </w:r>
                  <w:r>
                    <w:rPr>
                      <w:rFonts w:hint="eastAsia"/>
                      <w:bCs/>
                      <w:szCs w:val="21"/>
                    </w:rPr>
                    <w:t>有资质单位拉运</w:t>
                  </w:r>
                  <w:r>
                    <w:rPr>
                      <w:rFonts w:hint="eastAsia"/>
                    </w:rPr>
                    <w:t>处置。</w:t>
                  </w:r>
                </w:p>
              </w:tc>
            </w:tr>
            <w:tr w14:paraId="718E0A2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424" w:hRule="atLeast"/>
                <w:jc w:val="center"/>
              </w:trPr>
              <w:tc>
                <w:tcPr>
                  <w:tcW w:w="365" w:type="pct"/>
                  <w:vMerge w:val="continue"/>
                  <w:tcMar>
                    <w:left w:w="0" w:type="dxa"/>
                    <w:right w:w="0" w:type="dxa"/>
                  </w:tcMar>
                  <w:vAlign w:val="center"/>
                </w:tcPr>
                <w:p w14:paraId="3B4508A8">
                  <w:pPr>
                    <w:widowControl/>
                    <w:jc w:val="left"/>
                    <w:rPr>
                      <w:szCs w:val="21"/>
                    </w:rPr>
                  </w:pPr>
                </w:p>
              </w:tc>
              <w:tc>
                <w:tcPr>
                  <w:tcW w:w="672" w:type="pct"/>
                  <w:gridSpan w:val="2"/>
                  <w:tcMar>
                    <w:left w:w="0" w:type="dxa"/>
                    <w:right w:w="0" w:type="dxa"/>
                  </w:tcMar>
                  <w:vAlign w:val="center"/>
                </w:tcPr>
                <w:p w14:paraId="751E3245">
                  <w:pPr>
                    <w:jc w:val="center"/>
                    <w:rPr>
                      <w:szCs w:val="21"/>
                    </w:rPr>
                  </w:pPr>
                  <w:r>
                    <w:rPr>
                      <w:rFonts w:hint="eastAsia"/>
                      <w:szCs w:val="21"/>
                    </w:rPr>
                    <w:t>防渗工程</w:t>
                  </w:r>
                </w:p>
              </w:tc>
              <w:tc>
                <w:tcPr>
                  <w:tcW w:w="3962" w:type="pct"/>
                  <w:tcMar>
                    <w:left w:w="0" w:type="dxa"/>
                    <w:right w:w="0" w:type="dxa"/>
                  </w:tcMar>
                  <w:vAlign w:val="center"/>
                </w:tcPr>
                <w:p w14:paraId="46613553">
                  <w:pPr>
                    <w:rPr>
                      <w:b/>
                      <w:bCs/>
                      <w:szCs w:val="21"/>
                    </w:rPr>
                  </w:pPr>
                  <w:r>
                    <w:rPr>
                      <w:rFonts w:hint="eastAsia"/>
                      <w:b/>
                      <w:bCs/>
                      <w:szCs w:val="21"/>
                    </w:rPr>
                    <w:t>重点防渗区：</w:t>
                  </w:r>
                </w:p>
                <w:p w14:paraId="7E76A520">
                  <w:pPr>
                    <w:rPr>
                      <w:bCs/>
                      <w:szCs w:val="21"/>
                    </w:rPr>
                  </w:pPr>
                  <w:r>
                    <w:rPr>
                      <w:rFonts w:hint="eastAsia"/>
                      <w:bCs/>
                      <w:szCs w:val="21"/>
                    </w:rPr>
                    <w:t>钻井平台、泥浆不落地循环系统装置区、柴油罐区、撬装式危废贮存点、储液罐区等为重点防渗区</w:t>
                  </w:r>
                  <w:r>
                    <w:rPr>
                      <w:bCs/>
                      <w:szCs w:val="21"/>
                    </w:rPr>
                    <w:t>，</w:t>
                  </w:r>
                  <w:r>
                    <w:rPr>
                      <w:rFonts w:hint="eastAsia"/>
                      <w:bCs/>
                      <w:szCs w:val="21"/>
                    </w:rPr>
                    <w:t>四周加设高度为20cm的围堰，铺设双层2mm厚高密度聚乙烯防渗膜（覆盖围堰并外延0.5m以上），等效黏土防渗层Mb≥6.0m，K≤1</w:t>
                  </w:r>
                  <w:r>
                    <w:rPr>
                      <w:szCs w:val="21"/>
                    </w:rPr>
                    <w:t>×</w:t>
                  </w:r>
                  <w:r>
                    <w:rPr>
                      <w:rFonts w:hint="eastAsia"/>
                      <w:bCs/>
                      <w:szCs w:val="21"/>
                    </w:rPr>
                    <w:t>10</w:t>
                  </w:r>
                  <w:r>
                    <w:rPr>
                      <w:rFonts w:hint="eastAsia"/>
                      <w:bCs/>
                      <w:szCs w:val="21"/>
                      <w:vertAlign w:val="superscript"/>
                    </w:rPr>
                    <w:t>-7</w:t>
                  </w:r>
                  <w:r>
                    <w:rPr>
                      <w:rFonts w:hint="eastAsia"/>
                      <w:bCs/>
                      <w:szCs w:val="21"/>
                    </w:rPr>
                    <w:t>cm/s。</w:t>
                  </w:r>
                </w:p>
                <w:p w14:paraId="1782C97A">
                  <w:pPr>
                    <w:rPr>
                      <w:b/>
                      <w:bCs/>
                      <w:szCs w:val="21"/>
                    </w:rPr>
                  </w:pPr>
                  <w:r>
                    <w:rPr>
                      <w:b/>
                      <w:bCs/>
                      <w:szCs w:val="21"/>
                    </w:rPr>
                    <w:t>一般防渗区：</w:t>
                  </w:r>
                </w:p>
                <w:p w14:paraId="74D265AC">
                  <w:pPr>
                    <w:rPr>
                      <w:bCs/>
                      <w:szCs w:val="21"/>
                    </w:rPr>
                  </w:pPr>
                  <w:r>
                    <w:rPr>
                      <w:rFonts w:hint="eastAsia"/>
                      <w:bCs/>
                      <w:szCs w:val="21"/>
                    </w:rPr>
                    <w:t>原材料堆存区、可移动废水罐、移动环保厕所等为一般防渗区。原材料堆存区、可移动废水罐等四周加设高度为20cm的围堰，铺设双层1.5mm厚高密度聚乙烯防渗膜（覆盖围堰并外延0.5m以上），移动环保厕所为一体化结构，整体防渗密封，等效黏土防渗层Mb≥1.5m，K≤1</w:t>
                  </w:r>
                  <w:r>
                    <w:rPr>
                      <w:szCs w:val="21"/>
                    </w:rPr>
                    <w:t>×</w:t>
                  </w:r>
                  <w:r>
                    <w:rPr>
                      <w:rFonts w:hint="eastAsia"/>
                      <w:bCs/>
                      <w:szCs w:val="21"/>
                    </w:rPr>
                    <w:t>10</w:t>
                  </w:r>
                  <w:r>
                    <w:rPr>
                      <w:rFonts w:hint="eastAsia"/>
                      <w:bCs/>
                      <w:szCs w:val="21"/>
                      <w:vertAlign w:val="superscript"/>
                    </w:rPr>
                    <w:t>-7</w:t>
                  </w:r>
                  <w:r>
                    <w:rPr>
                      <w:rFonts w:hint="eastAsia"/>
                      <w:bCs/>
                      <w:szCs w:val="21"/>
                    </w:rPr>
                    <w:t>cm/s。</w:t>
                  </w:r>
                </w:p>
                <w:p w14:paraId="59E19802">
                  <w:pPr>
                    <w:rPr>
                      <w:b/>
                      <w:bCs/>
                    </w:rPr>
                  </w:pPr>
                  <w:r>
                    <w:rPr>
                      <w:b/>
                      <w:bCs/>
                    </w:rPr>
                    <w:t>简易防渗区：</w:t>
                  </w:r>
                </w:p>
                <w:p w14:paraId="4F76475B">
                  <w:pPr>
                    <w:rPr>
                      <w:bCs/>
                      <w:szCs w:val="21"/>
                    </w:rPr>
                  </w:pPr>
                  <w:r>
                    <w:rPr>
                      <w:bCs/>
                      <w:szCs w:val="21"/>
                    </w:rPr>
                    <w:t>办公室、值班室、机房等采用</w:t>
                  </w:r>
                  <w:r>
                    <w:rPr>
                      <w:rFonts w:hint="eastAsia"/>
                      <w:bCs/>
                      <w:szCs w:val="21"/>
                    </w:rPr>
                    <w:t>压实</w:t>
                  </w:r>
                  <w:r>
                    <w:rPr>
                      <w:bCs/>
                      <w:szCs w:val="21"/>
                    </w:rPr>
                    <w:t>方式进行防渗。</w:t>
                  </w:r>
                </w:p>
              </w:tc>
            </w:tr>
            <w:tr w14:paraId="1D27F9D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172" w:hRule="atLeast"/>
                <w:jc w:val="center"/>
              </w:trPr>
              <w:tc>
                <w:tcPr>
                  <w:tcW w:w="365" w:type="pct"/>
                  <w:vMerge w:val="continue"/>
                  <w:tcMar>
                    <w:left w:w="0" w:type="dxa"/>
                    <w:right w:w="0" w:type="dxa"/>
                  </w:tcMar>
                  <w:vAlign w:val="center"/>
                </w:tcPr>
                <w:p w14:paraId="154F846A">
                  <w:pPr>
                    <w:widowControl/>
                    <w:jc w:val="left"/>
                    <w:rPr>
                      <w:szCs w:val="21"/>
                    </w:rPr>
                  </w:pPr>
                </w:p>
              </w:tc>
              <w:tc>
                <w:tcPr>
                  <w:tcW w:w="672" w:type="pct"/>
                  <w:gridSpan w:val="2"/>
                  <w:tcMar>
                    <w:left w:w="0" w:type="dxa"/>
                    <w:right w:w="0" w:type="dxa"/>
                  </w:tcMar>
                  <w:vAlign w:val="center"/>
                </w:tcPr>
                <w:p w14:paraId="590DC04E">
                  <w:pPr>
                    <w:jc w:val="center"/>
                    <w:rPr>
                      <w:szCs w:val="21"/>
                    </w:rPr>
                  </w:pPr>
                  <w:r>
                    <w:rPr>
                      <w:rFonts w:hint="eastAsia"/>
                      <w:szCs w:val="21"/>
                    </w:rPr>
                    <w:t>生态环境</w:t>
                  </w:r>
                </w:p>
              </w:tc>
              <w:tc>
                <w:tcPr>
                  <w:tcW w:w="3962" w:type="pct"/>
                  <w:tcMar>
                    <w:left w:w="0" w:type="dxa"/>
                    <w:right w:w="0" w:type="dxa"/>
                  </w:tcMar>
                  <w:vAlign w:val="center"/>
                </w:tcPr>
                <w:p w14:paraId="6A18A9CC">
                  <w:r>
                    <w:rPr>
                      <w:rFonts w:hint="eastAsia"/>
                    </w:rPr>
                    <w:t>施工前将表层土壤剥离，在井场东北部设置表土堆存区，遮盖密目网，加强堆存区的稳定性，防止水土流失。</w:t>
                  </w:r>
                </w:p>
                <w:p w14:paraId="5D0873E7">
                  <w:r>
                    <w:rPr>
                      <w:rFonts w:hint="eastAsia"/>
                    </w:rPr>
                    <w:t>勘探结束后对临时用地进行平整、覆土、播撒草籽等，增加植被的密度，减少表土裸露面积。按照复垦计划，对临时占地进行植被恢复工作，根据因地制宜的原则视具体情况实施覆土恢复植被。</w:t>
                  </w:r>
                </w:p>
              </w:tc>
            </w:tr>
            <w:tr w14:paraId="7D6CBF9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51" w:hRule="atLeast"/>
                <w:jc w:val="center"/>
              </w:trPr>
              <w:tc>
                <w:tcPr>
                  <w:tcW w:w="365" w:type="pct"/>
                  <w:vMerge w:val="restart"/>
                  <w:tcMar>
                    <w:left w:w="0" w:type="dxa"/>
                    <w:right w:w="0" w:type="dxa"/>
                  </w:tcMar>
                  <w:vAlign w:val="center"/>
                </w:tcPr>
                <w:p w14:paraId="2232E500">
                  <w:pPr>
                    <w:widowControl/>
                    <w:jc w:val="center"/>
                    <w:rPr>
                      <w:szCs w:val="21"/>
                    </w:rPr>
                  </w:pPr>
                  <w:r>
                    <w:rPr>
                      <w:rFonts w:hint="eastAsia"/>
                      <w:szCs w:val="21"/>
                    </w:rPr>
                    <w:t>依托工程</w:t>
                  </w:r>
                </w:p>
              </w:tc>
              <w:tc>
                <w:tcPr>
                  <w:tcW w:w="672" w:type="pct"/>
                  <w:gridSpan w:val="2"/>
                  <w:tcMar>
                    <w:left w:w="0" w:type="dxa"/>
                    <w:right w:w="0" w:type="dxa"/>
                  </w:tcMar>
                  <w:vAlign w:val="center"/>
                </w:tcPr>
                <w:p w14:paraId="1A7EFA83">
                  <w:pPr>
                    <w:jc w:val="center"/>
                    <w:rPr>
                      <w:szCs w:val="21"/>
                    </w:rPr>
                  </w:pPr>
                  <w:r>
                    <w:rPr>
                      <w:rFonts w:hint="eastAsia"/>
                      <w:szCs w:val="21"/>
                    </w:rPr>
                    <w:t>临河联合站</w:t>
                  </w:r>
                </w:p>
              </w:tc>
              <w:tc>
                <w:tcPr>
                  <w:tcW w:w="3962" w:type="pct"/>
                  <w:tcMar>
                    <w:left w:w="0" w:type="dxa"/>
                    <w:right w:w="0" w:type="dxa"/>
                  </w:tcMar>
                  <w:vAlign w:val="center"/>
                </w:tcPr>
                <w:p w14:paraId="5B438CB0">
                  <w:r>
                    <w:rPr>
                      <w:rFonts w:hint="eastAsia"/>
                    </w:rPr>
                    <w:t>项目试油阶段单井采出液（原油）产生量约70t，拉运至临河联合站，进入站内采出液处理系统。临河联合站为华北油田巴彦勘探开发分公司内部站场，位于内蒙古自治区巴彦淖尔市临河区。</w:t>
                  </w:r>
                </w:p>
              </w:tc>
            </w:tr>
            <w:tr w14:paraId="3706AA7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418" w:hRule="atLeast"/>
                <w:jc w:val="center"/>
              </w:trPr>
              <w:tc>
                <w:tcPr>
                  <w:tcW w:w="365" w:type="pct"/>
                  <w:vMerge w:val="continue"/>
                  <w:tcMar>
                    <w:left w:w="0" w:type="dxa"/>
                    <w:right w:w="0" w:type="dxa"/>
                  </w:tcMar>
                  <w:vAlign w:val="center"/>
                </w:tcPr>
                <w:p w14:paraId="16A942F7">
                  <w:pPr>
                    <w:widowControl/>
                    <w:jc w:val="left"/>
                    <w:rPr>
                      <w:szCs w:val="21"/>
                    </w:rPr>
                  </w:pPr>
                </w:p>
              </w:tc>
              <w:tc>
                <w:tcPr>
                  <w:tcW w:w="672" w:type="pct"/>
                  <w:gridSpan w:val="2"/>
                  <w:tcMar>
                    <w:left w:w="0" w:type="dxa"/>
                    <w:right w:w="0" w:type="dxa"/>
                  </w:tcMar>
                  <w:vAlign w:val="center"/>
                </w:tcPr>
                <w:p w14:paraId="612BCB44">
                  <w:pPr>
                    <w:jc w:val="center"/>
                    <w:rPr>
                      <w:szCs w:val="21"/>
                    </w:rPr>
                  </w:pPr>
                  <w:r>
                    <w:rPr>
                      <w:rFonts w:hint="eastAsia"/>
                      <w:szCs w:val="21"/>
                    </w:rPr>
                    <w:t>内蒙古众宁环保科技有限公司油气田废弃物集中处理厂</w:t>
                  </w:r>
                </w:p>
              </w:tc>
              <w:tc>
                <w:tcPr>
                  <w:tcW w:w="3962" w:type="pct"/>
                  <w:tcMar>
                    <w:left w:w="0" w:type="dxa"/>
                    <w:right w:w="0" w:type="dxa"/>
                  </w:tcMar>
                  <w:vAlign w:val="center"/>
                </w:tcPr>
                <w:p w14:paraId="21B98475">
                  <w:r>
                    <w:rPr>
                      <w:rFonts w:hint="eastAsia"/>
                    </w:rPr>
                    <w:t>内蒙古众宁环保科技有限公司油气田废弃物集中处理厂为中国石油华北油田公司在兴隆勘探区的配套工程，主要处理中国石油华北油田在巴彦淖尔钻井产生的废弃水基泥浆，规模为年处理6万吨泥浆。</w:t>
                  </w:r>
                </w:p>
                <w:p w14:paraId="16A8A899">
                  <w:r>
                    <w:rPr>
                      <w:rFonts w:hint="eastAsia"/>
                    </w:rPr>
                    <w:t>项目钻井过程产生的废弃泥浆、钻井岩屑收集至泥浆不落地循环系统装置旁的可移动废水罐临时贮存，定期拉运至油气田废弃物集中处理厂。</w:t>
                  </w:r>
                </w:p>
              </w:tc>
            </w:tr>
          </w:tbl>
          <w:p w14:paraId="21BFC326">
            <w:pPr>
              <w:adjustRightInd w:val="0"/>
              <w:snapToGrid w:val="0"/>
              <w:spacing w:line="360" w:lineRule="auto"/>
              <w:ind w:firstLine="480" w:firstLineChars="200"/>
              <w:rPr>
                <w:sz w:val="24"/>
              </w:rPr>
            </w:pPr>
            <w:r>
              <w:rPr>
                <w:rFonts w:hint="eastAsia"/>
                <w:sz w:val="24"/>
              </w:rPr>
              <w:t>1</w:t>
            </w:r>
            <w:r>
              <w:rPr>
                <w:sz w:val="24"/>
              </w:rPr>
              <w:t>、项目主要设备</w:t>
            </w:r>
          </w:p>
          <w:p w14:paraId="16389EC9">
            <w:pPr>
              <w:adjustRightInd w:val="0"/>
              <w:snapToGrid w:val="0"/>
              <w:spacing w:line="360" w:lineRule="auto"/>
              <w:ind w:firstLine="480" w:firstLineChars="200"/>
              <w:rPr>
                <w:sz w:val="24"/>
              </w:rPr>
            </w:pPr>
            <w:r>
              <w:rPr>
                <w:sz w:val="24"/>
              </w:rPr>
              <w:t>（1）钻井设备</w:t>
            </w:r>
          </w:p>
          <w:p w14:paraId="4B1E8F12">
            <w:pPr>
              <w:adjustRightInd w:val="0"/>
              <w:snapToGrid w:val="0"/>
              <w:spacing w:line="360" w:lineRule="auto"/>
              <w:ind w:firstLine="480" w:firstLineChars="200"/>
              <w:rPr>
                <w:sz w:val="24"/>
              </w:rPr>
            </w:pPr>
            <w:r>
              <w:rPr>
                <w:sz w:val="24"/>
              </w:rPr>
              <w:t>项目选用ZJ</w:t>
            </w:r>
            <w:r>
              <w:rPr>
                <w:rFonts w:hint="eastAsia"/>
                <w:sz w:val="24"/>
              </w:rPr>
              <w:t>7</w:t>
            </w:r>
            <w:r>
              <w:rPr>
                <w:sz w:val="24"/>
              </w:rPr>
              <w:t>0DB系列钻机，主要设备见下表。</w:t>
            </w:r>
          </w:p>
          <w:p w14:paraId="594696E1">
            <w:pPr>
              <w:jc w:val="center"/>
              <w:rPr>
                <w:b/>
                <w:sz w:val="24"/>
              </w:rPr>
            </w:pPr>
            <w:r>
              <w:rPr>
                <w:b/>
                <w:sz w:val="24"/>
              </w:rPr>
              <w:t>表</w:t>
            </w:r>
            <w:r>
              <w:rPr>
                <w:rFonts w:hint="eastAsia"/>
                <w:b/>
                <w:sz w:val="24"/>
              </w:rPr>
              <w:t>2</w:t>
            </w:r>
            <w:r>
              <w:rPr>
                <w:b/>
                <w:sz w:val="24"/>
              </w:rPr>
              <w:t>-</w:t>
            </w:r>
            <w:r>
              <w:rPr>
                <w:rFonts w:hint="eastAsia"/>
                <w:b/>
                <w:sz w:val="24"/>
              </w:rPr>
              <w:t xml:space="preserve">2 </w:t>
            </w:r>
            <w:r>
              <w:rPr>
                <w:b/>
                <w:sz w:val="24"/>
              </w:rPr>
              <w:t>项目</w:t>
            </w:r>
            <w:r>
              <w:rPr>
                <w:rFonts w:hint="eastAsia"/>
                <w:b/>
                <w:sz w:val="24"/>
              </w:rPr>
              <w:t>ZJ70DB系列钻机</w:t>
            </w:r>
            <w:r>
              <w:rPr>
                <w:b/>
                <w:sz w:val="24"/>
              </w:rPr>
              <w:t>主要设备一览表（单井）</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417"/>
              <w:gridCol w:w="544"/>
              <w:gridCol w:w="82"/>
              <w:gridCol w:w="1667"/>
              <w:gridCol w:w="2218"/>
              <w:gridCol w:w="817"/>
              <w:gridCol w:w="677"/>
              <w:gridCol w:w="1816"/>
            </w:tblGrid>
            <w:tr w14:paraId="57CEBE0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4AEE45B9">
                  <w:pPr>
                    <w:jc w:val="center"/>
                    <w:rPr>
                      <w:szCs w:val="21"/>
                    </w:rPr>
                  </w:pPr>
                  <w:r>
                    <w:rPr>
                      <w:szCs w:val="21"/>
                    </w:rPr>
                    <w:t>序号</w:t>
                  </w:r>
                </w:p>
              </w:tc>
              <w:tc>
                <w:tcPr>
                  <w:tcW w:w="1452" w:type="pct"/>
                  <w:gridSpan w:val="3"/>
                  <w:vAlign w:val="center"/>
                </w:tcPr>
                <w:p w14:paraId="69DC72E9">
                  <w:pPr>
                    <w:jc w:val="center"/>
                    <w:rPr>
                      <w:szCs w:val="21"/>
                    </w:rPr>
                  </w:pPr>
                  <w:r>
                    <w:rPr>
                      <w:szCs w:val="21"/>
                    </w:rPr>
                    <w:t>名称</w:t>
                  </w:r>
                </w:p>
              </w:tc>
              <w:tc>
                <w:tcPr>
                  <w:tcW w:w="1204" w:type="pct"/>
                  <w:vAlign w:val="center"/>
                </w:tcPr>
                <w:p w14:paraId="52D997BB">
                  <w:pPr>
                    <w:jc w:val="center"/>
                    <w:rPr>
                      <w:szCs w:val="21"/>
                    </w:rPr>
                  </w:pPr>
                  <w:r>
                    <w:rPr>
                      <w:szCs w:val="21"/>
                    </w:rPr>
                    <w:t>型号</w:t>
                  </w:r>
                </w:p>
              </w:tc>
              <w:tc>
                <w:tcPr>
                  <w:tcW w:w="516" w:type="pct"/>
                  <w:vAlign w:val="center"/>
                </w:tcPr>
                <w:p w14:paraId="0BB7F7B9">
                  <w:pPr>
                    <w:jc w:val="center"/>
                    <w:rPr>
                      <w:szCs w:val="21"/>
                    </w:rPr>
                  </w:pPr>
                  <w:r>
                    <w:rPr>
                      <w:szCs w:val="21"/>
                    </w:rPr>
                    <w:t>数量</w:t>
                  </w:r>
                </w:p>
              </w:tc>
              <w:tc>
                <w:tcPr>
                  <w:tcW w:w="431" w:type="pct"/>
                  <w:vAlign w:val="center"/>
                </w:tcPr>
                <w:p w14:paraId="48A0022F">
                  <w:pPr>
                    <w:jc w:val="center"/>
                    <w:rPr>
                      <w:szCs w:val="21"/>
                    </w:rPr>
                  </w:pPr>
                  <w:r>
                    <w:rPr>
                      <w:szCs w:val="21"/>
                    </w:rPr>
                    <w:t>单位</w:t>
                  </w:r>
                </w:p>
              </w:tc>
              <w:tc>
                <w:tcPr>
                  <w:tcW w:w="1122" w:type="pct"/>
                  <w:vAlign w:val="center"/>
                </w:tcPr>
                <w:p w14:paraId="2055722C">
                  <w:pPr>
                    <w:jc w:val="center"/>
                    <w:rPr>
                      <w:szCs w:val="21"/>
                    </w:rPr>
                  </w:pPr>
                  <w:r>
                    <w:rPr>
                      <w:szCs w:val="21"/>
                    </w:rPr>
                    <w:t>备注</w:t>
                  </w:r>
                </w:p>
              </w:tc>
            </w:tr>
            <w:tr w14:paraId="5D399F7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2129F6CB">
                  <w:pPr>
                    <w:jc w:val="center"/>
                    <w:rPr>
                      <w:szCs w:val="21"/>
                    </w:rPr>
                  </w:pPr>
                  <w:r>
                    <w:rPr>
                      <w:szCs w:val="21"/>
                    </w:rPr>
                    <w:t>1</w:t>
                  </w:r>
                </w:p>
              </w:tc>
              <w:tc>
                <w:tcPr>
                  <w:tcW w:w="1452" w:type="pct"/>
                  <w:gridSpan w:val="3"/>
                  <w:vAlign w:val="center"/>
                </w:tcPr>
                <w:p w14:paraId="67433042">
                  <w:pPr>
                    <w:jc w:val="center"/>
                    <w:rPr>
                      <w:szCs w:val="21"/>
                    </w:rPr>
                  </w:pPr>
                  <w:r>
                    <w:rPr>
                      <w:szCs w:val="21"/>
                    </w:rPr>
                    <w:t>钻机</w:t>
                  </w:r>
                </w:p>
              </w:tc>
              <w:tc>
                <w:tcPr>
                  <w:tcW w:w="1204" w:type="pct"/>
                  <w:vAlign w:val="center"/>
                </w:tcPr>
                <w:p w14:paraId="76655BBE">
                  <w:pPr>
                    <w:jc w:val="center"/>
                    <w:rPr>
                      <w:szCs w:val="21"/>
                    </w:rPr>
                  </w:pPr>
                  <w:r>
                    <w:rPr>
                      <w:szCs w:val="21"/>
                    </w:rPr>
                    <w:t>ZJ70DB</w:t>
                  </w:r>
                </w:p>
              </w:tc>
              <w:tc>
                <w:tcPr>
                  <w:tcW w:w="516" w:type="pct"/>
                  <w:vAlign w:val="center"/>
                </w:tcPr>
                <w:p w14:paraId="5ED51432">
                  <w:pPr>
                    <w:jc w:val="center"/>
                    <w:rPr>
                      <w:szCs w:val="21"/>
                    </w:rPr>
                  </w:pPr>
                  <w:r>
                    <w:rPr>
                      <w:szCs w:val="21"/>
                    </w:rPr>
                    <w:t>1</w:t>
                  </w:r>
                </w:p>
              </w:tc>
              <w:tc>
                <w:tcPr>
                  <w:tcW w:w="431" w:type="pct"/>
                  <w:vAlign w:val="center"/>
                </w:tcPr>
                <w:p w14:paraId="27D36087">
                  <w:pPr>
                    <w:jc w:val="center"/>
                    <w:rPr>
                      <w:szCs w:val="21"/>
                    </w:rPr>
                  </w:pPr>
                  <w:r>
                    <w:rPr>
                      <w:szCs w:val="21"/>
                    </w:rPr>
                    <w:t>套</w:t>
                  </w:r>
                </w:p>
              </w:tc>
              <w:tc>
                <w:tcPr>
                  <w:tcW w:w="1122" w:type="pct"/>
                  <w:vAlign w:val="center"/>
                </w:tcPr>
                <w:p w14:paraId="42AAEEE5">
                  <w:pPr>
                    <w:jc w:val="center"/>
                    <w:rPr>
                      <w:szCs w:val="21"/>
                    </w:rPr>
                  </w:pPr>
                </w:p>
              </w:tc>
            </w:tr>
            <w:tr w14:paraId="575D02B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3C71799A">
                  <w:pPr>
                    <w:jc w:val="center"/>
                    <w:rPr>
                      <w:szCs w:val="21"/>
                    </w:rPr>
                  </w:pPr>
                  <w:r>
                    <w:rPr>
                      <w:szCs w:val="21"/>
                    </w:rPr>
                    <w:t>2</w:t>
                  </w:r>
                </w:p>
              </w:tc>
              <w:tc>
                <w:tcPr>
                  <w:tcW w:w="1452" w:type="pct"/>
                  <w:gridSpan w:val="3"/>
                  <w:vAlign w:val="center"/>
                </w:tcPr>
                <w:p w14:paraId="3873D00F">
                  <w:pPr>
                    <w:snapToGrid w:val="0"/>
                    <w:jc w:val="center"/>
                    <w:rPr>
                      <w:szCs w:val="21"/>
                    </w:rPr>
                  </w:pPr>
                  <w:r>
                    <w:rPr>
                      <w:szCs w:val="21"/>
                    </w:rPr>
                    <w:t>井架</w:t>
                  </w:r>
                </w:p>
              </w:tc>
              <w:tc>
                <w:tcPr>
                  <w:tcW w:w="1204" w:type="pct"/>
                  <w:vAlign w:val="center"/>
                </w:tcPr>
                <w:p w14:paraId="15E8568B">
                  <w:pPr>
                    <w:tabs>
                      <w:tab w:val="left" w:pos="105"/>
                      <w:tab w:val="left" w:pos="420"/>
                      <w:tab w:val="left" w:pos="1680"/>
                      <w:tab w:val="left" w:pos="1890"/>
                      <w:tab w:val="left" w:pos="1995"/>
                    </w:tabs>
                    <w:snapToGrid w:val="0"/>
                    <w:jc w:val="center"/>
                    <w:rPr>
                      <w:szCs w:val="21"/>
                    </w:rPr>
                  </w:pPr>
                  <w:r>
                    <w:rPr>
                      <w:rFonts w:hint="eastAsia"/>
                      <w:szCs w:val="21"/>
                    </w:rPr>
                    <w:t>JJ45/45-K14</w:t>
                  </w:r>
                </w:p>
              </w:tc>
              <w:tc>
                <w:tcPr>
                  <w:tcW w:w="516" w:type="pct"/>
                  <w:vAlign w:val="center"/>
                </w:tcPr>
                <w:p w14:paraId="167B90B7">
                  <w:pPr>
                    <w:jc w:val="center"/>
                    <w:rPr>
                      <w:szCs w:val="21"/>
                    </w:rPr>
                  </w:pPr>
                  <w:r>
                    <w:rPr>
                      <w:szCs w:val="21"/>
                    </w:rPr>
                    <w:t>1</w:t>
                  </w:r>
                </w:p>
              </w:tc>
              <w:tc>
                <w:tcPr>
                  <w:tcW w:w="431" w:type="pct"/>
                  <w:vAlign w:val="center"/>
                </w:tcPr>
                <w:p w14:paraId="2BDAA304">
                  <w:pPr>
                    <w:jc w:val="center"/>
                    <w:rPr>
                      <w:szCs w:val="21"/>
                    </w:rPr>
                  </w:pPr>
                  <w:r>
                    <w:rPr>
                      <w:szCs w:val="21"/>
                    </w:rPr>
                    <w:t>套</w:t>
                  </w:r>
                </w:p>
              </w:tc>
              <w:tc>
                <w:tcPr>
                  <w:tcW w:w="1122" w:type="pct"/>
                  <w:vAlign w:val="center"/>
                </w:tcPr>
                <w:p w14:paraId="32BC660B">
                  <w:pPr>
                    <w:jc w:val="center"/>
                    <w:rPr>
                      <w:szCs w:val="21"/>
                    </w:rPr>
                  </w:pPr>
                  <w:r>
                    <w:rPr>
                      <w:szCs w:val="21"/>
                    </w:rPr>
                    <w:t>底座高度：10.5m</w:t>
                  </w:r>
                </w:p>
              </w:tc>
            </w:tr>
            <w:tr w14:paraId="21E43AD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0C4936B2">
                  <w:pPr>
                    <w:jc w:val="center"/>
                    <w:rPr>
                      <w:szCs w:val="21"/>
                    </w:rPr>
                  </w:pPr>
                  <w:r>
                    <w:rPr>
                      <w:szCs w:val="21"/>
                    </w:rPr>
                    <w:t>3</w:t>
                  </w:r>
                </w:p>
              </w:tc>
              <w:tc>
                <w:tcPr>
                  <w:tcW w:w="351" w:type="pct"/>
                  <w:vMerge w:val="restart"/>
                  <w:vAlign w:val="center"/>
                </w:tcPr>
                <w:p w14:paraId="300057B7">
                  <w:pPr>
                    <w:snapToGrid w:val="0"/>
                    <w:jc w:val="center"/>
                    <w:rPr>
                      <w:szCs w:val="21"/>
                    </w:rPr>
                  </w:pPr>
                  <w:r>
                    <w:rPr>
                      <w:szCs w:val="21"/>
                    </w:rPr>
                    <w:t>提升系统</w:t>
                  </w:r>
                </w:p>
              </w:tc>
              <w:tc>
                <w:tcPr>
                  <w:tcW w:w="1102" w:type="pct"/>
                  <w:gridSpan w:val="2"/>
                  <w:vAlign w:val="center"/>
                </w:tcPr>
                <w:p w14:paraId="5708EE15">
                  <w:pPr>
                    <w:snapToGrid w:val="0"/>
                    <w:jc w:val="center"/>
                    <w:rPr>
                      <w:szCs w:val="21"/>
                    </w:rPr>
                  </w:pPr>
                  <w:r>
                    <w:rPr>
                      <w:szCs w:val="21"/>
                    </w:rPr>
                    <w:t>绞车</w:t>
                  </w:r>
                </w:p>
              </w:tc>
              <w:tc>
                <w:tcPr>
                  <w:tcW w:w="1204" w:type="pct"/>
                  <w:vAlign w:val="center"/>
                </w:tcPr>
                <w:p w14:paraId="7FB7748A">
                  <w:pPr>
                    <w:tabs>
                      <w:tab w:val="left" w:pos="105"/>
                      <w:tab w:val="left" w:pos="420"/>
                      <w:tab w:val="left" w:pos="1680"/>
                      <w:tab w:val="left" w:pos="1890"/>
                      <w:tab w:val="left" w:pos="1995"/>
                    </w:tabs>
                    <w:snapToGrid w:val="0"/>
                    <w:jc w:val="center"/>
                    <w:rPr>
                      <w:szCs w:val="21"/>
                    </w:rPr>
                  </w:pPr>
                  <w:r>
                    <w:rPr>
                      <w:szCs w:val="21"/>
                    </w:rPr>
                    <w:t>JC</w:t>
                  </w:r>
                  <w:r>
                    <w:rPr>
                      <w:rFonts w:hint="eastAsia"/>
                      <w:szCs w:val="21"/>
                    </w:rPr>
                    <w:t>-</w:t>
                  </w:r>
                  <w:r>
                    <w:rPr>
                      <w:szCs w:val="21"/>
                    </w:rPr>
                    <w:t>70DB</w:t>
                  </w:r>
                </w:p>
              </w:tc>
              <w:tc>
                <w:tcPr>
                  <w:tcW w:w="516" w:type="pct"/>
                  <w:vAlign w:val="center"/>
                </w:tcPr>
                <w:p w14:paraId="40C7F4BA">
                  <w:pPr>
                    <w:jc w:val="center"/>
                    <w:rPr>
                      <w:szCs w:val="21"/>
                    </w:rPr>
                  </w:pPr>
                  <w:r>
                    <w:rPr>
                      <w:szCs w:val="21"/>
                    </w:rPr>
                    <w:t>1</w:t>
                  </w:r>
                </w:p>
              </w:tc>
              <w:tc>
                <w:tcPr>
                  <w:tcW w:w="431" w:type="pct"/>
                  <w:vAlign w:val="center"/>
                </w:tcPr>
                <w:p w14:paraId="76B67DF9">
                  <w:pPr>
                    <w:jc w:val="center"/>
                    <w:rPr>
                      <w:szCs w:val="21"/>
                    </w:rPr>
                  </w:pPr>
                  <w:r>
                    <w:rPr>
                      <w:szCs w:val="21"/>
                    </w:rPr>
                    <w:t>套</w:t>
                  </w:r>
                </w:p>
              </w:tc>
              <w:tc>
                <w:tcPr>
                  <w:tcW w:w="1122" w:type="pct"/>
                  <w:vAlign w:val="center"/>
                </w:tcPr>
                <w:p w14:paraId="665DDDE8">
                  <w:pPr>
                    <w:jc w:val="center"/>
                    <w:rPr>
                      <w:szCs w:val="21"/>
                    </w:rPr>
                  </w:pPr>
                </w:p>
              </w:tc>
            </w:tr>
            <w:tr w14:paraId="622591B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7B763092">
                  <w:pPr>
                    <w:jc w:val="center"/>
                    <w:rPr>
                      <w:szCs w:val="21"/>
                    </w:rPr>
                  </w:pPr>
                </w:p>
              </w:tc>
              <w:tc>
                <w:tcPr>
                  <w:tcW w:w="351" w:type="pct"/>
                  <w:vMerge w:val="continue"/>
                  <w:vAlign w:val="center"/>
                </w:tcPr>
                <w:p w14:paraId="621024E7">
                  <w:pPr>
                    <w:jc w:val="center"/>
                    <w:rPr>
                      <w:szCs w:val="21"/>
                    </w:rPr>
                  </w:pPr>
                </w:p>
              </w:tc>
              <w:tc>
                <w:tcPr>
                  <w:tcW w:w="1102" w:type="pct"/>
                  <w:gridSpan w:val="2"/>
                  <w:vAlign w:val="center"/>
                </w:tcPr>
                <w:p w14:paraId="0A003300">
                  <w:pPr>
                    <w:jc w:val="center"/>
                    <w:rPr>
                      <w:szCs w:val="21"/>
                    </w:rPr>
                  </w:pPr>
                  <w:r>
                    <w:rPr>
                      <w:rFonts w:hint="eastAsia"/>
                      <w:szCs w:val="21"/>
                    </w:rPr>
                    <w:t>天车</w:t>
                  </w:r>
                </w:p>
              </w:tc>
              <w:tc>
                <w:tcPr>
                  <w:tcW w:w="1204" w:type="pct"/>
                  <w:vAlign w:val="center"/>
                </w:tcPr>
                <w:p w14:paraId="18C2AF09">
                  <w:pPr>
                    <w:jc w:val="center"/>
                    <w:rPr>
                      <w:szCs w:val="21"/>
                    </w:rPr>
                  </w:pPr>
                  <w:r>
                    <w:rPr>
                      <w:szCs w:val="21"/>
                    </w:rPr>
                    <w:t>TC</w:t>
                  </w:r>
                  <w:r>
                    <w:rPr>
                      <w:rFonts w:hint="eastAsia"/>
                      <w:szCs w:val="21"/>
                    </w:rPr>
                    <w:t>-</w:t>
                  </w:r>
                  <w:r>
                    <w:rPr>
                      <w:szCs w:val="21"/>
                    </w:rPr>
                    <w:t>450</w:t>
                  </w:r>
                </w:p>
              </w:tc>
              <w:tc>
                <w:tcPr>
                  <w:tcW w:w="516" w:type="pct"/>
                  <w:vAlign w:val="center"/>
                </w:tcPr>
                <w:p w14:paraId="0190BA57">
                  <w:pPr>
                    <w:jc w:val="center"/>
                    <w:rPr>
                      <w:szCs w:val="21"/>
                    </w:rPr>
                  </w:pPr>
                  <w:r>
                    <w:rPr>
                      <w:szCs w:val="21"/>
                    </w:rPr>
                    <w:t>1</w:t>
                  </w:r>
                </w:p>
              </w:tc>
              <w:tc>
                <w:tcPr>
                  <w:tcW w:w="431" w:type="pct"/>
                  <w:vAlign w:val="center"/>
                </w:tcPr>
                <w:p w14:paraId="18E5CE9E">
                  <w:pPr>
                    <w:jc w:val="center"/>
                    <w:rPr>
                      <w:szCs w:val="21"/>
                    </w:rPr>
                  </w:pPr>
                  <w:r>
                    <w:rPr>
                      <w:szCs w:val="21"/>
                    </w:rPr>
                    <w:t>套</w:t>
                  </w:r>
                </w:p>
              </w:tc>
              <w:tc>
                <w:tcPr>
                  <w:tcW w:w="1122" w:type="pct"/>
                  <w:vAlign w:val="center"/>
                </w:tcPr>
                <w:p w14:paraId="2488D678">
                  <w:pPr>
                    <w:jc w:val="center"/>
                    <w:rPr>
                      <w:szCs w:val="21"/>
                    </w:rPr>
                  </w:pPr>
                </w:p>
              </w:tc>
            </w:tr>
            <w:tr w14:paraId="0DE622E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468850B5">
                  <w:pPr>
                    <w:jc w:val="center"/>
                    <w:rPr>
                      <w:szCs w:val="21"/>
                    </w:rPr>
                  </w:pPr>
                </w:p>
              </w:tc>
              <w:tc>
                <w:tcPr>
                  <w:tcW w:w="351" w:type="pct"/>
                  <w:vMerge w:val="continue"/>
                  <w:vAlign w:val="center"/>
                </w:tcPr>
                <w:p w14:paraId="019BE43E">
                  <w:pPr>
                    <w:jc w:val="center"/>
                    <w:rPr>
                      <w:szCs w:val="21"/>
                    </w:rPr>
                  </w:pPr>
                </w:p>
              </w:tc>
              <w:tc>
                <w:tcPr>
                  <w:tcW w:w="1102" w:type="pct"/>
                  <w:gridSpan w:val="2"/>
                  <w:vAlign w:val="center"/>
                </w:tcPr>
                <w:p w14:paraId="302E693F">
                  <w:pPr>
                    <w:jc w:val="center"/>
                    <w:rPr>
                      <w:szCs w:val="21"/>
                    </w:rPr>
                  </w:pPr>
                  <w:r>
                    <w:rPr>
                      <w:szCs w:val="21"/>
                    </w:rPr>
                    <w:t>游动滑车</w:t>
                  </w:r>
                </w:p>
              </w:tc>
              <w:tc>
                <w:tcPr>
                  <w:tcW w:w="1204" w:type="pct"/>
                  <w:vAlign w:val="center"/>
                </w:tcPr>
                <w:p w14:paraId="5A521C06">
                  <w:pPr>
                    <w:jc w:val="center"/>
                    <w:rPr>
                      <w:szCs w:val="21"/>
                    </w:rPr>
                  </w:pPr>
                  <w:r>
                    <w:rPr>
                      <w:rFonts w:hint="eastAsia"/>
                      <w:szCs w:val="21"/>
                    </w:rPr>
                    <w:t>Y</w:t>
                  </w:r>
                  <w:r>
                    <w:rPr>
                      <w:szCs w:val="21"/>
                    </w:rPr>
                    <w:t>C</w:t>
                  </w:r>
                  <w:r>
                    <w:rPr>
                      <w:rFonts w:hint="eastAsia"/>
                      <w:szCs w:val="21"/>
                    </w:rPr>
                    <w:t>-</w:t>
                  </w:r>
                  <w:r>
                    <w:rPr>
                      <w:szCs w:val="21"/>
                    </w:rPr>
                    <w:t>450</w:t>
                  </w:r>
                </w:p>
              </w:tc>
              <w:tc>
                <w:tcPr>
                  <w:tcW w:w="516" w:type="pct"/>
                  <w:vAlign w:val="center"/>
                </w:tcPr>
                <w:p w14:paraId="007FF682">
                  <w:pPr>
                    <w:jc w:val="center"/>
                    <w:rPr>
                      <w:szCs w:val="21"/>
                    </w:rPr>
                  </w:pPr>
                  <w:r>
                    <w:rPr>
                      <w:szCs w:val="21"/>
                    </w:rPr>
                    <w:t>1</w:t>
                  </w:r>
                </w:p>
              </w:tc>
              <w:tc>
                <w:tcPr>
                  <w:tcW w:w="431" w:type="pct"/>
                  <w:vAlign w:val="center"/>
                </w:tcPr>
                <w:p w14:paraId="1F2856CB">
                  <w:pPr>
                    <w:jc w:val="center"/>
                    <w:rPr>
                      <w:szCs w:val="21"/>
                    </w:rPr>
                  </w:pPr>
                  <w:r>
                    <w:rPr>
                      <w:szCs w:val="21"/>
                    </w:rPr>
                    <w:t>套</w:t>
                  </w:r>
                </w:p>
              </w:tc>
              <w:tc>
                <w:tcPr>
                  <w:tcW w:w="1122" w:type="pct"/>
                  <w:vAlign w:val="center"/>
                </w:tcPr>
                <w:p w14:paraId="55506757">
                  <w:pPr>
                    <w:jc w:val="center"/>
                    <w:rPr>
                      <w:szCs w:val="21"/>
                    </w:rPr>
                  </w:pPr>
                </w:p>
              </w:tc>
            </w:tr>
            <w:tr w14:paraId="547103C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01B8E6DA">
                  <w:pPr>
                    <w:jc w:val="center"/>
                    <w:rPr>
                      <w:szCs w:val="21"/>
                    </w:rPr>
                  </w:pPr>
                </w:p>
              </w:tc>
              <w:tc>
                <w:tcPr>
                  <w:tcW w:w="351" w:type="pct"/>
                  <w:vMerge w:val="continue"/>
                  <w:vAlign w:val="center"/>
                </w:tcPr>
                <w:p w14:paraId="491CCF5E">
                  <w:pPr>
                    <w:jc w:val="center"/>
                    <w:rPr>
                      <w:szCs w:val="21"/>
                    </w:rPr>
                  </w:pPr>
                </w:p>
              </w:tc>
              <w:tc>
                <w:tcPr>
                  <w:tcW w:w="1102" w:type="pct"/>
                  <w:gridSpan w:val="2"/>
                  <w:vAlign w:val="center"/>
                </w:tcPr>
                <w:p w14:paraId="1E03AA36">
                  <w:pPr>
                    <w:jc w:val="center"/>
                    <w:rPr>
                      <w:szCs w:val="21"/>
                    </w:rPr>
                  </w:pPr>
                  <w:r>
                    <w:rPr>
                      <w:szCs w:val="21"/>
                    </w:rPr>
                    <w:t>大钩</w:t>
                  </w:r>
                </w:p>
              </w:tc>
              <w:tc>
                <w:tcPr>
                  <w:tcW w:w="1204" w:type="pct"/>
                  <w:vAlign w:val="center"/>
                </w:tcPr>
                <w:p w14:paraId="33A0F685">
                  <w:pPr>
                    <w:jc w:val="center"/>
                    <w:rPr>
                      <w:szCs w:val="21"/>
                    </w:rPr>
                  </w:pPr>
                  <w:r>
                    <w:rPr>
                      <w:rFonts w:hint="eastAsia"/>
                      <w:szCs w:val="21"/>
                    </w:rPr>
                    <w:t>SL-</w:t>
                  </w:r>
                  <w:r>
                    <w:rPr>
                      <w:szCs w:val="21"/>
                    </w:rPr>
                    <w:t>450</w:t>
                  </w:r>
                </w:p>
              </w:tc>
              <w:tc>
                <w:tcPr>
                  <w:tcW w:w="516" w:type="pct"/>
                  <w:vAlign w:val="center"/>
                </w:tcPr>
                <w:p w14:paraId="498A1897">
                  <w:pPr>
                    <w:jc w:val="center"/>
                    <w:rPr>
                      <w:szCs w:val="21"/>
                    </w:rPr>
                  </w:pPr>
                  <w:r>
                    <w:rPr>
                      <w:szCs w:val="21"/>
                    </w:rPr>
                    <w:t>1</w:t>
                  </w:r>
                </w:p>
              </w:tc>
              <w:tc>
                <w:tcPr>
                  <w:tcW w:w="431" w:type="pct"/>
                  <w:vAlign w:val="center"/>
                </w:tcPr>
                <w:p w14:paraId="497C0E32">
                  <w:pPr>
                    <w:jc w:val="center"/>
                    <w:rPr>
                      <w:szCs w:val="21"/>
                    </w:rPr>
                  </w:pPr>
                  <w:r>
                    <w:rPr>
                      <w:szCs w:val="21"/>
                    </w:rPr>
                    <w:t>套</w:t>
                  </w:r>
                </w:p>
              </w:tc>
              <w:tc>
                <w:tcPr>
                  <w:tcW w:w="1122" w:type="pct"/>
                  <w:vAlign w:val="center"/>
                </w:tcPr>
                <w:p w14:paraId="17C12A7C">
                  <w:pPr>
                    <w:jc w:val="center"/>
                    <w:rPr>
                      <w:szCs w:val="21"/>
                    </w:rPr>
                  </w:pPr>
                </w:p>
              </w:tc>
            </w:tr>
            <w:tr w14:paraId="7217D2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1A2C6001">
                  <w:pPr>
                    <w:jc w:val="center"/>
                    <w:rPr>
                      <w:szCs w:val="21"/>
                    </w:rPr>
                  </w:pPr>
                </w:p>
              </w:tc>
              <w:tc>
                <w:tcPr>
                  <w:tcW w:w="351" w:type="pct"/>
                  <w:vMerge w:val="continue"/>
                  <w:vAlign w:val="center"/>
                </w:tcPr>
                <w:p w14:paraId="45AFDF3E">
                  <w:pPr>
                    <w:jc w:val="center"/>
                    <w:rPr>
                      <w:szCs w:val="21"/>
                    </w:rPr>
                  </w:pPr>
                </w:p>
              </w:tc>
              <w:tc>
                <w:tcPr>
                  <w:tcW w:w="1102" w:type="pct"/>
                  <w:gridSpan w:val="2"/>
                  <w:vAlign w:val="center"/>
                </w:tcPr>
                <w:p w14:paraId="6E64DA6E">
                  <w:pPr>
                    <w:jc w:val="center"/>
                    <w:rPr>
                      <w:szCs w:val="21"/>
                    </w:rPr>
                  </w:pPr>
                  <w:r>
                    <w:rPr>
                      <w:szCs w:val="21"/>
                    </w:rPr>
                    <w:t>水龙头</w:t>
                  </w:r>
                </w:p>
              </w:tc>
              <w:tc>
                <w:tcPr>
                  <w:tcW w:w="1204" w:type="pct"/>
                  <w:vAlign w:val="center"/>
                </w:tcPr>
                <w:p w14:paraId="37551EBE">
                  <w:pPr>
                    <w:jc w:val="center"/>
                    <w:rPr>
                      <w:szCs w:val="21"/>
                    </w:rPr>
                  </w:pPr>
                  <w:r>
                    <w:rPr>
                      <w:rFonts w:hint="eastAsia"/>
                      <w:szCs w:val="21"/>
                    </w:rPr>
                    <w:t>SL</w:t>
                  </w:r>
                  <w:r>
                    <w:rPr>
                      <w:szCs w:val="21"/>
                    </w:rPr>
                    <w:t>-450</w:t>
                  </w:r>
                </w:p>
              </w:tc>
              <w:tc>
                <w:tcPr>
                  <w:tcW w:w="516" w:type="pct"/>
                  <w:vAlign w:val="center"/>
                </w:tcPr>
                <w:p w14:paraId="7642DBFB">
                  <w:pPr>
                    <w:jc w:val="center"/>
                    <w:rPr>
                      <w:szCs w:val="21"/>
                    </w:rPr>
                  </w:pPr>
                  <w:r>
                    <w:rPr>
                      <w:szCs w:val="21"/>
                    </w:rPr>
                    <w:t>1</w:t>
                  </w:r>
                </w:p>
              </w:tc>
              <w:tc>
                <w:tcPr>
                  <w:tcW w:w="431" w:type="pct"/>
                  <w:vAlign w:val="center"/>
                </w:tcPr>
                <w:p w14:paraId="15113C7C">
                  <w:pPr>
                    <w:jc w:val="center"/>
                    <w:rPr>
                      <w:szCs w:val="21"/>
                    </w:rPr>
                  </w:pPr>
                  <w:r>
                    <w:rPr>
                      <w:szCs w:val="21"/>
                    </w:rPr>
                    <w:t>套</w:t>
                  </w:r>
                </w:p>
              </w:tc>
              <w:tc>
                <w:tcPr>
                  <w:tcW w:w="1122" w:type="pct"/>
                  <w:vAlign w:val="center"/>
                </w:tcPr>
                <w:p w14:paraId="2CD0D4BF">
                  <w:pPr>
                    <w:jc w:val="center"/>
                    <w:rPr>
                      <w:szCs w:val="21"/>
                    </w:rPr>
                  </w:pPr>
                </w:p>
              </w:tc>
            </w:tr>
            <w:tr w14:paraId="37F8A62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25B4E1EF">
                  <w:pPr>
                    <w:jc w:val="center"/>
                    <w:rPr>
                      <w:szCs w:val="21"/>
                    </w:rPr>
                  </w:pPr>
                  <w:r>
                    <w:rPr>
                      <w:szCs w:val="21"/>
                    </w:rPr>
                    <w:t>4</w:t>
                  </w:r>
                </w:p>
              </w:tc>
              <w:tc>
                <w:tcPr>
                  <w:tcW w:w="1452" w:type="pct"/>
                  <w:gridSpan w:val="3"/>
                  <w:vAlign w:val="center"/>
                </w:tcPr>
                <w:p w14:paraId="1EB389B7">
                  <w:pPr>
                    <w:jc w:val="center"/>
                    <w:rPr>
                      <w:szCs w:val="21"/>
                    </w:rPr>
                  </w:pPr>
                  <w:r>
                    <w:rPr>
                      <w:rFonts w:hint="eastAsia"/>
                      <w:szCs w:val="21"/>
                    </w:rPr>
                    <w:t>转盘</w:t>
                  </w:r>
                </w:p>
              </w:tc>
              <w:tc>
                <w:tcPr>
                  <w:tcW w:w="1204" w:type="pct"/>
                  <w:vAlign w:val="center"/>
                </w:tcPr>
                <w:p w14:paraId="6D059A19">
                  <w:pPr>
                    <w:jc w:val="center"/>
                    <w:rPr>
                      <w:szCs w:val="21"/>
                    </w:rPr>
                  </w:pPr>
                  <w:r>
                    <w:rPr>
                      <w:szCs w:val="21"/>
                    </w:rPr>
                    <w:t>ZP375</w:t>
                  </w:r>
                </w:p>
              </w:tc>
              <w:tc>
                <w:tcPr>
                  <w:tcW w:w="516" w:type="pct"/>
                  <w:vAlign w:val="center"/>
                </w:tcPr>
                <w:p w14:paraId="47D2AB42">
                  <w:pPr>
                    <w:jc w:val="center"/>
                    <w:rPr>
                      <w:szCs w:val="21"/>
                    </w:rPr>
                  </w:pPr>
                  <w:r>
                    <w:rPr>
                      <w:szCs w:val="21"/>
                    </w:rPr>
                    <w:t>1</w:t>
                  </w:r>
                </w:p>
              </w:tc>
              <w:tc>
                <w:tcPr>
                  <w:tcW w:w="431" w:type="pct"/>
                  <w:vAlign w:val="center"/>
                </w:tcPr>
                <w:p w14:paraId="6905C0C5">
                  <w:pPr>
                    <w:jc w:val="center"/>
                    <w:rPr>
                      <w:szCs w:val="21"/>
                    </w:rPr>
                  </w:pPr>
                  <w:r>
                    <w:rPr>
                      <w:szCs w:val="21"/>
                    </w:rPr>
                    <w:t>套</w:t>
                  </w:r>
                </w:p>
              </w:tc>
              <w:tc>
                <w:tcPr>
                  <w:tcW w:w="1122" w:type="pct"/>
                  <w:vAlign w:val="center"/>
                </w:tcPr>
                <w:p w14:paraId="45D9181D">
                  <w:pPr>
                    <w:jc w:val="center"/>
                    <w:rPr>
                      <w:szCs w:val="21"/>
                    </w:rPr>
                  </w:pPr>
                </w:p>
              </w:tc>
            </w:tr>
            <w:tr w14:paraId="5309D2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7BF8DEFF">
                  <w:pPr>
                    <w:jc w:val="center"/>
                    <w:rPr>
                      <w:szCs w:val="21"/>
                    </w:rPr>
                  </w:pPr>
                  <w:r>
                    <w:rPr>
                      <w:rFonts w:hint="eastAsia"/>
                      <w:szCs w:val="21"/>
                    </w:rPr>
                    <w:t>5</w:t>
                  </w:r>
                </w:p>
              </w:tc>
              <w:tc>
                <w:tcPr>
                  <w:tcW w:w="1452" w:type="pct"/>
                  <w:gridSpan w:val="3"/>
                  <w:vAlign w:val="center"/>
                </w:tcPr>
                <w:p w14:paraId="7ECDF8C2">
                  <w:pPr>
                    <w:jc w:val="center"/>
                    <w:rPr>
                      <w:szCs w:val="21"/>
                    </w:rPr>
                  </w:pPr>
                  <w:r>
                    <w:rPr>
                      <w:szCs w:val="21"/>
                    </w:rPr>
                    <w:t>顶部驱动装置</w:t>
                  </w:r>
                </w:p>
              </w:tc>
              <w:tc>
                <w:tcPr>
                  <w:tcW w:w="1204" w:type="pct"/>
                  <w:vAlign w:val="center"/>
                </w:tcPr>
                <w:p w14:paraId="648EF8BF">
                  <w:pPr>
                    <w:jc w:val="center"/>
                    <w:rPr>
                      <w:szCs w:val="21"/>
                    </w:rPr>
                  </w:pPr>
                  <w:r>
                    <w:rPr>
                      <w:szCs w:val="21"/>
                    </w:rPr>
                    <w:t>DQ</w:t>
                  </w:r>
                  <w:r>
                    <w:rPr>
                      <w:rFonts w:hint="eastAsia"/>
                      <w:szCs w:val="21"/>
                    </w:rPr>
                    <w:t>70</w:t>
                  </w:r>
                </w:p>
              </w:tc>
              <w:tc>
                <w:tcPr>
                  <w:tcW w:w="516" w:type="pct"/>
                  <w:vAlign w:val="center"/>
                </w:tcPr>
                <w:p w14:paraId="560C9D90">
                  <w:pPr>
                    <w:jc w:val="center"/>
                    <w:rPr>
                      <w:szCs w:val="21"/>
                    </w:rPr>
                  </w:pPr>
                  <w:r>
                    <w:rPr>
                      <w:rFonts w:hint="eastAsia"/>
                      <w:szCs w:val="21"/>
                    </w:rPr>
                    <w:t>1</w:t>
                  </w:r>
                </w:p>
              </w:tc>
              <w:tc>
                <w:tcPr>
                  <w:tcW w:w="431" w:type="pct"/>
                  <w:vAlign w:val="center"/>
                </w:tcPr>
                <w:p w14:paraId="54E959F0">
                  <w:pPr>
                    <w:jc w:val="center"/>
                    <w:rPr>
                      <w:szCs w:val="21"/>
                    </w:rPr>
                  </w:pPr>
                  <w:r>
                    <w:rPr>
                      <w:szCs w:val="21"/>
                    </w:rPr>
                    <w:t>套</w:t>
                  </w:r>
                </w:p>
              </w:tc>
              <w:tc>
                <w:tcPr>
                  <w:tcW w:w="1122" w:type="pct"/>
                  <w:vAlign w:val="center"/>
                </w:tcPr>
                <w:p w14:paraId="762CEA5D">
                  <w:pPr>
                    <w:jc w:val="center"/>
                    <w:rPr>
                      <w:szCs w:val="21"/>
                    </w:rPr>
                  </w:pPr>
                </w:p>
              </w:tc>
            </w:tr>
            <w:tr w14:paraId="71D3502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7EC29B2E">
                  <w:pPr>
                    <w:jc w:val="center"/>
                    <w:rPr>
                      <w:szCs w:val="21"/>
                    </w:rPr>
                  </w:pPr>
                  <w:r>
                    <w:rPr>
                      <w:rFonts w:hint="eastAsia"/>
                      <w:szCs w:val="21"/>
                    </w:rPr>
                    <w:t>6</w:t>
                  </w:r>
                </w:p>
              </w:tc>
              <w:tc>
                <w:tcPr>
                  <w:tcW w:w="421" w:type="pct"/>
                  <w:gridSpan w:val="2"/>
                  <w:vMerge w:val="restart"/>
                  <w:vAlign w:val="center"/>
                </w:tcPr>
                <w:p w14:paraId="4AE4A705">
                  <w:pPr>
                    <w:snapToGrid w:val="0"/>
                    <w:jc w:val="center"/>
                    <w:rPr>
                      <w:szCs w:val="21"/>
                    </w:rPr>
                  </w:pPr>
                  <w:r>
                    <w:rPr>
                      <w:szCs w:val="21"/>
                    </w:rPr>
                    <w:t>循环系统</w:t>
                  </w:r>
                </w:p>
              </w:tc>
              <w:tc>
                <w:tcPr>
                  <w:tcW w:w="1032" w:type="pct"/>
                  <w:vAlign w:val="center"/>
                </w:tcPr>
                <w:p w14:paraId="7A9FDB76">
                  <w:pPr>
                    <w:snapToGrid w:val="0"/>
                    <w:jc w:val="center"/>
                    <w:rPr>
                      <w:szCs w:val="21"/>
                    </w:rPr>
                  </w:pPr>
                  <w:r>
                    <w:rPr>
                      <w:szCs w:val="21"/>
                    </w:rPr>
                    <w:t>钻井泥浆泵</w:t>
                  </w:r>
                </w:p>
              </w:tc>
              <w:tc>
                <w:tcPr>
                  <w:tcW w:w="1204" w:type="pct"/>
                  <w:vAlign w:val="center"/>
                </w:tcPr>
                <w:p w14:paraId="5E81C868">
                  <w:pPr>
                    <w:tabs>
                      <w:tab w:val="left" w:pos="105"/>
                      <w:tab w:val="left" w:pos="420"/>
                      <w:tab w:val="left" w:pos="1680"/>
                      <w:tab w:val="left" w:pos="1890"/>
                      <w:tab w:val="left" w:pos="1995"/>
                    </w:tabs>
                    <w:snapToGrid w:val="0"/>
                    <w:jc w:val="center"/>
                    <w:rPr>
                      <w:szCs w:val="21"/>
                    </w:rPr>
                  </w:pPr>
                  <w:r>
                    <w:rPr>
                      <w:szCs w:val="21"/>
                    </w:rPr>
                    <w:t>F-1600</w:t>
                  </w:r>
                </w:p>
              </w:tc>
              <w:tc>
                <w:tcPr>
                  <w:tcW w:w="516" w:type="pct"/>
                  <w:vAlign w:val="center"/>
                </w:tcPr>
                <w:p w14:paraId="670B35E1">
                  <w:pPr>
                    <w:jc w:val="center"/>
                    <w:rPr>
                      <w:szCs w:val="21"/>
                    </w:rPr>
                  </w:pPr>
                  <w:r>
                    <w:rPr>
                      <w:rFonts w:hint="eastAsia"/>
                      <w:szCs w:val="21"/>
                    </w:rPr>
                    <w:t>3</w:t>
                  </w:r>
                </w:p>
              </w:tc>
              <w:tc>
                <w:tcPr>
                  <w:tcW w:w="431" w:type="pct"/>
                  <w:vAlign w:val="center"/>
                </w:tcPr>
                <w:p w14:paraId="1B472A1C">
                  <w:pPr>
                    <w:jc w:val="center"/>
                    <w:rPr>
                      <w:szCs w:val="21"/>
                    </w:rPr>
                  </w:pPr>
                  <w:r>
                    <w:rPr>
                      <w:szCs w:val="21"/>
                    </w:rPr>
                    <w:t>台</w:t>
                  </w:r>
                </w:p>
              </w:tc>
              <w:tc>
                <w:tcPr>
                  <w:tcW w:w="1122" w:type="pct"/>
                  <w:vAlign w:val="center"/>
                </w:tcPr>
                <w:p w14:paraId="41E39CB8">
                  <w:pPr>
                    <w:jc w:val="center"/>
                    <w:rPr>
                      <w:szCs w:val="21"/>
                    </w:rPr>
                  </w:pPr>
                  <w:r>
                    <w:rPr>
                      <w:rFonts w:hint="eastAsia"/>
                      <w:szCs w:val="21"/>
                    </w:rPr>
                    <w:t>两</w:t>
                  </w:r>
                  <w:r>
                    <w:rPr>
                      <w:szCs w:val="21"/>
                    </w:rPr>
                    <w:t>用一备</w:t>
                  </w:r>
                </w:p>
              </w:tc>
            </w:tr>
            <w:tr w14:paraId="0FA6ABB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0675EF83">
                  <w:pPr>
                    <w:jc w:val="center"/>
                    <w:rPr>
                      <w:szCs w:val="21"/>
                    </w:rPr>
                  </w:pPr>
                </w:p>
              </w:tc>
              <w:tc>
                <w:tcPr>
                  <w:tcW w:w="421" w:type="pct"/>
                  <w:gridSpan w:val="2"/>
                  <w:vMerge w:val="continue"/>
                  <w:vAlign w:val="center"/>
                </w:tcPr>
                <w:p w14:paraId="02403DFC">
                  <w:pPr>
                    <w:jc w:val="center"/>
                    <w:rPr>
                      <w:szCs w:val="21"/>
                    </w:rPr>
                  </w:pPr>
                </w:p>
              </w:tc>
              <w:tc>
                <w:tcPr>
                  <w:tcW w:w="1032" w:type="pct"/>
                  <w:vAlign w:val="center"/>
                </w:tcPr>
                <w:p w14:paraId="15932601">
                  <w:pPr>
                    <w:jc w:val="center"/>
                    <w:rPr>
                      <w:szCs w:val="21"/>
                    </w:rPr>
                  </w:pPr>
                  <w:r>
                    <w:rPr>
                      <w:szCs w:val="21"/>
                    </w:rPr>
                    <w:t>钻井</w:t>
                  </w:r>
                  <w:r>
                    <w:rPr>
                      <w:rFonts w:hint="eastAsia"/>
                      <w:szCs w:val="21"/>
                    </w:rPr>
                    <w:t>泥浆</w:t>
                  </w:r>
                  <w:r>
                    <w:rPr>
                      <w:szCs w:val="21"/>
                    </w:rPr>
                    <w:t>循环罐</w:t>
                  </w:r>
                </w:p>
              </w:tc>
              <w:tc>
                <w:tcPr>
                  <w:tcW w:w="1204" w:type="pct"/>
                  <w:vAlign w:val="center"/>
                </w:tcPr>
                <w:p w14:paraId="5D3C5FDB">
                  <w:pPr>
                    <w:jc w:val="center"/>
                    <w:rPr>
                      <w:szCs w:val="21"/>
                    </w:rPr>
                  </w:pPr>
                  <w:r>
                    <w:rPr>
                      <w:rFonts w:hint="eastAsia"/>
                      <w:szCs w:val="21"/>
                    </w:rPr>
                    <w:t>40m</w:t>
                  </w:r>
                  <w:r>
                    <w:rPr>
                      <w:rFonts w:hint="eastAsia"/>
                      <w:szCs w:val="21"/>
                      <w:vertAlign w:val="superscript"/>
                    </w:rPr>
                    <w:t>3</w:t>
                  </w:r>
                </w:p>
              </w:tc>
              <w:tc>
                <w:tcPr>
                  <w:tcW w:w="516" w:type="pct"/>
                  <w:vAlign w:val="center"/>
                </w:tcPr>
                <w:p w14:paraId="64BFAAA4">
                  <w:pPr>
                    <w:jc w:val="center"/>
                    <w:rPr>
                      <w:szCs w:val="21"/>
                    </w:rPr>
                  </w:pPr>
                  <w:r>
                    <w:rPr>
                      <w:rFonts w:hint="eastAsia"/>
                      <w:szCs w:val="21"/>
                    </w:rPr>
                    <w:t>6</w:t>
                  </w:r>
                </w:p>
              </w:tc>
              <w:tc>
                <w:tcPr>
                  <w:tcW w:w="431" w:type="pct"/>
                  <w:vAlign w:val="center"/>
                </w:tcPr>
                <w:p w14:paraId="0CE85A1D">
                  <w:pPr>
                    <w:jc w:val="center"/>
                    <w:rPr>
                      <w:szCs w:val="21"/>
                    </w:rPr>
                  </w:pPr>
                  <w:r>
                    <w:rPr>
                      <w:szCs w:val="21"/>
                    </w:rPr>
                    <w:t>座</w:t>
                  </w:r>
                </w:p>
              </w:tc>
              <w:tc>
                <w:tcPr>
                  <w:tcW w:w="1122" w:type="pct"/>
                  <w:vAlign w:val="center"/>
                </w:tcPr>
                <w:p w14:paraId="0C0C8A10">
                  <w:pPr>
                    <w:jc w:val="center"/>
                    <w:rPr>
                      <w:szCs w:val="21"/>
                    </w:rPr>
                  </w:pPr>
                </w:p>
              </w:tc>
            </w:tr>
            <w:tr w14:paraId="59C1FED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39EC1865">
                  <w:pPr>
                    <w:jc w:val="center"/>
                    <w:rPr>
                      <w:szCs w:val="21"/>
                    </w:rPr>
                  </w:pPr>
                </w:p>
              </w:tc>
              <w:tc>
                <w:tcPr>
                  <w:tcW w:w="421" w:type="pct"/>
                  <w:gridSpan w:val="2"/>
                  <w:vMerge w:val="continue"/>
                  <w:vAlign w:val="center"/>
                </w:tcPr>
                <w:p w14:paraId="73147EB2">
                  <w:pPr>
                    <w:jc w:val="center"/>
                    <w:rPr>
                      <w:szCs w:val="21"/>
                    </w:rPr>
                  </w:pPr>
                </w:p>
              </w:tc>
              <w:tc>
                <w:tcPr>
                  <w:tcW w:w="1032" w:type="pct"/>
                  <w:vAlign w:val="center"/>
                </w:tcPr>
                <w:p w14:paraId="4C3CC982">
                  <w:pPr>
                    <w:jc w:val="center"/>
                    <w:rPr>
                      <w:szCs w:val="21"/>
                    </w:rPr>
                  </w:pPr>
                  <w:r>
                    <w:rPr>
                      <w:szCs w:val="21"/>
                    </w:rPr>
                    <w:t>搅拌器</w:t>
                  </w:r>
                </w:p>
              </w:tc>
              <w:tc>
                <w:tcPr>
                  <w:tcW w:w="1204" w:type="pct"/>
                  <w:vAlign w:val="center"/>
                </w:tcPr>
                <w:p w14:paraId="61BEB14E">
                  <w:pPr>
                    <w:jc w:val="center"/>
                    <w:rPr>
                      <w:szCs w:val="21"/>
                    </w:rPr>
                  </w:pPr>
                  <w:r>
                    <w:rPr>
                      <w:szCs w:val="21"/>
                    </w:rPr>
                    <w:t>NJ5.5、NJ7.5、NJ15</w:t>
                  </w:r>
                </w:p>
              </w:tc>
              <w:tc>
                <w:tcPr>
                  <w:tcW w:w="516" w:type="pct"/>
                  <w:vAlign w:val="center"/>
                </w:tcPr>
                <w:p w14:paraId="4D1CC4E6">
                  <w:pPr>
                    <w:jc w:val="center"/>
                    <w:rPr>
                      <w:szCs w:val="21"/>
                    </w:rPr>
                  </w:pPr>
                  <w:r>
                    <w:rPr>
                      <w:rFonts w:hint="eastAsia"/>
                      <w:szCs w:val="21"/>
                    </w:rPr>
                    <w:t>15</w:t>
                  </w:r>
                </w:p>
              </w:tc>
              <w:tc>
                <w:tcPr>
                  <w:tcW w:w="431" w:type="pct"/>
                  <w:vAlign w:val="center"/>
                </w:tcPr>
                <w:p w14:paraId="0EDA01F4">
                  <w:pPr>
                    <w:jc w:val="center"/>
                    <w:rPr>
                      <w:szCs w:val="21"/>
                    </w:rPr>
                  </w:pPr>
                  <w:r>
                    <w:rPr>
                      <w:rFonts w:hint="eastAsia"/>
                      <w:szCs w:val="21"/>
                    </w:rPr>
                    <w:t>套</w:t>
                  </w:r>
                </w:p>
              </w:tc>
              <w:tc>
                <w:tcPr>
                  <w:tcW w:w="1122" w:type="pct"/>
                  <w:vAlign w:val="center"/>
                </w:tcPr>
                <w:p w14:paraId="0DFCD717">
                  <w:pPr>
                    <w:jc w:val="center"/>
                    <w:rPr>
                      <w:szCs w:val="21"/>
                    </w:rPr>
                  </w:pPr>
                </w:p>
              </w:tc>
            </w:tr>
            <w:tr w14:paraId="12CACAE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55C1A09F">
                  <w:pPr>
                    <w:jc w:val="center"/>
                    <w:rPr>
                      <w:szCs w:val="21"/>
                    </w:rPr>
                  </w:pPr>
                  <w:r>
                    <w:rPr>
                      <w:rFonts w:hint="eastAsia"/>
                      <w:szCs w:val="21"/>
                    </w:rPr>
                    <w:t>7</w:t>
                  </w:r>
                </w:p>
              </w:tc>
              <w:tc>
                <w:tcPr>
                  <w:tcW w:w="421" w:type="pct"/>
                  <w:gridSpan w:val="2"/>
                  <w:vMerge w:val="restart"/>
                  <w:vAlign w:val="center"/>
                </w:tcPr>
                <w:p w14:paraId="51B3D6B1">
                  <w:pPr>
                    <w:snapToGrid w:val="0"/>
                    <w:jc w:val="center"/>
                    <w:rPr>
                      <w:szCs w:val="21"/>
                    </w:rPr>
                  </w:pPr>
                  <w:r>
                    <w:rPr>
                      <w:szCs w:val="21"/>
                    </w:rPr>
                    <w:t>发电机</w:t>
                  </w:r>
                </w:p>
                <w:p w14:paraId="3CB6A19C">
                  <w:pPr>
                    <w:snapToGrid w:val="0"/>
                    <w:jc w:val="center"/>
                    <w:rPr>
                      <w:szCs w:val="21"/>
                    </w:rPr>
                  </w:pPr>
                  <w:r>
                    <w:rPr>
                      <w:szCs w:val="21"/>
                    </w:rPr>
                    <w:t>组</w:t>
                  </w:r>
                </w:p>
              </w:tc>
              <w:tc>
                <w:tcPr>
                  <w:tcW w:w="1032" w:type="pct"/>
                  <w:vAlign w:val="center"/>
                </w:tcPr>
                <w:p w14:paraId="73DCE833">
                  <w:pPr>
                    <w:snapToGrid w:val="0"/>
                    <w:jc w:val="center"/>
                    <w:rPr>
                      <w:szCs w:val="21"/>
                    </w:rPr>
                  </w:pPr>
                  <w:r>
                    <w:rPr>
                      <w:szCs w:val="21"/>
                    </w:rPr>
                    <w:t>柴油机</w:t>
                  </w:r>
                </w:p>
              </w:tc>
              <w:tc>
                <w:tcPr>
                  <w:tcW w:w="1204" w:type="pct"/>
                  <w:vAlign w:val="center"/>
                </w:tcPr>
                <w:p w14:paraId="266190DE">
                  <w:pPr>
                    <w:tabs>
                      <w:tab w:val="left" w:pos="1680"/>
                    </w:tabs>
                    <w:snapToGrid w:val="0"/>
                    <w:jc w:val="center"/>
                    <w:rPr>
                      <w:szCs w:val="21"/>
                    </w:rPr>
                  </w:pPr>
                  <w:r>
                    <w:rPr>
                      <w:szCs w:val="21"/>
                    </w:rPr>
                    <w:t>CAT3512B</w:t>
                  </w:r>
                </w:p>
              </w:tc>
              <w:tc>
                <w:tcPr>
                  <w:tcW w:w="516" w:type="pct"/>
                  <w:vAlign w:val="center"/>
                </w:tcPr>
                <w:p w14:paraId="3672903F">
                  <w:pPr>
                    <w:jc w:val="center"/>
                    <w:rPr>
                      <w:szCs w:val="21"/>
                    </w:rPr>
                  </w:pPr>
                  <w:r>
                    <w:rPr>
                      <w:rFonts w:hint="eastAsia"/>
                      <w:szCs w:val="21"/>
                    </w:rPr>
                    <w:t>4</w:t>
                  </w:r>
                </w:p>
              </w:tc>
              <w:tc>
                <w:tcPr>
                  <w:tcW w:w="431" w:type="pct"/>
                  <w:vAlign w:val="center"/>
                </w:tcPr>
                <w:p w14:paraId="4436385C">
                  <w:pPr>
                    <w:jc w:val="center"/>
                    <w:rPr>
                      <w:szCs w:val="21"/>
                    </w:rPr>
                  </w:pPr>
                  <w:r>
                    <w:rPr>
                      <w:szCs w:val="21"/>
                    </w:rPr>
                    <w:t>台</w:t>
                  </w:r>
                </w:p>
              </w:tc>
              <w:tc>
                <w:tcPr>
                  <w:tcW w:w="1122" w:type="pct"/>
                  <w:vAlign w:val="center"/>
                </w:tcPr>
                <w:p w14:paraId="025B7825">
                  <w:pPr>
                    <w:jc w:val="center"/>
                    <w:rPr>
                      <w:szCs w:val="21"/>
                    </w:rPr>
                  </w:pPr>
                  <w:r>
                    <w:rPr>
                      <w:rFonts w:hint="eastAsia"/>
                      <w:szCs w:val="21"/>
                    </w:rPr>
                    <w:t>钻井阶段</w:t>
                  </w:r>
                  <w:r>
                    <w:rPr>
                      <w:szCs w:val="21"/>
                    </w:rPr>
                    <w:t>两用两备</w:t>
                  </w:r>
                  <w:r>
                    <w:rPr>
                      <w:rFonts w:hint="eastAsia"/>
                      <w:szCs w:val="21"/>
                    </w:rPr>
                    <w:t>，试油阶段使用一台</w:t>
                  </w:r>
                </w:p>
              </w:tc>
            </w:tr>
            <w:tr w14:paraId="750A1B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7B446EE9">
                  <w:pPr>
                    <w:jc w:val="center"/>
                    <w:rPr>
                      <w:szCs w:val="21"/>
                    </w:rPr>
                  </w:pPr>
                </w:p>
              </w:tc>
              <w:tc>
                <w:tcPr>
                  <w:tcW w:w="421" w:type="pct"/>
                  <w:gridSpan w:val="2"/>
                  <w:vMerge w:val="continue"/>
                  <w:vAlign w:val="center"/>
                </w:tcPr>
                <w:p w14:paraId="1F2DB8A3">
                  <w:pPr>
                    <w:jc w:val="center"/>
                    <w:rPr>
                      <w:szCs w:val="21"/>
                    </w:rPr>
                  </w:pPr>
                </w:p>
              </w:tc>
              <w:tc>
                <w:tcPr>
                  <w:tcW w:w="1032" w:type="pct"/>
                  <w:vAlign w:val="center"/>
                </w:tcPr>
                <w:p w14:paraId="3E922E4F">
                  <w:pPr>
                    <w:jc w:val="center"/>
                    <w:rPr>
                      <w:szCs w:val="21"/>
                    </w:rPr>
                  </w:pPr>
                  <w:r>
                    <w:rPr>
                      <w:szCs w:val="21"/>
                    </w:rPr>
                    <w:t>辅助发电</w:t>
                  </w:r>
                  <w:r>
                    <w:rPr>
                      <w:rFonts w:hint="eastAsia"/>
                      <w:szCs w:val="21"/>
                    </w:rPr>
                    <w:t>系统</w:t>
                  </w:r>
                </w:p>
              </w:tc>
              <w:tc>
                <w:tcPr>
                  <w:tcW w:w="1204" w:type="pct"/>
                  <w:vAlign w:val="center"/>
                </w:tcPr>
                <w:p w14:paraId="6B828846">
                  <w:pPr>
                    <w:jc w:val="center"/>
                    <w:rPr>
                      <w:szCs w:val="21"/>
                    </w:rPr>
                  </w:pPr>
                  <w:r>
                    <w:rPr>
                      <w:szCs w:val="21"/>
                    </w:rPr>
                    <w:t>CATC</w:t>
                  </w:r>
                  <w:r>
                    <w:rPr>
                      <w:rFonts w:hint="eastAsia"/>
                      <w:szCs w:val="21"/>
                    </w:rPr>
                    <w:t>15</w:t>
                  </w:r>
                </w:p>
              </w:tc>
              <w:tc>
                <w:tcPr>
                  <w:tcW w:w="516" w:type="pct"/>
                  <w:vAlign w:val="center"/>
                </w:tcPr>
                <w:p w14:paraId="0FDFEF2B">
                  <w:pPr>
                    <w:jc w:val="center"/>
                    <w:rPr>
                      <w:szCs w:val="21"/>
                    </w:rPr>
                  </w:pPr>
                  <w:r>
                    <w:rPr>
                      <w:szCs w:val="21"/>
                    </w:rPr>
                    <w:t>1</w:t>
                  </w:r>
                </w:p>
              </w:tc>
              <w:tc>
                <w:tcPr>
                  <w:tcW w:w="431" w:type="pct"/>
                  <w:vAlign w:val="center"/>
                </w:tcPr>
                <w:p w14:paraId="46260A46">
                  <w:pPr>
                    <w:jc w:val="center"/>
                    <w:rPr>
                      <w:szCs w:val="21"/>
                    </w:rPr>
                  </w:pPr>
                  <w:r>
                    <w:rPr>
                      <w:szCs w:val="21"/>
                    </w:rPr>
                    <w:t>台</w:t>
                  </w:r>
                </w:p>
              </w:tc>
              <w:tc>
                <w:tcPr>
                  <w:tcW w:w="1122" w:type="pct"/>
                  <w:vAlign w:val="center"/>
                </w:tcPr>
                <w:p w14:paraId="7D1EC17F">
                  <w:pPr>
                    <w:jc w:val="center"/>
                    <w:rPr>
                      <w:szCs w:val="21"/>
                    </w:rPr>
                  </w:pPr>
                </w:p>
              </w:tc>
            </w:tr>
            <w:tr w14:paraId="183FF30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25414196">
                  <w:pPr>
                    <w:jc w:val="center"/>
                    <w:rPr>
                      <w:szCs w:val="21"/>
                    </w:rPr>
                  </w:pPr>
                </w:p>
              </w:tc>
              <w:tc>
                <w:tcPr>
                  <w:tcW w:w="421" w:type="pct"/>
                  <w:gridSpan w:val="2"/>
                  <w:vMerge w:val="continue"/>
                  <w:vAlign w:val="center"/>
                </w:tcPr>
                <w:p w14:paraId="769502AF">
                  <w:pPr>
                    <w:jc w:val="center"/>
                    <w:rPr>
                      <w:szCs w:val="21"/>
                    </w:rPr>
                  </w:pPr>
                </w:p>
              </w:tc>
              <w:tc>
                <w:tcPr>
                  <w:tcW w:w="1032" w:type="pct"/>
                  <w:vAlign w:val="center"/>
                </w:tcPr>
                <w:p w14:paraId="22618C43">
                  <w:pPr>
                    <w:jc w:val="center"/>
                    <w:rPr>
                      <w:szCs w:val="21"/>
                    </w:rPr>
                  </w:pPr>
                  <w:r>
                    <w:rPr>
                      <w:szCs w:val="21"/>
                    </w:rPr>
                    <w:t>MCC房</w:t>
                  </w:r>
                </w:p>
              </w:tc>
              <w:tc>
                <w:tcPr>
                  <w:tcW w:w="1204" w:type="pct"/>
                  <w:vAlign w:val="center"/>
                </w:tcPr>
                <w:p w14:paraId="732F4071">
                  <w:pPr>
                    <w:jc w:val="center"/>
                    <w:rPr>
                      <w:szCs w:val="21"/>
                    </w:rPr>
                  </w:pPr>
                  <w:r>
                    <w:rPr>
                      <w:szCs w:val="21"/>
                    </w:rPr>
                    <w:t>600V/400V</w:t>
                  </w:r>
                  <w:r>
                    <w:rPr>
                      <w:rFonts w:hint="eastAsia"/>
                      <w:szCs w:val="21"/>
                    </w:rPr>
                    <w:t>/230</w:t>
                  </w:r>
                  <w:r>
                    <w:rPr>
                      <w:szCs w:val="21"/>
                    </w:rPr>
                    <w:t>V</w:t>
                  </w:r>
                </w:p>
              </w:tc>
              <w:tc>
                <w:tcPr>
                  <w:tcW w:w="516" w:type="pct"/>
                  <w:vAlign w:val="center"/>
                </w:tcPr>
                <w:p w14:paraId="784962B6">
                  <w:pPr>
                    <w:jc w:val="center"/>
                    <w:rPr>
                      <w:szCs w:val="21"/>
                    </w:rPr>
                  </w:pPr>
                  <w:r>
                    <w:rPr>
                      <w:szCs w:val="21"/>
                    </w:rPr>
                    <w:t>1</w:t>
                  </w:r>
                </w:p>
              </w:tc>
              <w:tc>
                <w:tcPr>
                  <w:tcW w:w="431" w:type="pct"/>
                  <w:vAlign w:val="center"/>
                </w:tcPr>
                <w:p w14:paraId="421083B5">
                  <w:pPr>
                    <w:jc w:val="center"/>
                    <w:rPr>
                      <w:szCs w:val="21"/>
                    </w:rPr>
                  </w:pPr>
                  <w:r>
                    <w:rPr>
                      <w:szCs w:val="21"/>
                    </w:rPr>
                    <w:t>座</w:t>
                  </w:r>
                </w:p>
              </w:tc>
              <w:tc>
                <w:tcPr>
                  <w:tcW w:w="1122" w:type="pct"/>
                  <w:vAlign w:val="center"/>
                </w:tcPr>
                <w:p w14:paraId="4743F7DE">
                  <w:pPr>
                    <w:jc w:val="center"/>
                    <w:rPr>
                      <w:szCs w:val="21"/>
                    </w:rPr>
                  </w:pPr>
                </w:p>
              </w:tc>
            </w:tr>
            <w:tr w14:paraId="1FB3F4D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5CBF1FAF">
                  <w:pPr>
                    <w:jc w:val="center"/>
                    <w:rPr>
                      <w:szCs w:val="21"/>
                    </w:rPr>
                  </w:pPr>
                  <w:r>
                    <w:rPr>
                      <w:rFonts w:hint="eastAsia"/>
                      <w:szCs w:val="21"/>
                    </w:rPr>
                    <w:t>8</w:t>
                  </w:r>
                </w:p>
              </w:tc>
              <w:tc>
                <w:tcPr>
                  <w:tcW w:w="421" w:type="pct"/>
                  <w:gridSpan w:val="2"/>
                  <w:vMerge w:val="restart"/>
                  <w:vAlign w:val="center"/>
                </w:tcPr>
                <w:p w14:paraId="082517D3">
                  <w:pPr>
                    <w:snapToGrid w:val="0"/>
                    <w:jc w:val="center"/>
                    <w:rPr>
                      <w:szCs w:val="21"/>
                    </w:rPr>
                  </w:pPr>
                  <w:r>
                    <w:rPr>
                      <w:szCs w:val="21"/>
                    </w:rPr>
                    <w:t>钻机控制系统</w:t>
                  </w:r>
                </w:p>
              </w:tc>
              <w:tc>
                <w:tcPr>
                  <w:tcW w:w="1032" w:type="pct"/>
                  <w:vAlign w:val="center"/>
                </w:tcPr>
                <w:p w14:paraId="1043635B">
                  <w:pPr>
                    <w:jc w:val="center"/>
                    <w:rPr>
                      <w:szCs w:val="21"/>
                    </w:rPr>
                  </w:pPr>
                  <w:r>
                    <w:rPr>
                      <w:szCs w:val="21"/>
                    </w:rPr>
                    <w:t>电动压风机</w:t>
                  </w:r>
                </w:p>
              </w:tc>
              <w:tc>
                <w:tcPr>
                  <w:tcW w:w="1204" w:type="pct"/>
                  <w:vAlign w:val="center"/>
                </w:tcPr>
                <w:p w14:paraId="29B6EADD">
                  <w:pPr>
                    <w:jc w:val="center"/>
                    <w:rPr>
                      <w:szCs w:val="21"/>
                    </w:rPr>
                  </w:pPr>
                  <w:r>
                    <w:rPr>
                      <w:szCs w:val="21"/>
                    </w:rPr>
                    <w:t>LS12-50HHAC</w:t>
                  </w:r>
                </w:p>
              </w:tc>
              <w:tc>
                <w:tcPr>
                  <w:tcW w:w="516" w:type="pct"/>
                  <w:vAlign w:val="center"/>
                </w:tcPr>
                <w:p w14:paraId="29720C5F">
                  <w:pPr>
                    <w:jc w:val="center"/>
                    <w:rPr>
                      <w:szCs w:val="21"/>
                    </w:rPr>
                  </w:pPr>
                  <w:r>
                    <w:rPr>
                      <w:szCs w:val="21"/>
                    </w:rPr>
                    <w:t>2</w:t>
                  </w:r>
                </w:p>
              </w:tc>
              <w:tc>
                <w:tcPr>
                  <w:tcW w:w="431" w:type="pct"/>
                  <w:vAlign w:val="center"/>
                </w:tcPr>
                <w:p w14:paraId="3DBBC226">
                  <w:pPr>
                    <w:jc w:val="center"/>
                    <w:rPr>
                      <w:szCs w:val="21"/>
                    </w:rPr>
                  </w:pPr>
                  <w:r>
                    <w:rPr>
                      <w:szCs w:val="21"/>
                    </w:rPr>
                    <w:t>台</w:t>
                  </w:r>
                </w:p>
              </w:tc>
              <w:tc>
                <w:tcPr>
                  <w:tcW w:w="1122" w:type="pct"/>
                  <w:vAlign w:val="center"/>
                </w:tcPr>
                <w:p w14:paraId="46A2267B">
                  <w:pPr>
                    <w:jc w:val="center"/>
                    <w:rPr>
                      <w:szCs w:val="21"/>
                    </w:rPr>
                  </w:pPr>
                </w:p>
              </w:tc>
            </w:tr>
            <w:tr w14:paraId="436ADC1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7E8D52D1">
                  <w:pPr>
                    <w:jc w:val="center"/>
                    <w:rPr>
                      <w:szCs w:val="21"/>
                    </w:rPr>
                  </w:pPr>
                </w:p>
              </w:tc>
              <w:tc>
                <w:tcPr>
                  <w:tcW w:w="421" w:type="pct"/>
                  <w:gridSpan w:val="2"/>
                  <w:vMerge w:val="continue"/>
                  <w:vAlign w:val="center"/>
                </w:tcPr>
                <w:p w14:paraId="00BA5472">
                  <w:pPr>
                    <w:jc w:val="center"/>
                    <w:rPr>
                      <w:szCs w:val="21"/>
                    </w:rPr>
                  </w:pPr>
                </w:p>
              </w:tc>
              <w:tc>
                <w:tcPr>
                  <w:tcW w:w="1032" w:type="pct"/>
                  <w:vAlign w:val="center"/>
                </w:tcPr>
                <w:p w14:paraId="22996FEB">
                  <w:pPr>
                    <w:jc w:val="center"/>
                    <w:rPr>
                      <w:szCs w:val="21"/>
                    </w:rPr>
                  </w:pPr>
                  <w:r>
                    <w:rPr>
                      <w:szCs w:val="21"/>
                    </w:rPr>
                    <w:t>VFD控制系统</w:t>
                  </w:r>
                </w:p>
              </w:tc>
              <w:tc>
                <w:tcPr>
                  <w:tcW w:w="1204" w:type="pct"/>
                  <w:vAlign w:val="center"/>
                </w:tcPr>
                <w:p w14:paraId="338E64CF">
                  <w:pPr>
                    <w:jc w:val="center"/>
                    <w:rPr>
                      <w:szCs w:val="21"/>
                    </w:rPr>
                  </w:pPr>
                  <w:r>
                    <w:rPr>
                      <w:szCs w:val="21"/>
                    </w:rPr>
                    <w:t>SP70L-37A</w:t>
                  </w:r>
                </w:p>
              </w:tc>
              <w:tc>
                <w:tcPr>
                  <w:tcW w:w="516" w:type="pct"/>
                  <w:vAlign w:val="center"/>
                </w:tcPr>
                <w:p w14:paraId="5BD7A6F6">
                  <w:pPr>
                    <w:jc w:val="center"/>
                    <w:rPr>
                      <w:szCs w:val="21"/>
                    </w:rPr>
                  </w:pPr>
                  <w:r>
                    <w:rPr>
                      <w:rFonts w:hint="eastAsia"/>
                      <w:szCs w:val="21"/>
                    </w:rPr>
                    <w:t>1</w:t>
                  </w:r>
                </w:p>
              </w:tc>
              <w:tc>
                <w:tcPr>
                  <w:tcW w:w="431" w:type="pct"/>
                  <w:vAlign w:val="center"/>
                </w:tcPr>
                <w:p w14:paraId="78A3813A">
                  <w:pPr>
                    <w:jc w:val="center"/>
                    <w:rPr>
                      <w:szCs w:val="21"/>
                    </w:rPr>
                  </w:pPr>
                  <w:r>
                    <w:rPr>
                      <w:szCs w:val="21"/>
                    </w:rPr>
                    <w:t>套</w:t>
                  </w:r>
                </w:p>
              </w:tc>
              <w:tc>
                <w:tcPr>
                  <w:tcW w:w="1122" w:type="pct"/>
                  <w:vAlign w:val="center"/>
                </w:tcPr>
                <w:p w14:paraId="787219E1">
                  <w:pPr>
                    <w:jc w:val="center"/>
                    <w:rPr>
                      <w:szCs w:val="21"/>
                    </w:rPr>
                  </w:pPr>
                </w:p>
              </w:tc>
            </w:tr>
            <w:tr w14:paraId="45150B5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56AF2A53">
                  <w:pPr>
                    <w:jc w:val="center"/>
                    <w:rPr>
                      <w:szCs w:val="21"/>
                    </w:rPr>
                  </w:pPr>
                </w:p>
              </w:tc>
              <w:tc>
                <w:tcPr>
                  <w:tcW w:w="421" w:type="pct"/>
                  <w:gridSpan w:val="2"/>
                  <w:vMerge w:val="continue"/>
                  <w:vAlign w:val="center"/>
                </w:tcPr>
                <w:p w14:paraId="0B36CBF6">
                  <w:pPr>
                    <w:jc w:val="center"/>
                    <w:rPr>
                      <w:szCs w:val="21"/>
                    </w:rPr>
                  </w:pPr>
                </w:p>
              </w:tc>
              <w:tc>
                <w:tcPr>
                  <w:tcW w:w="1032" w:type="pct"/>
                  <w:vAlign w:val="center"/>
                </w:tcPr>
                <w:p w14:paraId="650A0F9B">
                  <w:pPr>
                    <w:jc w:val="center"/>
                    <w:rPr>
                      <w:szCs w:val="21"/>
                    </w:rPr>
                  </w:pPr>
                  <w:r>
                    <w:rPr>
                      <w:rFonts w:hint="eastAsia"/>
                      <w:szCs w:val="21"/>
                    </w:rPr>
                    <w:t>液压</w:t>
                  </w:r>
                  <w:r>
                    <w:rPr>
                      <w:szCs w:val="21"/>
                    </w:rPr>
                    <w:t>盘刹</w:t>
                  </w:r>
                </w:p>
              </w:tc>
              <w:tc>
                <w:tcPr>
                  <w:tcW w:w="1204" w:type="pct"/>
                  <w:vAlign w:val="center"/>
                </w:tcPr>
                <w:p w14:paraId="2E42A5A6">
                  <w:pPr>
                    <w:jc w:val="center"/>
                    <w:rPr>
                      <w:szCs w:val="21"/>
                    </w:rPr>
                  </w:pPr>
                  <w:r>
                    <w:rPr>
                      <w:szCs w:val="21"/>
                    </w:rPr>
                    <w:t>PSZ75</w:t>
                  </w:r>
                </w:p>
              </w:tc>
              <w:tc>
                <w:tcPr>
                  <w:tcW w:w="516" w:type="pct"/>
                  <w:vAlign w:val="center"/>
                </w:tcPr>
                <w:p w14:paraId="1BCF3986">
                  <w:pPr>
                    <w:jc w:val="center"/>
                    <w:rPr>
                      <w:szCs w:val="21"/>
                    </w:rPr>
                  </w:pPr>
                  <w:r>
                    <w:rPr>
                      <w:szCs w:val="21"/>
                    </w:rPr>
                    <w:t>1</w:t>
                  </w:r>
                </w:p>
              </w:tc>
              <w:tc>
                <w:tcPr>
                  <w:tcW w:w="431" w:type="pct"/>
                  <w:vAlign w:val="center"/>
                </w:tcPr>
                <w:p w14:paraId="4F302270">
                  <w:pPr>
                    <w:jc w:val="center"/>
                    <w:rPr>
                      <w:szCs w:val="21"/>
                    </w:rPr>
                  </w:pPr>
                  <w:r>
                    <w:rPr>
                      <w:szCs w:val="21"/>
                    </w:rPr>
                    <w:t>套</w:t>
                  </w:r>
                </w:p>
              </w:tc>
              <w:tc>
                <w:tcPr>
                  <w:tcW w:w="1122" w:type="pct"/>
                  <w:vAlign w:val="center"/>
                </w:tcPr>
                <w:p w14:paraId="39A08FF4">
                  <w:pPr>
                    <w:jc w:val="center"/>
                    <w:rPr>
                      <w:szCs w:val="21"/>
                    </w:rPr>
                  </w:pPr>
                </w:p>
              </w:tc>
            </w:tr>
            <w:tr w14:paraId="7DE3FC7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3B5756C1">
                  <w:pPr>
                    <w:jc w:val="center"/>
                    <w:rPr>
                      <w:szCs w:val="21"/>
                    </w:rPr>
                  </w:pPr>
                  <w:r>
                    <w:rPr>
                      <w:rFonts w:hint="eastAsia"/>
                      <w:szCs w:val="21"/>
                    </w:rPr>
                    <w:t>9</w:t>
                  </w:r>
                </w:p>
              </w:tc>
              <w:tc>
                <w:tcPr>
                  <w:tcW w:w="421" w:type="pct"/>
                  <w:gridSpan w:val="2"/>
                  <w:vMerge w:val="restart"/>
                  <w:vAlign w:val="center"/>
                </w:tcPr>
                <w:p w14:paraId="282101A3">
                  <w:pPr>
                    <w:snapToGrid w:val="0"/>
                    <w:jc w:val="center"/>
                    <w:rPr>
                      <w:szCs w:val="21"/>
                    </w:rPr>
                  </w:pPr>
                  <w:r>
                    <w:rPr>
                      <w:szCs w:val="21"/>
                    </w:rPr>
                    <w:t>固控系统</w:t>
                  </w:r>
                </w:p>
              </w:tc>
              <w:tc>
                <w:tcPr>
                  <w:tcW w:w="1032" w:type="pct"/>
                  <w:vAlign w:val="center"/>
                </w:tcPr>
                <w:p w14:paraId="77C9E6D8">
                  <w:pPr>
                    <w:snapToGrid w:val="0"/>
                    <w:jc w:val="center"/>
                    <w:rPr>
                      <w:szCs w:val="21"/>
                    </w:rPr>
                  </w:pPr>
                  <w:r>
                    <w:rPr>
                      <w:rFonts w:hint="eastAsia"/>
                      <w:szCs w:val="21"/>
                    </w:rPr>
                    <w:t>振动筛</w:t>
                  </w:r>
                </w:p>
              </w:tc>
              <w:tc>
                <w:tcPr>
                  <w:tcW w:w="1204" w:type="pct"/>
                  <w:vAlign w:val="center"/>
                </w:tcPr>
                <w:p w14:paraId="556E1FCD">
                  <w:pPr>
                    <w:tabs>
                      <w:tab w:val="left" w:pos="1680"/>
                    </w:tabs>
                    <w:snapToGrid w:val="0"/>
                    <w:jc w:val="center"/>
                    <w:rPr>
                      <w:szCs w:val="21"/>
                    </w:rPr>
                  </w:pPr>
                  <w:r>
                    <w:rPr>
                      <w:szCs w:val="21"/>
                    </w:rPr>
                    <w:t>ZS-Z/PT</w:t>
                  </w:r>
                </w:p>
              </w:tc>
              <w:tc>
                <w:tcPr>
                  <w:tcW w:w="516" w:type="pct"/>
                  <w:vAlign w:val="center"/>
                </w:tcPr>
                <w:p w14:paraId="1EA10A57">
                  <w:pPr>
                    <w:jc w:val="center"/>
                    <w:rPr>
                      <w:szCs w:val="21"/>
                    </w:rPr>
                  </w:pPr>
                  <w:r>
                    <w:rPr>
                      <w:rFonts w:hint="eastAsia"/>
                      <w:szCs w:val="21"/>
                    </w:rPr>
                    <w:t>3</w:t>
                  </w:r>
                </w:p>
              </w:tc>
              <w:tc>
                <w:tcPr>
                  <w:tcW w:w="431" w:type="pct"/>
                  <w:vAlign w:val="center"/>
                </w:tcPr>
                <w:p w14:paraId="7C8F106A">
                  <w:pPr>
                    <w:jc w:val="center"/>
                    <w:rPr>
                      <w:szCs w:val="21"/>
                    </w:rPr>
                  </w:pPr>
                  <w:r>
                    <w:rPr>
                      <w:rFonts w:hint="eastAsia"/>
                      <w:szCs w:val="21"/>
                    </w:rPr>
                    <w:t>座</w:t>
                  </w:r>
                </w:p>
              </w:tc>
              <w:tc>
                <w:tcPr>
                  <w:tcW w:w="1122" w:type="pct"/>
                  <w:vAlign w:val="center"/>
                </w:tcPr>
                <w:p w14:paraId="465B6B71">
                  <w:pPr>
                    <w:jc w:val="center"/>
                    <w:rPr>
                      <w:szCs w:val="21"/>
                    </w:rPr>
                  </w:pPr>
                  <w:r>
                    <w:rPr>
                      <w:rFonts w:hint="eastAsia"/>
                      <w:szCs w:val="21"/>
                    </w:rPr>
                    <w:t>两</w:t>
                  </w:r>
                  <w:r>
                    <w:rPr>
                      <w:szCs w:val="21"/>
                    </w:rPr>
                    <w:t>用一备</w:t>
                  </w:r>
                </w:p>
              </w:tc>
            </w:tr>
            <w:tr w14:paraId="4CE5CDA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4514AC0D">
                  <w:pPr>
                    <w:jc w:val="center"/>
                    <w:rPr>
                      <w:szCs w:val="21"/>
                    </w:rPr>
                  </w:pPr>
                </w:p>
              </w:tc>
              <w:tc>
                <w:tcPr>
                  <w:tcW w:w="421" w:type="pct"/>
                  <w:gridSpan w:val="2"/>
                  <w:vMerge w:val="continue"/>
                  <w:vAlign w:val="center"/>
                </w:tcPr>
                <w:p w14:paraId="410A8290">
                  <w:pPr>
                    <w:jc w:val="center"/>
                    <w:rPr>
                      <w:szCs w:val="21"/>
                    </w:rPr>
                  </w:pPr>
                </w:p>
              </w:tc>
              <w:tc>
                <w:tcPr>
                  <w:tcW w:w="1032" w:type="pct"/>
                  <w:vAlign w:val="center"/>
                </w:tcPr>
                <w:p w14:paraId="1324D823">
                  <w:pPr>
                    <w:jc w:val="center"/>
                    <w:rPr>
                      <w:szCs w:val="21"/>
                    </w:rPr>
                  </w:pPr>
                  <w:r>
                    <w:rPr>
                      <w:rFonts w:hint="eastAsia"/>
                      <w:szCs w:val="21"/>
                    </w:rPr>
                    <w:t>清洁器</w:t>
                  </w:r>
                </w:p>
              </w:tc>
              <w:tc>
                <w:tcPr>
                  <w:tcW w:w="1204" w:type="pct"/>
                  <w:vAlign w:val="center"/>
                </w:tcPr>
                <w:p w14:paraId="064854EA">
                  <w:pPr>
                    <w:tabs>
                      <w:tab w:val="left" w:pos="1680"/>
                    </w:tabs>
                    <w:snapToGrid w:val="0"/>
                    <w:jc w:val="center"/>
                    <w:rPr>
                      <w:szCs w:val="21"/>
                    </w:rPr>
                  </w:pPr>
                  <w:r>
                    <w:rPr>
                      <w:szCs w:val="21"/>
                    </w:rPr>
                    <w:t>QJ/300X2-100X12</w:t>
                  </w:r>
                </w:p>
              </w:tc>
              <w:tc>
                <w:tcPr>
                  <w:tcW w:w="516" w:type="pct"/>
                  <w:vAlign w:val="center"/>
                </w:tcPr>
                <w:p w14:paraId="4B0981F7">
                  <w:pPr>
                    <w:jc w:val="center"/>
                    <w:rPr>
                      <w:szCs w:val="21"/>
                    </w:rPr>
                  </w:pPr>
                  <w:r>
                    <w:rPr>
                      <w:szCs w:val="21"/>
                    </w:rPr>
                    <w:t>1</w:t>
                  </w:r>
                </w:p>
              </w:tc>
              <w:tc>
                <w:tcPr>
                  <w:tcW w:w="431" w:type="pct"/>
                  <w:vAlign w:val="center"/>
                </w:tcPr>
                <w:p w14:paraId="2F04D4A2">
                  <w:pPr>
                    <w:jc w:val="center"/>
                    <w:rPr>
                      <w:szCs w:val="21"/>
                    </w:rPr>
                  </w:pPr>
                  <w:r>
                    <w:rPr>
                      <w:rFonts w:hint="eastAsia"/>
                      <w:szCs w:val="21"/>
                    </w:rPr>
                    <w:t>台</w:t>
                  </w:r>
                </w:p>
              </w:tc>
              <w:tc>
                <w:tcPr>
                  <w:tcW w:w="1122" w:type="pct"/>
                  <w:vAlign w:val="center"/>
                </w:tcPr>
                <w:p w14:paraId="4B9C18EC">
                  <w:pPr>
                    <w:jc w:val="center"/>
                    <w:rPr>
                      <w:szCs w:val="21"/>
                    </w:rPr>
                  </w:pPr>
                </w:p>
              </w:tc>
            </w:tr>
            <w:tr w14:paraId="207E2AA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36751CCF">
                  <w:pPr>
                    <w:jc w:val="center"/>
                    <w:rPr>
                      <w:szCs w:val="21"/>
                    </w:rPr>
                  </w:pPr>
                </w:p>
              </w:tc>
              <w:tc>
                <w:tcPr>
                  <w:tcW w:w="421" w:type="pct"/>
                  <w:gridSpan w:val="2"/>
                  <w:vMerge w:val="continue"/>
                  <w:vAlign w:val="center"/>
                </w:tcPr>
                <w:p w14:paraId="2C787BD5">
                  <w:pPr>
                    <w:jc w:val="center"/>
                    <w:rPr>
                      <w:szCs w:val="21"/>
                    </w:rPr>
                  </w:pPr>
                </w:p>
              </w:tc>
              <w:tc>
                <w:tcPr>
                  <w:tcW w:w="1032" w:type="pct"/>
                  <w:vAlign w:val="center"/>
                </w:tcPr>
                <w:p w14:paraId="7EDAA85B">
                  <w:pPr>
                    <w:jc w:val="center"/>
                    <w:rPr>
                      <w:szCs w:val="21"/>
                    </w:rPr>
                  </w:pPr>
                  <w:r>
                    <w:rPr>
                      <w:szCs w:val="21"/>
                    </w:rPr>
                    <w:t>中速离心机</w:t>
                  </w:r>
                </w:p>
              </w:tc>
              <w:tc>
                <w:tcPr>
                  <w:tcW w:w="1204" w:type="pct"/>
                  <w:vAlign w:val="center"/>
                </w:tcPr>
                <w:p w14:paraId="021EBBB4">
                  <w:pPr>
                    <w:tabs>
                      <w:tab w:val="left" w:pos="1680"/>
                    </w:tabs>
                    <w:snapToGrid w:val="0"/>
                    <w:jc w:val="center"/>
                    <w:rPr>
                      <w:szCs w:val="21"/>
                    </w:rPr>
                  </w:pPr>
                  <w:r>
                    <w:rPr>
                      <w:szCs w:val="21"/>
                    </w:rPr>
                    <w:t>LW600-101</w:t>
                  </w:r>
                  <w:r>
                    <w:rPr>
                      <w:rFonts w:hint="eastAsia"/>
                      <w:szCs w:val="21"/>
                    </w:rPr>
                    <w:t>9</w:t>
                  </w:r>
                  <w:r>
                    <w:rPr>
                      <w:szCs w:val="21"/>
                    </w:rPr>
                    <w:t>N</w:t>
                  </w:r>
                </w:p>
              </w:tc>
              <w:tc>
                <w:tcPr>
                  <w:tcW w:w="516" w:type="pct"/>
                  <w:vAlign w:val="center"/>
                </w:tcPr>
                <w:p w14:paraId="28BB0A17">
                  <w:pPr>
                    <w:jc w:val="center"/>
                    <w:rPr>
                      <w:szCs w:val="21"/>
                    </w:rPr>
                  </w:pPr>
                  <w:r>
                    <w:rPr>
                      <w:rFonts w:hint="eastAsia"/>
                      <w:szCs w:val="21"/>
                    </w:rPr>
                    <w:t>1</w:t>
                  </w:r>
                </w:p>
              </w:tc>
              <w:tc>
                <w:tcPr>
                  <w:tcW w:w="431" w:type="pct"/>
                  <w:vAlign w:val="center"/>
                </w:tcPr>
                <w:p w14:paraId="36B611E8">
                  <w:pPr>
                    <w:jc w:val="center"/>
                    <w:rPr>
                      <w:szCs w:val="21"/>
                    </w:rPr>
                  </w:pPr>
                  <w:r>
                    <w:rPr>
                      <w:szCs w:val="21"/>
                    </w:rPr>
                    <w:t>台</w:t>
                  </w:r>
                </w:p>
              </w:tc>
              <w:tc>
                <w:tcPr>
                  <w:tcW w:w="1122" w:type="pct"/>
                  <w:vAlign w:val="center"/>
                </w:tcPr>
                <w:p w14:paraId="4A62A211">
                  <w:pPr>
                    <w:jc w:val="center"/>
                    <w:rPr>
                      <w:szCs w:val="21"/>
                    </w:rPr>
                  </w:pPr>
                </w:p>
              </w:tc>
            </w:tr>
            <w:tr w14:paraId="1AF81FC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41B67A13">
                  <w:pPr>
                    <w:jc w:val="center"/>
                    <w:rPr>
                      <w:szCs w:val="21"/>
                    </w:rPr>
                  </w:pPr>
                </w:p>
              </w:tc>
              <w:tc>
                <w:tcPr>
                  <w:tcW w:w="421" w:type="pct"/>
                  <w:gridSpan w:val="2"/>
                  <w:vMerge w:val="continue"/>
                  <w:vAlign w:val="center"/>
                </w:tcPr>
                <w:p w14:paraId="45B0BA74">
                  <w:pPr>
                    <w:jc w:val="center"/>
                    <w:rPr>
                      <w:szCs w:val="21"/>
                    </w:rPr>
                  </w:pPr>
                </w:p>
              </w:tc>
              <w:tc>
                <w:tcPr>
                  <w:tcW w:w="1032" w:type="pct"/>
                  <w:vAlign w:val="center"/>
                </w:tcPr>
                <w:p w14:paraId="671F2600">
                  <w:pPr>
                    <w:jc w:val="center"/>
                    <w:rPr>
                      <w:szCs w:val="21"/>
                    </w:rPr>
                  </w:pPr>
                  <w:r>
                    <w:rPr>
                      <w:rFonts w:hint="eastAsia"/>
                      <w:szCs w:val="21"/>
                    </w:rPr>
                    <w:t>高速离心机</w:t>
                  </w:r>
                </w:p>
              </w:tc>
              <w:tc>
                <w:tcPr>
                  <w:tcW w:w="1204" w:type="pct"/>
                  <w:vAlign w:val="center"/>
                </w:tcPr>
                <w:p w14:paraId="3277D800">
                  <w:pPr>
                    <w:tabs>
                      <w:tab w:val="left" w:pos="1680"/>
                    </w:tabs>
                    <w:snapToGrid w:val="0"/>
                    <w:jc w:val="center"/>
                    <w:rPr>
                      <w:szCs w:val="21"/>
                    </w:rPr>
                  </w:pPr>
                  <w:r>
                    <w:rPr>
                      <w:szCs w:val="21"/>
                    </w:rPr>
                    <w:t>LW355-1257-N-35</w:t>
                  </w:r>
                </w:p>
              </w:tc>
              <w:tc>
                <w:tcPr>
                  <w:tcW w:w="516" w:type="pct"/>
                  <w:vAlign w:val="center"/>
                </w:tcPr>
                <w:p w14:paraId="3CDBF277">
                  <w:pPr>
                    <w:jc w:val="center"/>
                    <w:rPr>
                      <w:szCs w:val="21"/>
                    </w:rPr>
                  </w:pPr>
                  <w:r>
                    <w:rPr>
                      <w:rFonts w:hint="eastAsia"/>
                      <w:szCs w:val="21"/>
                    </w:rPr>
                    <w:t>1</w:t>
                  </w:r>
                </w:p>
              </w:tc>
              <w:tc>
                <w:tcPr>
                  <w:tcW w:w="431" w:type="pct"/>
                  <w:vAlign w:val="center"/>
                </w:tcPr>
                <w:p w14:paraId="52404CC8">
                  <w:pPr>
                    <w:jc w:val="center"/>
                    <w:rPr>
                      <w:szCs w:val="21"/>
                    </w:rPr>
                  </w:pPr>
                  <w:r>
                    <w:rPr>
                      <w:szCs w:val="21"/>
                    </w:rPr>
                    <w:t>台</w:t>
                  </w:r>
                </w:p>
              </w:tc>
              <w:tc>
                <w:tcPr>
                  <w:tcW w:w="1122" w:type="pct"/>
                  <w:vAlign w:val="center"/>
                </w:tcPr>
                <w:p w14:paraId="7406CE7A">
                  <w:pPr>
                    <w:jc w:val="center"/>
                    <w:rPr>
                      <w:szCs w:val="21"/>
                    </w:rPr>
                  </w:pPr>
                </w:p>
              </w:tc>
            </w:tr>
            <w:tr w14:paraId="27756DC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6C82EFF6">
                  <w:pPr>
                    <w:jc w:val="center"/>
                    <w:rPr>
                      <w:szCs w:val="21"/>
                    </w:rPr>
                  </w:pPr>
                  <w:r>
                    <w:rPr>
                      <w:rFonts w:hint="eastAsia"/>
                      <w:szCs w:val="21"/>
                    </w:rPr>
                    <w:t>10</w:t>
                  </w:r>
                </w:p>
              </w:tc>
              <w:tc>
                <w:tcPr>
                  <w:tcW w:w="421" w:type="pct"/>
                  <w:gridSpan w:val="2"/>
                  <w:vMerge w:val="restart"/>
                  <w:vAlign w:val="center"/>
                </w:tcPr>
                <w:p w14:paraId="7550E367">
                  <w:pPr>
                    <w:snapToGrid w:val="0"/>
                    <w:jc w:val="center"/>
                    <w:rPr>
                      <w:szCs w:val="21"/>
                    </w:rPr>
                  </w:pPr>
                  <w:r>
                    <w:rPr>
                      <w:szCs w:val="21"/>
                    </w:rPr>
                    <w:t>加重装置</w:t>
                  </w:r>
                </w:p>
              </w:tc>
              <w:tc>
                <w:tcPr>
                  <w:tcW w:w="1032" w:type="pct"/>
                  <w:vAlign w:val="center"/>
                </w:tcPr>
                <w:p w14:paraId="7EF7F638">
                  <w:pPr>
                    <w:snapToGrid w:val="0"/>
                    <w:jc w:val="center"/>
                    <w:rPr>
                      <w:szCs w:val="21"/>
                    </w:rPr>
                  </w:pPr>
                  <w:r>
                    <w:rPr>
                      <w:szCs w:val="21"/>
                    </w:rPr>
                    <w:t>加</w:t>
                  </w:r>
                  <w:r>
                    <w:rPr>
                      <w:rFonts w:hint="eastAsia"/>
                      <w:szCs w:val="21"/>
                    </w:rPr>
                    <w:t>重</w:t>
                  </w:r>
                  <w:r>
                    <w:rPr>
                      <w:szCs w:val="21"/>
                    </w:rPr>
                    <w:t>漏斗</w:t>
                  </w:r>
                </w:p>
              </w:tc>
              <w:tc>
                <w:tcPr>
                  <w:tcW w:w="1204" w:type="pct"/>
                  <w:vAlign w:val="center"/>
                </w:tcPr>
                <w:p w14:paraId="1C2FD775">
                  <w:pPr>
                    <w:adjustRightInd w:val="0"/>
                    <w:snapToGrid w:val="0"/>
                    <w:jc w:val="center"/>
                    <w:rPr>
                      <w:szCs w:val="21"/>
                    </w:rPr>
                  </w:pPr>
                  <w:r>
                    <w:rPr>
                      <w:szCs w:val="21"/>
                    </w:rPr>
                    <w:t>喷射式</w:t>
                  </w:r>
                </w:p>
              </w:tc>
              <w:tc>
                <w:tcPr>
                  <w:tcW w:w="516" w:type="pct"/>
                  <w:vAlign w:val="center"/>
                </w:tcPr>
                <w:p w14:paraId="33DD3215">
                  <w:pPr>
                    <w:jc w:val="center"/>
                    <w:rPr>
                      <w:szCs w:val="21"/>
                    </w:rPr>
                  </w:pPr>
                  <w:r>
                    <w:rPr>
                      <w:rFonts w:hint="eastAsia"/>
                      <w:szCs w:val="21"/>
                    </w:rPr>
                    <w:t>2</w:t>
                  </w:r>
                </w:p>
              </w:tc>
              <w:tc>
                <w:tcPr>
                  <w:tcW w:w="431" w:type="pct"/>
                  <w:vAlign w:val="center"/>
                </w:tcPr>
                <w:p w14:paraId="3FA93A36">
                  <w:pPr>
                    <w:jc w:val="center"/>
                    <w:rPr>
                      <w:szCs w:val="21"/>
                    </w:rPr>
                  </w:pPr>
                  <w:r>
                    <w:rPr>
                      <w:szCs w:val="21"/>
                    </w:rPr>
                    <w:t>个</w:t>
                  </w:r>
                </w:p>
              </w:tc>
              <w:tc>
                <w:tcPr>
                  <w:tcW w:w="1122" w:type="pct"/>
                  <w:vAlign w:val="center"/>
                </w:tcPr>
                <w:p w14:paraId="0A131639">
                  <w:pPr>
                    <w:jc w:val="center"/>
                    <w:rPr>
                      <w:szCs w:val="21"/>
                    </w:rPr>
                  </w:pPr>
                </w:p>
              </w:tc>
            </w:tr>
            <w:tr w14:paraId="0BAFFCA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585D6EF2">
                  <w:pPr>
                    <w:jc w:val="center"/>
                    <w:rPr>
                      <w:szCs w:val="21"/>
                    </w:rPr>
                  </w:pPr>
                </w:p>
              </w:tc>
              <w:tc>
                <w:tcPr>
                  <w:tcW w:w="421" w:type="pct"/>
                  <w:gridSpan w:val="2"/>
                  <w:vMerge w:val="continue"/>
                  <w:vAlign w:val="center"/>
                </w:tcPr>
                <w:p w14:paraId="38A38F4E">
                  <w:pPr>
                    <w:jc w:val="center"/>
                    <w:rPr>
                      <w:szCs w:val="21"/>
                    </w:rPr>
                  </w:pPr>
                </w:p>
              </w:tc>
              <w:tc>
                <w:tcPr>
                  <w:tcW w:w="1032" w:type="pct"/>
                  <w:vAlign w:val="center"/>
                </w:tcPr>
                <w:p w14:paraId="422EE466">
                  <w:pPr>
                    <w:jc w:val="center"/>
                    <w:rPr>
                      <w:szCs w:val="21"/>
                    </w:rPr>
                  </w:pPr>
                  <w:r>
                    <w:rPr>
                      <w:szCs w:val="21"/>
                    </w:rPr>
                    <w:t>电</w:t>
                  </w:r>
                  <w:r>
                    <w:rPr>
                      <w:rFonts w:hint="eastAsia"/>
                      <w:szCs w:val="21"/>
                    </w:rPr>
                    <w:t>动</w:t>
                  </w:r>
                  <w:r>
                    <w:rPr>
                      <w:szCs w:val="21"/>
                    </w:rPr>
                    <w:t>加重泵</w:t>
                  </w:r>
                </w:p>
              </w:tc>
              <w:tc>
                <w:tcPr>
                  <w:tcW w:w="1204" w:type="pct"/>
                  <w:vAlign w:val="center"/>
                </w:tcPr>
                <w:p w14:paraId="7B05D930">
                  <w:pPr>
                    <w:jc w:val="center"/>
                    <w:rPr>
                      <w:szCs w:val="21"/>
                    </w:rPr>
                  </w:pPr>
                  <w:r>
                    <w:rPr>
                      <w:szCs w:val="21"/>
                    </w:rPr>
                    <w:t>SB*6J-12</w:t>
                  </w:r>
                </w:p>
              </w:tc>
              <w:tc>
                <w:tcPr>
                  <w:tcW w:w="516" w:type="pct"/>
                  <w:vAlign w:val="center"/>
                </w:tcPr>
                <w:p w14:paraId="5F4381A7">
                  <w:pPr>
                    <w:jc w:val="center"/>
                    <w:rPr>
                      <w:szCs w:val="21"/>
                    </w:rPr>
                  </w:pPr>
                  <w:r>
                    <w:rPr>
                      <w:rFonts w:hint="eastAsia"/>
                      <w:szCs w:val="21"/>
                    </w:rPr>
                    <w:t>2</w:t>
                  </w:r>
                </w:p>
              </w:tc>
              <w:tc>
                <w:tcPr>
                  <w:tcW w:w="431" w:type="pct"/>
                  <w:vAlign w:val="center"/>
                </w:tcPr>
                <w:p w14:paraId="1A5CB054">
                  <w:pPr>
                    <w:jc w:val="center"/>
                    <w:rPr>
                      <w:szCs w:val="21"/>
                    </w:rPr>
                  </w:pPr>
                  <w:r>
                    <w:rPr>
                      <w:szCs w:val="21"/>
                    </w:rPr>
                    <w:t>个</w:t>
                  </w:r>
                </w:p>
              </w:tc>
              <w:tc>
                <w:tcPr>
                  <w:tcW w:w="1122" w:type="pct"/>
                  <w:vAlign w:val="center"/>
                </w:tcPr>
                <w:p w14:paraId="4A5E60B1">
                  <w:pPr>
                    <w:jc w:val="center"/>
                    <w:rPr>
                      <w:szCs w:val="21"/>
                    </w:rPr>
                  </w:pPr>
                </w:p>
              </w:tc>
            </w:tr>
            <w:tr w14:paraId="36E0F15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21397B78">
                  <w:pPr>
                    <w:jc w:val="center"/>
                    <w:rPr>
                      <w:szCs w:val="21"/>
                    </w:rPr>
                  </w:pPr>
                  <w:r>
                    <w:rPr>
                      <w:szCs w:val="21"/>
                    </w:rPr>
                    <w:t>1</w:t>
                  </w:r>
                  <w:r>
                    <w:rPr>
                      <w:rFonts w:hint="eastAsia"/>
                      <w:szCs w:val="21"/>
                    </w:rPr>
                    <w:t>1</w:t>
                  </w:r>
                </w:p>
              </w:tc>
              <w:tc>
                <w:tcPr>
                  <w:tcW w:w="421" w:type="pct"/>
                  <w:gridSpan w:val="2"/>
                  <w:vMerge w:val="restart"/>
                  <w:vAlign w:val="center"/>
                </w:tcPr>
                <w:p w14:paraId="29EDAD90">
                  <w:pPr>
                    <w:snapToGrid w:val="0"/>
                    <w:jc w:val="center"/>
                    <w:rPr>
                      <w:szCs w:val="21"/>
                    </w:rPr>
                  </w:pPr>
                  <w:r>
                    <w:rPr>
                      <w:szCs w:val="21"/>
                    </w:rPr>
                    <w:t>井控</w:t>
                  </w:r>
                </w:p>
                <w:p w14:paraId="3C10A994">
                  <w:pPr>
                    <w:snapToGrid w:val="0"/>
                    <w:jc w:val="center"/>
                    <w:rPr>
                      <w:szCs w:val="21"/>
                    </w:rPr>
                  </w:pPr>
                  <w:r>
                    <w:rPr>
                      <w:szCs w:val="21"/>
                    </w:rPr>
                    <w:t>装置</w:t>
                  </w:r>
                </w:p>
              </w:tc>
              <w:tc>
                <w:tcPr>
                  <w:tcW w:w="1032" w:type="pct"/>
                  <w:vAlign w:val="center"/>
                </w:tcPr>
                <w:p w14:paraId="459A8465">
                  <w:pPr>
                    <w:jc w:val="center"/>
                    <w:rPr>
                      <w:szCs w:val="21"/>
                    </w:rPr>
                  </w:pPr>
                  <w:r>
                    <w:rPr>
                      <w:szCs w:val="21"/>
                    </w:rPr>
                    <w:t>环形防喷器</w:t>
                  </w:r>
                </w:p>
              </w:tc>
              <w:tc>
                <w:tcPr>
                  <w:tcW w:w="1204" w:type="pct"/>
                  <w:vAlign w:val="center"/>
                </w:tcPr>
                <w:p w14:paraId="079FA274">
                  <w:pPr>
                    <w:jc w:val="center"/>
                    <w:rPr>
                      <w:szCs w:val="21"/>
                    </w:rPr>
                  </w:pPr>
                  <w:r>
                    <w:rPr>
                      <w:szCs w:val="21"/>
                    </w:rPr>
                    <w:t>FH35-35/70</w:t>
                  </w:r>
                </w:p>
              </w:tc>
              <w:tc>
                <w:tcPr>
                  <w:tcW w:w="516" w:type="pct"/>
                  <w:vAlign w:val="center"/>
                </w:tcPr>
                <w:p w14:paraId="20639D42">
                  <w:pPr>
                    <w:jc w:val="center"/>
                    <w:rPr>
                      <w:szCs w:val="21"/>
                    </w:rPr>
                  </w:pPr>
                  <w:r>
                    <w:rPr>
                      <w:szCs w:val="21"/>
                    </w:rPr>
                    <w:t>1</w:t>
                  </w:r>
                </w:p>
              </w:tc>
              <w:tc>
                <w:tcPr>
                  <w:tcW w:w="431" w:type="pct"/>
                  <w:vAlign w:val="center"/>
                </w:tcPr>
                <w:p w14:paraId="7E8690CE">
                  <w:pPr>
                    <w:jc w:val="center"/>
                    <w:rPr>
                      <w:szCs w:val="21"/>
                    </w:rPr>
                  </w:pPr>
                  <w:r>
                    <w:rPr>
                      <w:szCs w:val="21"/>
                    </w:rPr>
                    <w:t>个</w:t>
                  </w:r>
                </w:p>
              </w:tc>
              <w:tc>
                <w:tcPr>
                  <w:tcW w:w="1122" w:type="pct"/>
                  <w:vAlign w:val="center"/>
                </w:tcPr>
                <w:p w14:paraId="64D32F1F">
                  <w:pPr>
                    <w:jc w:val="center"/>
                    <w:rPr>
                      <w:szCs w:val="21"/>
                    </w:rPr>
                  </w:pPr>
                </w:p>
              </w:tc>
            </w:tr>
            <w:tr w14:paraId="0B18837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590140C4">
                  <w:pPr>
                    <w:jc w:val="center"/>
                    <w:rPr>
                      <w:szCs w:val="21"/>
                    </w:rPr>
                  </w:pPr>
                </w:p>
              </w:tc>
              <w:tc>
                <w:tcPr>
                  <w:tcW w:w="421" w:type="pct"/>
                  <w:gridSpan w:val="2"/>
                  <w:vMerge w:val="continue"/>
                  <w:vAlign w:val="center"/>
                </w:tcPr>
                <w:p w14:paraId="0217FCED">
                  <w:pPr>
                    <w:jc w:val="center"/>
                    <w:rPr>
                      <w:szCs w:val="21"/>
                    </w:rPr>
                  </w:pPr>
                </w:p>
              </w:tc>
              <w:tc>
                <w:tcPr>
                  <w:tcW w:w="1032" w:type="pct"/>
                  <w:vAlign w:val="center"/>
                </w:tcPr>
                <w:p w14:paraId="1D54627B">
                  <w:pPr>
                    <w:jc w:val="center"/>
                    <w:rPr>
                      <w:szCs w:val="21"/>
                    </w:rPr>
                  </w:pPr>
                  <w:r>
                    <w:rPr>
                      <w:szCs w:val="21"/>
                    </w:rPr>
                    <w:t>双闸板防喷器</w:t>
                  </w:r>
                </w:p>
              </w:tc>
              <w:tc>
                <w:tcPr>
                  <w:tcW w:w="1204" w:type="pct"/>
                  <w:vAlign w:val="center"/>
                </w:tcPr>
                <w:p w14:paraId="7E757557">
                  <w:pPr>
                    <w:jc w:val="center"/>
                    <w:rPr>
                      <w:szCs w:val="21"/>
                    </w:rPr>
                  </w:pPr>
                  <w:r>
                    <w:rPr>
                      <w:szCs w:val="21"/>
                    </w:rPr>
                    <w:t>2FZ35-70</w:t>
                  </w:r>
                </w:p>
              </w:tc>
              <w:tc>
                <w:tcPr>
                  <w:tcW w:w="516" w:type="pct"/>
                  <w:vAlign w:val="center"/>
                </w:tcPr>
                <w:p w14:paraId="22A38BDC">
                  <w:pPr>
                    <w:jc w:val="center"/>
                    <w:rPr>
                      <w:szCs w:val="21"/>
                    </w:rPr>
                  </w:pPr>
                  <w:r>
                    <w:rPr>
                      <w:szCs w:val="21"/>
                    </w:rPr>
                    <w:t>1</w:t>
                  </w:r>
                </w:p>
              </w:tc>
              <w:tc>
                <w:tcPr>
                  <w:tcW w:w="431" w:type="pct"/>
                  <w:vAlign w:val="center"/>
                </w:tcPr>
                <w:p w14:paraId="0DDF3B16">
                  <w:pPr>
                    <w:jc w:val="center"/>
                    <w:rPr>
                      <w:szCs w:val="21"/>
                    </w:rPr>
                  </w:pPr>
                  <w:r>
                    <w:rPr>
                      <w:szCs w:val="21"/>
                    </w:rPr>
                    <w:t>个</w:t>
                  </w:r>
                </w:p>
              </w:tc>
              <w:tc>
                <w:tcPr>
                  <w:tcW w:w="1122" w:type="pct"/>
                  <w:vAlign w:val="center"/>
                </w:tcPr>
                <w:p w14:paraId="0B3B9614">
                  <w:pPr>
                    <w:jc w:val="center"/>
                    <w:rPr>
                      <w:szCs w:val="21"/>
                    </w:rPr>
                  </w:pPr>
                  <w:r>
                    <w:rPr>
                      <w:szCs w:val="21"/>
                    </w:rPr>
                    <w:t>全封</w:t>
                  </w:r>
                  <w:r>
                    <w:rPr>
                      <w:rFonts w:hint="eastAsia"/>
                      <w:szCs w:val="21"/>
                    </w:rPr>
                    <w:t>、</w:t>
                  </w:r>
                  <w:r>
                    <w:rPr>
                      <w:szCs w:val="21"/>
                    </w:rPr>
                    <w:t>半封</w:t>
                  </w:r>
                </w:p>
              </w:tc>
            </w:tr>
            <w:tr w14:paraId="41EA143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79B66EDB">
                  <w:pPr>
                    <w:jc w:val="center"/>
                    <w:rPr>
                      <w:szCs w:val="21"/>
                    </w:rPr>
                  </w:pPr>
                </w:p>
              </w:tc>
              <w:tc>
                <w:tcPr>
                  <w:tcW w:w="421" w:type="pct"/>
                  <w:gridSpan w:val="2"/>
                  <w:vMerge w:val="continue"/>
                  <w:vAlign w:val="center"/>
                </w:tcPr>
                <w:p w14:paraId="2AF62B78">
                  <w:pPr>
                    <w:jc w:val="center"/>
                    <w:rPr>
                      <w:szCs w:val="21"/>
                    </w:rPr>
                  </w:pPr>
                </w:p>
              </w:tc>
              <w:tc>
                <w:tcPr>
                  <w:tcW w:w="1032" w:type="pct"/>
                  <w:vAlign w:val="center"/>
                </w:tcPr>
                <w:p w14:paraId="4CDBA6ED">
                  <w:pPr>
                    <w:jc w:val="center"/>
                    <w:rPr>
                      <w:szCs w:val="21"/>
                    </w:rPr>
                  </w:pPr>
                  <w:r>
                    <w:rPr>
                      <w:szCs w:val="21"/>
                    </w:rPr>
                    <w:t>四通</w:t>
                  </w:r>
                </w:p>
              </w:tc>
              <w:tc>
                <w:tcPr>
                  <w:tcW w:w="1204" w:type="pct"/>
                  <w:vAlign w:val="center"/>
                </w:tcPr>
                <w:p w14:paraId="3338873C">
                  <w:pPr>
                    <w:jc w:val="center"/>
                    <w:rPr>
                      <w:szCs w:val="21"/>
                    </w:rPr>
                  </w:pPr>
                </w:p>
              </w:tc>
              <w:tc>
                <w:tcPr>
                  <w:tcW w:w="516" w:type="pct"/>
                  <w:vAlign w:val="center"/>
                </w:tcPr>
                <w:p w14:paraId="694E294B">
                  <w:pPr>
                    <w:jc w:val="center"/>
                    <w:rPr>
                      <w:szCs w:val="21"/>
                    </w:rPr>
                  </w:pPr>
                  <w:r>
                    <w:rPr>
                      <w:szCs w:val="21"/>
                    </w:rPr>
                    <w:t>1</w:t>
                  </w:r>
                </w:p>
              </w:tc>
              <w:tc>
                <w:tcPr>
                  <w:tcW w:w="431" w:type="pct"/>
                  <w:vAlign w:val="center"/>
                </w:tcPr>
                <w:p w14:paraId="6297E03E">
                  <w:pPr>
                    <w:jc w:val="center"/>
                    <w:rPr>
                      <w:szCs w:val="21"/>
                    </w:rPr>
                  </w:pPr>
                  <w:r>
                    <w:rPr>
                      <w:szCs w:val="21"/>
                    </w:rPr>
                    <w:t>个</w:t>
                  </w:r>
                </w:p>
              </w:tc>
              <w:tc>
                <w:tcPr>
                  <w:tcW w:w="1122" w:type="pct"/>
                  <w:vAlign w:val="center"/>
                </w:tcPr>
                <w:p w14:paraId="2DC444BA">
                  <w:pPr>
                    <w:jc w:val="center"/>
                    <w:rPr>
                      <w:szCs w:val="21"/>
                    </w:rPr>
                  </w:pPr>
                  <w:r>
                    <w:rPr>
                      <w:rFonts w:hint="eastAsia"/>
                      <w:szCs w:val="21"/>
                    </w:rPr>
                    <w:t>与防喷器相匹配</w:t>
                  </w:r>
                </w:p>
              </w:tc>
            </w:tr>
            <w:tr w14:paraId="425793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6F033F9B">
                  <w:pPr>
                    <w:jc w:val="center"/>
                    <w:rPr>
                      <w:szCs w:val="21"/>
                    </w:rPr>
                  </w:pPr>
                </w:p>
              </w:tc>
              <w:tc>
                <w:tcPr>
                  <w:tcW w:w="421" w:type="pct"/>
                  <w:gridSpan w:val="2"/>
                  <w:vMerge w:val="continue"/>
                  <w:vAlign w:val="center"/>
                </w:tcPr>
                <w:p w14:paraId="5BA60985">
                  <w:pPr>
                    <w:jc w:val="center"/>
                    <w:rPr>
                      <w:szCs w:val="21"/>
                    </w:rPr>
                  </w:pPr>
                </w:p>
              </w:tc>
              <w:tc>
                <w:tcPr>
                  <w:tcW w:w="1032" w:type="pct"/>
                  <w:vAlign w:val="center"/>
                </w:tcPr>
                <w:p w14:paraId="056CBF47">
                  <w:pPr>
                    <w:jc w:val="center"/>
                    <w:rPr>
                      <w:szCs w:val="21"/>
                    </w:rPr>
                  </w:pPr>
                  <w:r>
                    <w:rPr>
                      <w:szCs w:val="21"/>
                    </w:rPr>
                    <w:t>控制装置</w:t>
                  </w:r>
                </w:p>
              </w:tc>
              <w:tc>
                <w:tcPr>
                  <w:tcW w:w="1204" w:type="pct"/>
                  <w:vAlign w:val="center"/>
                </w:tcPr>
                <w:p w14:paraId="4820CB56">
                  <w:pPr>
                    <w:jc w:val="center"/>
                    <w:rPr>
                      <w:szCs w:val="21"/>
                    </w:rPr>
                  </w:pPr>
                  <w:r>
                    <w:rPr>
                      <w:szCs w:val="21"/>
                    </w:rPr>
                    <w:t>型号不做要求</w:t>
                  </w:r>
                </w:p>
              </w:tc>
              <w:tc>
                <w:tcPr>
                  <w:tcW w:w="516" w:type="pct"/>
                  <w:vAlign w:val="center"/>
                </w:tcPr>
                <w:p w14:paraId="185037E8">
                  <w:pPr>
                    <w:jc w:val="center"/>
                    <w:rPr>
                      <w:szCs w:val="21"/>
                    </w:rPr>
                  </w:pPr>
                  <w:r>
                    <w:rPr>
                      <w:szCs w:val="21"/>
                    </w:rPr>
                    <w:t>1</w:t>
                  </w:r>
                </w:p>
              </w:tc>
              <w:tc>
                <w:tcPr>
                  <w:tcW w:w="431" w:type="pct"/>
                  <w:vAlign w:val="center"/>
                </w:tcPr>
                <w:p w14:paraId="13123862">
                  <w:pPr>
                    <w:jc w:val="center"/>
                    <w:rPr>
                      <w:szCs w:val="21"/>
                    </w:rPr>
                  </w:pPr>
                  <w:r>
                    <w:rPr>
                      <w:szCs w:val="21"/>
                    </w:rPr>
                    <w:t>个</w:t>
                  </w:r>
                </w:p>
              </w:tc>
              <w:tc>
                <w:tcPr>
                  <w:tcW w:w="1122" w:type="pct"/>
                  <w:vAlign w:val="center"/>
                </w:tcPr>
                <w:p w14:paraId="2ECBB2DA">
                  <w:pPr>
                    <w:jc w:val="center"/>
                    <w:rPr>
                      <w:szCs w:val="21"/>
                    </w:rPr>
                  </w:pPr>
                </w:p>
              </w:tc>
            </w:tr>
            <w:tr w14:paraId="6AF359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7EA972C1">
                  <w:pPr>
                    <w:jc w:val="center"/>
                    <w:rPr>
                      <w:szCs w:val="21"/>
                    </w:rPr>
                  </w:pPr>
                </w:p>
              </w:tc>
              <w:tc>
                <w:tcPr>
                  <w:tcW w:w="421" w:type="pct"/>
                  <w:gridSpan w:val="2"/>
                  <w:vMerge w:val="continue"/>
                  <w:vAlign w:val="center"/>
                </w:tcPr>
                <w:p w14:paraId="0ED8C1B5">
                  <w:pPr>
                    <w:jc w:val="center"/>
                    <w:rPr>
                      <w:szCs w:val="21"/>
                    </w:rPr>
                  </w:pPr>
                </w:p>
              </w:tc>
              <w:tc>
                <w:tcPr>
                  <w:tcW w:w="1032" w:type="pct"/>
                  <w:vAlign w:val="center"/>
                </w:tcPr>
                <w:p w14:paraId="5D2DF3BA">
                  <w:pPr>
                    <w:jc w:val="center"/>
                    <w:rPr>
                      <w:szCs w:val="21"/>
                    </w:rPr>
                  </w:pPr>
                  <w:r>
                    <w:rPr>
                      <w:szCs w:val="21"/>
                    </w:rPr>
                    <w:t>司钻控制台</w:t>
                  </w:r>
                </w:p>
              </w:tc>
              <w:tc>
                <w:tcPr>
                  <w:tcW w:w="1204" w:type="pct"/>
                  <w:vAlign w:val="center"/>
                </w:tcPr>
                <w:p w14:paraId="64A82E5A">
                  <w:pPr>
                    <w:jc w:val="center"/>
                    <w:rPr>
                      <w:szCs w:val="21"/>
                    </w:rPr>
                  </w:pPr>
                  <w:r>
                    <w:rPr>
                      <w:szCs w:val="21"/>
                    </w:rPr>
                    <w:t>型号不做要求</w:t>
                  </w:r>
                </w:p>
              </w:tc>
              <w:tc>
                <w:tcPr>
                  <w:tcW w:w="516" w:type="pct"/>
                  <w:vAlign w:val="center"/>
                </w:tcPr>
                <w:p w14:paraId="605F51AE">
                  <w:pPr>
                    <w:jc w:val="center"/>
                    <w:rPr>
                      <w:szCs w:val="21"/>
                    </w:rPr>
                  </w:pPr>
                  <w:r>
                    <w:rPr>
                      <w:szCs w:val="21"/>
                    </w:rPr>
                    <w:t>1</w:t>
                  </w:r>
                </w:p>
              </w:tc>
              <w:tc>
                <w:tcPr>
                  <w:tcW w:w="431" w:type="pct"/>
                  <w:vAlign w:val="center"/>
                </w:tcPr>
                <w:p w14:paraId="13263E64">
                  <w:pPr>
                    <w:jc w:val="center"/>
                    <w:rPr>
                      <w:szCs w:val="21"/>
                    </w:rPr>
                  </w:pPr>
                  <w:r>
                    <w:rPr>
                      <w:szCs w:val="21"/>
                    </w:rPr>
                    <w:t>台</w:t>
                  </w:r>
                </w:p>
              </w:tc>
              <w:tc>
                <w:tcPr>
                  <w:tcW w:w="1122" w:type="pct"/>
                  <w:vAlign w:val="center"/>
                </w:tcPr>
                <w:p w14:paraId="7AD73CB1">
                  <w:pPr>
                    <w:jc w:val="center"/>
                    <w:rPr>
                      <w:szCs w:val="21"/>
                    </w:rPr>
                  </w:pPr>
                </w:p>
              </w:tc>
            </w:tr>
            <w:tr w14:paraId="1291EC9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408DB43D">
                  <w:pPr>
                    <w:jc w:val="center"/>
                    <w:rPr>
                      <w:szCs w:val="21"/>
                    </w:rPr>
                  </w:pPr>
                </w:p>
              </w:tc>
              <w:tc>
                <w:tcPr>
                  <w:tcW w:w="421" w:type="pct"/>
                  <w:gridSpan w:val="2"/>
                  <w:vMerge w:val="continue"/>
                  <w:vAlign w:val="center"/>
                </w:tcPr>
                <w:p w14:paraId="7B5B37A0">
                  <w:pPr>
                    <w:jc w:val="center"/>
                    <w:rPr>
                      <w:szCs w:val="21"/>
                    </w:rPr>
                  </w:pPr>
                </w:p>
              </w:tc>
              <w:tc>
                <w:tcPr>
                  <w:tcW w:w="1032" w:type="pct"/>
                  <w:vAlign w:val="center"/>
                </w:tcPr>
                <w:p w14:paraId="272E7C08">
                  <w:pPr>
                    <w:jc w:val="center"/>
                    <w:rPr>
                      <w:szCs w:val="21"/>
                    </w:rPr>
                  </w:pPr>
                  <w:r>
                    <w:rPr>
                      <w:szCs w:val="21"/>
                    </w:rPr>
                    <w:t>节流管汇</w:t>
                  </w:r>
                </w:p>
              </w:tc>
              <w:tc>
                <w:tcPr>
                  <w:tcW w:w="1204" w:type="pct"/>
                  <w:vAlign w:val="center"/>
                </w:tcPr>
                <w:p w14:paraId="1690D653">
                  <w:pPr>
                    <w:jc w:val="center"/>
                    <w:rPr>
                      <w:szCs w:val="21"/>
                    </w:rPr>
                  </w:pPr>
                  <w:r>
                    <w:rPr>
                      <w:szCs w:val="21"/>
                    </w:rPr>
                    <w:t>JG-</w:t>
                  </w:r>
                  <w:r>
                    <w:rPr>
                      <w:rFonts w:hint="eastAsia"/>
                      <w:szCs w:val="21"/>
                    </w:rPr>
                    <w:t>35</w:t>
                  </w:r>
                </w:p>
              </w:tc>
              <w:tc>
                <w:tcPr>
                  <w:tcW w:w="516" w:type="pct"/>
                  <w:vAlign w:val="center"/>
                </w:tcPr>
                <w:p w14:paraId="0850D7AD">
                  <w:pPr>
                    <w:jc w:val="center"/>
                    <w:rPr>
                      <w:szCs w:val="21"/>
                    </w:rPr>
                  </w:pPr>
                  <w:r>
                    <w:rPr>
                      <w:szCs w:val="21"/>
                    </w:rPr>
                    <w:t>1</w:t>
                  </w:r>
                </w:p>
              </w:tc>
              <w:tc>
                <w:tcPr>
                  <w:tcW w:w="431" w:type="pct"/>
                  <w:vAlign w:val="center"/>
                </w:tcPr>
                <w:p w14:paraId="2AC12610">
                  <w:pPr>
                    <w:jc w:val="center"/>
                    <w:rPr>
                      <w:szCs w:val="21"/>
                    </w:rPr>
                  </w:pPr>
                  <w:r>
                    <w:rPr>
                      <w:szCs w:val="21"/>
                    </w:rPr>
                    <w:t>个</w:t>
                  </w:r>
                </w:p>
              </w:tc>
              <w:tc>
                <w:tcPr>
                  <w:tcW w:w="1122" w:type="pct"/>
                  <w:vAlign w:val="center"/>
                </w:tcPr>
                <w:p w14:paraId="74E4BE03">
                  <w:pPr>
                    <w:jc w:val="center"/>
                    <w:rPr>
                      <w:szCs w:val="21"/>
                    </w:rPr>
                  </w:pPr>
                </w:p>
              </w:tc>
            </w:tr>
            <w:tr w14:paraId="79DE609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4B4CDCB2">
                  <w:pPr>
                    <w:jc w:val="center"/>
                    <w:rPr>
                      <w:szCs w:val="21"/>
                    </w:rPr>
                  </w:pPr>
                </w:p>
              </w:tc>
              <w:tc>
                <w:tcPr>
                  <w:tcW w:w="421" w:type="pct"/>
                  <w:gridSpan w:val="2"/>
                  <w:vMerge w:val="continue"/>
                  <w:vAlign w:val="center"/>
                </w:tcPr>
                <w:p w14:paraId="33BF8CA0">
                  <w:pPr>
                    <w:jc w:val="center"/>
                    <w:rPr>
                      <w:szCs w:val="21"/>
                    </w:rPr>
                  </w:pPr>
                </w:p>
              </w:tc>
              <w:tc>
                <w:tcPr>
                  <w:tcW w:w="1032" w:type="pct"/>
                  <w:vAlign w:val="center"/>
                </w:tcPr>
                <w:p w14:paraId="6229F433">
                  <w:pPr>
                    <w:jc w:val="center"/>
                    <w:rPr>
                      <w:szCs w:val="21"/>
                    </w:rPr>
                  </w:pPr>
                  <w:r>
                    <w:rPr>
                      <w:szCs w:val="21"/>
                    </w:rPr>
                    <w:t>压井管汇</w:t>
                  </w:r>
                </w:p>
              </w:tc>
              <w:tc>
                <w:tcPr>
                  <w:tcW w:w="1204" w:type="pct"/>
                  <w:vAlign w:val="center"/>
                </w:tcPr>
                <w:p w14:paraId="5F9ED0B0">
                  <w:pPr>
                    <w:jc w:val="center"/>
                    <w:rPr>
                      <w:szCs w:val="21"/>
                    </w:rPr>
                  </w:pPr>
                  <w:r>
                    <w:rPr>
                      <w:szCs w:val="21"/>
                    </w:rPr>
                    <w:t>YG-</w:t>
                  </w:r>
                  <w:r>
                    <w:rPr>
                      <w:rFonts w:hint="eastAsia"/>
                      <w:szCs w:val="21"/>
                    </w:rPr>
                    <w:t>35</w:t>
                  </w:r>
                </w:p>
              </w:tc>
              <w:tc>
                <w:tcPr>
                  <w:tcW w:w="516" w:type="pct"/>
                  <w:vAlign w:val="center"/>
                </w:tcPr>
                <w:p w14:paraId="77D8BAC5">
                  <w:pPr>
                    <w:jc w:val="center"/>
                    <w:rPr>
                      <w:szCs w:val="21"/>
                    </w:rPr>
                  </w:pPr>
                  <w:r>
                    <w:rPr>
                      <w:szCs w:val="21"/>
                    </w:rPr>
                    <w:t>1</w:t>
                  </w:r>
                </w:p>
              </w:tc>
              <w:tc>
                <w:tcPr>
                  <w:tcW w:w="431" w:type="pct"/>
                  <w:vAlign w:val="center"/>
                </w:tcPr>
                <w:p w14:paraId="780AAE68">
                  <w:pPr>
                    <w:jc w:val="center"/>
                    <w:rPr>
                      <w:szCs w:val="21"/>
                    </w:rPr>
                  </w:pPr>
                  <w:r>
                    <w:rPr>
                      <w:szCs w:val="21"/>
                    </w:rPr>
                    <w:t>个</w:t>
                  </w:r>
                </w:p>
              </w:tc>
              <w:tc>
                <w:tcPr>
                  <w:tcW w:w="1122" w:type="pct"/>
                  <w:vAlign w:val="center"/>
                </w:tcPr>
                <w:p w14:paraId="02A9C126">
                  <w:pPr>
                    <w:jc w:val="center"/>
                    <w:rPr>
                      <w:szCs w:val="21"/>
                    </w:rPr>
                  </w:pPr>
                </w:p>
              </w:tc>
            </w:tr>
            <w:tr w14:paraId="6FBC1B9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40F04DDA">
                  <w:pPr>
                    <w:jc w:val="center"/>
                    <w:rPr>
                      <w:szCs w:val="21"/>
                    </w:rPr>
                  </w:pPr>
                </w:p>
              </w:tc>
              <w:tc>
                <w:tcPr>
                  <w:tcW w:w="421" w:type="pct"/>
                  <w:gridSpan w:val="2"/>
                  <w:vMerge w:val="continue"/>
                  <w:vAlign w:val="center"/>
                </w:tcPr>
                <w:p w14:paraId="1F5374AE">
                  <w:pPr>
                    <w:jc w:val="center"/>
                    <w:rPr>
                      <w:szCs w:val="21"/>
                    </w:rPr>
                  </w:pPr>
                </w:p>
              </w:tc>
              <w:tc>
                <w:tcPr>
                  <w:tcW w:w="1032" w:type="pct"/>
                  <w:vAlign w:val="center"/>
                </w:tcPr>
                <w:p w14:paraId="13FA7724">
                  <w:pPr>
                    <w:jc w:val="center"/>
                    <w:rPr>
                      <w:szCs w:val="21"/>
                    </w:rPr>
                  </w:pPr>
                  <w:r>
                    <w:rPr>
                      <w:rFonts w:hint="eastAsia"/>
                      <w:szCs w:val="21"/>
                    </w:rPr>
                    <w:t>顶驱液动旋塞</w:t>
                  </w:r>
                </w:p>
              </w:tc>
              <w:tc>
                <w:tcPr>
                  <w:tcW w:w="1204" w:type="pct"/>
                  <w:vAlign w:val="center"/>
                </w:tcPr>
                <w:p w14:paraId="0C7CAE0C">
                  <w:pPr>
                    <w:jc w:val="center"/>
                    <w:rPr>
                      <w:szCs w:val="21"/>
                    </w:rPr>
                  </w:pPr>
                  <w:r>
                    <w:rPr>
                      <w:szCs w:val="21"/>
                    </w:rPr>
                    <w:t>197/70</w:t>
                  </w:r>
                </w:p>
              </w:tc>
              <w:tc>
                <w:tcPr>
                  <w:tcW w:w="516" w:type="pct"/>
                  <w:vAlign w:val="center"/>
                </w:tcPr>
                <w:p w14:paraId="1BF53846">
                  <w:pPr>
                    <w:jc w:val="center"/>
                    <w:rPr>
                      <w:szCs w:val="21"/>
                    </w:rPr>
                  </w:pPr>
                  <w:r>
                    <w:rPr>
                      <w:rFonts w:hint="eastAsia"/>
                      <w:szCs w:val="21"/>
                    </w:rPr>
                    <w:t>1</w:t>
                  </w:r>
                </w:p>
              </w:tc>
              <w:tc>
                <w:tcPr>
                  <w:tcW w:w="431" w:type="pct"/>
                  <w:vAlign w:val="center"/>
                </w:tcPr>
                <w:p w14:paraId="6A7F6221">
                  <w:pPr>
                    <w:jc w:val="center"/>
                    <w:rPr>
                      <w:szCs w:val="21"/>
                    </w:rPr>
                  </w:pPr>
                  <w:r>
                    <w:rPr>
                      <w:szCs w:val="21"/>
                    </w:rPr>
                    <w:t>个</w:t>
                  </w:r>
                </w:p>
              </w:tc>
              <w:tc>
                <w:tcPr>
                  <w:tcW w:w="1122" w:type="pct"/>
                  <w:vAlign w:val="center"/>
                </w:tcPr>
                <w:p w14:paraId="2353B228">
                  <w:pPr>
                    <w:jc w:val="center"/>
                    <w:rPr>
                      <w:szCs w:val="21"/>
                    </w:rPr>
                  </w:pPr>
                </w:p>
              </w:tc>
            </w:tr>
            <w:tr w14:paraId="00F0C05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54D5E76A">
                  <w:pPr>
                    <w:jc w:val="center"/>
                    <w:rPr>
                      <w:szCs w:val="21"/>
                    </w:rPr>
                  </w:pPr>
                </w:p>
              </w:tc>
              <w:tc>
                <w:tcPr>
                  <w:tcW w:w="421" w:type="pct"/>
                  <w:gridSpan w:val="2"/>
                  <w:vMerge w:val="continue"/>
                  <w:vAlign w:val="center"/>
                </w:tcPr>
                <w:p w14:paraId="2A3EDC22">
                  <w:pPr>
                    <w:jc w:val="center"/>
                    <w:rPr>
                      <w:szCs w:val="21"/>
                    </w:rPr>
                  </w:pPr>
                </w:p>
              </w:tc>
              <w:tc>
                <w:tcPr>
                  <w:tcW w:w="1032" w:type="pct"/>
                  <w:vAlign w:val="center"/>
                </w:tcPr>
                <w:p w14:paraId="0DF3129D">
                  <w:pPr>
                    <w:jc w:val="center"/>
                    <w:rPr>
                      <w:szCs w:val="21"/>
                    </w:rPr>
                  </w:pPr>
                  <w:r>
                    <w:rPr>
                      <w:rFonts w:hint="eastAsia"/>
                      <w:szCs w:val="21"/>
                    </w:rPr>
                    <w:t>顶驱手动旋塞</w:t>
                  </w:r>
                </w:p>
              </w:tc>
              <w:tc>
                <w:tcPr>
                  <w:tcW w:w="1204" w:type="pct"/>
                  <w:vAlign w:val="center"/>
                </w:tcPr>
                <w:p w14:paraId="7F0960F6">
                  <w:pPr>
                    <w:jc w:val="center"/>
                    <w:rPr>
                      <w:szCs w:val="21"/>
                    </w:rPr>
                  </w:pPr>
                  <w:r>
                    <w:rPr>
                      <w:szCs w:val="21"/>
                    </w:rPr>
                    <w:t>FXS197/70-6-5/8REG</w:t>
                  </w:r>
                </w:p>
              </w:tc>
              <w:tc>
                <w:tcPr>
                  <w:tcW w:w="516" w:type="pct"/>
                  <w:vAlign w:val="center"/>
                </w:tcPr>
                <w:p w14:paraId="7CB4B0B2">
                  <w:pPr>
                    <w:jc w:val="center"/>
                    <w:rPr>
                      <w:szCs w:val="21"/>
                    </w:rPr>
                  </w:pPr>
                  <w:r>
                    <w:rPr>
                      <w:rFonts w:hint="eastAsia"/>
                      <w:szCs w:val="21"/>
                    </w:rPr>
                    <w:t>1</w:t>
                  </w:r>
                </w:p>
              </w:tc>
              <w:tc>
                <w:tcPr>
                  <w:tcW w:w="431" w:type="pct"/>
                  <w:vAlign w:val="center"/>
                </w:tcPr>
                <w:p w14:paraId="2AB7298B">
                  <w:pPr>
                    <w:jc w:val="center"/>
                    <w:rPr>
                      <w:szCs w:val="21"/>
                    </w:rPr>
                  </w:pPr>
                  <w:r>
                    <w:rPr>
                      <w:szCs w:val="21"/>
                    </w:rPr>
                    <w:t>个</w:t>
                  </w:r>
                </w:p>
              </w:tc>
              <w:tc>
                <w:tcPr>
                  <w:tcW w:w="1122" w:type="pct"/>
                  <w:vAlign w:val="center"/>
                </w:tcPr>
                <w:p w14:paraId="09E2E0B3">
                  <w:pPr>
                    <w:jc w:val="center"/>
                    <w:rPr>
                      <w:szCs w:val="21"/>
                    </w:rPr>
                  </w:pPr>
                </w:p>
              </w:tc>
            </w:tr>
            <w:tr w14:paraId="5EDA4C4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3BCFE9CD">
                  <w:pPr>
                    <w:jc w:val="center"/>
                    <w:rPr>
                      <w:szCs w:val="21"/>
                    </w:rPr>
                  </w:pPr>
                </w:p>
              </w:tc>
              <w:tc>
                <w:tcPr>
                  <w:tcW w:w="421" w:type="pct"/>
                  <w:gridSpan w:val="2"/>
                  <w:vMerge w:val="continue"/>
                  <w:vAlign w:val="center"/>
                </w:tcPr>
                <w:p w14:paraId="07E40771">
                  <w:pPr>
                    <w:jc w:val="center"/>
                    <w:rPr>
                      <w:szCs w:val="21"/>
                    </w:rPr>
                  </w:pPr>
                </w:p>
              </w:tc>
              <w:tc>
                <w:tcPr>
                  <w:tcW w:w="1032" w:type="pct"/>
                  <w:vAlign w:val="center"/>
                </w:tcPr>
                <w:p w14:paraId="1BC58358">
                  <w:pPr>
                    <w:jc w:val="center"/>
                    <w:rPr>
                      <w:szCs w:val="21"/>
                    </w:rPr>
                  </w:pPr>
                  <w:r>
                    <w:rPr>
                      <w:szCs w:val="21"/>
                    </w:rPr>
                    <w:t>节流液控箱</w:t>
                  </w:r>
                </w:p>
              </w:tc>
              <w:tc>
                <w:tcPr>
                  <w:tcW w:w="1204" w:type="pct"/>
                  <w:vAlign w:val="center"/>
                </w:tcPr>
                <w:p w14:paraId="33B2CEED">
                  <w:pPr>
                    <w:jc w:val="center"/>
                    <w:rPr>
                      <w:szCs w:val="21"/>
                    </w:rPr>
                  </w:pPr>
                </w:p>
              </w:tc>
              <w:tc>
                <w:tcPr>
                  <w:tcW w:w="516" w:type="pct"/>
                  <w:vAlign w:val="center"/>
                </w:tcPr>
                <w:p w14:paraId="678054A1">
                  <w:pPr>
                    <w:jc w:val="center"/>
                    <w:rPr>
                      <w:szCs w:val="21"/>
                    </w:rPr>
                  </w:pPr>
                  <w:r>
                    <w:rPr>
                      <w:szCs w:val="21"/>
                    </w:rPr>
                    <w:t>1</w:t>
                  </w:r>
                </w:p>
              </w:tc>
              <w:tc>
                <w:tcPr>
                  <w:tcW w:w="431" w:type="pct"/>
                  <w:vAlign w:val="center"/>
                </w:tcPr>
                <w:p w14:paraId="46D8B0F6">
                  <w:pPr>
                    <w:jc w:val="center"/>
                    <w:rPr>
                      <w:szCs w:val="21"/>
                    </w:rPr>
                  </w:pPr>
                  <w:r>
                    <w:rPr>
                      <w:szCs w:val="21"/>
                    </w:rPr>
                    <w:t>个</w:t>
                  </w:r>
                </w:p>
              </w:tc>
              <w:tc>
                <w:tcPr>
                  <w:tcW w:w="1122" w:type="pct"/>
                  <w:vAlign w:val="center"/>
                </w:tcPr>
                <w:p w14:paraId="0704B3AB">
                  <w:pPr>
                    <w:jc w:val="center"/>
                    <w:rPr>
                      <w:szCs w:val="21"/>
                    </w:rPr>
                  </w:pPr>
                </w:p>
              </w:tc>
            </w:tr>
            <w:tr w14:paraId="31FA4CD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restart"/>
                  <w:vAlign w:val="center"/>
                </w:tcPr>
                <w:p w14:paraId="0BEA0AAB">
                  <w:pPr>
                    <w:jc w:val="center"/>
                    <w:rPr>
                      <w:szCs w:val="21"/>
                    </w:rPr>
                  </w:pPr>
                  <w:r>
                    <w:rPr>
                      <w:szCs w:val="21"/>
                    </w:rPr>
                    <w:t>1</w:t>
                  </w:r>
                  <w:r>
                    <w:rPr>
                      <w:rFonts w:hint="eastAsia"/>
                      <w:szCs w:val="21"/>
                    </w:rPr>
                    <w:t>2</w:t>
                  </w:r>
                </w:p>
              </w:tc>
              <w:tc>
                <w:tcPr>
                  <w:tcW w:w="421" w:type="pct"/>
                  <w:gridSpan w:val="2"/>
                  <w:vMerge w:val="restart"/>
                  <w:vAlign w:val="center"/>
                </w:tcPr>
                <w:p w14:paraId="12B9F02D">
                  <w:pPr>
                    <w:snapToGrid w:val="0"/>
                    <w:jc w:val="center"/>
                    <w:rPr>
                      <w:szCs w:val="21"/>
                    </w:rPr>
                  </w:pPr>
                  <w:r>
                    <w:rPr>
                      <w:szCs w:val="21"/>
                    </w:rPr>
                    <w:t>仪器</w:t>
                  </w:r>
                </w:p>
                <w:p w14:paraId="1A1AD749">
                  <w:pPr>
                    <w:snapToGrid w:val="0"/>
                    <w:jc w:val="center"/>
                    <w:rPr>
                      <w:szCs w:val="21"/>
                    </w:rPr>
                  </w:pPr>
                  <w:r>
                    <w:rPr>
                      <w:szCs w:val="21"/>
                    </w:rPr>
                    <w:t>仪表</w:t>
                  </w:r>
                </w:p>
              </w:tc>
              <w:tc>
                <w:tcPr>
                  <w:tcW w:w="1032" w:type="pct"/>
                  <w:vAlign w:val="center"/>
                </w:tcPr>
                <w:p w14:paraId="35461C07">
                  <w:pPr>
                    <w:snapToGrid w:val="0"/>
                    <w:jc w:val="center"/>
                    <w:rPr>
                      <w:szCs w:val="21"/>
                    </w:rPr>
                  </w:pPr>
                  <w:r>
                    <w:rPr>
                      <w:szCs w:val="21"/>
                    </w:rPr>
                    <w:t>钻井参数仪表</w:t>
                  </w:r>
                </w:p>
              </w:tc>
              <w:tc>
                <w:tcPr>
                  <w:tcW w:w="1204" w:type="pct"/>
                  <w:vAlign w:val="center"/>
                </w:tcPr>
                <w:p w14:paraId="0079CAD3">
                  <w:pPr>
                    <w:snapToGrid w:val="0"/>
                    <w:jc w:val="center"/>
                    <w:rPr>
                      <w:szCs w:val="21"/>
                    </w:rPr>
                  </w:pPr>
                  <w:r>
                    <w:rPr>
                      <w:szCs w:val="21"/>
                    </w:rPr>
                    <w:t>DM</w:t>
                  </w:r>
                </w:p>
              </w:tc>
              <w:tc>
                <w:tcPr>
                  <w:tcW w:w="516" w:type="pct"/>
                  <w:vAlign w:val="center"/>
                </w:tcPr>
                <w:p w14:paraId="6B2BE826">
                  <w:pPr>
                    <w:jc w:val="center"/>
                    <w:rPr>
                      <w:szCs w:val="21"/>
                    </w:rPr>
                  </w:pPr>
                  <w:r>
                    <w:rPr>
                      <w:szCs w:val="21"/>
                    </w:rPr>
                    <w:t>1</w:t>
                  </w:r>
                </w:p>
              </w:tc>
              <w:tc>
                <w:tcPr>
                  <w:tcW w:w="431" w:type="pct"/>
                  <w:vAlign w:val="center"/>
                </w:tcPr>
                <w:p w14:paraId="794CF8C6">
                  <w:pPr>
                    <w:jc w:val="center"/>
                    <w:rPr>
                      <w:szCs w:val="21"/>
                    </w:rPr>
                  </w:pPr>
                  <w:r>
                    <w:rPr>
                      <w:szCs w:val="21"/>
                    </w:rPr>
                    <w:t>套</w:t>
                  </w:r>
                </w:p>
              </w:tc>
              <w:tc>
                <w:tcPr>
                  <w:tcW w:w="1122" w:type="pct"/>
                  <w:vAlign w:val="center"/>
                </w:tcPr>
                <w:p w14:paraId="63A974B4">
                  <w:pPr>
                    <w:jc w:val="center"/>
                    <w:rPr>
                      <w:szCs w:val="21"/>
                    </w:rPr>
                  </w:pPr>
                  <w:r>
                    <w:rPr>
                      <w:rFonts w:hint="eastAsia"/>
                      <w:szCs w:val="21"/>
                    </w:rPr>
                    <w:t>含死绳固定器</w:t>
                  </w:r>
                </w:p>
              </w:tc>
            </w:tr>
            <w:tr w14:paraId="31F485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1BF111E0">
                  <w:pPr>
                    <w:jc w:val="center"/>
                    <w:rPr>
                      <w:szCs w:val="21"/>
                    </w:rPr>
                  </w:pPr>
                </w:p>
              </w:tc>
              <w:tc>
                <w:tcPr>
                  <w:tcW w:w="421" w:type="pct"/>
                  <w:gridSpan w:val="2"/>
                  <w:vMerge w:val="continue"/>
                  <w:vAlign w:val="center"/>
                </w:tcPr>
                <w:p w14:paraId="0ADC2EDB">
                  <w:pPr>
                    <w:jc w:val="center"/>
                    <w:rPr>
                      <w:szCs w:val="21"/>
                    </w:rPr>
                  </w:pPr>
                </w:p>
              </w:tc>
              <w:tc>
                <w:tcPr>
                  <w:tcW w:w="1032" w:type="pct"/>
                  <w:vAlign w:val="center"/>
                </w:tcPr>
                <w:p w14:paraId="0439E23F">
                  <w:pPr>
                    <w:jc w:val="center"/>
                    <w:rPr>
                      <w:szCs w:val="21"/>
                    </w:rPr>
                  </w:pPr>
                  <w:r>
                    <w:rPr>
                      <w:szCs w:val="21"/>
                    </w:rPr>
                    <w:t>测斜仪</w:t>
                  </w:r>
                </w:p>
              </w:tc>
              <w:tc>
                <w:tcPr>
                  <w:tcW w:w="1204" w:type="pct"/>
                  <w:vAlign w:val="center"/>
                </w:tcPr>
                <w:p w14:paraId="09385133">
                  <w:pPr>
                    <w:jc w:val="center"/>
                    <w:rPr>
                      <w:szCs w:val="21"/>
                    </w:rPr>
                  </w:pPr>
                  <w:r>
                    <w:rPr>
                      <w:rFonts w:hint="eastAsia"/>
                      <w:szCs w:val="21"/>
                    </w:rPr>
                    <w:t>MWD</w:t>
                  </w:r>
                </w:p>
              </w:tc>
              <w:tc>
                <w:tcPr>
                  <w:tcW w:w="516" w:type="pct"/>
                  <w:vAlign w:val="center"/>
                </w:tcPr>
                <w:p w14:paraId="6B6277CB">
                  <w:pPr>
                    <w:jc w:val="center"/>
                    <w:rPr>
                      <w:szCs w:val="21"/>
                    </w:rPr>
                  </w:pPr>
                  <w:r>
                    <w:rPr>
                      <w:szCs w:val="21"/>
                    </w:rPr>
                    <w:t>1</w:t>
                  </w:r>
                </w:p>
              </w:tc>
              <w:tc>
                <w:tcPr>
                  <w:tcW w:w="431" w:type="pct"/>
                  <w:vAlign w:val="center"/>
                </w:tcPr>
                <w:p w14:paraId="42EBD0C9">
                  <w:pPr>
                    <w:jc w:val="center"/>
                    <w:rPr>
                      <w:szCs w:val="21"/>
                    </w:rPr>
                  </w:pPr>
                  <w:r>
                    <w:rPr>
                      <w:szCs w:val="21"/>
                    </w:rPr>
                    <w:t>个</w:t>
                  </w:r>
                </w:p>
              </w:tc>
              <w:tc>
                <w:tcPr>
                  <w:tcW w:w="1122" w:type="pct"/>
                  <w:vAlign w:val="center"/>
                </w:tcPr>
                <w:p w14:paraId="3B15CF68">
                  <w:pPr>
                    <w:jc w:val="center"/>
                    <w:rPr>
                      <w:szCs w:val="21"/>
                    </w:rPr>
                  </w:pPr>
                </w:p>
              </w:tc>
            </w:tr>
            <w:tr w14:paraId="5AE282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72192F03">
                  <w:pPr>
                    <w:jc w:val="center"/>
                    <w:rPr>
                      <w:szCs w:val="21"/>
                    </w:rPr>
                  </w:pPr>
                </w:p>
              </w:tc>
              <w:tc>
                <w:tcPr>
                  <w:tcW w:w="421" w:type="pct"/>
                  <w:gridSpan w:val="2"/>
                  <w:vMerge w:val="continue"/>
                  <w:vAlign w:val="center"/>
                </w:tcPr>
                <w:p w14:paraId="4A472445">
                  <w:pPr>
                    <w:jc w:val="center"/>
                    <w:rPr>
                      <w:szCs w:val="21"/>
                    </w:rPr>
                  </w:pPr>
                </w:p>
              </w:tc>
              <w:tc>
                <w:tcPr>
                  <w:tcW w:w="1032" w:type="pct"/>
                  <w:vAlign w:val="center"/>
                </w:tcPr>
                <w:p w14:paraId="5F4BF4C5">
                  <w:pPr>
                    <w:jc w:val="center"/>
                    <w:rPr>
                      <w:szCs w:val="21"/>
                    </w:rPr>
                  </w:pPr>
                  <w:r>
                    <w:rPr>
                      <w:szCs w:val="21"/>
                    </w:rPr>
                    <w:t>测斜绞车</w:t>
                  </w:r>
                </w:p>
              </w:tc>
              <w:tc>
                <w:tcPr>
                  <w:tcW w:w="1204" w:type="pct"/>
                  <w:vAlign w:val="center"/>
                </w:tcPr>
                <w:p w14:paraId="38208ED9">
                  <w:pPr>
                    <w:jc w:val="center"/>
                    <w:rPr>
                      <w:szCs w:val="21"/>
                    </w:rPr>
                  </w:pPr>
                </w:p>
              </w:tc>
              <w:tc>
                <w:tcPr>
                  <w:tcW w:w="516" w:type="pct"/>
                  <w:vAlign w:val="center"/>
                </w:tcPr>
                <w:p w14:paraId="7BDCE7EE">
                  <w:pPr>
                    <w:jc w:val="center"/>
                    <w:rPr>
                      <w:szCs w:val="21"/>
                    </w:rPr>
                  </w:pPr>
                  <w:r>
                    <w:rPr>
                      <w:szCs w:val="21"/>
                    </w:rPr>
                    <w:t>1</w:t>
                  </w:r>
                </w:p>
              </w:tc>
              <w:tc>
                <w:tcPr>
                  <w:tcW w:w="431" w:type="pct"/>
                  <w:vAlign w:val="center"/>
                </w:tcPr>
                <w:p w14:paraId="0DB19279">
                  <w:pPr>
                    <w:jc w:val="center"/>
                    <w:rPr>
                      <w:szCs w:val="21"/>
                    </w:rPr>
                  </w:pPr>
                  <w:r>
                    <w:rPr>
                      <w:szCs w:val="21"/>
                    </w:rPr>
                    <w:t>个</w:t>
                  </w:r>
                </w:p>
              </w:tc>
              <w:tc>
                <w:tcPr>
                  <w:tcW w:w="1122" w:type="pct"/>
                  <w:vAlign w:val="center"/>
                </w:tcPr>
                <w:p w14:paraId="1C6269A5">
                  <w:pPr>
                    <w:jc w:val="center"/>
                    <w:rPr>
                      <w:szCs w:val="21"/>
                    </w:rPr>
                  </w:pPr>
                </w:p>
              </w:tc>
            </w:tr>
            <w:tr w14:paraId="6F9400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Merge w:val="continue"/>
                  <w:vAlign w:val="center"/>
                </w:tcPr>
                <w:p w14:paraId="1FE970D9">
                  <w:pPr>
                    <w:jc w:val="center"/>
                    <w:rPr>
                      <w:szCs w:val="21"/>
                    </w:rPr>
                  </w:pPr>
                </w:p>
              </w:tc>
              <w:tc>
                <w:tcPr>
                  <w:tcW w:w="421" w:type="pct"/>
                  <w:gridSpan w:val="2"/>
                  <w:vMerge w:val="continue"/>
                  <w:vAlign w:val="center"/>
                </w:tcPr>
                <w:p w14:paraId="1CF02CF8">
                  <w:pPr>
                    <w:jc w:val="center"/>
                    <w:rPr>
                      <w:szCs w:val="21"/>
                    </w:rPr>
                  </w:pPr>
                </w:p>
              </w:tc>
              <w:tc>
                <w:tcPr>
                  <w:tcW w:w="1032" w:type="pct"/>
                  <w:vAlign w:val="center"/>
                </w:tcPr>
                <w:p w14:paraId="07031F17">
                  <w:pPr>
                    <w:jc w:val="center"/>
                    <w:rPr>
                      <w:szCs w:val="21"/>
                    </w:rPr>
                  </w:pPr>
                  <w:r>
                    <w:rPr>
                      <w:szCs w:val="21"/>
                    </w:rPr>
                    <w:t>液位报警仪</w:t>
                  </w:r>
                </w:p>
              </w:tc>
              <w:tc>
                <w:tcPr>
                  <w:tcW w:w="1204" w:type="pct"/>
                  <w:vAlign w:val="center"/>
                </w:tcPr>
                <w:p w14:paraId="18931B49">
                  <w:pPr>
                    <w:jc w:val="center"/>
                    <w:rPr>
                      <w:szCs w:val="21"/>
                    </w:rPr>
                  </w:pPr>
                </w:p>
              </w:tc>
              <w:tc>
                <w:tcPr>
                  <w:tcW w:w="516" w:type="pct"/>
                  <w:vAlign w:val="center"/>
                </w:tcPr>
                <w:p w14:paraId="7039D627">
                  <w:pPr>
                    <w:jc w:val="center"/>
                    <w:rPr>
                      <w:szCs w:val="21"/>
                    </w:rPr>
                  </w:pPr>
                  <w:r>
                    <w:rPr>
                      <w:szCs w:val="21"/>
                    </w:rPr>
                    <w:t>1</w:t>
                  </w:r>
                </w:p>
              </w:tc>
              <w:tc>
                <w:tcPr>
                  <w:tcW w:w="431" w:type="pct"/>
                  <w:vAlign w:val="center"/>
                </w:tcPr>
                <w:p w14:paraId="4B812122">
                  <w:pPr>
                    <w:jc w:val="center"/>
                    <w:rPr>
                      <w:szCs w:val="21"/>
                    </w:rPr>
                  </w:pPr>
                  <w:r>
                    <w:rPr>
                      <w:szCs w:val="21"/>
                    </w:rPr>
                    <w:t>个</w:t>
                  </w:r>
                </w:p>
              </w:tc>
              <w:tc>
                <w:tcPr>
                  <w:tcW w:w="1122" w:type="pct"/>
                  <w:vAlign w:val="center"/>
                </w:tcPr>
                <w:p w14:paraId="1FA432DA">
                  <w:pPr>
                    <w:jc w:val="center"/>
                    <w:rPr>
                      <w:szCs w:val="21"/>
                    </w:rPr>
                  </w:pPr>
                </w:p>
              </w:tc>
            </w:tr>
            <w:tr w14:paraId="0B4A132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29D1CF93">
                  <w:pPr>
                    <w:jc w:val="center"/>
                    <w:rPr>
                      <w:szCs w:val="21"/>
                    </w:rPr>
                  </w:pPr>
                  <w:r>
                    <w:rPr>
                      <w:szCs w:val="21"/>
                    </w:rPr>
                    <w:t>1</w:t>
                  </w:r>
                  <w:r>
                    <w:rPr>
                      <w:rFonts w:hint="eastAsia"/>
                      <w:szCs w:val="21"/>
                    </w:rPr>
                    <w:t>3</w:t>
                  </w:r>
                </w:p>
              </w:tc>
              <w:tc>
                <w:tcPr>
                  <w:tcW w:w="1452" w:type="pct"/>
                  <w:gridSpan w:val="3"/>
                  <w:vAlign w:val="center"/>
                </w:tcPr>
                <w:p w14:paraId="28D1BF43">
                  <w:pPr>
                    <w:snapToGrid w:val="0"/>
                    <w:jc w:val="center"/>
                    <w:rPr>
                      <w:szCs w:val="21"/>
                    </w:rPr>
                  </w:pPr>
                  <w:r>
                    <w:rPr>
                      <w:szCs w:val="21"/>
                    </w:rPr>
                    <w:t>液压大钳</w:t>
                  </w:r>
                </w:p>
              </w:tc>
              <w:tc>
                <w:tcPr>
                  <w:tcW w:w="1204" w:type="pct"/>
                  <w:vAlign w:val="center"/>
                </w:tcPr>
                <w:p w14:paraId="1131DEF5">
                  <w:pPr>
                    <w:snapToGrid w:val="0"/>
                    <w:jc w:val="center"/>
                    <w:rPr>
                      <w:szCs w:val="21"/>
                    </w:rPr>
                  </w:pPr>
                </w:p>
              </w:tc>
              <w:tc>
                <w:tcPr>
                  <w:tcW w:w="516" w:type="pct"/>
                  <w:vAlign w:val="center"/>
                </w:tcPr>
                <w:p w14:paraId="441E2DE8">
                  <w:pPr>
                    <w:jc w:val="center"/>
                    <w:rPr>
                      <w:szCs w:val="21"/>
                    </w:rPr>
                  </w:pPr>
                  <w:r>
                    <w:rPr>
                      <w:rFonts w:hint="eastAsia"/>
                      <w:szCs w:val="21"/>
                    </w:rPr>
                    <w:t>1</w:t>
                  </w:r>
                </w:p>
              </w:tc>
              <w:tc>
                <w:tcPr>
                  <w:tcW w:w="431" w:type="pct"/>
                  <w:vAlign w:val="center"/>
                </w:tcPr>
                <w:p w14:paraId="190006D9">
                  <w:pPr>
                    <w:jc w:val="center"/>
                    <w:rPr>
                      <w:szCs w:val="21"/>
                    </w:rPr>
                  </w:pPr>
                  <w:r>
                    <w:rPr>
                      <w:szCs w:val="21"/>
                    </w:rPr>
                    <w:t>个</w:t>
                  </w:r>
                </w:p>
              </w:tc>
              <w:tc>
                <w:tcPr>
                  <w:tcW w:w="1122" w:type="pct"/>
                  <w:vAlign w:val="center"/>
                </w:tcPr>
                <w:p w14:paraId="29E2BF8B">
                  <w:pPr>
                    <w:jc w:val="center"/>
                    <w:rPr>
                      <w:szCs w:val="21"/>
                    </w:rPr>
                  </w:pPr>
                </w:p>
              </w:tc>
            </w:tr>
            <w:tr w14:paraId="4AF2751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7014ADA8">
                  <w:pPr>
                    <w:jc w:val="center"/>
                    <w:rPr>
                      <w:szCs w:val="21"/>
                    </w:rPr>
                  </w:pPr>
                  <w:r>
                    <w:rPr>
                      <w:szCs w:val="21"/>
                    </w:rPr>
                    <w:t>1</w:t>
                  </w:r>
                  <w:r>
                    <w:rPr>
                      <w:rFonts w:hint="eastAsia"/>
                      <w:szCs w:val="21"/>
                    </w:rPr>
                    <w:t>4</w:t>
                  </w:r>
                </w:p>
              </w:tc>
              <w:tc>
                <w:tcPr>
                  <w:tcW w:w="1452" w:type="pct"/>
                  <w:gridSpan w:val="3"/>
                  <w:vAlign w:val="center"/>
                </w:tcPr>
                <w:p w14:paraId="689A1B1D">
                  <w:pPr>
                    <w:adjustRightInd w:val="0"/>
                    <w:snapToGrid w:val="0"/>
                    <w:jc w:val="center"/>
                    <w:rPr>
                      <w:szCs w:val="21"/>
                    </w:rPr>
                  </w:pPr>
                  <w:r>
                    <w:rPr>
                      <w:szCs w:val="21"/>
                    </w:rPr>
                    <w:t>液气分离器</w:t>
                  </w:r>
                </w:p>
              </w:tc>
              <w:tc>
                <w:tcPr>
                  <w:tcW w:w="1204" w:type="pct"/>
                  <w:vAlign w:val="center"/>
                </w:tcPr>
                <w:p w14:paraId="3EE04E16">
                  <w:pPr>
                    <w:adjustRightInd w:val="0"/>
                    <w:snapToGrid w:val="0"/>
                    <w:jc w:val="center"/>
                    <w:rPr>
                      <w:szCs w:val="21"/>
                    </w:rPr>
                  </w:pPr>
                  <w:r>
                    <w:rPr>
                      <w:szCs w:val="21"/>
                    </w:rPr>
                    <w:t>NQF1200-2.5</w:t>
                  </w:r>
                </w:p>
              </w:tc>
              <w:tc>
                <w:tcPr>
                  <w:tcW w:w="516" w:type="pct"/>
                  <w:vAlign w:val="center"/>
                </w:tcPr>
                <w:p w14:paraId="080DA689">
                  <w:pPr>
                    <w:jc w:val="center"/>
                    <w:rPr>
                      <w:szCs w:val="21"/>
                    </w:rPr>
                  </w:pPr>
                  <w:r>
                    <w:rPr>
                      <w:szCs w:val="21"/>
                    </w:rPr>
                    <w:t>1</w:t>
                  </w:r>
                </w:p>
              </w:tc>
              <w:tc>
                <w:tcPr>
                  <w:tcW w:w="431" w:type="pct"/>
                  <w:vAlign w:val="center"/>
                </w:tcPr>
                <w:p w14:paraId="1AA9DAC1">
                  <w:pPr>
                    <w:jc w:val="center"/>
                    <w:rPr>
                      <w:szCs w:val="21"/>
                    </w:rPr>
                  </w:pPr>
                  <w:r>
                    <w:rPr>
                      <w:szCs w:val="21"/>
                    </w:rPr>
                    <w:t>套</w:t>
                  </w:r>
                </w:p>
              </w:tc>
              <w:tc>
                <w:tcPr>
                  <w:tcW w:w="1122" w:type="pct"/>
                  <w:vAlign w:val="center"/>
                </w:tcPr>
                <w:p w14:paraId="7BBA34D9">
                  <w:pPr>
                    <w:jc w:val="center"/>
                    <w:rPr>
                      <w:szCs w:val="21"/>
                    </w:rPr>
                  </w:pPr>
                </w:p>
              </w:tc>
            </w:tr>
            <w:tr w14:paraId="6E49F5E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657D9450">
                  <w:pPr>
                    <w:jc w:val="center"/>
                    <w:rPr>
                      <w:szCs w:val="21"/>
                    </w:rPr>
                  </w:pPr>
                  <w:r>
                    <w:rPr>
                      <w:szCs w:val="21"/>
                    </w:rPr>
                    <w:t>1</w:t>
                  </w:r>
                  <w:r>
                    <w:rPr>
                      <w:rFonts w:hint="eastAsia"/>
                      <w:szCs w:val="21"/>
                    </w:rPr>
                    <w:t>5</w:t>
                  </w:r>
                </w:p>
              </w:tc>
              <w:tc>
                <w:tcPr>
                  <w:tcW w:w="1452" w:type="pct"/>
                  <w:gridSpan w:val="3"/>
                  <w:vAlign w:val="center"/>
                </w:tcPr>
                <w:p w14:paraId="426C078A">
                  <w:pPr>
                    <w:adjustRightInd w:val="0"/>
                    <w:snapToGrid w:val="0"/>
                    <w:jc w:val="center"/>
                    <w:rPr>
                      <w:szCs w:val="21"/>
                    </w:rPr>
                  </w:pPr>
                  <w:r>
                    <w:rPr>
                      <w:szCs w:val="21"/>
                    </w:rPr>
                    <w:t>自动点</w:t>
                  </w:r>
                  <w:r>
                    <w:rPr>
                      <w:rFonts w:hint="eastAsia"/>
                      <w:szCs w:val="21"/>
                    </w:rPr>
                    <w:t>火</w:t>
                  </w:r>
                  <w:r>
                    <w:rPr>
                      <w:szCs w:val="21"/>
                    </w:rPr>
                    <w:t>装置</w:t>
                  </w:r>
                </w:p>
              </w:tc>
              <w:tc>
                <w:tcPr>
                  <w:tcW w:w="1204" w:type="pct"/>
                  <w:vAlign w:val="center"/>
                </w:tcPr>
                <w:p w14:paraId="05F9BE0B">
                  <w:pPr>
                    <w:adjustRightInd w:val="0"/>
                    <w:snapToGrid w:val="0"/>
                    <w:jc w:val="center"/>
                    <w:rPr>
                      <w:szCs w:val="21"/>
                    </w:rPr>
                  </w:pPr>
                </w:p>
              </w:tc>
              <w:tc>
                <w:tcPr>
                  <w:tcW w:w="516" w:type="pct"/>
                  <w:vAlign w:val="center"/>
                </w:tcPr>
                <w:p w14:paraId="1CC735DE">
                  <w:pPr>
                    <w:jc w:val="center"/>
                    <w:rPr>
                      <w:szCs w:val="21"/>
                    </w:rPr>
                  </w:pPr>
                  <w:r>
                    <w:rPr>
                      <w:szCs w:val="21"/>
                    </w:rPr>
                    <w:t>1</w:t>
                  </w:r>
                </w:p>
              </w:tc>
              <w:tc>
                <w:tcPr>
                  <w:tcW w:w="431" w:type="pct"/>
                  <w:vAlign w:val="center"/>
                </w:tcPr>
                <w:p w14:paraId="61341055">
                  <w:pPr>
                    <w:jc w:val="center"/>
                    <w:rPr>
                      <w:szCs w:val="21"/>
                    </w:rPr>
                  </w:pPr>
                  <w:r>
                    <w:rPr>
                      <w:szCs w:val="21"/>
                    </w:rPr>
                    <w:t>套</w:t>
                  </w:r>
                </w:p>
              </w:tc>
              <w:tc>
                <w:tcPr>
                  <w:tcW w:w="1122" w:type="pct"/>
                  <w:vAlign w:val="center"/>
                </w:tcPr>
                <w:p w14:paraId="2AE1C7F3">
                  <w:pPr>
                    <w:jc w:val="center"/>
                    <w:rPr>
                      <w:szCs w:val="21"/>
                    </w:rPr>
                  </w:pPr>
                </w:p>
              </w:tc>
            </w:tr>
            <w:tr w14:paraId="4BBD3C4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1FE08B2E">
                  <w:pPr>
                    <w:jc w:val="center"/>
                    <w:rPr>
                      <w:szCs w:val="21"/>
                    </w:rPr>
                  </w:pPr>
                  <w:r>
                    <w:rPr>
                      <w:szCs w:val="21"/>
                    </w:rPr>
                    <w:t>1</w:t>
                  </w:r>
                  <w:r>
                    <w:rPr>
                      <w:rFonts w:hint="eastAsia"/>
                      <w:szCs w:val="21"/>
                    </w:rPr>
                    <w:t>6</w:t>
                  </w:r>
                </w:p>
              </w:tc>
              <w:tc>
                <w:tcPr>
                  <w:tcW w:w="1452" w:type="pct"/>
                  <w:gridSpan w:val="3"/>
                  <w:vAlign w:val="center"/>
                </w:tcPr>
                <w:p w14:paraId="1AD98BD9">
                  <w:pPr>
                    <w:adjustRightInd w:val="0"/>
                    <w:snapToGrid w:val="0"/>
                    <w:jc w:val="center"/>
                    <w:rPr>
                      <w:szCs w:val="21"/>
                    </w:rPr>
                  </w:pPr>
                  <w:r>
                    <w:rPr>
                      <w:rFonts w:hint="eastAsia"/>
                      <w:szCs w:val="21"/>
                    </w:rPr>
                    <w:t>柴油</w:t>
                  </w:r>
                  <w:r>
                    <w:rPr>
                      <w:szCs w:val="21"/>
                    </w:rPr>
                    <w:t>罐</w:t>
                  </w:r>
                </w:p>
              </w:tc>
              <w:tc>
                <w:tcPr>
                  <w:tcW w:w="1204" w:type="pct"/>
                  <w:vAlign w:val="center"/>
                </w:tcPr>
                <w:p w14:paraId="5CB5C915">
                  <w:pPr>
                    <w:adjustRightInd w:val="0"/>
                    <w:snapToGrid w:val="0"/>
                    <w:jc w:val="center"/>
                    <w:rPr>
                      <w:szCs w:val="21"/>
                    </w:rPr>
                  </w:pPr>
                  <w:r>
                    <w:rPr>
                      <w:szCs w:val="21"/>
                    </w:rPr>
                    <w:t>40m</w:t>
                  </w:r>
                  <w:r>
                    <w:rPr>
                      <w:szCs w:val="21"/>
                      <w:vertAlign w:val="superscript"/>
                    </w:rPr>
                    <w:t>3</w:t>
                  </w:r>
                </w:p>
              </w:tc>
              <w:tc>
                <w:tcPr>
                  <w:tcW w:w="516" w:type="pct"/>
                  <w:vAlign w:val="center"/>
                </w:tcPr>
                <w:p w14:paraId="3361D733">
                  <w:pPr>
                    <w:adjustRightInd w:val="0"/>
                    <w:snapToGrid w:val="0"/>
                    <w:spacing w:before="62" w:after="62"/>
                    <w:jc w:val="center"/>
                    <w:rPr>
                      <w:szCs w:val="21"/>
                    </w:rPr>
                  </w:pPr>
                  <w:r>
                    <w:rPr>
                      <w:rFonts w:hint="eastAsia"/>
                      <w:szCs w:val="21"/>
                    </w:rPr>
                    <w:t>1</w:t>
                  </w:r>
                </w:p>
              </w:tc>
              <w:tc>
                <w:tcPr>
                  <w:tcW w:w="431" w:type="pct"/>
                  <w:vAlign w:val="center"/>
                </w:tcPr>
                <w:p w14:paraId="3839F77D">
                  <w:pPr>
                    <w:jc w:val="center"/>
                    <w:rPr>
                      <w:szCs w:val="21"/>
                    </w:rPr>
                  </w:pPr>
                  <w:r>
                    <w:rPr>
                      <w:szCs w:val="21"/>
                    </w:rPr>
                    <w:t>座</w:t>
                  </w:r>
                </w:p>
              </w:tc>
              <w:tc>
                <w:tcPr>
                  <w:tcW w:w="1122" w:type="pct"/>
                  <w:vAlign w:val="center"/>
                </w:tcPr>
                <w:p w14:paraId="0408A0F3">
                  <w:pPr>
                    <w:jc w:val="center"/>
                    <w:rPr>
                      <w:szCs w:val="21"/>
                    </w:rPr>
                  </w:pPr>
                </w:p>
              </w:tc>
            </w:tr>
            <w:tr w14:paraId="356DE99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74" w:type="pct"/>
                  <w:vAlign w:val="center"/>
                </w:tcPr>
                <w:p w14:paraId="79F8EF91">
                  <w:pPr>
                    <w:jc w:val="center"/>
                    <w:rPr>
                      <w:szCs w:val="21"/>
                    </w:rPr>
                  </w:pPr>
                  <w:r>
                    <w:rPr>
                      <w:rFonts w:hint="eastAsia"/>
                      <w:szCs w:val="21"/>
                    </w:rPr>
                    <w:t>17</w:t>
                  </w:r>
                </w:p>
              </w:tc>
              <w:tc>
                <w:tcPr>
                  <w:tcW w:w="1452" w:type="pct"/>
                  <w:gridSpan w:val="3"/>
                  <w:vAlign w:val="center"/>
                </w:tcPr>
                <w:p w14:paraId="7CBC03D8">
                  <w:pPr>
                    <w:adjustRightInd w:val="0"/>
                    <w:snapToGrid w:val="0"/>
                    <w:jc w:val="center"/>
                    <w:rPr>
                      <w:szCs w:val="21"/>
                    </w:rPr>
                  </w:pPr>
                  <w:r>
                    <w:rPr>
                      <w:szCs w:val="21"/>
                    </w:rPr>
                    <w:t>可移动废水罐</w:t>
                  </w:r>
                </w:p>
              </w:tc>
              <w:tc>
                <w:tcPr>
                  <w:tcW w:w="1204" w:type="pct"/>
                  <w:vAlign w:val="center"/>
                </w:tcPr>
                <w:p w14:paraId="7F3C2A4E">
                  <w:pPr>
                    <w:adjustRightInd w:val="0"/>
                    <w:snapToGrid w:val="0"/>
                    <w:jc w:val="center"/>
                    <w:rPr>
                      <w:szCs w:val="21"/>
                    </w:rPr>
                  </w:pPr>
                  <w:r>
                    <w:rPr>
                      <w:rFonts w:hint="eastAsia"/>
                      <w:szCs w:val="21"/>
                    </w:rPr>
                    <w:t>30</w:t>
                  </w:r>
                  <w:r>
                    <w:rPr>
                      <w:szCs w:val="21"/>
                    </w:rPr>
                    <w:t>m</w:t>
                  </w:r>
                  <w:r>
                    <w:rPr>
                      <w:szCs w:val="21"/>
                      <w:vertAlign w:val="superscript"/>
                    </w:rPr>
                    <w:t>3</w:t>
                  </w:r>
                </w:p>
              </w:tc>
              <w:tc>
                <w:tcPr>
                  <w:tcW w:w="516" w:type="pct"/>
                  <w:vAlign w:val="center"/>
                </w:tcPr>
                <w:p w14:paraId="65A5D3D5">
                  <w:pPr>
                    <w:snapToGrid w:val="0"/>
                    <w:jc w:val="center"/>
                    <w:rPr>
                      <w:szCs w:val="21"/>
                    </w:rPr>
                  </w:pPr>
                  <w:r>
                    <w:rPr>
                      <w:rFonts w:hint="eastAsia"/>
                      <w:szCs w:val="21"/>
                    </w:rPr>
                    <w:t>3</w:t>
                  </w:r>
                </w:p>
              </w:tc>
              <w:tc>
                <w:tcPr>
                  <w:tcW w:w="431" w:type="pct"/>
                  <w:vAlign w:val="center"/>
                </w:tcPr>
                <w:p w14:paraId="35BA9E32">
                  <w:pPr>
                    <w:jc w:val="center"/>
                    <w:rPr>
                      <w:szCs w:val="21"/>
                    </w:rPr>
                  </w:pPr>
                  <w:r>
                    <w:rPr>
                      <w:szCs w:val="21"/>
                    </w:rPr>
                    <w:t>座</w:t>
                  </w:r>
                </w:p>
              </w:tc>
              <w:tc>
                <w:tcPr>
                  <w:tcW w:w="1122" w:type="pct"/>
                  <w:vAlign w:val="center"/>
                </w:tcPr>
                <w:p w14:paraId="0254D62B">
                  <w:pPr>
                    <w:jc w:val="center"/>
                    <w:rPr>
                      <w:szCs w:val="21"/>
                    </w:rPr>
                  </w:pPr>
                </w:p>
              </w:tc>
            </w:tr>
          </w:tbl>
          <w:p w14:paraId="38B8CEB9">
            <w:pPr>
              <w:adjustRightInd w:val="0"/>
              <w:snapToGrid w:val="0"/>
              <w:spacing w:line="360" w:lineRule="auto"/>
              <w:ind w:firstLine="480" w:firstLineChars="200"/>
              <w:rPr>
                <w:sz w:val="24"/>
              </w:rPr>
            </w:pPr>
            <w:r>
              <w:rPr>
                <w:rFonts w:hint="eastAsia"/>
                <w:sz w:val="24"/>
              </w:rPr>
              <w:t>（2）</w:t>
            </w:r>
            <w:r>
              <w:rPr>
                <w:sz w:val="24"/>
              </w:rPr>
              <w:t>试油设备</w:t>
            </w:r>
          </w:p>
          <w:p w14:paraId="33868E7B">
            <w:pPr>
              <w:adjustRightInd w:val="0"/>
              <w:snapToGrid w:val="0"/>
              <w:spacing w:line="360" w:lineRule="auto"/>
              <w:ind w:firstLine="480" w:firstLineChars="200"/>
              <w:rPr>
                <w:sz w:val="24"/>
              </w:rPr>
            </w:pPr>
            <w:r>
              <w:rPr>
                <w:sz w:val="24"/>
              </w:rPr>
              <w:t>根据钻井及测井结果进行试油，主要设备</w:t>
            </w:r>
            <w:r>
              <w:rPr>
                <w:rFonts w:hint="eastAsia"/>
                <w:sz w:val="24"/>
              </w:rPr>
              <w:t>见下表</w:t>
            </w:r>
            <w:r>
              <w:rPr>
                <w:sz w:val="24"/>
              </w:rPr>
              <w:t>。</w:t>
            </w:r>
          </w:p>
          <w:p w14:paraId="7F195665">
            <w:pPr>
              <w:jc w:val="center"/>
              <w:rPr>
                <w:b/>
                <w:sz w:val="24"/>
              </w:rPr>
            </w:pPr>
            <w:r>
              <w:rPr>
                <w:b/>
                <w:sz w:val="24"/>
              </w:rPr>
              <w:t>表</w:t>
            </w:r>
            <w:r>
              <w:rPr>
                <w:rFonts w:hint="eastAsia"/>
                <w:b/>
                <w:sz w:val="24"/>
              </w:rPr>
              <w:t>2</w:t>
            </w:r>
            <w:r>
              <w:rPr>
                <w:b/>
                <w:sz w:val="24"/>
              </w:rPr>
              <w:t>-</w:t>
            </w:r>
            <w:r>
              <w:rPr>
                <w:rFonts w:hint="eastAsia"/>
                <w:b/>
                <w:sz w:val="24"/>
              </w:rPr>
              <w:t xml:space="preserve">3 </w:t>
            </w:r>
            <w:r>
              <w:rPr>
                <w:b/>
                <w:sz w:val="24"/>
              </w:rPr>
              <w:t>试油阶段主要设备一览表（</w:t>
            </w:r>
            <w:r>
              <w:rPr>
                <w:rFonts w:hint="eastAsia"/>
                <w:b/>
                <w:sz w:val="24"/>
              </w:rPr>
              <w:t>单井</w:t>
            </w:r>
            <w:r>
              <w:rPr>
                <w:b/>
                <w:sz w:val="24"/>
              </w:rPr>
              <w:t>）</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704"/>
              <w:gridCol w:w="2415"/>
              <w:gridCol w:w="2692"/>
              <w:gridCol w:w="1427"/>
            </w:tblGrid>
            <w:tr w14:paraId="72A81D5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1034" w:type="pct"/>
                  <w:vAlign w:val="center"/>
                </w:tcPr>
                <w:p w14:paraId="4BA7CC83">
                  <w:pPr>
                    <w:autoSpaceDE w:val="0"/>
                    <w:autoSpaceDN w:val="0"/>
                    <w:adjustRightInd w:val="0"/>
                    <w:jc w:val="center"/>
                    <w:rPr>
                      <w:szCs w:val="21"/>
                    </w:rPr>
                  </w:pPr>
                  <w:r>
                    <w:rPr>
                      <w:rFonts w:hint="eastAsia"/>
                      <w:szCs w:val="21"/>
                    </w:rPr>
                    <w:t>序号</w:t>
                  </w:r>
                </w:p>
              </w:tc>
              <w:tc>
                <w:tcPr>
                  <w:tcW w:w="1466" w:type="pct"/>
                  <w:vAlign w:val="center"/>
                </w:tcPr>
                <w:p w14:paraId="704942C5">
                  <w:pPr>
                    <w:autoSpaceDE w:val="0"/>
                    <w:autoSpaceDN w:val="0"/>
                    <w:adjustRightInd w:val="0"/>
                    <w:jc w:val="center"/>
                    <w:rPr>
                      <w:szCs w:val="21"/>
                    </w:rPr>
                  </w:pPr>
                  <w:r>
                    <w:rPr>
                      <w:rFonts w:hint="eastAsia"/>
                      <w:szCs w:val="21"/>
                    </w:rPr>
                    <w:t>试油工程</w:t>
                  </w:r>
                </w:p>
              </w:tc>
              <w:tc>
                <w:tcPr>
                  <w:tcW w:w="1634" w:type="pct"/>
                  <w:vAlign w:val="center"/>
                </w:tcPr>
                <w:p w14:paraId="3A36C159">
                  <w:pPr>
                    <w:autoSpaceDE w:val="0"/>
                    <w:autoSpaceDN w:val="0"/>
                    <w:adjustRightInd w:val="0"/>
                    <w:jc w:val="center"/>
                    <w:rPr>
                      <w:szCs w:val="21"/>
                    </w:rPr>
                  </w:pPr>
                  <w:r>
                    <w:rPr>
                      <w:rFonts w:hint="eastAsia"/>
                      <w:szCs w:val="21"/>
                    </w:rPr>
                    <w:t>规格</w:t>
                  </w:r>
                </w:p>
              </w:tc>
              <w:tc>
                <w:tcPr>
                  <w:tcW w:w="866" w:type="pct"/>
                  <w:vAlign w:val="center"/>
                </w:tcPr>
                <w:p w14:paraId="40F10868">
                  <w:pPr>
                    <w:autoSpaceDE w:val="0"/>
                    <w:autoSpaceDN w:val="0"/>
                    <w:adjustRightInd w:val="0"/>
                    <w:jc w:val="center"/>
                    <w:rPr>
                      <w:szCs w:val="21"/>
                    </w:rPr>
                  </w:pPr>
                  <w:r>
                    <w:rPr>
                      <w:rFonts w:hint="eastAsia"/>
                      <w:szCs w:val="21"/>
                    </w:rPr>
                    <w:t>数量</w:t>
                  </w:r>
                </w:p>
              </w:tc>
            </w:tr>
            <w:tr w14:paraId="0FF9A3E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1034" w:type="pct"/>
                  <w:vAlign w:val="center"/>
                </w:tcPr>
                <w:p w14:paraId="0A593625">
                  <w:pPr>
                    <w:autoSpaceDE w:val="0"/>
                    <w:autoSpaceDN w:val="0"/>
                    <w:adjustRightInd w:val="0"/>
                    <w:jc w:val="center"/>
                    <w:rPr>
                      <w:szCs w:val="21"/>
                    </w:rPr>
                  </w:pPr>
                  <w:r>
                    <w:rPr>
                      <w:szCs w:val="21"/>
                    </w:rPr>
                    <w:t>1</w:t>
                  </w:r>
                </w:p>
              </w:tc>
              <w:tc>
                <w:tcPr>
                  <w:tcW w:w="1466" w:type="pct"/>
                  <w:vAlign w:val="center"/>
                </w:tcPr>
                <w:p w14:paraId="11C784BB">
                  <w:pPr>
                    <w:autoSpaceDE w:val="0"/>
                    <w:autoSpaceDN w:val="0"/>
                    <w:adjustRightInd w:val="0"/>
                    <w:jc w:val="center"/>
                    <w:rPr>
                      <w:szCs w:val="21"/>
                    </w:rPr>
                  </w:pPr>
                  <w:r>
                    <w:rPr>
                      <w:rFonts w:hint="eastAsia"/>
                      <w:szCs w:val="21"/>
                    </w:rPr>
                    <w:t>抽油机</w:t>
                  </w:r>
                </w:p>
              </w:tc>
              <w:tc>
                <w:tcPr>
                  <w:tcW w:w="1634" w:type="pct"/>
                  <w:vAlign w:val="center"/>
                </w:tcPr>
                <w:p w14:paraId="349480F3">
                  <w:pPr>
                    <w:autoSpaceDE w:val="0"/>
                    <w:autoSpaceDN w:val="0"/>
                    <w:adjustRightInd w:val="0"/>
                    <w:jc w:val="center"/>
                    <w:rPr>
                      <w:szCs w:val="21"/>
                    </w:rPr>
                  </w:pPr>
                </w:p>
              </w:tc>
              <w:tc>
                <w:tcPr>
                  <w:tcW w:w="866" w:type="pct"/>
                  <w:vAlign w:val="center"/>
                </w:tcPr>
                <w:p w14:paraId="3AE3261C">
                  <w:pPr>
                    <w:autoSpaceDE w:val="0"/>
                    <w:autoSpaceDN w:val="0"/>
                    <w:adjustRightInd w:val="0"/>
                    <w:jc w:val="center"/>
                    <w:rPr>
                      <w:szCs w:val="21"/>
                    </w:rPr>
                  </w:pPr>
                  <w:r>
                    <w:rPr>
                      <w:szCs w:val="21"/>
                    </w:rPr>
                    <w:t>1套</w:t>
                  </w:r>
                </w:p>
              </w:tc>
            </w:tr>
            <w:tr w14:paraId="2CCD801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1034" w:type="pct"/>
                  <w:vAlign w:val="center"/>
                </w:tcPr>
                <w:p w14:paraId="3AF40F7A">
                  <w:pPr>
                    <w:autoSpaceDE w:val="0"/>
                    <w:autoSpaceDN w:val="0"/>
                    <w:adjustRightInd w:val="0"/>
                    <w:jc w:val="center"/>
                    <w:rPr>
                      <w:szCs w:val="21"/>
                    </w:rPr>
                  </w:pPr>
                  <w:r>
                    <w:rPr>
                      <w:szCs w:val="21"/>
                    </w:rPr>
                    <w:t>2</w:t>
                  </w:r>
                </w:p>
              </w:tc>
              <w:tc>
                <w:tcPr>
                  <w:tcW w:w="1466" w:type="pct"/>
                  <w:vAlign w:val="center"/>
                </w:tcPr>
                <w:p w14:paraId="79E168E6">
                  <w:pPr>
                    <w:autoSpaceDE w:val="0"/>
                    <w:autoSpaceDN w:val="0"/>
                    <w:adjustRightInd w:val="0"/>
                    <w:jc w:val="center"/>
                    <w:rPr>
                      <w:szCs w:val="21"/>
                    </w:rPr>
                  </w:pPr>
                  <w:r>
                    <w:rPr>
                      <w:rFonts w:hint="eastAsia"/>
                      <w:szCs w:val="21"/>
                    </w:rPr>
                    <w:t>两相分离器</w:t>
                  </w:r>
                </w:p>
              </w:tc>
              <w:tc>
                <w:tcPr>
                  <w:tcW w:w="1634" w:type="pct"/>
                  <w:vAlign w:val="center"/>
                </w:tcPr>
                <w:p w14:paraId="4AAC85AD">
                  <w:pPr>
                    <w:autoSpaceDE w:val="0"/>
                    <w:autoSpaceDN w:val="0"/>
                    <w:adjustRightInd w:val="0"/>
                    <w:jc w:val="center"/>
                    <w:rPr>
                      <w:szCs w:val="21"/>
                    </w:rPr>
                  </w:pPr>
                </w:p>
              </w:tc>
              <w:tc>
                <w:tcPr>
                  <w:tcW w:w="866" w:type="pct"/>
                  <w:vAlign w:val="center"/>
                </w:tcPr>
                <w:p w14:paraId="3BB3A9DF">
                  <w:pPr>
                    <w:autoSpaceDE w:val="0"/>
                    <w:autoSpaceDN w:val="0"/>
                    <w:adjustRightInd w:val="0"/>
                    <w:jc w:val="center"/>
                    <w:rPr>
                      <w:szCs w:val="21"/>
                    </w:rPr>
                  </w:pPr>
                  <w:r>
                    <w:rPr>
                      <w:szCs w:val="21"/>
                    </w:rPr>
                    <w:t>1套</w:t>
                  </w:r>
                </w:p>
              </w:tc>
            </w:tr>
            <w:tr w14:paraId="0658A90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1034" w:type="pct"/>
                  <w:vAlign w:val="center"/>
                </w:tcPr>
                <w:p w14:paraId="482D3C07">
                  <w:pPr>
                    <w:autoSpaceDE w:val="0"/>
                    <w:autoSpaceDN w:val="0"/>
                    <w:adjustRightInd w:val="0"/>
                    <w:jc w:val="center"/>
                    <w:rPr>
                      <w:szCs w:val="21"/>
                    </w:rPr>
                  </w:pPr>
                  <w:r>
                    <w:rPr>
                      <w:szCs w:val="21"/>
                    </w:rPr>
                    <w:t>3</w:t>
                  </w:r>
                </w:p>
              </w:tc>
              <w:tc>
                <w:tcPr>
                  <w:tcW w:w="1466" w:type="pct"/>
                  <w:vAlign w:val="center"/>
                </w:tcPr>
                <w:p w14:paraId="54126D35">
                  <w:pPr>
                    <w:autoSpaceDE w:val="0"/>
                    <w:autoSpaceDN w:val="0"/>
                    <w:adjustRightInd w:val="0"/>
                    <w:jc w:val="center"/>
                    <w:rPr>
                      <w:szCs w:val="21"/>
                    </w:rPr>
                  </w:pPr>
                  <w:r>
                    <w:rPr>
                      <w:rFonts w:hint="eastAsia"/>
                      <w:szCs w:val="21"/>
                    </w:rPr>
                    <w:t>储液罐</w:t>
                  </w:r>
                </w:p>
              </w:tc>
              <w:tc>
                <w:tcPr>
                  <w:tcW w:w="1634" w:type="pct"/>
                  <w:vAlign w:val="center"/>
                </w:tcPr>
                <w:p w14:paraId="668144B0">
                  <w:pPr>
                    <w:autoSpaceDE w:val="0"/>
                    <w:autoSpaceDN w:val="0"/>
                    <w:adjustRightInd w:val="0"/>
                    <w:jc w:val="center"/>
                    <w:rPr>
                      <w:szCs w:val="21"/>
                    </w:rPr>
                  </w:pPr>
                  <w:r>
                    <w:rPr>
                      <w:szCs w:val="21"/>
                    </w:rPr>
                    <w:t>40m</w:t>
                  </w:r>
                  <w:r>
                    <w:rPr>
                      <w:szCs w:val="21"/>
                      <w:vertAlign w:val="superscript"/>
                    </w:rPr>
                    <w:t>3</w:t>
                  </w:r>
                  <w:r>
                    <w:rPr>
                      <w:rFonts w:hint="eastAsia"/>
                      <w:szCs w:val="21"/>
                    </w:rPr>
                    <w:t>/个</w:t>
                  </w:r>
                </w:p>
              </w:tc>
              <w:tc>
                <w:tcPr>
                  <w:tcW w:w="866" w:type="pct"/>
                  <w:vAlign w:val="center"/>
                </w:tcPr>
                <w:p w14:paraId="18B6C750">
                  <w:pPr>
                    <w:autoSpaceDE w:val="0"/>
                    <w:autoSpaceDN w:val="0"/>
                    <w:adjustRightInd w:val="0"/>
                    <w:jc w:val="center"/>
                    <w:rPr>
                      <w:szCs w:val="21"/>
                    </w:rPr>
                  </w:pPr>
                  <w:r>
                    <w:rPr>
                      <w:szCs w:val="21"/>
                    </w:rPr>
                    <w:t>2座</w:t>
                  </w:r>
                  <w:r>
                    <w:rPr>
                      <w:rFonts w:hint="eastAsia"/>
                      <w:szCs w:val="21"/>
                    </w:rPr>
                    <w:t>（1用1备）</w:t>
                  </w:r>
                </w:p>
              </w:tc>
            </w:tr>
            <w:tr w14:paraId="544BF76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1034" w:type="pct"/>
                  <w:vAlign w:val="center"/>
                </w:tcPr>
                <w:p w14:paraId="3E8C6736">
                  <w:pPr>
                    <w:autoSpaceDE w:val="0"/>
                    <w:autoSpaceDN w:val="0"/>
                    <w:adjustRightInd w:val="0"/>
                    <w:jc w:val="center"/>
                    <w:rPr>
                      <w:szCs w:val="21"/>
                    </w:rPr>
                  </w:pPr>
                  <w:r>
                    <w:rPr>
                      <w:rFonts w:hint="eastAsia"/>
                      <w:szCs w:val="21"/>
                    </w:rPr>
                    <w:t>4</w:t>
                  </w:r>
                </w:p>
              </w:tc>
              <w:tc>
                <w:tcPr>
                  <w:tcW w:w="1466" w:type="pct"/>
                  <w:vAlign w:val="center"/>
                </w:tcPr>
                <w:p w14:paraId="21BB5236">
                  <w:pPr>
                    <w:autoSpaceDE w:val="0"/>
                    <w:autoSpaceDN w:val="0"/>
                    <w:adjustRightInd w:val="0"/>
                    <w:jc w:val="center"/>
                    <w:rPr>
                      <w:szCs w:val="21"/>
                    </w:rPr>
                  </w:pPr>
                  <w:r>
                    <w:rPr>
                      <w:rFonts w:hint="eastAsia"/>
                      <w:szCs w:val="21"/>
                    </w:rPr>
                    <w:t>放喷系统</w:t>
                  </w:r>
                </w:p>
              </w:tc>
              <w:tc>
                <w:tcPr>
                  <w:tcW w:w="1634" w:type="pct"/>
                  <w:vAlign w:val="center"/>
                </w:tcPr>
                <w:p w14:paraId="27AFFD0B">
                  <w:pPr>
                    <w:autoSpaceDE w:val="0"/>
                    <w:autoSpaceDN w:val="0"/>
                    <w:adjustRightInd w:val="0"/>
                    <w:jc w:val="center"/>
                    <w:rPr>
                      <w:szCs w:val="21"/>
                    </w:rPr>
                  </w:pPr>
                  <w:r>
                    <w:rPr>
                      <w:rFonts w:hint="eastAsia"/>
                      <w:szCs w:val="21"/>
                    </w:rPr>
                    <w:t>含放喷管线，自动点火装置</w:t>
                  </w:r>
                </w:p>
              </w:tc>
              <w:tc>
                <w:tcPr>
                  <w:tcW w:w="866" w:type="pct"/>
                  <w:vAlign w:val="center"/>
                </w:tcPr>
                <w:p w14:paraId="58692273">
                  <w:pPr>
                    <w:autoSpaceDE w:val="0"/>
                    <w:autoSpaceDN w:val="0"/>
                    <w:adjustRightInd w:val="0"/>
                    <w:jc w:val="center"/>
                    <w:rPr>
                      <w:szCs w:val="21"/>
                    </w:rPr>
                  </w:pPr>
                  <w:r>
                    <w:rPr>
                      <w:szCs w:val="21"/>
                    </w:rPr>
                    <w:t>1套</w:t>
                  </w:r>
                </w:p>
              </w:tc>
            </w:tr>
            <w:tr w14:paraId="7F04A74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1034" w:type="pct"/>
                  <w:vAlign w:val="center"/>
                </w:tcPr>
                <w:p w14:paraId="70E67786">
                  <w:pPr>
                    <w:autoSpaceDE w:val="0"/>
                    <w:autoSpaceDN w:val="0"/>
                    <w:adjustRightInd w:val="0"/>
                    <w:jc w:val="center"/>
                    <w:rPr>
                      <w:szCs w:val="21"/>
                    </w:rPr>
                  </w:pPr>
                  <w:r>
                    <w:rPr>
                      <w:rFonts w:hint="eastAsia"/>
                      <w:szCs w:val="21"/>
                    </w:rPr>
                    <w:t>5</w:t>
                  </w:r>
                </w:p>
              </w:tc>
              <w:tc>
                <w:tcPr>
                  <w:tcW w:w="1466" w:type="pct"/>
                  <w:vAlign w:val="center"/>
                </w:tcPr>
                <w:p w14:paraId="2E429A32">
                  <w:pPr>
                    <w:autoSpaceDE w:val="0"/>
                    <w:autoSpaceDN w:val="0"/>
                    <w:adjustRightInd w:val="0"/>
                    <w:jc w:val="center"/>
                    <w:rPr>
                      <w:szCs w:val="21"/>
                    </w:rPr>
                  </w:pPr>
                  <w:r>
                    <w:rPr>
                      <w:rFonts w:hint="eastAsia"/>
                      <w:szCs w:val="21"/>
                    </w:rPr>
                    <w:t>柴油发电机</w:t>
                  </w:r>
                </w:p>
              </w:tc>
              <w:tc>
                <w:tcPr>
                  <w:tcW w:w="1634" w:type="pct"/>
                  <w:vAlign w:val="center"/>
                </w:tcPr>
                <w:p w14:paraId="05FF327E">
                  <w:pPr>
                    <w:autoSpaceDE w:val="0"/>
                    <w:autoSpaceDN w:val="0"/>
                    <w:adjustRightInd w:val="0"/>
                    <w:jc w:val="center"/>
                    <w:rPr>
                      <w:szCs w:val="21"/>
                    </w:rPr>
                  </w:pPr>
                  <w:r>
                    <w:rPr>
                      <w:szCs w:val="21"/>
                    </w:rPr>
                    <w:t>CAT3512B</w:t>
                  </w:r>
                </w:p>
              </w:tc>
              <w:tc>
                <w:tcPr>
                  <w:tcW w:w="866" w:type="pct"/>
                  <w:vAlign w:val="center"/>
                </w:tcPr>
                <w:p w14:paraId="090A1B4C">
                  <w:pPr>
                    <w:autoSpaceDE w:val="0"/>
                    <w:autoSpaceDN w:val="0"/>
                    <w:adjustRightInd w:val="0"/>
                    <w:jc w:val="center"/>
                    <w:rPr>
                      <w:szCs w:val="21"/>
                    </w:rPr>
                  </w:pPr>
                  <w:r>
                    <w:rPr>
                      <w:rFonts w:hint="eastAsia"/>
                      <w:szCs w:val="21"/>
                    </w:rPr>
                    <w:t>1个</w:t>
                  </w:r>
                </w:p>
              </w:tc>
            </w:tr>
          </w:tbl>
          <w:p w14:paraId="61C4811E">
            <w:pPr>
              <w:adjustRightInd w:val="0"/>
              <w:snapToGrid w:val="0"/>
              <w:spacing w:line="360" w:lineRule="auto"/>
              <w:ind w:firstLine="480" w:firstLineChars="200"/>
              <w:rPr>
                <w:sz w:val="24"/>
              </w:rPr>
            </w:pPr>
            <w:r>
              <w:rPr>
                <w:sz w:val="24"/>
              </w:rPr>
              <w:t>根据油田前期勘探及项目周围勘</w:t>
            </w:r>
            <w:r>
              <w:rPr>
                <w:rFonts w:hint="eastAsia"/>
                <w:sz w:val="24"/>
              </w:rPr>
              <w:t>探井</w:t>
            </w:r>
            <w:r>
              <w:rPr>
                <w:sz w:val="24"/>
              </w:rPr>
              <w:t>试油结果分析，本勘探区域地层主要生产原油</w:t>
            </w:r>
            <w:r>
              <w:rPr>
                <w:rFonts w:hint="eastAsia"/>
                <w:sz w:val="24"/>
              </w:rPr>
              <w:t>，</w:t>
            </w:r>
            <w:r>
              <w:rPr>
                <w:sz w:val="24"/>
              </w:rPr>
              <w:t>伴生气含量较小，试油</w:t>
            </w:r>
            <w:r>
              <w:rPr>
                <w:rFonts w:hint="eastAsia"/>
                <w:sz w:val="24"/>
              </w:rPr>
              <w:t>阶段</w:t>
            </w:r>
            <w:r>
              <w:rPr>
                <w:sz w:val="24"/>
              </w:rPr>
              <w:t>间两相分离器分离出的采出液进入储液罐内，两相分离器分离的少量伴生气进入放喷装置。分离器入口管线使用内径不小于78mm的高压耐火软管线，并用基墩固定。进出口管线、排气管线应采用法兰连接，排气管线内径不小于150mm，接出井口50m远，每10</w:t>
            </w:r>
            <w:r>
              <w:rPr>
                <w:rFonts w:hint="eastAsia"/>
                <w:sz w:val="24"/>
              </w:rPr>
              <w:t>～</w:t>
            </w:r>
            <w:r>
              <w:rPr>
                <w:sz w:val="24"/>
              </w:rPr>
              <w:t>15m固定牢靠，并安装立式点火装置，配套防回火与自动点火装置。</w:t>
            </w:r>
          </w:p>
          <w:p w14:paraId="4684916D">
            <w:pPr>
              <w:adjustRightInd w:val="0"/>
              <w:snapToGrid w:val="0"/>
              <w:spacing w:line="360" w:lineRule="auto"/>
              <w:ind w:firstLine="480" w:firstLineChars="200"/>
              <w:rPr>
                <w:sz w:val="24"/>
              </w:rPr>
            </w:pPr>
            <w:r>
              <w:rPr>
                <w:rFonts w:hint="eastAsia"/>
                <w:sz w:val="24"/>
              </w:rPr>
              <w:t>（3）其他</w:t>
            </w:r>
          </w:p>
          <w:p w14:paraId="305E721B">
            <w:pPr>
              <w:adjustRightInd w:val="0"/>
              <w:snapToGrid w:val="0"/>
              <w:spacing w:line="360" w:lineRule="auto"/>
              <w:ind w:firstLine="480" w:firstLineChars="200"/>
              <w:rPr>
                <w:sz w:val="24"/>
              </w:rPr>
            </w:pPr>
            <w:r>
              <w:rPr>
                <w:rFonts w:hint="eastAsia"/>
                <w:sz w:val="24"/>
              </w:rPr>
              <w:t>此外，钻前工程所用设备主要为挖掘机、推土机、压路机等相关设备，所用设备及数量根据实际情况进行调整。</w:t>
            </w:r>
          </w:p>
          <w:p w14:paraId="719F7765">
            <w:pPr>
              <w:adjustRightInd w:val="0"/>
              <w:snapToGrid w:val="0"/>
              <w:spacing w:line="360" w:lineRule="auto"/>
              <w:ind w:firstLine="480" w:firstLineChars="200"/>
              <w:rPr>
                <w:sz w:val="24"/>
              </w:rPr>
            </w:pPr>
            <w:r>
              <w:rPr>
                <w:rFonts w:hint="eastAsia"/>
                <w:sz w:val="24"/>
              </w:rPr>
              <w:t>2</w:t>
            </w:r>
            <w:r>
              <w:rPr>
                <w:sz w:val="24"/>
              </w:rPr>
              <w:t>、</w:t>
            </w:r>
            <w:r>
              <w:rPr>
                <w:rFonts w:hint="eastAsia"/>
                <w:sz w:val="24"/>
              </w:rPr>
              <w:t>物料消耗</w:t>
            </w:r>
          </w:p>
          <w:p w14:paraId="6C611017">
            <w:pPr>
              <w:adjustRightInd w:val="0"/>
              <w:snapToGrid w:val="0"/>
              <w:spacing w:line="360" w:lineRule="auto"/>
              <w:ind w:firstLine="480" w:firstLineChars="200"/>
              <w:rPr>
                <w:sz w:val="24"/>
              </w:rPr>
            </w:pPr>
            <w:r>
              <w:rPr>
                <w:rFonts w:hint="eastAsia"/>
                <w:sz w:val="24"/>
              </w:rPr>
              <w:t>（1）</w:t>
            </w:r>
            <w:r>
              <w:rPr>
                <w:sz w:val="24"/>
              </w:rPr>
              <w:t>钻井</w:t>
            </w:r>
            <w:r>
              <w:rPr>
                <w:rFonts w:hint="eastAsia"/>
                <w:sz w:val="24"/>
              </w:rPr>
              <w:t>泥浆</w:t>
            </w:r>
          </w:p>
          <w:p w14:paraId="7B9DEC89">
            <w:pPr>
              <w:adjustRightInd w:val="0"/>
              <w:snapToGrid w:val="0"/>
              <w:spacing w:line="360" w:lineRule="auto"/>
              <w:ind w:firstLine="480" w:firstLineChars="200"/>
              <w:rPr>
                <w:kern w:val="0"/>
                <w:sz w:val="24"/>
              </w:rPr>
            </w:pPr>
            <w:r>
              <w:rPr>
                <w:kern w:val="0"/>
                <w:sz w:val="24"/>
              </w:rPr>
              <w:t>项目钻井泥浆采用水基泥浆</w:t>
            </w:r>
            <w:r>
              <w:rPr>
                <w:rFonts w:hint="eastAsia"/>
                <w:kern w:val="0"/>
                <w:sz w:val="24"/>
              </w:rPr>
              <w:t>，不是以矿物油为连续相，属于环保型</w:t>
            </w:r>
            <w:r>
              <w:rPr>
                <w:kern w:val="0"/>
                <w:sz w:val="24"/>
              </w:rPr>
              <w:t>。根据实际施工经验，钻井</w:t>
            </w:r>
            <w:r>
              <w:rPr>
                <w:rFonts w:hint="eastAsia"/>
                <w:kern w:val="0"/>
                <w:sz w:val="24"/>
              </w:rPr>
              <w:t>泥浆</w:t>
            </w:r>
            <w:r>
              <w:rPr>
                <w:kern w:val="0"/>
                <w:sz w:val="24"/>
              </w:rPr>
              <w:t>单井用量、成分及贮存方式见</w:t>
            </w:r>
            <w:r>
              <w:rPr>
                <w:rFonts w:hint="eastAsia"/>
                <w:kern w:val="0"/>
                <w:sz w:val="24"/>
              </w:rPr>
              <w:t>下</w:t>
            </w:r>
            <w:r>
              <w:rPr>
                <w:kern w:val="0"/>
                <w:sz w:val="24"/>
              </w:rPr>
              <w:t>表。</w:t>
            </w:r>
          </w:p>
          <w:p w14:paraId="7F5C8833">
            <w:pPr>
              <w:jc w:val="center"/>
              <w:rPr>
                <w:b/>
                <w:kern w:val="0"/>
                <w:sz w:val="24"/>
              </w:rPr>
            </w:pPr>
            <w:r>
              <w:rPr>
                <w:b/>
                <w:kern w:val="0"/>
                <w:sz w:val="24"/>
              </w:rPr>
              <w:t>表</w:t>
            </w:r>
            <w:r>
              <w:rPr>
                <w:rFonts w:hint="eastAsia"/>
                <w:b/>
                <w:kern w:val="0"/>
                <w:sz w:val="24"/>
              </w:rPr>
              <w:t>2</w:t>
            </w:r>
            <w:r>
              <w:rPr>
                <w:b/>
                <w:kern w:val="0"/>
                <w:sz w:val="24"/>
              </w:rPr>
              <w:t>-</w:t>
            </w:r>
            <w:r>
              <w:rPr>
                <w:rFonts w:hint="eastAsia"/>
                <w:b/>
                <w:kern w:val="0"/>
                <w:sz w:val="24"/>
              </w:rPr>
              <w:t xml:space="preserve">4 </w:t>
            </w:r>
            <w:r>
              <w:rPr>
                <w:b/>
                <w:kern w:val="0"/>
                <w:sz w:val="24"/>
              </w:rPr>
              <w:t>钻井</w:t>
            </w:r>
            <w:r>
              <w:rPr>
                <w:rFonts w:hint="eastAsia"/>
                <w:b/>
                <w:kern w:val="0"/>
                <w:sz w:val="24"/>
              </w:rPr>
              <w:t>泥浆</w:t>
            </w:r>
            <w:r>
              <w:rPr>
                <w:b/>
                <w:kern w:val="0"/>
                <w:sz w:val="24"/>
              </w:rPr>
              <w:t>用量及成分（</w:t>
            </w:r>
            <w:r>
              <w:rPr>
                <w:rFonts w:hint="eastAsia"/>
                <w:b/>
                <w:kern w:val="0"/>
                <w:sz w:val="24"/>
              </w:rPr>
              <w:t>单井</w:t>
            </w:r>
            <w:r>
              <w:rPr>
                <w:b/>
                <w:kern w:val="0"/>
                <w:sz w:val="24"/>
              </w:rPr>
              <w:t>）</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093"/>
              <w:gridCol w:w="635"/>
              <w:gridCol w:w="556"/>
              <w:gridCol w:w="793"/>
              <w:gridCol w:w="541"/>
              <w:gridCol w:w="2158"/>
              <w:gridCol w:w="2462"/>
            </w:tblGrid>
            <w:tr w14:paraId="469C932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649" w:type="pct"/>
                  <w:tcMar>
                    <w:top w:w="0" w:type="dxa"/>
                    <w:left w:w="0" w:type="dxa"/>
                    <w:bottom w:w="0" w:type="dxa"/>
                    <w:right w:w="0" w:type="dxa"/>
                  </w:tcMar>
                  <w:vAlign w:val="center"/>
                </w:tcPr>
                <w:p w14:paraId="678F0A4D">
                  <w:pPr>
                    <w:widowControl/>
                    <w:jc w:val="center"/>
                    <w:textAlignment w:val="center"/>
                    <w:rPr>
                      <w:szCs w:val="21"/>
                    </w:rPr>
                  </w:pPr>
                  <w:r>
                    <w:rPr>
                      <w:rFonts w:hint="eastAsia"/>
                      <w:kern w:val="0"/>
                      <w:szCs w:val="21"/>
                    </w:rPr>
                    <w:t>名称</w:t>
                  </w:r>
                </w:p>
              </w:tc>
              <w:tc>
                <w:tcPr>
                  <w:tcW w:w="388" w:type="pct"/>
                  <w:tcMar>
                    <w:top w:w="0" w:type="dxa"/>
                    <w:left w:w="0" w:type="dxa"/>
                    <w:bottom w:w="0" w:type="dxa"/>
                    <w:right w:w="0" w:type="dxa"/>
                  </w:tcMar>
                  <w:vAlign w:val="center"/>
                </w:tcPr>
                <w:p w14:paraId="3528480F">
                  <w:pPr>
                    <w:widowControl/>
                    <w:jc w:val="center"/>
                    <w:textAlignment w:val="center"/>
                    <w:rPr>
                      <w:szCs w:val="21"/>
                    </w:rPr>
                  </w:pPr>
                  <w:r>
                    <w:rPr>
                      <w:rFonts w:hint="eastAsia"/>
                      <w:kern w:val="0"/>
                      <w:szCs w:val="21"/>
                    </w:rPr>
                    <w:t>单井用量</w:t>
                  </w:r>
                  <w:r>
                    <w:rPr>
                      <w:kern w:val="0"/>
                      <w:szCs w:val="21"/>
                    </w:rPr>
                    <w:t>t</w:t>
                  </w:r>
                </w:p>
              </w:tc>
              <w:tc>
                <w:tcPr>
                  <w:tcW w:w="340" w:type="pct"/>
                  <w:tcMar>
                    <w:top w:w="0" w:type="dxa"/>
                    <w:left w:w="0" w:type="dxa"/>
                    <w:bottom w:w="0" w:type="dxa"/>
                    <w:right w:w="0" w:type="dxa"/>
                  </w:tcMar>
                  <w:vAlign w:val="center"/>
                </w:tcPr>
                <w:p w14:paraId="5FDCE2AE">
                  <w:pPr>
                    <w:widowControl/>
                    <w:jc w:val="center"/>
                    <w:textAlignment w:val="center"/>
                    <w:rPr>
                      <w:kern w:val="0"/>
                      <w:szCs w:val="21"/>
                    </w:rPr>
                  </w:pPr>
                  <w:r>
                    <w:rPr>
                      <w:rFonts w:hint="eastAsia"/>
                      <w:kern w:val="0"/>
                      <w:szCs w:val="21"/>
                    </w:rPr>
                    <w:t>储量</w:t>
                  </w:r>
                  <w:r>
                    <w:rPr>
                      <w:kern w:val="0"/>
                      <w:szCs w:val="21"/>
                    </w:rPr>
                    <w:t>t</w:t>
                  </w:r>
                </w:p>
              </w:tc>
              <w:tc>
                <w:tcPr>
                  <w:tcW w:w="484" w:type="pct"/>
                  <w:tcMar>
                    <w:top w:w="0" w:type="dxa"/>
                    <w:left w:w="0" w:type="dxa"/>
                    <w:bottom w:w="0" w:type="dxa"/>
                    <w:right w:w="0" w:type="dxa"/>
                  </w:tcMar>
                  <w:vAlign w:val="center"/>
                </w:tcPr>
                <w:p w14:paraId="30D59A7F">
                  <w:pPr>
                    <w:widowControl/>
                    <w:jc w:val="center"/>
                    <w:textAlignment w:val="center"/>
                    <w:rPr>
                      <w:kern w:val="0"/>
                      <w:szCs w:val="21"/>
                    </w:rPr>
                  </w:pPr>
                  <w:r>
                    <w:rPr>
                      <w:rFonts w:hint="eastAsia"/>
                      <w:kern w:val="0"/>
                      <w:szCs w:val="21"/>
                    </w:rPr>
                    <w:t>存储方式</w:t>
                  </w:r>
                </w:p>
              </w:tc>
              <w:tc>
                <w:tcPr>
                  <w:tcW w:w="331" w:type="pct"/>
                  <w:tcMar>
                    <w:top w:w="0" w:type="dxa"/>
                    <w:left w:w="0" w:type="dxa"/>
                    <w:bottom w:w="0" w:type="dxa"/>
                    <w:right w:w="0" w:type="dxa"/>
                  </w:tcMar>
                  <w:vAlign w:val="center"/>
                </w:tcPr>
                <w:p w14:paraId="0E188460">
                  <w:pPr>
                    <w:widowControl/>
                    <w:jc w:val="center"/>
                    <w:textAlignment w:val="center"/>
                    <w:rPr>
                      <w:kern w:val="0"/>
                      <w:szCs w:val="21"/>
                    </w:rPr>
                  </w:pPr>
                  <w:r>
                    <w:rPr>
                      <w:rFonts w:hint="eastAsia"/>
                      <w:kern w:val="0"/>
                      <w:szCs w:val="21"/>
                    </w:rPr>
                    <w:t>储存位置</w:t>
                  </w:r>
                </w:p>
              </w:tc>
              <w:tc>
                <w:tcPr>
                  <w:tcW w:w="1312" w:type="pct"/>
                  <w:tcMar>
                    <w:top w:w="0" w:type="dxa"/>
                    <w:left w:w="0" w:type="dxa"/>
                    <w:bottom w:w="0" w:type="dxa"/>
                    <w:right w:w="0" w:type="dxa"/>
                  </w:tcMar>
                  <w:vAlign w:val="center"/>
                </w:tcPr>
                <w:p w14:paraId="2272F8D0">
                  <w:pPr>
                    <w:widowControl/>
                    <w:jc w:val="center"/>
                    <w:textAlignment w:val="center"/>
                    <w:rPr>
                      <w:szCs w:val="21"/>
                    </w:rPr>
                  </w:pPr>
                  <w:r>
                    <w:rPr>
                      <w:rFonts w:hint="eastAsia"/>
                      <w:kern w:val="0"/>
                      <w:szCs w:val="21"/>
                    </w:rPr>
                    <w:t>理化特性</w:t>
                  </w:r>
                </w:p>
              </w:tc>
              <w:tc>
                <w:tcPr>
                  <w:tcW w:w="1496" w:type="pct"/>
                  <w:tcMar>
                    <w:top w:w="0" w:type="dxa"/>
                    <w:left w:w="0" w:type="dxa"/>
                    <w:bottom w:w="0" w:type="dxa"/>
                    <w:right w:w="0" w:type="dxa"/>
                  </w:tcMar>
                  <w:vAlign w:val="center"/>
                </w:tcPr>
                <w:p w14:paraId="0B9465D6">
                  <w:pPr>
                    <w:widowControl/>
                    <w:jc w:val="center"/>
                    <w:textAlignment w:val="center"/>
                    <w:rPr>
                      <w:kern w:val="0"/>
                      <w:szCs w:val="21"/>
                    </w:rPr>
                  </w:pPr>
                  <w:r>
                    <w:rPr>
                      <w:rFonts w:hint="eastAsia"/>
                      <w:kern w:val="0"/>
                      <w:szCs w:val="21"/>
                    </w:rPr>
                    <w:t>备注</w:t>
                  </w:r>
                </w:p>
              </w:tc>
            </w:tr>
            <w:tr w14:paraId="35F0FF4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72" w:hRule="atLeast"/>
                <w:jc w:val="center"/>
              </w:trPr>
              <w:tc>
                <w:tcPr>
                  <w:tcW w:w="649" w:type="pct"/>
                  <w:tcMar>
                    <w:top w:w="0" w:type="dxa"/>
                    <w:left w:w="0" w:type="dxa"/>
                    <w:bottom w:w="0" w:type="dxa"/>
                    <w:right w:w="0" w:type="dxa"/>
                  </w:tcMar>
                  <w:vAlign w:val="center"/>
                </w:tcPr>
                <w:p w14:paraId="44FAA4EA">
                  <w:pPr>
                    <w:widowControl/>
                    <w:jc w:val="center"/>
                    <w:textAlignment w:val="center"/>
                    <w:rPr>
                      <w:rFonts w:eastAsia="Times New Roman"/>
                      <w:szCs w:val="21"/>
                    </w:rPr>
                  </w:pPr>
                  <w:r>
                    <w:rPr>
                      <w:szCs w:val="21"/>
                    </w:rPr>
                    <w:t>膨润土</w:t>
                  </w:r>
                </w:p>
              </w:tc>
              <w:tc>
                <w:tcPr>
                  <w:tcW w:w="388" w:type="pct"/>
                  <w:tcMar>
                    <w:top w:w="0" w:type="dxa"/>
                    <w:left w:w="0" w:type="dxa"/>
                    <w:bottom w:w="0" w:type="dxa"/>
                    <w:right w:w="0" w:type="dxa"/>
                  </w:tcMar>
                  <w:vAlign w:val="center"/>
                </w:tcPr>
                <w:p w14:paraId="0B5135B6">
                  <w:pPr>
                    <w:widowControl/>
                    <w:jc w:val="center"/>
                    <w:textAlignment w:val="center"/>
                    <w:rPr>
                      <w:szCs w:val="21"/>
                    </w:rPr>
                  </w:pPr>
                  <w:r>
                    <w:rPr>
                      <w:rFonts w:hint="eastAsia"/>
                      <w:szCs w:val="21"/>
                    </w:rPr>
                    <w:t>60</w:t>
                  </w:r>
                </w:p>
              </w:tc>
              <w:tc>
                <w:tcPr>
                  <w:tcW w:w="340" w:type="pct"/>
                  <w:tcMar>
                    <w:top w:w="0" w:type="dxa"/>
                    <w:left w:w="0" w:type="dxa"/>
                    <w:bottom w:w="0" w:type="dxa"/>
                    <w:right w:w="0" w:type="dxa"/>
                  </w:tcMar>
                  <w:vAlign w:val="center"/>
                </w:tcPr>
                <w:p w14:paraId="55831DD9">
                  <w:pPr>
                    <w:adjustRightInd w:val="0"/>
                    <w:snapToGrid w:val="0"/>
                    <w:jc w:val="center"/>
                    <w:rPr>
                      <w:szCs w:val="21"/>
                    </w:rPr>
                  </w:pPr>
                  <w:r>
                    <w:rPr>
                      <w:rFonts w:hint="eastAsia"/>
                      <w:szCs w:val="21"/>
                    </w:rPr>
                    <w:t>10</w:t>
                  </w:r>
                </w:p>
              </w:tc>
              <w:tc>
                <w:tcPr>
                  <w:tcW w:w="484" w:type="pct"/>
                  <w:tcMar>
                    <w:top w:w="0" w:type="dxa"/>
                    <w:left w:w="0" w:type="dxa"/>
                    <w:bottom w:w="0" w:type="dxa"/>
                    <w:right w:w="0" w:type="dxa"/>
                  </w:tcMar>
                  <w:vAlign w:val="center"/>
                </w:tcPr>
                <w:p w14:paraId="4CF823C5">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0FBB3B16">
                  <w:pPr>
                    <w:adjustRightInd w:val="0"/>
                    <w:snapToGrid w:val="0"/>
                    <w:jc w:val="center"/>
                    <w:rPr>
                      <w:szCs w:val="21"/>
                    </w:rPr>
                  </w:pPr>
                  <w:r>
                    <w:rPr>
                      <w:rFonts w:hint="eastAsia"/>
                      <w:szCs w:val="21"/>
                    </w:rPr>
                    <w:t>材料</w:t>
                  </w:r>
                  <w:r>
                    <w:rPr>
                      <w:szCs w:val="21"/>
                    </w:rPr>
                    <w:t>堆场</w:t>
                  </w:r>
                </w:p>
              </w:tc>
              <w:tc>
                <w:tcPr>
                  <w:tcW w:w="1312" w:type="pct"/>
                  <w:tcMar>
                    <w:top w:w="0" w:type="dxa"/>
                    <w:left w:w="0" w:type="dxa"/>
                    <w:bottom w:w="0" w:type="dxa"/>
                    <w:right w:w="0" w:type="dxa"/>
                  </w:tcMar>
                  <w:vAlign w:val="center"/>
                </w:tcPr>
                <w:p w14:paraId="443A96AD">
                  <w:pPr>
                    <w:widowControl/>
                    <w:jc w:val="center"/>
                    <w:textAlignment w:val="center"/>
                    <w:rPr>
                      <w:rFonts w:eastAsia="Times New Roman"/>
                      <w:szCs w:val="21"/>
                    </w:rPr>
                  </w:pPr>
                  <w:r>
                    <w:rPr>
                      <w:rFonts w:hint="eastAsia"/>
                      <w:kern w:val="0"/>
                      <w:szCs w:val="21"/>
                    </w:rPr>
                    <w:t>以蒙脱石为主的含水黏土矿，无毒、不溶于水、固体粉末；有很好的吸水膨胀性能、分散和悬浮及造浆性</w:t>
                  </w:r>
                </w:p>
              </w:tc>
              <w:tc>
                <w:tcPr>
                  <w:tcW w:w="1496" w:type="pct"/>
                  <w:tcMar>
                    <w:top w:w="0" w:type="dxa"/>
                    <w:left w:w="0" w:type="dxa"/>
                    <w:bottom w:w="0" w:type="dxa"/>
                    <w:right w:w="0" w:type="dxa"/>
                  </w:tcMar>
                  <w:vAlign w:val="center"/>
                </w:tcPr>
                <w:p w14:paraId="0E87425A">
                  <w:pPr>
                    <w:widowControl/>
                    <w:jc w:val="center"/>
                    <w:textAlignment w:val="center"/>
                    <w:rPr>
                      <w:kern w:val="0"/>
                      <w:szCs w:val="21"/>
                    </w:rPr>
                  </w:pPr>
                  <w:r>
                    <w:rPr>
                      <w:kern w:val="0"/>
                      <w:szCs w:val="21"/>
                    </w:rPr>
                    <w:t>基础配浆材料，不含放射性和</w:t>
                  </w:r>
                  <w:r>
                    <w:rPr>
                      <w:rFonts w:hint="eastAsia"/>
                      <w:kern w:val="0"/>
                      <w:szCs w:val="21"/>
                    </w:rPr>
                    <w:t>重</w:t>
                  </w:r>
                  <w:r>
                    <w:rPr>
                      <w:kern w:val="0"/>
                      <w:szCs w:val="21"/>
                    </w:rPr>
                    <w:t>金属材料，不属于危废</w:t>
                  </w:r>
                </w:p>
              </w:tc>
            </w:tr>
            <w:tr w14:paraId="75E58CB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548" w:hRule="atLeast"/>
                <w:jc w:val="center"/>
              </w:trPr>
              <w:tc>
                <w:tcPr>
                  <w:tcW w:w="649" w:type="pct"/>
                  <w:tcMar>
                    <w:top w:w="0" w:type="dxa"/>
                    <w:left w:w="0" w:type="dxa"/>
                    <w:bottom w:w="0" w:type="dxa"/>
                    <w:right w:w="0" w:type="dxa"/>
                  </w:tcMar>
                  <w:vAlign w:val="center"/>
                </w:tcPr>
                <w:p w14:paraId="408AB01B">
                  <w:pPr>
                    <w:widowControl/>
                    <w:jc w:val="center"/>
                    <w:textAlignment w:val="center"/>
                    <w:rPr>
                      <w:szCs w:val="21"/>
                    </w:rPr>
                  </w:pPr>
                  <w:r>
                    <w:rPr>
                      <w:kern w:val="0"/>
                      <w:szCs w:val="21"/>
                    </w:rPr>
                    <w:t>NaOH</w:t>
                  </w:r>
                </w:p>
              </w:tc>
              <w:tc>
                <w:tcPr>
                  <w:tcW w:w="388" w:type="pct"/>
                  <w:tcMar>
                    <w:top w:w="0" w:type="dxa"/>
                    <w:left w:w="0" w:type="dxa"/>
                    <w:bottom w:w="0" w:type="dxa"/>
                    <w:right w:w="0" w:type="dxa"/>
                  </w:tcMar>
                  <w:vAlign w:val="center"/>
                </w:tcPr>
                <w:p w14:paraId="3B3E5E63">
                  <w:pPr>
                    <w:widowControl/>
                    <w:jc w:val="center"/>
                    <w:textAlignment w:val="center"/>
                    <w:rPr>
                      <w:szCs w:val="21"/>
                    </w:rPr>
                  </w:pPr>
                  <w:r>
                    <w:rPr>
                      <w:rFonts w:hint="eastAsia"/>
                      <w:szCs w:val="21"/>
                    </w:rPr>
                    <w:t>3</w:t>
                  </w:r>
                </w:p>
              </w:tc>
              <w:tc>
                <w:tcPr>
                  <w:tcW w:w="340" w:type="pct"/>
                  <w:tcMar>
                    <w:top w:w="0" w:type="dxa"/>
                    <w:left w:w="0" w:type="dxa"/>
                    <w:bottom w:w="0" w:type="dxa"/>
                    <w:right w:w="0" w:type="dxa"/>
                  </w:tcMar>
                  <w:vAlign w:val="center"/>
                </w:tcPr>
                <w:p w14:paraId="59F2F7F5">
                  <w:pPr>
                    <w:widowControl/>
                    <w:jc w:val="center"/>
                    <w:textAlignment w:val="center"/>
                    <w:rPr>
                      <w:szCs w:val="21"/>
                    </w:rPr>
                  </w:pPr>
                  <w:r>
                    <w:rPr>
                      <w:rFonts w:hint="eastAsia"/>
                      <w:szCs w:val="21"/>
                    </w:rPr>
                    <w:t>1</w:t>
                  </w:r>
                </w:p>
              </w:tc>
              <w:tc>
                <w:tcPr>
                  <w:tcW w:w="484" w:type="pct"/>
                  <w:tcMar>
                    <w:top w:w="0" w:type="dxa"/>
                    <w:left w:w="0" w:type="dxa"/>
                    <w:bottom w:w="0" w:type="dxa"/>
                    <w:right w:w="0" w:type="dxa"/>
                  </w:tcMar>
                  <w:vAlign w:val="center"/>
                </w:tcPr>
                <w:p w14:paraId="34EAB279">
                  <w:pPr>
                    <w:widowControl/>
                    <w:jc w:val="center"/>
                    <w:textAlignment w:val="center"/>
                    <w:rPr>
                      <w:szCs w:val="21"/>
                    </w:rPr>
                  </w:pPr>
                  <w:r>
                    <w:rPr>
                      <w:szCs w:val="21"/>
                    </w:rPr>
                    <w:t>袋装，25kg/袋</w:t>
                  </w:r>
                </w:p>
              </w:tc>
              <w:tc>
                <w:tcPr>
                  <w:tcW w:w="331" w:type="pct"/>
                  <w:tcMar>
                    <w:top w:w="0" w:type="dxa"/>
                    <w:left w:w="0" w:type="dxa"/>
                    <w:bottom w:w="0" w:type="dxa"/>
                    <w:right w:w="0" w:type="dxa"/>
                  </w:tcMar>
                  <w:vAlign w:val="center"/>
                </w:tcPr>
                <w:p w14:paraId="0E3C4B09">
                  <w:pPr>
                    <w:widowControl/>
                    <w:jc w:val="center"/>
                    <w:textAlignment w:val="center"/>
                    <w:rPr>
                      <w:szCs w:val="21"/>
                    </w:rPr>
                  </w:pPr>
                  <w:r>
                    <w:rPr>
                      <w:szCs w:val="21"/>
                    </w:rPr>
                    <w:t>材料</w:t>
                  </w:r>
                  <w:r>
                    <w:rPr>
                      <w:rFonts w:hint="eastAsia"/>
                      <w:szCs w:val="21"/>
                    </w:rPr>
                    <w:t>堆场</w:t>
                  </w:r>
                </w:p>
              </w:tc>
              <w:tc>
                <w:tcPr>
                  <w:tcW w:w="1312" w:type="pct"/>
                  <w:tcMar>
                    <w:top w:w="0" w:type="dxa"/>
                    <w:left w:w="0" w:type="dxa"/>
                    <w:bottom w:w="0" w:type="dxa"/>
                    <w:right w:w="0" w:type="dxa"/>
                  </w:tcMar>
                  <w:vAlign w:val="center"/>
                </w:tcPr>
                <w:p w14:paraId="6471FBB0">
                  <w:pPr>
                    <w:widowControl/>
                    <w:jc w:val="center"/>
                    <w:textAlignment w:val="center"/>
                    <w:rPr>
                      <w:kern w:val="0"/>
                      <w:szCs w:val="21"/>
                    </w:rPr>
                  </w:pPr>
                  <w:r>
                    <w:rPr>
                      <w:kern w:val="0"/>
                      <w:szCs w:val="21"/>
                    </w:rPr>
                    <w:t>腐蚀性、白色半透明片状固体；纯品为无色透明晶体，密度2.13g/cm</w:t>
                  </w:r>
                  <w:r>
                    <w:rPr>
                      <w:kern w:val="0"/>
                      <w:szCs w:val="21"/>
                      <w:vertAlign w:val="superscript"/>
                    </w:rPr>
                    <w:t>3</w:t>
                  </w:r>
                  <w:r>
                    <w:rPr>
                      <w:kern w:val="0"/>
                      <w:szCs w:val="21"/>
                    </w:rPr>
                    <w:t>，熔点318.4℃，沸点1390℃；固体烧碱有很强的吸湿性，易溶于水，溶解时放热，水溶液呈碱性</w:t>
                  </w:r>
                </w:p>
              </w:tc>
              <w:tc>
                <w:tcPr>
                  <w:tcW w:w="1496" w:type="pct"/>
                  <w:tcMar>
                    <w:top w:w="0" w:type="dxa"/>
                    <w:left w:w="0" w:type="dxa"/>
                    <w:bottom w:w="0" w:type="dxa"/>
                    <w:right w:w="0" w:type="dxa"/>
                  </w:tcMar>
                  <w:vAlign w:val="center"/>
                </w:tcPr>
                <w:p w14:paraId="0B32C70A">
                  <w:pPr>
                    <w:widowControl/>
                    <w:jc w:val="center"/>
                    <w:textAlignment w:val="center"/>
                    <w:rPr>
                      <w:kern w:val="0"/>
                      <w:szCs w:val="21"/>
                    </w:rPr>
                  </w:pPr>
                  <w:r>
                    <w:rPr>
                      <w:rFonts w:hint="eastAsia"/>
                      <w:kern w:val="0"/>
                      <w:szCs w:val="21"/>
                    </w:rPr>
                    <w:t>调节钻井泥浆的pH值，减少钻具腐蚀和防止钻井泥浆发酵，以及稳定地层。</w:t>
                  </w:r>
                </w:p>
              </w:tc>
            </w:tr>
            <w:tr w14:paraId="21CA345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57" w:hRule="atLeast"/>
                <w:jc w:val="center"/>
              </w:trPr>
              <w:tc>
                <w:tcPr>
                  <w:tcW w:w="649" w:type="pct"/>
                  <w:tcMar>
                    <w:top w:w="0" w:type="dxa"/>
                    <w:left w:w="0" w:type="dxa"/>
                    <w:bottom w:w="0" w:type="dxa"/>
                    <w:right w:w="0" w:type="dxa"/>
                  </w:tcMar>
                  <w:vAlign w:val="center"/>
                </w:tcPr>
                <w:p w14:paraId="5BEE2160">
                  <w:pPr>
                    <w:widowControl/>
                    <w:jc w:val="center"/>
                    <w:textAlignment w:val="center"/>
                    <w:rPr>
                      <w:szCs w:val="21"/>
                    </w:rPr>
                  </w:pPr>
                  <w:r>
                    <w:rPr>
                      <w:kern w:val="0"/>
                      <w:szCs w:val="21"/>
                    </w:rPr>
                    <w:t>Na</w:t>
                  </w:r>
                  <w:r>
                    <w:rPr>
                      <w:kern w:val="0"/>
                      <w:szCs w:val="21"/>
                      <w:vertAlign w:val="subscript"/>
                    </w:rPr>
                    <w:t>2</w:t>
                  </w:r>
                  <w:r>
                    <w:rPr>
                      <w:kern w:val="0"/>
                      <w:szCs w:val="21"/>
                    </w:rPr>
                    <w:t>CO</w:t>
                  </w:r>
                  <w:r>
                    <w:rPr>
                      <w:kern w:val="0"/>
                      <w:szCs w:val="21"/>
                      <w:vertAlign w:val="subscript"/>
                    </w:rPr>
                    <w:t>3</w:t>
                  </w:r>
                </w:p>
              </w:tc>
              <w:tc>
                <w:tcPr>
                  <w:tcW w:w="388" w:type="pct"/>
                  <w:tcMar>
                    <w:top w:w="0" w:type="dxa"/>
                    <w:left w:w="0" w:type="dxa"/>
                    <w:bottom w:w="0" w:type="dxa"/>
                    <w:right w:w="0" w:type="dxa"/>
                  </w:tcMar>
                  <w:vAlign w:val="center"/>
                </w:tcPr>
                <w:p w14:paraId="79CCF7A8">
                  <w:pPr>
                    <w:widowControl/>
                    <w:jc w:val="center"/>
                    <w:textAlignment w:val="center"/>
                    <w:rPr>
                      <w:szCs w:val="21"/>
                    </w:rPr>
                  </w:pPr>
                  <w:r>
                    <w:rPr>
                      <w:rFonts w:hint="eastAsia"/>
                      <w:szCs w:val="21"/>
                    </w:rPr>
                    <w:t>3</w:t>
                  </w:r>
                </w:p>
              </w:tc>
              <w:tc>
                <w:tcPr>
                  <w:tcW w:w="340" w:type="pct"/>
                  <w:tcMar>
                    <w:top w:w="0" w:type="dxa"/>
                    <w:left w:w="0" w:type="dxa"/>
                    <w:bottom w:w="0" w:type="dxa"/>
                    <w:right w:w="0" w:type="dxa"/>
                  </w:tcMar>
                  <w:vAlign w:val="center"/>
                </w:tcPr>
                <w:p w14:paraId="050A6263">
                  <w:pPr>
                    <w:adjustRightInd w:val="0"/>
                    <w:snapToGrid w:val="0"/>
                    <w:jc w:val="center"/>
                    <w:rPr>
                      <w:szCs w:val="21"/>
                    </w:rPr>
                  </w:pPr>
                  <w:r>
                    <w:rPr>
                      <w:rFonts w:hint="eastAsia"/>
                      <w:szCs w:val="21"/>
                    </w:rPr>
                    <w:t>1</w:t>
                  </w:r>
                </w:p>
              </w:tc>
              <w:tc>
                <w:tcPr>
                  <w:tcW w:w="484" w:type="pct"/>
                  <w:tcMar>
                    <w:top w:w="0" w:type="dxa"/>
                    <w:left w:w="0" w:type="dxa"/>
                    <w:bottom w:w="0" w:type="dxa"/>
                    <w:right w:w="0" w:type="dxa"/>
                  </w:tcMar>
                  <w:vAlign w:val="center"/>
                </w:tcPr>
                <w:p w14:paraId="740D99DD">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4A375975">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35896B74">
                  <w:pPr>
                    <w:widowControl/>
                    <w:jc w:val="center"/>
                    <w:textAlignment w:val="center"/>
                    <w:rPr>
                      <w:rFonts w:eastAsia="Times New Roman"/>
                      <w:szCs w:val="21"/>
                    </w:rPr>
                  </w:pPr>
                  <w:r>
                    <w:rPr>
                      <w:kern w:val="0"/>
                      <w:szCs w:val="21"/>
                    </w:rPr>
                    <w:t>白色溶于水、结晶粉末；密度2.53g/cm</w:t>
                  </w:r>
                  <w:r>
                    <w:rPr>
                      <w:kern w:val="0"/>
                      <w:szCs w:val="21"/>
                      <w:vertAlign w:val="superscript"/>
                    </w:rPr>
                    <w:t>3</w:t>
                  </w:r>
                  <w:r>
                    <w:rPr>
                      <w:kern w:val="0"/>
                      <w:szCs w:val="21"/>
                    </w:rPr>
                    <w:t>，熔点851℃，沸点1600℃；稳定性较强，吸湿性很强，易溶于水</w:t>
                  </w:r>
                </w:p>
              </w:tc>
              <w:tc>
                <w:tcPr>
                  <w:tcW w:w="1496" w:type="pct"/>
                  <w:tcMar>
                    <w:top w:w="0" w:type="dxa"/>
                    <w:left w:w="0" w:type="dxa"/>
                    <w:bottom w:w="0" w:type="dxa"/>
                    <w:right w:w="0" w:type="dxa"/>
                  </w:tcMar>
                  <w:vAlign w:val="center"/>
                </w:tcPr>
                <w:p w14:paraId="5705FA90">
                  <w:pPr>
                    <w:widowControl/>
                    <w:jc w:val="center"/>
                    <w:textAlignment w:val="center"/>
                    <w:rPr>
                      <w:kern w:val="0"/>
                      <w:szCs w:val="21"/>
                    </w:rPr>
                  </w:pPr>
                  <w:r>
                    <w:rPr>
                      <w:kern w:val="0"/>
                      <w:szCs w:val="21"/>
                    </w:rPr>
                    <w:t>与膨润土发生水化作用，增加粘性</w:t>
                  </w:r>
                </w:p>
              </w:tc>
            </w:tr>
            <w:tr w14:paraId="731FEB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57" w:hRule="atLeast"/>
                <w:jc w:val="center"/>
              </w:trPr>
              <w:tc>
                <w:tcPr>
                  <w:tcW w:w="649" w:type="pct"/>
                  <w:tcMar>
                    <w:top w:w="0" w:type="dxa"/>
                    <w:left w:w="0" w:type="dxa"/>
                    <w:bottom w:w="0" w:type="dxa"/>
                    <w:right w:w="0" w:type="dxa"/>
                  </w:tcMar>
                  <w:vAlign w:val="center"/>
                </w:tcPr>
                <w:p w14:paraId="43E86F8A">
                  <w:pPr>
                    <w:widowControl/>
                    <w:jc w:val="center"/>
                    <w:textAlignment w:val="center"/>
                    <w:rPr>
                      <w:szCs w:val="21"/>
                    </w:rPr>
                  </w:pPr>
                  <w:r>
                    <w:rPr>
                      <w:kern w:val="0"/>
                      <w:szCs w:val="21"/>
                    </w:rPr>
                    <w:t>单项压力封闭剂</w:t>
                  </w:r>
                </w:p>
              </w:tc>
              <w:tc>
                <w:tcPr>
                  <w:tcW w:w="388" w:type="pct"/>
                  <w:tcMar>
                    <w:top w:w="0" w:type="dxa"/>
                    <w:left w:w="0" w:type="dxa"/>
                    <w:bottom w:w="0" w:type="dxa"/>
                    <w:right w:w="0" w:type="dxa"/>
                  </w:tcMar>
                  <w:vAlign w:val="center"/>
                </w:tcPr>
                <w:p w14:paraId="132A04D4">
                  <w:pPr>
                    <w:widowControl/>
                    <w:jc w:val="center"/>
                    <w:textAlignment w:val="center"/>
                    <w:rPr>
                      <w:szCs w:val="21"/>
                    </w:rPr>
                  </w:pPr>
                  <w:r>
                    <w:rPr>
                      <w:rFonts w:hint="eastAsia"/>
                      <w:szCs w:val="21"/>
                    </w:rPr>
                    <w:t>7</w:t>
                  </w:r>
                </w:p>
              </w:tc>
              <w:tc>
                <w:tcPr>
                  <w:tcW w:w="340" w:type="pct"/>
                  <w:tcMar>
                    <w:top w:w="0" w:type="dxa"/>
                    <w:left w:w="0" w:type="dxa"/>
                    <w:bottom w:w="0" w:type="dxa"/>
                    <w:right w:w="0" w:type="dxa"/>
                  </w:tcMar>
                  <w:vAlign w:val="center"/>
                </w:tcPr>
                <w:p w14:paraId="3AA1B285">
                  <w:pPr>
                    <w:adjustRightInd w:val="0"/>
                    <w:snapToGrid w:val="0"/>
                    <w:jc w:val="center"/>
                    <w:rPr>
                      <w:szCs w:val="21"/>
                    </w:rPr>
                  </w:pPr>
                  <w:r>
                    <w:rPr>
                      <w:rFonts w:hint="eastAsia"/>
                      <w:szCs w:val="21"/>
                    </w:rPr>
                    <w:t>1</w:t>
                  </w:r>
                </w:p>
              </w:tc>
              <w:tc>
                <w:tcPr>
                  <w:tcW w:w="484" w:type="pct"/>
                  <w:tcMar>
                    <w:top w:w="0" w:type="dxa"/>
                    <w:left w:w="0" w:type="dxa"/>
                    <w:bottom w:w="0" w:type="dxa"/>
                    <w:right w:w="0" w:type="dxa"/>
                  </w:tcMar>
                  <w:vAlign w:val="center"/>
                </w:tcPr>
                <w:p w14:paraId="1A1EBC83">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7851772B">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7D22BA18">
                  <w:pPr>
                    <w:widowControl/>
                    <w:jc w:val="center"/>
                    <w:textAlignment w:val="center"/>
                    <w:rPr>
                      <w:rFonts w:eastAsia="Times New Roman"/>
                      <w:szCs w:val="21"/>
                    </w:rPr>
                  </w:pPr>
                  <w:r>
                    <w:rPr>
                      <w:kern w:val="0"/>
                      <w:szCs w:val="21"/>
                    </w:rPr>
                    <w:t>经特别工艺处理的多种天然纤维与填充粒子及添加剂</w:t>
                  </w:r>
                  <w:r>
                    <w:rPr>
                      <w:rFonts w:hint="eastAsia"/>
                      <w:kern w:val="0"/>
                      <w:szCs w:val="21"/>
                    </w:rPr>
                    <w:t>。</w:t>
                  </w:r>
                  <w:r>
                    <w:rPr>
                      <w:kern w:val="0"/>
                      <w:szCs w:val="21"/>
                    </w:rPr>
                    <w:t>无毒、不溶于水、淡黄色粉末</w:t>
                  </w:r>
                </w:p>
              </w:tc>
              <w:tc>
                <w:tcPr>
                  <w:tcW w:w="1496" w:type="pct"/>
                  <w:tcMar>
                    <w:top w:w="0" w:type="dxa"/>
                    <w:left w:w="0" w:type="dxa"/>
                    <w:bottom w:w="0" w:type="dxa"/>
                    <w:right w:w="0" w:type="dxa"/>
                  </w:tcMar>
                  <w:vAlign w:val="center"/>
                </w:tcPr>
                <w:p w14:paraId="4B37505D">
                  <w:pPr>
                    <w:widowControl/>
                    <w:jc w:val="center"/>
                    <w:textAlignment w:val="center"/>
                    <w:rPr>
                      <w:kern w:val="0"/>
                      <w:szCs w:val="21"/>
                    </w:rPr>
                  </w:pPr>
                  <w:r>
                    <w:rPr>
                      <w:kern w:val="0"/>
                      <w:szCs w:val="21"/>
                    </w:rPr>
                    <w:t>能显著降低钻井泥浆的滤失量，又不影响钻井泥浆的流变性能，耐温性能优良</w:t>
                  </w:r>
                </w:p>
              </w:tc>
            </w:tr>
            <w:tr w14:paraId="7C51C48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523" w:hRule="atLeast"/>
                <w:jc w:val="center"/>
              </w:trPr>
              <w:tc>
                <w:tcPr>
                  <w:tcW w:w="649" w:type="pct"/>
                  <w:tcMar>
                    <w:top w:w="0" w:type="dxa"/>
                    <w:left w:w="0" w:type="dxa"/>
                    <w:bottom w:w="0" w:type="dxa"/>
                    <w:right w:w="0" w:type="dxa"/>
                  </w:tcMar>
                  <w:vAlign w:val="center"/>
                </w:tcPr>
                <w:p w14:paraId="710EE71A">
                  <w:pPr>
                    <w:widowControl/>
                    <w:jc w:val="center"/>
                    <w:textAlignment w:val="center"/>
                    <w:rPr>
                      <w:kern w:val="0"/>
                      <w:szCs w:val="21"/>
                    </w:rPr>
                  </w:pPr>
                  <w:r>
                    <w:rPr>
                      <w:rFonts w:hint="eastAsia"/>
                      <w:kern w:val="0"/>
                      <w:szCs w:val="21"/>
                    </w:rPr>
                    <w:t>铵盐</w:t>
                  </w:r>
                </w:p>
              </w:tc>
              <w:tc>
                <w:tcPr>
                  <w:tcW w:w="388" w:type="pct"/>
                  <w:tcMar>
                    <w:top w:w="0" w:type="dxa"/>
                    <w:left w:w="0" w:type="dxa"/>
                    <w:bottom w:w="0" w:type="dxa"/>
                    <w:right w:w="0" w:type="dxa"/>
                  </w:tcMar>
                  <w:vAlign w:val="center"/>
                </w:tcPr>
                <w:p w14:paraId="4EEC5EBE">
                  <w:pPr>
                    <w:widowControl/>
                    <w:jc w:val="center"/>
                    <w:textAlignment w:val="center"/>
                    <w:rPr>
                      <w:szCs w:val="21"/>
                    </w:rPr>
                  </w:pPr>
                  <w:r>
                    <w:rPr>
                      <w:rFonts w:hint="eastAsia"/>
                      <w:szCs w:val="21"/>
                    </w:rPr>
                    <w:t>7</w:t>
                  </w:r>
                </w:p>
              </w:tc>
              <w:tc>
                <w:tcPr>
                  <w:tcW w:w="340" w:type="pct"/>
                  <w:tcMar>
                    <w:top w:w="0" w:type="dxa"/>
                    <w:left w:w="0" w:type="dxa"/>
                    <w:bottom w:w="0" w:type="dxa"/>
                    <w:right w:w="0" w:type="dxa"/>
                  </w:tcMar>
                  <w:vAlign w:val="center"/>
                </w:tcPr>
                <w:p w14:paraId="2368C1F0">
                  <w:pPr>
                    <w:adjustRightInd w:val="0"/>
                    <w:snapToGrid w:val="0"/>
                    <w:jc w:val="center"/>
                    <w:rPr>
                      <w:szCs w:val="21"/>
                    </w:rPr>
                  </w:pPr>
                  <w:r>
                    <w:rPr>
                      <w:rFonts w:hint="eastAsia"/>
                      <w:szCs w:val="21"/>
                    </w:rPr>
                    <w:t>1</w:t>
                  </w:r>
                </w:p>
              </w:tc>
              <w:tc>
                <w:tcPr>
                  <w:tcW w:w="484" w:type="pct"/>
                  <w:tcMar>
                    <w:top w:w="0" w:type="dxa"/>
                    <w:left w:w="0" w:type="dxa"/>
                    <w:bottom w:w="0" w:type="dxa"/>
                    <w:right w:w="0" w:type="dxa"/>
                  </w:tcMar>
                  <w:vAlign w:val="center"/>
                </w:tcPr>
                <w:p w14:paraId="21CFF1B6">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2EE958A7">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59B0CBB3">
                  <w:pPr>
                    <w:widowControl/>
                    <w:jc w:val="center"/>
                    <w:textAlignment w:val="center"/>
                    <w:rPr>
                      <w:kern w:val="0"/>
                      <w:szCs w:val="21"/>
                    </w:rPr>
                  </w:pPr>
                  <w:r>
                    <w:rPr>
                      <w:rFonts w:hint="eastAsia"/>
                      <w:kern w:val="0"/>
                      <w:szCs w:val="21"/>
                    </w:rPr>
                    <w:t>淡黄色粉末，是一种钻井液用降滤失剂，其主要成分含有羧酸、羧胺基、酰胺基和亚铵基等，其颗粒不易结块</w:t>
                  </w:r>
                </w:p>
              </w:tc>
              <w:tc>
                <w:tcPr>
                  <w:tcW w:w="1496" w:type="pct"/>
                  <w:tcMar>
                    <w:top w:w="0" w:type="dxa"/>
                    <w:left w:w="0" w:type="dxa"/>
                    <w:bottom w:w="0" w:type="dxa"/>
                    <w:right w:w="0" w:type="dxa"/>
                  </w:tcMar>
                  <w:vAlign w:val="center"/>
                </w:tcPr>
                <w:p w14:paraId="793B7344">
                  <w:pPr>
                    <w:widowControl/>
                    <w:jc w:val="center"/>
                    <w:textAlignment w:val="center"/>
                    <w:rPr>
                      <w:kern w:val="0"/>
                      <w:szCs w:val="21"/>
                    </w:rPr>
                  </w:pPr>
                  <w:r>
                    <w:rPr>
                      <w:kern w:val="0"/>
                      <w:szCs w:val="21"/>
                    </w:rPr>
                    <w:t>抑制粘土水化分散，是一种良好的页岩抑制剂，同时兼有降低钻井</w:t>
                  </w:r>
                  <w:r>
                    <w:rPr>
                      <w:rFonts w:hint="eastAsia"/>
                      <w:kern w:val="0"/>
                      <w:szCs w:val="21"/>
                    </w:rPr>
                    <w:t>泥浆</w:t>
                  </w:r>
                  <w:r>
                    <w:rPr>
                      <w:kern w:val="0"/>
                      <w:szCs w:val="21"/>
                    </w:rPr>
                    <w:t>粘度和降低滤失作用</w:t>
                  </w:r>
                </w:p>
              </w:tc>
            </w:tr>
            <w:tr w14:paraId="390EC96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47" w:hRule="atLeast"/>
                <w:jc w:val="center"/>
              </w:trPr>
              <w:tc>
                <w:tcPr>
                  <w:tcW w:w="649" w:type="pct"/>
                  <w:tcMar>
                    <w:top w:w="0" w:type="dxa"/>
                    <w:left w:w="0" w:type="dxa"/>
                    <w:bottom w:w="0" w:type="dxa"/>
                    <w:right w:w="0" w:type="dxa"/>
                  </w:tcMar>
                  <w:vAlign w:val="center"/>
                </w:tcPr>
                <w:p w14:paraId="1D8E7F3C">
                  <w:pPr>
                    <w:widowControl/>
                    <w:jc w:val="center"/>
                    <w:textAlignment w:val="center"/>
                    <w:rPr>
                      <w:kern w:val="0"/>
                      <w:szCs w:val="21"/>
                    </w:rPr>
                  </w:pPr>
                  <w:r>
                    <w:rPr>
                      <w:kern w:val="0"/>
                      <w:szCs w:val="21"/>
                    </w:rPr>
                    <w:t>LV-CMC（羟甲基纤维素钠）</w:t>
                  </w:r>
                </w:p>
              </w:tc>
              <w:tc>
                <w:tcPr>
                  <w:tcW w:w="388" w:type="pct"/>
                  <w:tcMar>
                    <w:top w:w="0" w:type="dxa"/>
                    <w:left w:w="0" w:type="dxa"/>
                    <w:bottom w:w="0" w:type="dxa"/>
                    <w:right w:w="0" w:type="dxa"/>
                  </w:tcMar>
                  <w:vAlign w:val="center"/>
                </w:tcPr>
                <w:p w14:paraId="67A6EAB2">
                  <w:pPr>
                    <w:widowControl/>
                    <w:jc w:val="center"/>
                    <w:textAlignment w:val="center"/>
                    <w:rPr>
                      <w:kern w:val="0"/>
                      <w:szCs w:val="21"/>
                    </w:rPr>
                  </w:pPr>
                  <w:r>
                    <w:rPr>
                      <w:rFonts w:hint="eastAsia"/>
                      <w:kern w:val="0"/>
                      <w:szCs w:val="21"/>
                    </w:rPr>
                    <w:t>7</w:t>
                  </w:r>
                </w:p>
              </w:tc>
              <w:tc>
                <w:tcPr>
                  <w:tcW w:w="340" w:type="pct"/>
                  <w:tcMar>
                    <w:top w:w="0" w:type="dxa"/>
                    <w:left w:w="0" w:type="dxa"/>
                    <w:bottom w:w="0" w:type="dxa"/>
                    <w:right w:w="0" w:type="dxa"/>
                  </w:tcMar>
                  <w:vAlign w:val="center"/>
                </w:tcPr>
                <w:p w14:paraId="63E19676">
                  <w:pPr>
                    <w:adjustRightInd w:val="0"/>
                    <w:snapToGrid w:val="0"/>
                    <w:jc w:val="center"/>
                    <w:rPr>
                      <w:szCs w:val="21"/>
                    </w:rPr>
                  </w:pPr>
                  <w:r>
                    <w:rPr>
                      <w:rFonts w:hint="eastAsia"/>
                      <w:szCs w:val="21"/>
                    </w:rPr>
                    <w:t>1</w:t>
                  </w:r>
                </w:p>
              </w:tc>
              <w:tc>
                <w:tcPr>
                  <w:tcW w:w="484" w:type="pct"/>
                  <w:tcMar>
                    <w:top w:w="0" w:type="dxa"/>
                    <w:left w:w="0" w:type="dxa"/>
                    <w:bottom w:w="0" w:type="dxa"/>
                    <w:right w:w="0" w:type="dxa"/>
                  </w:tcMar>
                  <w:vAlign w:val="center"/>
                </w:tcPr>
                <w:p w14:paraId="17F2D22F">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0E3E4099">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68A8FDDE">
                  <w:pPr>
                    <w:widowControl/>
                    <w:jc w:val="center"/>
                    <w:textAlignment w:val="center"/>
                    <w:rPr>
                      <w:kern w:val="0"/>
                      <w:szCs w:val="21"/>
                    </w:rPr>
                  </w:pPr>
                  <w:r>
                    <w:rPr>
                      <w:rFonts w:hint="eastAsia"/>
                      <w:kern w:val="0"/>
                      <w:szCs w:val="21"/>
                    </w:rPr>
                    <w:t>白色颗粒，溶于水、碱水溶液、氨和纤维素溶液，不溶于有机溶液、矿物油的无色无定型物</w:t>
                  </w:r>
                </w:p>
              </w:tc>
              <w:tc>
                <w:tcPr>
                  <w:tcW w:w="1496" w:type="pct"/>
                  <w:tcMar>
                    <w:top w:w="0" w:type="dxa"/>
                    <w:left w:w="0" w:type="dxa"/>
                    <w:bottom w:w="0" w:type="dxa"/>
                    <w:right w:w="0" w:type="dxa"/>
                  </w:tcMar>
                  <w:vAlign w:val="center"/>
                </w:tcPr>
                <w:p w14:paraId="07E82261">
                  <w:pPr>
                    <w:widowControl/>
                    <w:jc w:val="center"/>
                    <w:textAlignment w:val="center"/>
                    <w:rPr>
                      <w:kern w:val="0"/>
                      <w:szCs w:val="21"/>
                    </w:rPr>
                  </w:pPr>
                  <w:r>
                    <w:rPr>
                      <w:kern w:val="0"/>
                      <w:szCs w:val="21"/>
                    </w:rPr>
                    <w:t>主要用作滤失剂</w:t>
                  </w:r>
                </w:p>
              </w:tc>
            </w:tr>
            <w:tr w14:paraId="4E843BA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689" w:hRule="atLeast"/>
                <w:jc w:val="center"/>
              </w:trPr>
              <w:tc>
                <w:tcPr>
                  <w:tcW w:w="649" w:type="pct"/>
                  <w:tcMar>
                    <w:top w:w="0" w:type="dxa"/>
                    <w:left w:w="0" w:type="dxa"/>
                    <w:bottom w:w="0" w:type="dxa"/>
                    <w:right w:w="0" w:type="dxa"/>
                  </w:tcMar>
                  <w:vAlign w:val="center"/>
                </w:tcPr>
                <w:p w14:paraId="55913032">
                  <w:pPr>
                    <w:widowControl/>
                    <w:jc w:val="center"/>
                    <w:textAlignment w:val="center"/>
                    <w:rPr>
                      <w:kern w:val="0"/>
                      <w:szCs w:val="21"/>
                    </w:rPr>
                  </w:pPr>
                  <w:r>
                    <w:rPr>
                      <w:rFonts w:hint="eastAsia"/>
                      <w:kern w:val="0"/>
                      <w:szCs w:val="21"/>
                    </w:rPr>
                    <w:t>聚胺抑制剂</w:t>
                  </w:r>
                  <w:r>
                    <w:rPr>
                      <w:kern w:val="0"/>
                      <w:szCs w:val="21"/>
                    </w:rPr>
                    <w:t>K-PAM（聚丙烯酰钾）</w:t>
                  </w:r>
                </w:p>
              </w:tc>
              <w:tc>
                <w:tcPr>
                  <w:tcW w:w="388" w:type="pct"/>
                  <w:tcMar>
                    <w:top w:w="0" w:type="dxa"/>
                    <w:left w:w="0" w:type="dxa"/>
                    <w:bottom w:w="0" w:type="dxa"/>
                    <w:right w:w="0" w:type="dxa"/>
                  </w:tcMar>
                  <w:vAlign w:val="center"/>
                </w:tcPr>
                <w:p w14:paraId="7700648A">
                  <w:pPr>
                    <w:widowControl/>
                    <w:jc w:val="center"/>
                    <w:textAlignment w:val="center"/>
                    <w:rPr>
                      <w:szCs w:val="21"/>
                    </w:rPr>
                  </w:pPr>
                  <w:r>
                    <w:rPr>
                      <w:rFonts w:hint="eastAsia"/>
                      <w:kern w:val="0"/>
                      <w:szCs w:val="21"/>
                    </w:rPr>
                    <w:t>7</w:t>
                  </w:r>
                </w:p>
              </w:tc>
              <w:tc>
                <w:tcPr>
                  <w:tcW w:w="340" w:type="pct"/>
                  <w:tcMar>
                    <w:top w:w="0" w:type="dxa"/>
                    <w:left w:w="0" w:type="dxa"/>
                    <w:bottom w:w="0" w:type="dxa"/>
                    <w:right w:w="0" w:type="dxa"/>
                  </w:tcMar>
                  <w:vAlign w:val="center"/>
                </w:tcPr>
                <w:p w14:paraId="79B2917E">
                  <w:pPr>
                    <w:adjustRightInd w:val="0"/>
                    <w:snapToGrid w:val="0"/>
                    <w:jc w:val="center"/>
                    <w:rPr>
                      <w:szCs w:val="21"/>
                    </w:rPr>
                  </w:pPr>
                  <w:r>
                    <w:rPr>
                      <w:szCs w:val="21"/>
                    </w:rPr>
                    <w:t>1</w:t>
                  </w:r>
                </w:p>
              </w:tc>
              <w:tc>
                <w:tcPr>
                  <w:tcW w:w="484" w:type="pct"/>
                  <w:tcMar>
                    <w:top w:w="0" w:type="dxa"/>
                    <w:left w:w="0" w:type="dxa"/>
                    <w:bottom w:w="0" w:type="dxa"/>
                    <w:right w:w="0" w:type="dxa"/>
                  </w:tcMar>
                  <w:vAlign w:val="center"/>
                </w:tcPr>
                <w:p w14:paraId="247BAC39">
                  <w:pPr>
                    <w:adjustRightInd w:val="0"/>
                    <w:snapToGrid w:val="0"/>
                    <w:jc w:val="center"/>
                    <w:rPr>
                      <w:szCs w:val="21"/>
                    </w:rPr>
                  </w:pPr>
                  <w:r>
                    <w:rPr>
                      <w:szCs w:val="21"/>
                    </w:rPr>
                    <w:t>袋装，25</w:t>
                  </w:r>
                  <w:r>
                    <w:rPr>
                      <w:rFonts w:hint="eastAsia"/>
                      <w:szCs w:val="21"/>
                    </w:rPr>
                    <w:t>k</w:t>
                  </w:r>
                  <w:r>
                    <w:rPr>
                      <w:szCs w:val="21"/>
                    </w:rPr>
                    <w:t>g/袋</w:t>
                  </w:r>
                </w:p>
              </w:tc>
              <w:tc>
                <w:tcPr>
                  <w:tcW w:w="331" w:type="pct"/>
                  <w:tcMar>
                    <w:top w:w="0" w:type="dxa"/>
                    <w:left w:w="0" w:type="dxa"/>
                    <w:bottom w:w="0" w:type="dxa"/>
                    <w:right w:w="0" w:type="dxa"/>
                  </w:tcMar>
                  <w:vAlign w:val="center"/>
                </w:tcPr>
                <w:p w14:paraId="5C7A28BB">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428064B9">
                  <w:pPr>
                    <w:widowControl/>
                    <w:jc w:val="center"/>
                    <w:textAlignment w:val="center"/>
                    <w:rPr>
                      <w:kern w:val="0"/>
                      <w:szCs w:val="21"/>
                    </w:rPr>
                  </w:pPr>
                  <w:r>
                    <w:rPr>
                      <w:kern w:val="0"/>
                      <w:szCs w:val="21"/>
                    </w:rPr>
                    <w:t>白色溶于水、结晶粉末</w:t>
                  </w:r>
                  <w:r>
                    <w:rPr>
                      <w:rFonts w:hint="eastAsia"/>
                      <w:kern w:val="0"/>
                      <w:szCs w:val="21"/>
                    </w:rPr>
                    <w:t>；聚合度可高达10000~90000，相应的分子量高达150万~600万，有强烈的吸附作用，在胶粒之间形成桥联</w:t>
                  </w:r>
                </w:p>
              </w:tc>
              <w:tc>
                <w:tcPr>
                  <w:tcW w:w="1496" w:type="pct"/>
                  <w:tcMar>
                    <w:top w:w="0" w:type="dxa"/>
                    <w:left w:w="0" w:type="dxa"/>
                    <w:bottom w:w="0" w:type="dxa"/>
                    <w:right w:w="0" w:type="dxa"/>
                  </w:tcMar>
                  <w:vAlign w:val="center"/>
                </w:tcPr>
                <w:p w14:paraId="0BB14E46">
                  <w:pPr>
                    <w:widowControl/>
                    <w:jc w:val="center"/>
                    <w:textAlignment w:val="center"/>
                    <w:rPr>
                      <w:kern w:val="0"/>
                      <w:szCs w:val="21"/>
                    </w:rPr>
                  </w:pPr>
                  <w:r>
                    <w:rPr>
                      <w:kern w:val="0"/>
                      <w:szCs w:val="21"/>
                    </w:rPr>
                    <w:t>能有效包被钻屑、抑制地层造浆，起稳定井壁、防塌降低滤失作用，可以有效的抑制地层造浆并能与多种处</w:t>
                  </w:r>
                  <w:r>
                    <w:rPr>
                      <w:rFonts w:hint="eastAsia"/>
                      <w:kern w:val="0"/>
                      <w:szCs w:val="21"/>
                    </w:rPr>
                    <w:t>理</w:t>
                  </w:r>
                  <w:r>
                    <w:rPr>
                      <w:kern w:val="0"/>
                      <w:szCs w:val="21"/>
                    </w:rPr>
                    <w:t>剂配伍，是一种应用广、较理想的井壁稳定剂</w:t>
                  </w:r>
                </w:p>
              </w:tc>
            </w:tr>
            <w:tr w14:paraId="11C33DE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260" w:hRule="atLeast"/>
                <w:jc w:val="center"/>
              </w:trPr>
              <w:tc>
                <w:tcPr>
                  <w:tcW w:w="649" w:type="pct"/>
                  <w:tcMar>
                    <w:top w:w="0" w:type="dxa"/>
                    <w:left w:w="0" w:type="dxa"/>
                    <w:bottom w:w="0" w:type="dxa"/>
                    <w:right w:w="0" w:type="dxa"/>
                  </w:tcMar>
                  <w:vAlign w:val="center"/>
                </w:tcPr>
                <w:p w14:paraId="2B1158DE">
                  <w:pPr>
                    <w:widowControl/>
                    <w:jc w:val="center"/>
                    <w:textAlignment w:val="center"/>
                    <w:rPr>
                      <w:szCs w:val="21"/>
                    </w:rPr>
                  </w:pPr>
                  <w:r>
                    <w:rPr>
                      <w:kern w:val="0"/>
                      <w:szCs w:val="21"/>
                    </w:rPr>
                    <w:t>堵漏剂</w:t>
                  </w:r>
                </w:p>
              </w:tc>
              <w:tc>
                <w:tcPr>
                  <w:tcW w:w="388" w:type="pct"/>
                  <w:tcMar>
                    <w:top w:w="0" w:type="dxa"/>
                    <w:left w:w="0" w:type="dxa"/>
                    <w:bottom w:w="0" w:type="dxa"/>
                    <w:right w:w="0" w:type="dxa"/>
                  </w:tcMar>
                  <w:vAlign w:val="center"/>
                </w:tcPr>
                <w:p w14:paraId="3EF9F097">
                  <w:pPr>
                    <w:widowControl/>
                    <w:jc w:val="center"/>
                    <w:textAlignment w:val="center"/>
                    <w:rPr>
                      <w:szCs w:val="21"/>
                    </w:rPr>
                  </w:pPr>
                  <w:r>
                    <w:rPr>
                      <w:rFonts w:hint="eastAsia"/>
                      <w:kern w:val="0"/>
                      <w:szCs w:val="21"/>
                    </w:rPr>
                    <w:t>10.5</w:t>
                  </w:r>
                </w:p>
              </w:tc>
              <w:tc>
                <w:tcPr>
                  <w:tcW w:w="340" w:type="pct"/>
                  <w:tcMar>
                    <w:top w:w="0" w:type="dxa"/>
                    <w:left w:w="0" w:type="dxa"/>
                    <w:bottom w:w="0" w:type="dxa"/>
                    <w:right w:w="0" w:type="dxa"/>
                  </w:tcMar>
                  <w:vAlign w:val="center"/>
                </w:tcPr>
                <w:p w14:paraId="5CCCBDD5">
                  <w:pPr>
                    <w:adjustRightInd w:val="0"/>
                    <w:snapToGrid w:val="0"/>
                    <w:jc w:val="center"/>
                    <w:rPr>
                      <w:szCs w:val="21"/>
                    </w:rPr>
                  </w:pPr>
                  <w:r>
                    <w:rPr>
                      <w:rFonts w:hint="eastAsia"/>
                      <w:szCs w:val="21"/>
                    </w:rPr>
                    <w:t>2</w:t>
                  </w:r>
                </w:p>
              </w:tc>
              <w:tc>
                <w:tcPr>
                  <w:tcW w:w="484" w:type="pct"/>
                  <w:tcMar>
                    <w:top w:w="0" w:type="dxa"/>
                    <w:left w:w="0" w:type="dxa"/>
                    <w:bottom w:w="0" w:type="dxa"/>
                    <w:right w:w="0" w:type="dxa"/>
                  </w:tcMar>
                  <w:vAlign w:val="center"/>
                </w:tcPr>
                <w:p w14:paraId="3AC8F24E">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2ED394F2">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7237BB07">
                  <w:pPr>
                    <w:widowControl/>
                    <w:jc w:val="center"/>
                    <w:textAlignment w:val="center"/>
                    <w:rPr>
                      <w:rFonts w:eastAsia="Times New Roman"/>
                      <w:szCs w:val="21"/>
                    </w:rPr>
                  </w:pPr>
                  <w:r>
                    <w:rPr>
                      <w:kern w:val="0"/>
                      <w:szCs w:val="21"/>
                    </w:rPr>
                    <w:t>主要由植物硬质果壳，云母和其它植物纤维组成。无毒、不溶于水、固体粉末</w:t>
                  </w:r>
                </w:p>
              </w:tc>
              <w:tc>
                <w:tcPr>
                  <w:tcW w:w="1496" w:type="pct"/>
                  <w:tcMar>
                    <w:top w:w="0" w:type="dxa"/>
                    <w:left w:w="0" w:type="dxa"/>
                    <w:bottom w:w="0" w:type="dxa"/>
                    <w:right w:w="0" w:type="dxa"/>
                  </w:tcMar>
                  <w:vAlign w:val="center"/>
                </w:tcPr>
                <w:p w14:paraId="4C1A02A3">
                  <w:pPr>
                    <w:widowControl/>
                    <w:jc w:val="center"/>
                    <w:textAlignment w:val="center"/>
                    <w:rPr>
                      <w:kern w:val="0"/>
                      <w:szCs w:val="21"/>
                    </w:rPr>
                  </w:pPr>
                  <w:r>
                    <w:rPr>
                      <w:kern w:val="0"/>
                      <w:szCs w:val="21"/>
                    </w:rPr>
                    <w:t>适用于钻井裂缝，多孔隙地层的堵漏，若与其它堵漏材料混合使用</w:t>
                  </w:r>
                  <w:r>
                    <w:rPr>
                      <w:rFonts w:hint="eastAsia"/>
                      <w:kern w:val="0"/>
                      <w:szCs w:val="21"/>
                    </w:rPr>
                    <w:t>效果更佳</w:t>
                  </w:r>
                </w:p>
              </w:tc>
            </w:tr>
            <w:tr w14:paraId="217EE6D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672" w:hRule="atLeast"/>
                <w:jc w:val="center"/>
              </w:trPr>
              <w:tc>
                <w:tcPr>
                  <w:tcW w:w="649" w:type="pct"/>
                  <w:tcMar>
                    <w:top w:w="0" w:type="dxa"/>
                    <w:left w:w="0" w:type="dxa"/>
                    <w:bottom w:w="0" w:type="dxa"/>
                    <w:right w:w="0" w:type="dxa"/>
                  </w:tcMar>
                  <w:vAlign w:val="center"/>
                </w:tcPr>
                <w:p w14:paraId="6310F25F">
                  <w:pPr>
                    <w:widowControl/>
                    <w:jc w:val="center"/>
                    <w:textAlignment w:val="center"/>
                    <w:rPr>
                      <w:kern w:val="0"/>
                      <w:szCs w:val="21"/>
                    </w:rPr>
                  </w:pPr>
                  <w:r>
                    <w:rPr>
                      <w:rFonts w:hint="eastAsia"/>
                      <w:kern w:val="0"/>
                      <w:szCs w:val="21"/>
                    </w:rPr>
                    <w:t>低荧光抗盐防塌剂改性褐煤树脂</w:t>
                  </w:r>
                </w:p>
              </w:tc>
              <w:tc>
                <w:tcPr>
                  <w:tcW w:w="388" w:type="pct"/>
                  <w:tcMar>
                    <w:top w:w="0" w:type="dxa"/>
                    <w:left w:w="0" w:type="dxa"/>
                    <w:bottom w:w="0" w:type="dxa"/>
                    <w:right w:w="0" w:type="dxa"/>
                  </w:tcMar>
                  <w:vAlign w:val="center"/>
                </w:tcPr>
                <w:p w14:paraId="34FA31A1">
                  <w:pPr>
                    <w:widowControl/>
                    <w:jc w:val="center"/>
                    <w:textAlignment w:val="center"/>
                    <w:rPr>
                      <w:kern w:val="0"/>
                      <w:szCs w:val="21"/>
                    </w:rPr>
                  </w:pPr>
                  <w:r>
                    <w:rPr>
                      <w:rFonts w:hint="eastAsia"/>
                      <w:kern w:val="0"/>
                      <w:szCs w:val="21"/>
                    </w:rPr>
                    <w:t>8.5</w:t>
                  </w:r>
                </w:p>
              </w:tc>
              <w:tc>
                <w:tcPr>
                  <w:tcW w:w="340" w:type="pct"/>
                  <w:tcMar>
                    <w:top w:w="0" w:type="dxa"/>
                    <w:left w:w="0" w:type="dxa"/>
                    <w:bottom w:w="0" w:type="dxa"/>
                    <w:right w:w="0" w:type="dxa"/>
                  </w:tcMar>
                  <w:vAlign w:val="center"/>
                </w:tcPr>
                <w:p w14:paraId="1D19F1D5">
                  <w:pPr>
                    <w:adjustRightInd w:val="0"/>
                    <w:snapToGrid w:val="0"/>
                    <w:jc w:val="center"/>
                    <w:rPr>
                      <w:szCs w:val="21"/>
                    </w:rPr>
                  </w:pPr>
                  <w:r>
                    <w:rPr>
                      <w:rFonts w:hint="eastAsia"/>
                      <w:szCs w:val="21"/>
                    </w:rPr>
                    <w:t>2</w:t>
                  </w:r>
                </w:p>
              </w:tc>
              <w:tc>
                <w:tcPr>
                  <w:tcW w:w="484" w:type="pct"/>
                  <w:tcMar>
                    <w:top w:w="0" w:type="dxa"/>
                    <w:left w:w="0" w:type="dxa"/>
                    <w:bottom w:w="0" w:type="dxa"/>
                    <w:right w:w="0" w:type="dxa"/>
                  </w:tcMar>
                  <w:vAlign w:val="center"/>
                </w:tcPr>
                <w:p w14:paraId="3FD6E702">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2092CC6D">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1098E8CF">
                  <w:pPr>
                    <w:widowControl/>
                    <w:jc w:val="center"/>
                    <w:textAlignment w:val="center"/>
                    <w:rPr>
                      <w:kern w:val="0"/>
                      <w:szCs w:val="21"/>
                    </w:rPr>
                  </w:pPr>
                  <w:r>
                    <w:rPr>
                      <w:rFonts w:hint="eastAsia"/>
                      <w:kern w:val="0"/>
                      <w:szCs w:val="21"/>
                    </w:rPr>
                    <w:t>酚醛树脂和腐植酸缩合物SMP和褐煤、胺基聚丙烯腈共聚而成</w:t>
                  </w:r>
                </w:p>
              </w:tc>
              <w:tc>
                <w:tcPr>
                  <w:tcW w:w="1496" w:type="pct"/>
                  <w:tcMar>
                    <w:top w:w="0" w:type="dxa"/>
                    <w:left w:w="0" w:type="dxa"/>
                    <w:bottom w:w="0" w:type="dxa"/>
                    <w:right w:w="0" w:type="dxa"/>
                  </w:tcMar>
                  <w:vAlign w:val="center"/>
                </w:tcPr>
                <w:p w14:paraId="08FADCD0">
                  <w:pPr>
                    <w:widowControl/>
                    <w:jc w:val="center"/>
                    <w:textAlignment w:val="center"/>
                    <w:rPr>
                      <w:kern w:val="0"/>
                      <w:szCs w:val="21"/>
                    </w:rPr>
                  </w:pPr>
                  <w:r>
                    <w:rPr>
                      <w:rFonts w:hint="eastAsia"/>
                      <w:kern w:val="0"/>
                      <w:szCs w:val="21"/>
                    </w:rPr>
                    <w:t>抗高温抗盐降滤失剂，稍降粘切改善泥饼质量</w:t>
                  </w:r>
                </w:p>
              </w:tc>
            </w:tr>
            <w:tr w14:paraId="7FEB9B9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520" w:hRule="atLeast"/>
                <w:jc w:val="center"/>
              </w:trPr>
              <w:tc>
                <w:tcPr>
                  <w:tcW w:w="649" w:type="pct"/>
                  <w:tcMar>
                    <w:top w:w="0" w:type="dxa"/>
                    <w:left w:w="0" w:type="dxa"/>
                    <w:bottom w:w="0" w:type="dxa"/>
                    <w:right w:w="0" w:type="dxa"/>
                  </w:tcMar>
                  <w:vAlign w:val="center"/>
                </w:tcPr>
                <w:p w14:paraId="1689977E">
                  <w:pPr>
                    <w:widowControl/>
                    <w:jc w:val="center"/>
                    <w:textAlignment w:val="center"/>
                    <w:rPr>
                      <w:szCs w:val="21"/>
                    </w:rPr>
                  </w:pPr>
                  <w:r>
                    <w:rPr>
                      <w:kern w:val="0"/>
                      <w:szCs w:val="21"/>
                    </w:rPr>
                    <w:t>乳化石蜡</w:t>
                  </w:r>
                </w:p>
              </w:tc>
              <w:tc>
                <w:tcPr>
                  <w:tcW w:w="388" w:type="pct"/>
                  <w:tcMar>
                    <w:top w:w="0" w:type="dxa"/>
                    <w:left w:w="0" w:type="dxa"/>
                    <w:bottom w:w="0" w:type="dxa"/>
                    <w:right w:w="0" w:type="dxa"/>
                  </w:tcMar>
                  <w:vAlign w:val="center"/>
                </w:tcPr>
                <w:p w14:paraId="29F61231">
                  <w:pPr>
                    <w:widowControl/>
                    <w:jc w:val="center"/>
                    <w:textAlignment w:val="center"/>
                    <w:rPr>
                      <w:szCs w:val="21"/>
                    </w:rPr>
                  </w:pPr>
                  <w:r>
                    <w:rPr>
                      <w:rFonts w:hint="eastAsia"/>
                      <w:kern w:val="0"/>
                      <w:szCs w:val="21"/>
                    </w:rPr>
                    <w:t>7</w:t>
                  </w:r>
                </w:p>
              </w:tc>
              <w:tc>
                <w:tcPr>
                  <w:tcW w:w="340" w:type="pct"/>
                  <w:tcMar>
                    <w:top w:w="0" w:type="dxa"/>
                    <w:left w:w="0" w:type="dxa"/>
                    <w:bottom w:w="0" w:type="dxa"/>
                    <w:right w:w="0" w:type="dxa"/>
                  </w:tcMar>
                  <w:vAlign w:val="center"/>
                </w:tcPr>
                <w:p w14:paraId="1672235C">
                  <w:pPr>
                    <w:adjustRightInd w:val="0"/>
                    <w:snapToGrid w:val="0"/>
                    <w:jc w:val="center"/>
                    <w:rPr>
                      <w:szCs w:val="21"/>
                    </w:rPr>
                  </w:pPr>
                  <w:r>
                    <w:rPr>
                      <w:rFonts w:hint="eastAsia"/>
                      <w:szCs w:val="21"/>
                    </w:rPr>
                    <w:t>2</w:t>
                  </w:r>
                  <w:r>
                    <w:rPr>
                      <w:szCs w:val="21"/>
                    </w:rPr>
                    <w:t>-</w:t>
                  </w:r>
                </w:p>
              </w:tc>
              <w:tc>
                <w:tcPr>
                  <w:tcW w:w="484" w:type="pct"/>
                  <w:tcMar>
                    <w:top w:w="0" w:type="dxa"/>
                    <w:left w:w="0" w:type="dxa"/>
                    <w:bottom w:w="0" w:type="dxa"/>
                    <w:right w:w="0" w:type="dxa"/>
                  </w:tcMar>
                  <w:vAlign w:val="center"/>
                </w:tcPr>
                <w:p w14:paraId="11092D63">
                  <w:pPr>
                    <w:adjustRightInd w:val="0"/>
                    <w:snapToGrid w:val="0"/>
                    <w:jc w:val="center"/>
                    <w:rPr>
                      <w:szCs w:val="21"/>
                    </w:rPr>
                  </w:pPr>
                  <w:r>
                    <w:rPr>
                      <w:rFonts w:hint="eastAsia"/>
                      <w:szCs w:val="21"/>
                    </w:rPr>
                    <w:t>桶</w:t>
                  </w:r>
                  <w:r>
                    <w:rPr>
                      <w:szCs w:val="21"/>
                    </w:rPr>
                    <w:t>装，25kg/</w:t>
                  </w:r>
                  <w:r>
                    <w:rPr>
                      <w:rFonts w:hint="eastAsia"/>
                      <w:szCs w:val="21"/>
                    </w:rPr>
                    <w:t>桶</w:t>
                  </w:r>
                </w:p>
              </w:tc>
              <w:tc>
                <w:tcPr>
                  <w:tcW w:w="331" w:type="pct"/>
                  <w:tcMar>
                    <w:top w:w="0" w:type="dxa"/>
                    <w:left w:w="0" w:type="dxa"/>
                    <w:bottom w:w="0" w:type="dxa"/>
                    <w:right w:w="0" w:type="dxa"/>
                  </w:tcMar>
                  <w:vAlign w:val="center"/>
                </w:tcPr>
                <w:p w14:paraId="1DB8606A">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21182450">
                  <w:pPr>
                    <w:widowControl/>
                    <w:jc w:val="center"/>
                    <w:textAlignment w:val="center"/>
                    <w:rPr>
                      <w:rFonts w:eastAsia="Times New Roman"/>
                      <w:szCs w:val="21"/>
                    </w:rPr>
                  </w:pPr>
                  <w:r>
                    <w:rPr>
                      <w:rFonts w:hint="eastAsia"/>
                      <w:kern w:val="0"/>
                      <w:szCs w:val="21"/>
                    </w:rPr>
                    <w:t>由改性石蜡（70%-90%）、乳化剂（5%-20%）及表面活性剂（1.2%-20%）经特定工艺乳化制成；无毒、淡黄色至乳白色液体</w:t>
                  </w:r>
                </w:p>
              </w:tc>
              <w:tc>
                <w:tcPr>
                  <w:tcW w:w="1496" w:type="pct"/>
                  <w:tcMar>
                    <w:top w:w="0" w:type="dxa"/>
                    <w:left w:w="0" w:type="dxa"/>
                    <w:bottom w:w="0" w:type="dxa"/>
                    <w:right w:w="0" w:type="dxa"/>
                  </w:tcMar>
                  <w:vAlign w:val="center"/>
                </w:tcPr>
                <w:p w14:paraId="13C8E682">
                  <w:pPr>
                    <w:widowControl/>
                    <w:jc w:val="center"/>
                    <w:textAlignment w:val="center"/>
                    <w:rPr>
                      <w:kern w:val="0"/>
                      <w:szCs w:val="21"/>
                    </w:rPr>
                  </w:pPr>
                  <w:r>
                    <w:rPr>
                      <w:kern w:val="0"/>
                      <w:szCs w:val="21"/>
                    </w:rPr>
                    <w:t>形成泥饼，保护井壁；控制与平衡地层压力等</w:t>
                  </w:r>
                </w:p>
              </w:tc>
            </w:tr>
            <w:tr w14:paraId="154F3E5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294" w:hRule="atLeast"/>
                <w:jc w:val="center"/>
              </w:trPr>
              <w:tc>
                <w:tcPr>
                  <w:tcW w:w="649" w:type="pct"/>
                  <w:tcMar>
                    <w:top w:w="0" w:type="dxa"/>
                    <w:left w:w="0" w:type="dxa"/>
                    <w:bottom w:w="0" w:type="dxa"/>
                    <w:right w:w="0" w:type="dxa"/>
                  </w:tcMar>
                  <w:vAlign w:val="center"/>
                </w:tcPr>
                <w:p w14:paraId="58F5E273">
                  <w:pPr>
                    <w:widowControl/>
                    <w:jc w:val="center"/>
                    <w:textAlignment w:val="center"/>
                    <w:rPr>
                      <w:szCs w:val="21"/>
                    </w:rPr>
                  </w:pPr>
                  <w:r>
                    <w:rPr>
                      <w:rFonts w:hint="eastAsia"/>
                      <w:szCs w:val="21"/>
                    </w:rPr>
                    <w:t>防卡润滑剂</w:t>
                  </w:r>
                </w:p>
              </w:tc>
              <w:tc>
                <w:tcPr>
                  <w:tcW w:w="388" w:type="pct"/>
                  <w:tcMar>
                    <w:top w:w="0" w:type="dxa"/>
                    <w:left w:w="0" w:type="dxa"/>
                    <w:bottom w:w="0" w:type="dxa"/>
                    <w:right w:w="0" w:type="dxa"/>
                  </w:tcMar>
                  <w:vAlign w:val="center"/>
                </w:tcPr>
                <w:p w14:paraId="301BA1CD">
                  <w:pPr>
                    <w:widowControl/>
                    <w:jc w:val="center"/>
                    <w:textAlignment w:val="center"/>
                    <w:rPr>
                      <w:szCs w:val="21"/>
                    </w:rPr>
                  </w:pPr>
                  <w:r>
                    <w:rPr>
                      <w:rFonts w:hint="eastAsia"/>
                      <w:szCs w:val="21"/>
                    </w:rPr>
                    <w:t>6</w:t>
                  </w:r>
                </w:p>
              </w:tc>
              <w:tc>
                <w:tcPr>
                  <w:tcW w:w="340" w:type="pct"/>
                  <w:tcMar>
                    <w:top w:w="0" w:type="dxa"/>
                    <w:left w:w="0" w:type="dxa"/>
                    <w:bottom w:w="0" w:type="dxa"/>
                    <w:right w:w="0" w:type="dxa"/>
                  </w:tcMar>
                  <w:vAlign w:val="center"/>
                </w:tcPr>
                <w:p w14:paraId="32E7FA18">
                  <w:pPr>
                    <w:adjustRightInd w:val="0"/>
                    <w:snapToGrid w:val="0"/>
                    <w:jc w:val="center"/>
                    <w:rPr>
                      <w:szCs w:val="21"/>
                    </w:rPr>
                  </w:pPr>
                  <w:r>
                    <w:rPr>
                      <w:rFonts w:hint="eastAsia"/>
                      <w:szCs w:val="21"/>
                    </w:rPr>
                    <w:t>1</w:t>
                  </w:r>
                </w:p>
              </w:tc>
              <w:tc>
                <w:tcPr>
                  <w:tcW w:w="484" w:type="pct"/>
                  <w:tcMar>
                    <w:top w:w="0" w:type="dxa"/>
                    <w:left w:w="0" w:type="dxa"/>
                    <w:bottom w:w="0" w:type="dxa"/>
                    <w:right w:w="0" w:type="dxa"/>
                  </w:tcMar>
                  <w:vAlign w:val="center"/>
                </w:tcPr>
                <w:p w14:paraId="7F9351A8">
                  <w:pPr>
                    <w:adjustRightInd w:val="0"/>
                    <w:snapToGrid w:val="0"/>
                    <w:jc w:val="center"/>
                    <w:rPr>
                      <w:szCs w:val="21"/>
                    </w:rPr>
                  </w:pPr>
                  <w:r>
                    <w:rPr>
                      <w:rFonts w:hint="eastAsia"/>
                      <w:szCs w:val="21"/>
                    </w:rPr>
                    <w:t>桶</w:t>
                  </w:r>
                  <w:r>
                    <w:rPr>
                      <w:szCs w:val="21"/>
                    </w:rPr>
                    <w:t>装，25kg/</w:t>
                  </w:r>
                  <w:r>
                    <w:rPr>
                      <w:rFonts w:hint="eastAsia"/>
                      <w:szCs w:val="21"/>
                    </w:rPr>
                    <w:t>桶</w:t>
                  </w:r>
                </w:p>
              </w:tc>
              <w:tc>
                <w:tcPr>
                  <w:tcW w:w="331" w:type="pct"/>
                  <w:tcMar>
                    <w:top w:w="0" w:type="dxa"/>
                    <w:left w:w="0" w:type="dxa"/>
                    <w:bottom w:w="0" w:type="dxa"/>
                    <w:right w:w="0" w:type="dxa"/>
                  </w:tcMar>
                  <w:vAlign w:val="center"/>
                </w:tcPr>
                <w:p w14:paraId="0B4913EB">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3352EB6D">
                  <w:pPr>
                    <w:widowControl/>
                    <w:jc w:val="center"/>
                    <w:textAlignment w:val="center"/>
                    <w:rPr>
                      <w:szCs w:val="21"/>
                    </w:rPr>
                  </w:pPr>
                  <w:r>
                    <w:rPr>
                      <w:rFonts w:hint="eastAsia" w:ascii="宋体" w:hAnsi="宋体" w:cs="宋体"/>
                      <w:szCs w:val="21"/>
                    </w:rPr>
                    <w:t>主要成分为天然沥青、胶质、石蜡、活性较强的表面活性剂及高分子化合物；主要成分来自原油，渗入地层后，不会与地层发生任何化学反应而产生沉淀物</w:t>
                  </w:r>
                </w:p>
              </w:tc>
              <w:tc>
                <w:tcPr>
                  <w:tcW w:w="1496" w:type="pct"/>
                  <w:tcMar>
                    <w:top w:w="0" w:type="dxa"/>
                    <w:left w:w="0" w:type="dxa"/>
                    <w:bottom w:w="0" w:type="dxa"/>
                    <w:right w:w="0" w:type="dxa"/>
                  </w:tcMar>
                  <w:vAlign w:val="center"/>
                </w:tcPr>
                <w:p w14:paraId="715D404D">
                  <w:pPr>
                    <w:widowControl/>
                    <w:jc w:val="center"/>
                    <w:textAlignment w:val="center"/>
                    <w:rPr>
                      <w:kern w:val="0"/>
                      <w:szCs w:val="21"/>
                    </w:rPr>
                  </w:pPr>
                  <w:r>
                    <w:rPr>
                      <w:rFonts w:hint="eastAsia" w:ascii="宋体" w:hAnsi="宋体" w:cs="宋体"/>
                      <w:szCs w:val="21"/>
                    </w:rPr>
                    <w:t>具有抗盐、抗温、低荧光、环境友好等特点以及原料来源广泛、合成成本低等优势。能够有效地降低钻井泥浆和钻具间的摩擦阻力，与各种钻井泥浆添加剂配伍性好，减轻了钻机负荷，可满足深井、大位移井、水平井等钻井作业要求。</w:t>
                  </w:r>
                </w:p>
              </w:tc>
            </w:tr>
            <w:tr w14:paraId="319282A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386" w:hRule="atLeast"/>
                <w:jc w:val="center"/>
              </w:trPr>
              <w:tc>
                <w:tcPr>
                  <w:tcW w:w="649" w:type="pct"/>
                  <w:tcMar>
                    <w:top w:w="0" w:type="dxa"/>
                    <w:left w:w="0" w:type="dxa"/>
                    <w:bottom w:w="0" w:type="dxa"/>
                    <w:right w:w="0" w:type="dxa"/>
                  </w:tcMar>
                  <w:vAlign w:val="center"/>
                </w:tcPr>
                <w:p w14:paraId="3FE9F7E7">
                  <w:pPr>
                    <w:widowControl/>
                    <w:jc w:val="center"/>
                    <w:textAlignment w:val="center"/>
                    <w:rPr>
                      <w:kern w:val="0"/>
                      <w:szCs w:val="21"/>
                    </w:rPr>
                  </w:pPr>
                  <w:r>
                    <w:rPr>
                      <w:rFonts w:hint="eastAsia"/>
                      <w:kern w:val="0"/>
                      <w:szCs w:val="21"/>
                    </w:rPr>
                    <w:t>防塌封堵剂聚合腐植酸SN</w:t>
                  </w:r>
                </w:p>
              </w:tc>
              <w:tc>
                <w:tcPr>
                  <w:tcW w:w="388" w:type="pct"/>
                  <w:tcMar>
                    <w:top w:w="0" w:type="dxa"/>
                    <w:left w:w="0" w:type="dxa"/>
                    <w:bottom w:w="0" w:type="dxa"/>
                    <w:right w:w="0" w:type="dxa"/>
                  </w:tcMar>
                  <w:vAlign w:val="center"/>
                </w:tcPr>
                <w:p w14:paraId="508AA6C3">
                  <w:pPr>
                    <w:widowControl/>
                    <w:jc w:val="center"/>
                    <w:textAlignment w:val="center"/>
                    <w:rPr>
                      <w:szCs w:val="21"/>
                    </w:rPr>
                  </w:pPr>
                  <w:r>
                    <w:rPr>
                      <w:rFonts w:hint="eastAsia"/>
                      <w:szCs w:val="21"/>
                    </w:rPr>
                    <w:t>10.5</w:t>
                  </w:r>
                </w:p>
              </w:tc>
              <w:tc>
                <w:tcPr>
                  <w:tcW w:w="340" w:type="pct"/>
                  <w:tcMar>
                    <w:top w:w="0" w:type="dxa"/>
                    <w:left w:w="0" w:type="dxa"/>
                    <w:bottom w:w="0" w:type="dxa"/>
                    <w:right w:w="0" w:type="dxa"/>
                  </w:tcMar>
                  <w:vAlign w:val="center"/>
                </w:tcPr>
                <w:p w14:paraId="55772AE8">
                  <w:pPr>
                    <w:adjustRightInd w:val="0"/>
                    <w:snapToGrid w:val="0"/>
                    <w:jc w:val="center"/>
                    <w:rPr>
                      <w:szCs w:val="21"/>
                    </w:rPr>
                  </w:pPr>
                  <w:r>
                    <w:rPr>
                      <w:rFonts w:hint="eastAsia"/>
                      <w:szCs w:val="21"/>
                    </w:rPr>
                    <w:t>2</w:t>
                  </w:r>
                </w:p>
              </w:tc>
              <w:tc>
                <w:tcPr>
                  <w:tcW w:w="484" w:type="pct"/>
                  <w:tcMar>
                    <w:top w:w="0" w:type="dxa"/>
                    <w:left w:w="0" w:type="dxa"/>
                    <w:bottom w:w="0" w:type="dxa"/>
                    <w:right w:w="0" w:type="dxa"/>
                  </w:tcMar>
                  <w:vAlign w:val="center"/>
                </w:tcPr>
                <w:p w14:paraId="3D3206D2">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2965B071">
                  <w:pPr>
                    <w:adjustRightInd w:val="0"/>
                    <w:snapToGrid w:val="0"/>
                    <w:jc w:val="center"/>
                    <w:rPr>
                      <w:szCs w:val="21"/>
                    </w:rPr>
                  </w:pPr>
                  <w:r>
                    <w:rPr>
                      <w:szCs w:val="21"/>
                    </w:rPr>
                    <w:t>材料堆场</w:t>
                  </w:r>
                </w:p>
              </w:tc>
              <w:tc>
                <w:tcPr>
                  <w:tcW w:w="1312" w:type="pct"/>
                  <w:tcMar>
                    <w:top w:w="0" w:type="dxa"/>
                    <w:left w:w="0" w:type="dxa"/>
                    <w:bottom w:w="0" w:type="dxa"/>
                    <w:right w:w="0" w:type="dxa"/>
                  </w:tcMar>
                  <w:vAlign w:val="center"/>
                </w:tcPr>
                <w:p w14:paraId="5543D59D">
                  <w:pPr>
                    <w:widowControl/>
                    <w:jc w:val="center"/>
                    <w:textAlignment w:val="center"/>
                    <w:rPr>
                      <w:kern w:val="0"/>
                      <w:szCs w:val="21"/>
                    </w:rPr>
                  </w:pPr>
                  <w:r>
                    <w:rPr>
                      <w:kern w:val="0"/>
                      <w:szCs w:val="21"/>
                    </w:rPr>
                    <w:t>外观为黑色颗粒或粉状固体，是由褐煤精细选后用KOH液体反应提取后的产物，溶于水，呈碱性，含有羧基、酚羟基等活性基团。腐植酸（干基计）≥55%，钾（K</w:t>
                  </w:r>
                  <w:r>
                    <w:rPr>
                      <w:kern w:val="0"/>
                      <w:szCs w:val="21"/>
                      <w:vertAlign w:val="subscript"/>
                    </w:rPr>
                    <w:t>2</w:t>
                  </w:r>
                  <w:r>
                    <w:rPr>
                      <w:kern w:val="0"/>
                      <w:szCs w:val="21"/>
                    </w:rPr>
                    <w:t>O干基计）8-11</w:t>
                  </w:r>
                  <w:r>
                    <w:rPr>
                      <w:rFonts w:hint="eastAsia"/>
                      <w:kern w:val="0"/>
                      <w:szCs w:val="21"/>
                    </w:rPr>
                    <w:t>%</w:t>
                  </w:r>
                  <w:r>
                    <w:rPr>
                      <w:kern w:val="0"/>
                      <w:szCs w:val="21"/>
                    </w:rPr>
                    <w:t>，pH值9.0-10.0。</w:t>
                  </w:r>
                </w:p>
              </w:tc>
              <w:tc>
                <w:tcPr>
                  <w:tcW w:w="1496" w:type="pct"/>
                  <w:tcMar>
                    <w:top w:w="0" w:type="dxa"/>
                    <w:left w:w="0" w:type="dxa"/>
                    <w:bottom w:w="0" w:type="dxa"/>
                    <w:right w:w="0" w:type="dxa"/>
                  </w:tcMar>
                  <w:vAlign w:val="center"/>
                </w:tcPr>
                <w:p w14:paraId="21951CD9">
                  <w:pPr>
                    <w:widowControl/>
                    <w:jc w:val="center"/>
                    <w:textAlignment w:val="center"/>
                    <w:rPr>
                      <w:kern w:val="0"/>
                      <w:szCs w:val="21"/>
                    </w:rPr>
                  </w:pPr>
                  <w:r>
                    <w:rPr>
                      <w:rFonts w:hint="eastAsia"/>
                      <w:kern w:val="0"/>
                      <w:szCs w:val="21"/>
                    </w:rPr>
                    <w:t>在高于浊点温度的条件下，聚合醇分子聚集到不同物象的分界处，钻井泥浆中析出，吸附于钻井岩屑、岩石、井壁表面，形成类似油相的分子膜，改善钻井泥浆的润滑性能，降低钻具的摩擦。</w:t>
                  </w:r>
                </w:p>
              </w:tc>
            </w:tr>
            <w:tr w14:paraId="65569BD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174" w:hRule="atLeast"/>
                <w:jc w:val="center"/>
              </w:trPr>
              <w:tc>
                <w:tcPr>
                  <w:tcW w:w="649" w:type="pct"/>
                  <w:tcMar>
                    <w:top w:w="0" w:type="dxa"/>
                    <w:left w:w="0" w:type="dxa"/>
                    <w:bottom w:w="0" w:type="dxa"/>
                    <w:right w:w="0" w:type="dxa"/>
                  </w:tcMar>
                  <w:vAlign w:val="center"/>
                </w:tcPr>
                <w:p w14:paraId="63A08786">
                  <w:pPr>
                    <w:widowControl/>
                    <w:jc w:val="center"/>
                    <w:textAlignment w:val="center"/>
                    <w:rPr>
                      <w:szCs w:val="21"/>
                    </w:rPr>
                  </w:pPr>
                  <w:r>
                    <w:rPr>
                      <w:kern w:val="0"/>
                      <w:szCs w:val="21"/>
                    </w:rPr>
                    <w:t>重晶石粉（BaSO</w:t>
                  </w:r>
                  <w:r>
                    <w:rPr>
                      <w:kern w:val="0"/>
                      <w:szCs w:val="21"/>
                      <w:vertAlign w:val="subscript"/>
                    </w:rPr>
                    <w:t>4</w:t>
                  </w:r>
                  <w:r>
                    <w:rPr>
                      <w:kern w:val="0"/>
                      <w:szCs w:val="21"/>
                    </w:rPr>
                    <w:t>）</w:t>
                  </w:r>
                </w:p>
              </w:tc>
              <w:tc>
                <w:tcPr>
                  <w:tcW w:w="388" w:type="pct"/>
                  <w:tcMar>
                    <w:top w:w="0" w:type="dxa"/>
                    <w:left w:w="0" w:type="dxa"/>
                    <w:bottom w:w="0" w:type="dxa"/>
                    <w:right w:w="0" w:type="dxa"/>
                  </w:tcMar>
                  <w:vAlign w:val="center"/>
                </w:tcPr>
                <w:p w14:paraId="65D7B2B0">
                  <w:pPr>
                    <w:widowControl/>
                    <w:jc w:val="center"/>
                    <w:textAlignment w:val="center"/>
                    <w:rPr>
                      <w:szCs w:val="21"/>
                    </w:rPr>
                  </w:pPr>
                  <w:r>
                    <w:rPr>
                      <w:rFonts w:hint="eastAsia"/>
                      <w:kern w:val="0"/>
                      <w:szCs w:val="21"/>
                    </w:rPr>
                    <w:t>200</w:t>
                  </w:r>
                </w:p>
              </w:tc>
              <w:tc>
                <w:tcPr>
                  <w:tcW w:w="340" w:type="pct"/>
                  <w:tcMar>
                    <w:top w:w="0" w:type="dxa"/>
                    <w:left w:w="0" w:type="dxa"/>
                    <w:bottom w:w="0" w:type="dxa"/>
                    <w:right w:w="0" w:type="dxa"/>
                  </w:tcMar>
                  <w:vAlign w:val="center"/>
                </w:tcPr>
                <w:p w14:paraId="5FBAE056">
                  <w:pPr>
                    <w:adjustRightInd w:val="0"/>
                    <w:snapToGrid w:val="0"/>
                    <w:jc w:val="center"/>
                    <w:rPr>
                      <w:szCs w:val="21"/>
                    </w:rPr>
                  </w:pPr>
                  <w:r>
                    <w:rPr>
                      <w:rFonts w:hint="eastAsia"/>
                      <w:szCs w:val="21"/>
                    </w:rPr>
                    <w:t>20</w:t>
                  </w:r>
                </w:p>
              </w:tc>
              <w:tc>
                <w:tcPr>
                  <w:tcW w:w="484" w:type="pct"/>
                  <w:tcMar>
                    <w:top w:w="0" w:type="dxa"/>
                    <w:left w:w="0" w:type="dxa"/>
                    <w:bottom w:w="0" w:type="dxa"/>
                    <w:right w:w="0" w:type="dxa"/>
                  </w:tcMar>
                  <w:vAlign w:val="center"/>
                </w:tcPr>
                <w:p w14:paraId="53B035EC">
                  <w:pPr>
                    <w:adjustRightInd w:val="0"/>
                    <w:snapToGrid w:val="0"/>
                    <w:jc w:val="center"/>
                    <w:rPr>
                      <w:szCs w:val="21"/>
                    </w:rPr>
                  </w:pPr>
                  <w:r>
                    <w:rPr>
                      <w:szCs w:val="21"/>
                    </w:rPr>
                    <w:t>袋装，25kg/袋</w:t>
                  </w:r>
                </w:p>
              </w:tc>
              <w:tc>
                <w:tcPr>
                  <w:tcW w:w="331" w:type="pct"/>
                  <w:tcMar>
                    <w:top w:w="0" w:type="dxa"/>
                    <w:left w:w="0" w:type="dxa"/>
                    <w:bottom w:w="0" w:type="dxa"/>
                    <w:right w:w="0" w:type="dxa"/>
                  </w:tcMar>
                  <w:vAlign w:val="center"/>
                </w:tcPr>
                <w:p w14:paraId="40B8F791">
                  <w:pPr>
                    <w:adjustRightInd w:val="0"/>
                    <w:snapToGrid w:val="0"/>
                    <w:jc w:val="center"/>
                    <w:rPr>
                      <w:szCs w:val="21"/>
                    </w:rPr>
                  </w:pPr>
                  <w:r>
                    <w:rPr>
                      <w:rFonts w:hint="eastAsia"/>
                      <w:szCs w:val="21"/>
                    </w:rPr>
                    <w:t>材料</w:t>
                  </w:r>
                  <w:r>
                    <w:rPr>
                      <w:szCs w:val="21"/>
                    </w:rPr>
                    <w:t>堆场</w:t>
                  </w:r>
                </w:p>
              </w:tc>
              <w:tc>
                <w:tcPr>
                  <w:tcW w:w="1312" w:type="pct"/>
                  <w:tcMar>
                    <w:top w:w="0" w:type="dxa"/>
                    <w:left w:w="0" w:type="dxa"/>
                    <w:bottom w:w="0" w:type="dxa"/>
                    <w:right w:w="0" w:type="dxa"/>
                  </w:tcMar>
                  <w:vAlign w:val="center"/>
                </w:tcPr>
                <w:p w14:paraId="63A997E7">
                  <w:pPr>
                    <w:widowControl/>
                    <w:jc w:val="center"/>
                    <w:textAlignment w:val="center"/>
                    <w:rPr>
                      <w:rFonts w:eastAsia="Times New Roman"/>
                      <w:szCs w:val="21"/>
                    </w:rPr>
                  </w:pPr>
                  <w:r>
                    <w:rPr>
                      <w:rFonts w:hint="eastAsia"/>
                      <w:kern w:val="0"/>
                      <w:szCs w:val="21"/>
                    </w:rPr>
                    <w:t>晶体属正交（斜方）晶系的硫酸盐矿物。密度4.3g/cm</w:t>
                  </w:r>
                  <w:r>
                    <w:rPr>
                      <w:rFonts w:hint="eastAsia"/>
                      <w:kern w:val="0"/>
                      <w:szCs w:val="21"/>
                      <w:vertAlign w:val="superscript"/>
                    </w:rPr>
                    <w:t>3</w:t>
                  </w:r>
                  <w:r>
                    <w:rPr>
                      <w:rFonts w:hint="eastAsia"/>
                      <w:kern w:val="0"/>
                      <w:szCs w:val="21"/>
                    </w:rPr>
                    <w:t>，常呈厚板状或柱状晶体，多为致密块状或板状、粒状集合体</w:t>
                  </w:r>
                </w:p>
              </w:tc>
              <w:tc>
                <w:tcPr>
                  <w:tcW w:w="1496" w:type="pct"/>
                  <w:tcMar>
                    <w:top w:w="0" w:type="dxa"/>
                    <w:left w:w="0" w:type="dxa"/>
                    <w:bottom w:w="0" w:type="dxa"/>
                    <w:right w:w="0" w:type="dxa"/>
                  </w:tcMar>
                  <w:vAlign w:val="center"/>
                </w:tcPr>
                <w:p w14:paraId="722B09B6">
                  <w:pPr>
                    <w:widowControl/>
                    <w:jc w:val="center"/>
                    <w:textAlignment w:val="center"/>
                    <w:rPr>
                      <w:kern w:val="0"/>
                      <w:szCs w:val="21"/>
                    </w:rPr>
                  </w:pPr>
                  <w:r>
                    <w:rPr>
                      <w:kern w:val="0"/>
                      <w:szCs w:val="21"/>
                    </w:rPr>
                    <w:t>钻井泥浆加重剂</w:t>
                  </w:r>
                  <w:r>
                    <w:rPr>
                      <w:rFonts w:hint="eastAsia"/>
                      <w:kern w:val="0"/>
                      <w:szCs w:val="21"/>
                    </w:rPr>
                    <w:t>，</w:t>
                  </w:r>
                  <w:r>
                    <w:rPr>
                      <w:kern w:val="0"/>
                      <w:szCs w:val="21"/>
                    </w:rPr>
                    <w:t>增加钻井泥浆密度</w:t>
                  </w:r>
                  <w:r>
                    <w:rPr>
                      <w:rFonts w:hint="eastAsia"/>
                      <w:kern w:val="0"/>
                      <w:szCs w:val="21"/>
                    </w:rPr>
                    <w:t>，</w:t>
                  </w:r>
                  <w:r>
                    <w:rPr>
                      <w:kern w:val="0"/>
                      <w:szCs w:val="21"/>
                    </w:rPr>
                    <w:t>控制地层压力，防止油井自喷</w:t>
                  </w:r>
                </w:p>
              </w:tc>
            </w:tr>
          </w:tbl>
          <w:p w14:paraId="48F21DF9">
            <w:pPr>
              <w:adjustRightInd w:val="0"/>
              <w:snapToGrid w:val="0"/>
              <w:spacing w:before="120" w:beforeLines="50" w:line="360" w:lineRule="auto"/>
              <w:ind w:firstLine="480" w:firstLineChars="200"/>
              <w:rPr>
                <w:sz w:val="24"/>
              </w:rPr>
            </w:pPr>
            <w:r>
              <w:rPr>
                <w:rFonts w:hint="eastAsia"/>
                <w:sz w:val="24"/>
              </w:rPr>
              <w:t>钻井泥浆初期在场地内配备并储存于钻井泥浆循环罐中，调配钻井泥浆原材料分区分类贮存于原材料堆存区内。原材料堆存区上部设苫布遮盖，钻井泥浆原材料按需求量贮存于井场原材料堆存区内。钻井原材料袋装或者罐装，无散装物料存储。原材料堆存区下铺设防渗膜，防止物料泄漏污染土壤及地下水。</w:t>
            </w:r>
          </w:p>
          <w:p w14:paraId="1BDE793F">
            <w:pPr>
              <w:adjustRightInd w:val="0"/>
              <w:snapToGrid w:val="0"/>
              <w:spacing w:line="360" w:lineRule="auto"/>
              <w:ind w:firstLine="480" w:firstLineChars="200"/>
              <w:rPr>
                <w:sz w:val="24"/>
              </w:rPr>
            </w:pPr>
            <w:r>
              <w:rPr>
                <w:sz w:val="24"/>
              </w:rPr>
              <w:t>（2）能源消耗</w:t>
            </w:r>
          </w:p>
          <w:p w14:paraId="44DFCE2A">
            <w:pPr>
              <w:adjustRightInd w:val="0"/>
              <w:snapToGrid w:val="0"/>
              <w:spacing w:line="360" w:lineRule="auto"/>
              <w:ind w:firstLine="480" w:firstLineChars="200"/>
              <w:rPr>
                <w:sz w:val="24"/>
              </w:rPr>
            </w:pPr>
            <w:r>
              <w:rPr>
                <w:sz w:val="24"/>
              </w:rPr>
              <w:t>能源消耗主要为柴油发电机组所用柴油和生产生活用水。</w:t>
            </w:r>
          </w:p>
          <w:p w14:paraId="4FBD6C76">
            <w:pPr>
              <w:jc w:val="center"/>
              <w:rPr>
                <w:b/>
                <w:kern w:val="0"/>
                <w:sz w:val="24"/>
              </w:rPr>
            </w:pPr>
            <w:r>
              <w:rPr>
                <w:b/>
                <w:kern w:val="0"/>
                <w:sz w:val="24"/>
              </w:rPr>
              <w:t>表</w:t>
            </w:r>
            <w:r>
              <w:rPr>
                <w:rFonts w:hint="eastAsia"/>
                <w:b/>
                <w:kern w:val="0"/>
                <w:sz w:val="24"/>
              </w:rPr>
              <w:t>2</w:t>
            </w:r>
            <w:r>
              <w:rPr>
                <w:b/>
                <w:kern w:val="0"/>
                <w:sz w:val="24"/>
              </w:rPr>
              <w:t>-</w:t>
            </w:r>
            <w:r>
              <w:rPr>
                <w:rFonts w:hint="eastAsia"/>
                <w:b/>
                <w:kern w:val="0"/>
                <w:sz w:val="24"/>
              </w:rPr>
              <w:t xml:space="preserve">5 </w:t>
            </w:r>
            <w:r>
              <w:rPr>
                <w:b/>
                <w:kern w:val="0"/>
                <w:sz w:val="24"/>
              </w:rPr>
              <w:t>能源消耗一览表</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28" w:type="dxa"/>
                <w:bottom w:w="0" w:type="dxa"/>
                <w:right w:w="28" w:type="dxa"/>
              </w:tblCellMar>
            </w:tblPr>
            <w:tblGrid>
              <w:gridCol w:w="1419"/>
              <w:gridCol w:w="1420"/>
              <w:gridCol w:w="1420"/>
              <w:gridCol w:w="1420"/>
              <w:gridCol w:w="2559"/>
            </w:tblGrid>
            <w:tr w14:paraId="136E25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61" w:type="pct"/>
                  <w:tcMar>
                    <w:top w:w="15" w:type="dxa"/>
                    <w:left w:w="15" w:type="dxa"/>
                    <w:bottom w:w="15" w:type="dxa"/>
                    <w:right w:w="15" w:type="dxa"/>
                  </w:tcMar>
                  <w:vAlign w:val="center"/>
                </w:tcPr>
                <w:p w14:paraId="698501DB">
                  <w:pPr>
                    <w:widowControl/>
                    <w:jc w:val="center"/>
                    <w:textAlignment w:val="center"/>
                    <w:rPr>
                      <w:szCs w:val="21"/>
                    </w:rPr>
                  </w:pPr>
                  <w:r>
                    <w:rPr>
                      <w:rFonts w:hint="eastAsia"/>
                      <w:kern w:val="0"/>
                      <w:szCs w:val="21"/>
                    </w:rPr>
                    <w:t>名称</w:t>
                  </w:r>
                </w:p>
              </w:tc>
              <w:tc>
                <w:tcPr>
                  <w:tcW w:w="862" w:type="pct"/>
                  <w:tcMar>
                    <w:top w:w="15" w:type="dxa"/>
                    <w:left w:w="15" w:type="dxa"/>
                    <w:bottom w:w="15" w:type="dxa"/>
                    <w:right w:w="15" w:type="dxa"/>
                  </w:tcMar>
                  <w:vAlign w:val="center"/>
                </w:tcPr>
                <w:p w14:paraId="3AFD4D04">
                  <w:pPr>
                    <w:widowControl/>
                    <w:jc w:val="center"/>
                    <w:textAlignment w:val="center"/>
                    <w:rPr>
                      <w:szCs w:val="21"/>
                    </w:rPr>
                  </w:pPr>
                  <w:r>
                    <w:rPr>
                      <w:rFonts w:hint="eastAsia"/>
                      <w:kern w:val="0"/>
                      <w:szCs w:val="21"/>
                    </w:rPr>
                    <w:t>总用量</w:t>
                  </w:r>
                </w:p>
              </w:tc>
              <w:tc>
                <w:tcPr>
                  <w:tcW w:w="862" w:type="pct"/>
                  <w:tcMar>
                    <w:top w:w="15" w:type="dxa"/>
                    <w:left w:w="15" w:type="dxa"/>
                    <w:bottom w:w="15" w:type="dxa"/>
                    <w:right w:w="15" w:type="dxa"/>
                  </w:tcMar>
                  <w:vAlign w:val="center"/>
                </w:tcPr>
                <w:p w14:paraId="5A81F828">
                  <w:pPr>
                    <w:widowControl/>
                    <w:jc w:val="center"/>
                    <w:textAlignment w:val="center"/>
                    <w:rPr>
                      <w:kern w:val="0"/>
                      <w:szCs w:val="21"/>
                    </w:rPr>
                  </w:pPr>
                  <w:r>
                    <w:rPr>
                      <w:rFonts w:hint="eastAsia"/>
                      <w:kern w:val="0"/>
                      <w:szCs w:val="21"/>
                    </w:rPr>
                    <w:t>储量</w:t>
                  </w:r>
                </w:p>
              </w:tc>
              <w:tc>
                <w:tcPr>
                  <w:tcW w:w="862" w:type="pct"/>
                  <w:tcBorders>
                    <w:right w:val="single" w:color="auto" w:sz="4" w:space="0"/>
                  </w:tcBorders>
                  <w:tcMar>
                    <w:top w:w="15" w:type="dxa"/>
                    <w:left w:w="15" w:type="dxa"/>
                    <w:bottom w:w="15" w:type="dxa"/>
                    <w:right w:w="15" w:type="dxa"/>
                  </w:tcMar>
                  <w:vAlign w:val="center"/>
                </w:tcPr>
                <w:p w14:paraId="001E30A8">
                  <w:pPr>
                    <w:widowControl/>
                    <w:jc w:val="center"/>
                    <w:textAlignment w:val="center"/>
                    <w:rPr>
                      <w:kern w:val="0"/>
                      <w:szCs w:val="21"/>
                    </w:rPr>
                  </w:pPr>
                  <w:r>
                    <w:rPr>
                      <w:rFonts w:hint="eastAsia"/>
                      <w:kern w:val="0"/>
                      <w:szCs w:val="21"/>
                    </w:rPr>
                    <w:t>存储方式</w:t>
                  </w:r>
                </w:p>
              </w:tc>
              <w:tc>
                <w:tcPr>
                  <w:tcW w:w="1553" w:type="pct"/>
                  <w:tcBorders>
                    <w:left w:val="single" w:color="auto" w:sz="4" w:space="0"/>
                  </w:tcBorders>
                  <w:vAlign w:val="center"/>
                </w:tcPr>
                <w:p w14:paraId="056D0904">
                  <w:pPr>
                    <w:widowControl/>
                    <w:jc w:val="center"/>
                    <w:textAlignment w:val="center"/>
                    <w:rPr>
                      <w:kern w:val="0"/>
                      <w:szCs w:val="21"/>
                    </w:rPr>
                  </w:pPr>
                  <w:r>
                    <w:rPr>
                      <w:rFonts w:hint="eastAsia"/>
                      <w:kern w:val="0"/>
                      <w:szCs w:val="21"/>
                    </w:rPr>
                    <w:t>备注</w:t>
                  </w:r>
                </w:p>
              </w:tc>
            </w:tr>
            <w:tr w14:paraId="2717E5F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61" w:type="pct"/>
                  <w:tcMar>
                    <w:top w:w="15" w:type="dxa"/>
                    <w:left w:w="15" w:type="dxa"/>
                    <w:bottom w:w="15" w:type="dxa"/>
                    <w:right w:w="15" w:type="dxa"/>
                  </w:tcMar>
                  <w:vAlign w:val="center"/>
                </w:tcPr>
                <w:p w14:paraId="6248BB64">
                  <w:pPr>
                    <w:widowControl/>
                    <w:jc w:val="center"/>
                    <w:textAlignment w:val="center"/>
                    <w:rPr>
                      <w:rFonts w:eastAsia="Times New Roman"/>
                      <w:szCs w:val="21"/>
                    </w:rPr>
                  </w:pPr>
                  <w:r>
                    <w:rPr>
                      <w:szCs w:val="21"/>
                    </w:rPr>
                    <w:t>柴油</w:t>
                  </w:r>
                </w:p>
              </w:tc>
              <w:tc>
                <w:tcPr>
                  <w:tcW w:w="862" w:type="pct"/>
                  <w:tcMar>
                    <w:top w:w="15" w:type="dxa"/>
                    <w:left w:w="15" w:type="dxa"/>
                    <w:bottom w:w="15" w:type="dxa"/>
                    <w:right w:w="15" w:type="dxa"/>
                  </w:tcMar>
                  <w:vAlign w:val="center"/>
                </w:tcPr>
                <w:p w14:paraId="6F939E7B">
                  <w:pPr>
                    <w:widowControl/>
                    <w:jc w:val="center"/>
                    <w:textAlignment w:val="center"/>
                    <w:rPr>
                      <w:szCs w:val="21"/>
                      <w:highlight w:val="yellow"/>
                    </w:rPr>
                  </w:pPr>
                  <w:r>
                    <w:rPr>
                      <w:rFonts w:hint="eastAsia"/>
                      <w:kern w:val="0"/>
                      <w:szCs w:val="21"/>
                    </w:rPr>
                    <w:t>720t</w:t>
                  </w:r>
                </w:p>
              </w:tc>
              <w:tc>
                <w:tcPr>
                  <w:tcW w:w="862" w:type="pct"/>
                  <w:tcMar>
                    <w:top w:w="15" w:type="dxa"/>
                    <w:left w:w="15" w:type="dxa"/>
                    <w:bottom w:w="15" w:type="dxa"/>
                    <w:right w:w="15" w:type="dxa"/>
                  </w:tcMar>
                  <w:vAlign w:val="center"/>
                </w:tcPr>
                <w:p w14:paraId="1078F511">
                  <w:pPr>
                    <w:adjustRightInd w:val="0"/>
                    <w:snapToGrid w:val="0"/>
                    <w:jc w:val="center"/>
                    <w:rPr>
                      <w:szCs w:val="21"/>
                    </w:rPr>
                  </w:pPr>
                  <w:r>
                    <w:rPr>
                      <w:rFonts w:hint="eastAsia"/>
                      <w:szCs w:val="21"/>
                    </w:rPr>
                    <w:t>30.6t</w:t>
                  </w:r>
                  <w:r>
                    <w:rPr>
                      <w:kern w:val="0"/>
                      <w:szCs w:val="21"/>
                    </w:rPr>
                    <w:t>/</w:t>
                  </w:r>
                  <w:r>
                    <w:rPr>
                      <w:rFonts w:hint="eastAsia"/>
                      <w:kern w:val="0"/>
                      <w:szCs w:val="21"/>
                    </w:rPr>
                    <w:t>罐</w:t>
                  </w:r>
                </w:p>
              </w:tc>
              <w:tc>
                <w:tcPr>
                  <w:tcW w:w="862" w:type="pct"/>
                  <w:tcBorders>
                    <w:right w:val="single" w:color="auto" w:sz="4" w:space="0"/>
                  </w:tcBorders>
                  <w:tcMar>
                    <w:top w:w="15" w:type="dxa"/>
                    <w:left w:w="15" w:type="dxa"/>
                    <w:bottom w:w="15" w:type="dxa"/>
                    <w:right w:w="15" w:type="dxa"/>
                  </w:tcMar>
                  <w:vAlign w:val="center"/>
                </w:tcPr>
                <w:p w14:paraId="1369ED4A">
                  <w:pPr>
                    <w:adjustRightInd w:val="0"/>
                    <w:snapToGrid w:val="0"/>
                    <w:jc w:val="center"/>
                    <w:rPr>
                      <w:szCs w:val="21"/>
                    </w:rPr>
                  </w:pPr>
                  <w:r>
                    <w:rPr>
                      <w:szCs w:val="21"/>
                    </w:rPr>
                    <w:t>罐装</w:t>
                  </w:r>
                </w:p>
              </w:tc>
              <w:tc>
                <w:tcPr>
                  <w:tcW w:w="1553" w:type="pct"/>
                  <w:tcBorders>
                    <w:left w:val="single" w:color="auto" w:sz="4" w:space="0"/>
                  </w:tcBorders>
                  <w:vAlign w:val="center"/>
                </w:tcPr>
                <w:p w14:paraId="5DAA8F8F">
                  <w:pPr>
                    <w:adjustRightInd w:val="0"/>
                    <w:snapToGrid w:val="0"/>
                    <w:jc w:val="center"/>
                    <w:rPr>
                      <w:szCs w:val="21"/>
                    </w:rPr>
                  </w:pPr>
                  <w:r>
                    <w:rPr>
                      <w:rFonts w:hint="eastAsia"/>
                      <w:szCs w:val="21"/>
                    </w:rPr>
                    <w:t>外部购买</w:t>
                  </w:r>
                </w:p>
              </w:tc>
            </w:tr>
            <w:tr w14:paraId="5CBA29D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61" w:type="pct"/>
                  <w:tcMar>
                    <w:top w:w="15" w:type="dxa"/>
                    <w:left w:w="15" w:type="dxa"/>
                    <w:bottom w:w="15" w:type="dxa"/>
                    <w:right w:w="15" w:type="dxa"/>
                  </w:tcMar>
                  <w:vAlign w:val="center"/>
                </w:tcPr>
                <w:p w14:paraId="131F1B45">
                  <w:pPr>
                    <w:widowControl/>
                    <w:jc w:val="center"/>
                    <w:textAlignment w:val="center"/>
                    <w:rPr>
                      <w:szCs w:val="21"/>
                    </w:rPr>
                  </w:pPr>
                  <w:r>
                    <w:rPr>
                      <w:kern w:val="0"/>
                      <w:szCs w:val="21"/>
                    </w:rPr>
                    <w:t>生活用水</w:t>
                  </w:r>
                </w:p>
              </w:tc>
              <w:tc>
                <w:tcPr>
                  <w:tcW w:w="862" w:type="pct"/>
                  <w:tcMar>
                    <w:top w:w="15" w:type="dxa"/>
                    <w:left w:w="15" w:type="dxa"/>
                    <w:bottom w:w="15" w:type="dxa"/>
                    <w:right w:w="15" w:type="dxa"/>
                  </w:tcMar>
                  <w:vAlign w:val="center"/>
                </w:tcPr>
                <w:p w14:paraId="617DADED">
                  <w:pPr>
                    <w:widowControl/>
                    <w:jc w:val="center"/>
                    <w:textAlignment w:val="center"/>
                    <w:rPr>
                      <w:szCs w:val="21"/>
                      <w:highlight w:val="yellow"/>
                    </w:rPr>
                  </w:pPr>
                  <w:r>
                    <w:rPr>
                      <w:rFonts w:hint="eastAsia"/>
                      <w:szCs w:val="21"/>
                    </w:rPr>
                    <w:t>432m</w:t>
                  </w:r>
                  <w:r>
                    <w:rPr>
                      <w:rFonts w:hint="eastAsia"/>
                      <w:szCs w:val="21"/>
                      <w:vertAlign w:val="superscript"/>
                    </w:rPr>
                    <w:t>3</w:t>
                  </w:r>
                </w:p>
              </w:tc>
              <w:tc>
                <w:tcPr>
                  <w:tcW w:w="862" w:type="pct"/>
                  <w:tcMar>
                    <w:top w:w="15" w:type="dxa"/>
                    <w:left w:w="15" w:type="dxa"/>
                    <w:bottom w:w="15" w:type="dxa"/>
                    <w:right w:w="15" w:type="dxa"/>
                  </w:tcMar>
                  <w:vAlign w:val="center"/>
                </w:tcPr>
                <w:p w14:paraId="64AA0506">
                  <w:pPr>
                    <w:widowControl/>
                    <w:jc w:val="center"/>
                    <w:textAlignment w:val="center"/>
                    <w:rPr>
                      <w:rFonts w:eastAsia="Times New Roman"/>
                      <w:szCs w:val="21"/>
                    </w:rPr>
                  </w:pPr>
                  <w:r>
                    <w:rPr>
                      <w:rFonts w:hint="eastAsia"/>
                      <w:kern w:val="0"/>
                      <w:szCs w:val="21"/>
                    </w:rPr>
                    <w:t>2</w:t>
                  </w:r>
                  <w:r>
                    <w:rPr>
                      <w:kern w:val="0"/>
                      <w:szCs w:val="21"/>
                    </w:rPr>
                    <w:t>0t/</w:t>
                  </w:r>
                  <w:r>
                    <w:rPr>
                      <w:rFonts w:hint="eastAsia"/>
                      <w:kern w:val="0"/>
                      <w:szCs w:val="21"/>
                    </w:rPr>
                    <w:t>罐</w:t>
                  </w:r>
                </w:p>
              </w:tc>
              <w:tc>
                <w:tcPr>
                  <w:tcW w:w="862" w:type="pct"/>
                  <w:tcBorders>
                    <w:right w:val="single" w:color="auto" w:sz="4" w:space="0"/>
                  </w:tcBorders>
                  <w:tcMar>
                    <w:top w:w="15" w:type="dxa"/>
                    <w:left w:w="15" w:type="dxa"/>
                    <w:bottom w:w="15" w:type="dxa"/>
                    <w:right w:w="15" w:type="dxa"/>
                  </w:tcMar>
                  <w:vAlign w:val="center"/>
                </w:tcPr>
                <w:p w14:paraId="191C30FF">
                  <w:pPr>
                    <w:widowControl/>
                    <w:jc w:val="center"/>
                    <w:textAlignment w:val="center"/>
                    <w:rPr>
                      <w:szCs w:val="21"/>
                    </w:rPr>
                  </w:pPr>
                  <w:r>
                    <w:rPr>
                      <w:szCs w:val="21"/>
                    </w:rPr>
                    <w:t>罐装</w:t>
                  </w:r>
                </w:p>
              </w:tc>
              <w:tc>
                <w:tcPr>
                  <w:tcW w:w="1553" w:type="pct"/>
                  <w:tcBorders>
                    <w:left w:val="single" w:color="auto" w:sz="4" w:space="0"/>
                  </w:tcBorders>
                  <w:vAlign w:val="center"/>
                </w:tcPr>
                <w:p w14:paraId="72880E2E">
                  <w:pPr>
                    <w:widowControl/>
                    <w:jc w:val="center"/>
                    <w:textAlignment w:val="center"/>
                    <w:rPr>
                      <w:szCs w:val="21"/>
                    </w:rPr>
                  </w:pPr>
                  <w:r>
                    <w:rPr>
                      <w:rFonts w:hint="eastAsia"/>
                      <w:szCs w:val="21"/>
                    </w:rPr>
                    <w:t>从附近村庄拉运</w:t>
                  </w:r>
                </w:p>
              </w:tc>
            </w:tr>
            <w:tr w14:paraId="502DDF3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61" w:type="pct"/>
                  <w:tcMar>
                    <w:top w:w="15" w:type="dxa"/>
                    <w:left w:w="15" w:type="dxa"/>
                    <w:bottom w:w="15" w:type="dxa"/>
                    <w:right w:w="15" w:type="dxa"/>
                  </w:tcMar>
                  <w:vAlign w:val="center"/>
                </w:tcPr>
                <w:p w14:paraId="34524347">
                  <w:pPr>
                    <w:widowControl/>
                    <w:jc w:val="center"/>
                    <w:textAlignment w:val="center"/>
                    <w:rPr>
                      <w:kern w:val="0"/>
                      <w:szCs w:val="21"/>
                    </w:rPr>
                  </w:pPr>
                  <w:r>
                    <w:rPr>
                      <w:kern w:val="0"/>
                      <w:szCs w:val="21"/>
                    </w:rPr>
                    <w:t>生产用水</w:t>
                  </w:r>
                </w:p>
              </w:tc>
              <w:tc>
                <w:tcPr>
                  <w:tcW w:w="862" w:type="pct"/>
                  <w:tcMar>
                    <w:top w:w="15" w:type="dxa"/>
                    <w:left w:w="15" w:type="dxa"/>
                    <w:bottom w:w="15" w:type="dxa"/>
                    <w:right w:w="15" w:type="dxa"/>
                  </w:tcMar>
                  <w:vAlign w:val="center"/>
                </w:tcPr>
                <w:p w14:paraId="517E9352">
                  <w:pPr>
                    <w:widowControl/>
                    <w:jc w:val="center"/>
                    <w:textAlignment w:val="center"/>
                    <w:rPr>
                      <w:szCs w:val="21"/>
                    </w:rPr>
                  </w:pPr>
                  <w:r>
                    <w:rPr>
                      <w:rFonts w:hint="eastAsia"/>
                      <w:szCs w:val="21"/>
                    </w:rPr>
                    <w:t>1580m</w:t>
                  </w:r>
                  <w:r>
                    <w:rPr>
                      <w:rFonts w:hint="eastAsia"/>
                      <w:szCs w:val="21"/>
                      <w:vertAlign w:val="superscript"/>
                    </w:rPr>
                    <w:t>3</w:t>
                  </w:r>
                </w:p>
              </w:tc>
              <w:tc>
                <w:tcPr>
                  <w:tcW w:w="862" w:type="pct"/>
                  <w:tcMar>
                    <w:top w:w="15" w:type="dxa"/>
                    <w:left w:w="15" w:type="dxa"/>
                    <w:bottom w:w="15" w:type="dxa"/>
                    <w:right w:w="15" w:type="dxa"/>
                  </w:tcMar>
                  <w:vAlign w:val="center"/>
                </w:tcPr>
                <w:p w14:paraId="027506E3">
                  <w:pPr>
                    <w:widowControl/>
                    <w:jc w:val="center"/>
                    <w:textAlignment w:val="center"/>
                    <w:rPr>
                      <w:kern w:val="0"/>
                      <w:szCs w:val="21"/>
                    </w:rPr>
                  </w:pPr>
                  <w:r>
                    <w:rPr>
                      <w:kern w:val="0"/>
                      <w:szCs w:val="21"/>
                    </w:rPr>
                    <w:t>40t/</w:t>
                  </w:r>
                  <w:r>
                    <w:rPr>
                      <w:rFonts w:hint="eastAsia"/>
                      <w:kern w:val="0"/>
                      <w:szCs w:val="21"/>
                    </w:rPr>
                    <w:t>罐</w:t>
                  </w:r>
                </w:p>
              </w:tc>
              <w:tc>
                <w:tcPr>
                  <w:tcW w:w="862" w:type="pct"/>
                  <w:tcBorders>
                    <w:right w:val="single" w:color="auto" w:sz="4" w:space="0"/>
                  </w:tcBorders>
                  <w:tcMar>
                    <w:top w:w="15" w:type="dxa"/>
                    <w:left w:w="15" w:type="dxa"/>
                    <w:bottom w:w="15" w:type="dxa"/>
                    <w:right w:w="15" w:type="dxa"/>
                  </w:tcMar>
                  <w:vAlign w:val="center"/>
                </w:tcPr>
                <w:p w14:paraId="13DD1915">
                  <w:pPr>
                    <w:widowControl/>
                    <w:jc w:val="center"/>
                    <w:textAlignment w:val="center"/>
                    <w:rPr>
                      <w:szCs w:val="21"/>
                    </w:rPr>
                  </w:pPr>
                  <w:r>
                    <w:rPr>
                      <w:szCs w:val="21"/>
                    </w:rPr>
                    <w:t>罐装</w:t>
                  </w:r>
                </w:p>
              </w:tc>
              <w:tc>
                <w:tcPr>
                  <w:tcW w:w="1553" w:type="pct"/>
                  <w:tcBorders>
                    <w:left w:val="single" w:color="auto" w:sz="4" w:space="0"/>
                  </w:tcBorders>
                  <w:vAlign w:val="center"/>
                </w:tcPr>
                <w:p w14:paraId="58B67A5A">
                  <w:pPr>
                    <w:widowControl/>
                    <w:jc w:val="center"/>
                    <w:textAlignment w:val="center"/>
                    <w:rPr>
                      <w:szCs w:val="21"/>
                    </w:rPr>
                  </w:pPr>
                  <w:r>
                    <w:rPr>
                      <w:rFonts w:hint="eastAsia"/>
                      <w:szCs w:val="21"/>
                    </w:rPr>
                    <w:t>从巴彦淖尔市市政环境（集团）有限公司拉</w:t>
                  </w:r>
                </w:p>
              </w:tc>
            </w:tr>
          </w:tbl>
          <w:p w14:paraId="3CA7C184">
            <w:pPr>
              <w:adjustRightInd w:val="0"/>
              <w:snapToGrid w:val="0"/>
              <w:spacing w:line="360" w:lineRule="auto"/>
              <w:ind w:firstLine="480" w:firstLineChars="200"/>
              <w:rPr>
                <w:sz w:val="24"/>
              </w:rPr>
            </w:pPr>
            <w:r>
              <w:rPr>
                <w:rFonts w:hint="eastAsia"/>
                <w:sz w:val="24"/>
              </w:rPr>
              <w:t>3</w:t>
            </w:r>
            <w:r>
              <w:rPr>
                <w:sz w:val="24"/>
              </w:rPr>
              <w:t>、劳动定员及工作制度</w:t>
            </w:r>
          </w:p>
          <w:p w14:paraId="6926343A">
            <w:pPr>
              <w:adjustRightInd w:val="0"/>
              <w:snapToGrid w:val="0"/>
              <w:spacing w:line="360" w:lineRule="auto"/>
              <w:ind w:firstLine="480" w:firstLineChars="200"/>
              <w:rPr>
                <w:sz w:val="24"/>
              </w:rPr>
            </w:pPr>
            <w:r>
              <w:rPr>
                <w:sz w:val="24"/>
              </w:rPr>
              <w:t>项目在井场内设置</w:t>
            </w:r>
            <w:r>
              <w:rPr>
                <w:rFonts w:hint="eastAsia"/>
                <w:sz w:val="24"/>
              </w:rPr>
              <w:t>施工营地</w:t>
            </w:r>
            <w:r>
              <w:rPr>
                <w:sz w:val="24"/>
              </w:rPr>
              <w:t>（包括办公区</w:t>
            </w:r>
            <w:r>
              <w:rPr>
                <w:rFonts w:hint="eastAsia"/>
                <w:sz w:val="24"/>
              </w:rPr>
              <w:t>、</w:t>
            </w:r>
            <w:r>
              <w:rPr>
                <w:sz w:val="24"/>
              </w:rPr>
              <w:t>生活区等），不再另选场地设置施工营地。项目劳动定员40人</w:t>
            </w:r>
            <w:r>
              <w:rPr>
                <w:rFonts w:hint="eastAsia"/>
                <w:sz w:val="24"/>
              </w:rPr>
              <w:t>，勘探过程为连续24小时作业，三班制，每班8小时，</w:t>
            </w:r>
            <w:r>
              <w:rPr>
                <w:sz w:val="24"/>
              </w:rPr>
              <w:t>勘探期</w:t>
            </w:r>
            <w:r>
              <w:rPr>
                <w:rFonts w:hint="eastAsia"/>
                <w:sz w:val="24"/>
              </w:rPr>
              <w:t>6个月（180天）</w:t>
            </w:r>
            <w:r>
              <w:rPr>
                <w:sz w:val="24"/>
              </w:rPr>
              <w:t>。</w:t>
            </w:r>
          </w:p>
          <w:p w14:paraId="07B233F0">
            <w:pPr>
              <w:adjustRightInd w:val="0"/>
              <w:snapToGrid w:val="0"/>
              <w:spacing w:line="360" w:lineRule="auto"/>
              <w:ind w:firstLine="480" w:firstLineChars="200"/>
              <w:rPr>
                <w:sz w:val="24"/>
              </w:rPr>
            </w:pPr>
            <w:r>
              <w:rPr>
                <w:rFonts w:hint="eastAsia"/>
                <w:sz w:val="24"/>
              </w:rPr>
              <w:t>4、工程用地</w:t>
            </w:r>
          </w:p>
          <w:p w14:paraId="4F8AC402">
            <w:pPr>
              <w:adjustRightInd w:val="0"/>
              <w:snapToGrid w:val="0"/>
              <w:spacing w:line="360" w:lineRule="auto"/>
              <w:ind w:firstLine="480" w:firstLineChars="200"/>
              <w:rPr>
                <w:sz w:val="24"/>
              </w:rPr>
            </w:pPr>
            <w:r>
              <w:rPr>
                <w:sz w:val="24"/>
              </w:rPr>
              <w:t>根据现场踏勘，</w:t>
            </w:r>
            <w:r>
              <w:rPr>
                <w:rFonts w:hint="eastAsia"/>
                <w:sz w:val="24"/>
              </w:rPr>
              <w:t>项目临时占地西侧为现有乡村道路，东侧、南侧、北侧为天然牧草地</w:t>
            </w:r>
            <w:r>
              <w:rPr>
                <w:sz w:val="24"/>
              </w:rPr>
              <w:t>，总占地面积</w:t>
            </w:r>
            <w:r>
              <w:rPr>
                <w:rFonts w:hint="eastAsia"/>
                <w:sz w:val="24"/>
              </w:rPr>
              <w:t>9983</w:t>
            </w:r>
            <w:r>
              <w:rPr>
                <w:sz w:val="24"/>
              </w:rPr>
              <w:t>m</w:t>
            </w:r>
            <w:r>
              <w:rPr>
                <w:sz w:val="24"/>
                <w:vertAlign w:val="superscript"/>
              </w:rPr>
              <w:t>2</w:t>
            </w:r>
            <w:r>
              <w:rPr>
                <w:rFonts w:hint="eastAsia"/>
                <w:sz w:val="24"/>
              </w:rPr>
              <w:t>，</w:t>
            </w:r>
            <w:r>
              <w:rPr>
                <w:sz w:val="24"/>
              </w:rPr>
              <w:t>土地利用现状为</w:t>
            </w:r>
            <w:r>
              <w:rPr>
                <w:rFonts w:hint="eastAsia"/>
                <w:sz w:val="24"/>
              </w:rPr>
              <w:t>天然牧草地</w:t>
            </w:r>
            <w:r>
              <w:rPr>
                <w:sz w:val="24"/>
              </w:rPr>
              <w:t>、</w:t>
            </w:r>
            <w:r>
              <w:rPr>
                <w:rFonts w:hint="eastAsia"/>
                <w:sz w:val="24"/>
              </w:rPr>
              <w:t>其他草地</w:t>
            </w:r>
            <w:r>
              <w:rPr>
                <w:sz w:val="24"/>
              </w:rPr>
              <w:t>。</w:t>
            </w:r>
          </w:p>
          <w:p w14:paraId="1B773511">
            <w:pPr>
              <w:adjustRightInd w:val="0"/>
              <w:snapToGrid w:val="0"/>
              <w:spacing w:line="360" w:lineRule="auto"/>
              <w:ind w:firstLine="480" w:firstLineChars="200"/>
              <w:rPr>
                <w:sz w:val="24"/>
              </w:rPr>
            </w:pPr>
            <w:r>
              <w:rPr>
                <w:rFonts w:hint="eastAsia"/>
                <w:sz w:val="24"/>
              </w:rPr>
              <w:t>2026年6月16日，项目取得磴口县防沙治沙局下发的同意临时占用草原的批复（</w:t>
            </w:r>
            <w:r>
              <w:rPr>
                <w:rFonts w:hint="eastAsia"/>
                <w:sz w:val="24"/>
                <w:szCs w:val="32"/>
              </w:rPr>
              <w:t>磴防治签〔2026〕928号</w:t>
            </w:r>
            <w:r>
              <w:rPr>
                <w:rFonts w:hint="eastAsia"/>
                <w:sz w:val="24"/>
              </w:rPr>
              <w:t>）。</w:t>
            </w:r>
          </w:p>
          <w:p w14:paraId="753AD1D6">
            <w:pPr>
              <w:jc w:val="center"/>
              <w:rPr>
                <w:b/>
                <w:sz w:val="24"/>
                <w:szCs w:val="21"/>
              </w:rPr>
            </w:pPr>
            <w:r>
              <w:rPr>
                <w:b/>
                <w:sz w:val="24"/>
                <w:szCs w:val="21"/>
              </w:rPr>
              <w:t>表2-</w:t>
            </w:r>
            <w:r>
              <w:rPr>
                <w:rFonts w:hint="eastAsia"/>
                <w:b/>
                <w:sz w:val="24"/>
                <w:szCs w:val="21"/>
              </w:rPr>
              <w:t>6</w:t>
            </w:r>
            <w:r>
              <w:rPr>
                <w:b/>
                <w:sz w:val="24"/>
                <w:szCs w:val="21"/>
              </w:rPr>
              <w:t xml:space="preserve"> </w:t>
            </w:r>
            <w:r>
              <w:rPr>
                <w:rFonts w:hint="eastAsia"/>
                <w:b/>
                <w:sz w:val="24"/>
                <w:szCs w:val="21"/>
              </w:rPr>
              <w:t>项目</w:t>
            </w:r>
            <w:r>
              <w:rPr>
                <w:b/>
                <w:sz w:val="24"/>
                <w:szCs w:val="21"/>
              </w:rPr>
              <w:t>占地范围拐点坐标一览表</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506"/>
              <w:gridCol w:w="3247"/>
              <w:gridCol w:w="549"/>
              <w:gridCol w:w="3236"/>
              <w:gridCol w:w="700"/>
            </w:tblGrid>
            <w:tr w14:paraId="6C61375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4" w:hRule="atLeast"/>
                <w:jc w:val="center"/>
              </w:trPr>
              <w:tc>
                <w:tcPr>
                  <w:tcW w:w="307" w:type="pct"/>
                  <w:vMerge w:val="restart"/>
                  <w:tcMar>
                    <w:left w:w="28" w:type="dxa"/>
                    <w:right w:w="28" w:type="dxa"/>
                  </w:tcMar>
                  <w:vAlign w:val="center"/>
                </w:tcPr>
                <w:p w14:paraId="496327B7">
                  <w:pPr>
                    <w:jc w:val="center"/>
                    <w:rPr>
                      <w:szCs w:val="21"/>
                    </w:rPr>
                  </w:pPr>
                  <w:r>
                    <w:rPr>
                      <w:szCs w:val="21"/>
                    </w:rPr>
                    <w:t>序号</w:t>
                  </w:r>
                </w:p>
              </w:tc>
              <w:tc>
                <w:tcPr>
                  <w:tcW w:w="1971" w:type="pct"/>
                  <w:tcBorders>
                    <w:right w:val="single" w:color="auto" w:sz="4" w:space="0"/>
                  </w:tcBorders>
                  <w:tcMar>
                    <w:left w:w="28" w:type="dxa"/>
                    <w:right w:w="28" w:type="dxa"/>
                  </w:tcMar>
                  <w:vAlign w:val="center"/>
                </w:tcPr>
                <w:p w14:paraId="3730D0A0">
                  <w:pPr>
                    <w:jc w:val="center"/>
                    <w:rPr>
                      <w:szCs w:val="21"/>
                    </w:rPr>
                  </w:pPr>
                  <w:r>
                    <w:rPr>
                      <w:szCs w:val="21"/>
                    </w:rPr>
                    <w:t>拐点坐标</w:t>
                  </w:r>
                </w:p>
              </w:tc>
              <w:tc>
                <w:tcPr>
                  <w:tcW w:w="333" w:type="pct"/>
                  <w:vMerge w:val="restart"/>
                  <w:tcMar>
                    <w:left w:w="28" w:type="dxa"/>
                    <w:right w:w="28" w:type="dxa"/>
                  </w:tcMar>
                  <w:vAlign w:val="center"/>
                </w:tcPr>
                <w:p w14:paraId="6A0DE745">
                  <w:pPr>
                    <w:jc w:val="center"/>
                    <w:rPr>
                      <w:szCs w:val="21"/>
                    </w:rPr>
                  </w:pPr>
                  <w:r>
                    <w:rPr>
                      <w:szCs w:val="21"/>
                    </w:rPr>
                    <w:t>序号</w:t>
                  </w:r>
                </w:p>
              </w:tc>
              <w:tc>
                <w:tcPr>
                  <w:tcW w:w="1964" w:type="pct"/>
                  <w:tcBorders>
                    <w:right w:val="single" w:color="auto" w:sz="4" w:space="0"/>
                  </w:tcBorders>
                  <w:tcMar>
                    <w:left w:w="28" w:type="dxa"/>
                    <w:right w:w="28" w:type="dxa"/>
                  </w:tcMar>
                  <w:vAlign w:val="center"/>
                </w:tcPr>
                <w:p w14:paraId="5B28DCCC">
                  <w:pPr>
                    <w:jc w:val="center"/>
                    <w:rPr>
                      <w:szCs w:val="21"/>
                    </w:rPr>
                  </w:pPr>
                  <w:r>
                    <w:rPr>
                      <w:szCs w:val="21"/>
                    </w:rPr>
                    <w:t>拐点坐标</w:t>
                  </w:r>
                </w:p>
              </w:tc>
              <w:tc>
                <w:tcPr>
                  <w:tcW w:w="425" w:type="pct"/>
                  <w:vMerge w:val="restart"/>
                  <w:tcBorders>
                    <w:left w:val="single" w:color="auto" w:sz="4" w:space="0"/>
                  </w:tcBorders>
                  <w:tcMar>
                    <w:left w:w="28" w:type="dxa"/>
                    <w:right w:w="28" w:type="dxa"/>
                  </w:tcMar>
                  <w:vAlign w:val="center"/>
                </w:tcPr>
                <w:p w14:paraId="55DA743F">
                  <w:pPr>
                    <w:jc w:val="center"/>
                    <w:rPr>
                      <w:szCs w:val="21"/>
                    </w:rPr>
                  </w:pPr>
                  <w:r>
                    <w:rPr>
                      <w:szCs w:val="21"/>
                    </w:rPr>
                    <w:t>占地面积m</w:t>
                  </w:r>
                  <w:r>
                    <w:rPr>
                      <w:szCs w:val="21"/>
                      <w:vertAlign w:val="superscript"/>
                    </w:rPr>
                    <w:t>2</w:t>
                  </w:r>
                </w:p>
              </w:tc>
            </w:tr>
            <w:tr w14:paraId="6554311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4" w:hRule="atLeast"/>
                <w:jc w:val="center"/>
              </w:trPr>
              <w:tc>
                <w:tcPr>
                  <w:tcW w:w="307" w:type="pct"/>
                  <w:vMerge w:val="continue"/>
                  <w:tcMar>
                    <w:left w:w="28" w:type="dxa"/>
                    <w:right w:w="28" w:type="dxa"/>
                  </w:tcMar>
                  <w:vAlign w:val="center"/>
                </w:tcPr>
                <w:p w14:paraId="2C8D7275">
                  <w:pPr>
                    <w:jc w:val="center"/>
                    <w:rPr>
                      <w:szCs w:val="21"/>
                    </w:rPr>
                  </w:pPr>
                </w:p>
              </w:tc>
              <w:tc>
                <w:tcPr>
                  <w:tcW w:w="1971" w:type="pct"/>
                  <w:tcMar>
                    <w:left w:w="28" w:type="dxa"/>
                    <w:right w:w="28" w:type="dxa"/>
                  </w:tcMar>
                  <w:vAlign w:val="center"/>
                </w:tcPr>
                <w:p w14:paraId="20F7042D">
                  <w:pPr>
                    <w:jc w:val="center"/>
                    <w:rPr>
                      <w:szCs w:val="21"/>
                    </w:rPr>
                  </w:pPr>
                  <w:r>
                    <w:rPr>
                      <w:szCs w:val="21"/>
                    </w:rPr>
                    <w:t>经度，纬度</w:t>
                  </w:r>
                </w:p>
              </w:tc>
              <w:tc>
                <w:tcPr>
                  <w:tcW w:w="333" w:type="pct"/>
                  <w:vMerge w:val="continue"/>
                  <w:tcMar>
                    <w:left w:w="28" w:type="dxa"/>
                    <w:right w:w="28" w:type="dxa"/>
                  </w:tcMar>
                  <w:vAlign w:val="center"/>
                </w:tcPr>
                <w:p w14:paraId="215737D5">
                  <w:pPr>
                    <w:jc w:val="center"/>
                    <w:rPr>
                      <w:szCs w:val="21"/>
                    </w:rPr>
                  </w:pPr>
                </w:p>
              </w:tc>
              <w:tc>
                <w:tcPr>
                  <w:tcW w:w="1964" w:type="pct"/>
                  <w:tcBorders>
                    <w:right w:val="single" w:color="auto" w:sz="4" w:space="0"/>
                  </w:tcBorders>
                  <w:tcMar>
                    <w:left w:w="28" w:type="dxa"/>
                    <w:right w:w="28" w:type="dxa"/>
                  </w:tcMar>
                  <w:vAlign w:val="center"/>
                </w:tcPr>
                <w:p w14:paraId="12742FAE">
                  <w:pPr>
                    <w:jc w:val="center"/>
                    <w:rPr>
                      <w:szCs w:val="21"/>
                    </w:rPr>
                  </w:pPr>
                  <w:r>
                    <w:rPr>
                      <w:szCs w:val="21"/>
                    </w:rPr>
                    <w:t>经度，纬度</w:t>
                  </w:r>
                </w:p>
              </w:tc>
              <w:tc>
                <w:tcPr>
                  <w:tcW w:w="425" w:type="pct"/>
                  <w:vMerge w:val="continue"/>
                  <w:tcBorders>
                    <w:left w:val="single" w:color="auto" w:sz="4" w:space="0"/>
                  </w:tcBorders>
                  <w:tcMar>
                    <w:left w:w="28" w:type="dxa"/>
                    <w:right w:w="28" w:type="dxa"/>
                  </w:tcMar>
                  <w:vAlign w:val="center"/>
                </w:tcPr>
                <w:p w14:paraId="48057938">
                  <w:pPr>
                    <w:jc w:val="center"/>
                    <w:rPr>
                      <w:szCs w:val="21"/>
                    </w:rPr>
                  </w:pPr>
                </w:p>
              </w:tc>
            </w:tr>
            <w:tr w14:paraId="69E1AEB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4" w:hRule="atLeast"/>
                <w:jc w:val="center"/>
              </w:trPr>
              <w:tc>
                <w:tcPr>
                  <w:tcW w:w="307" w:type="pct"/>
                  <w:tcMar>
                    <w:left w:w="28" w:type="dxa"/>
                    <w:right w:w="28" w:type="dxa"/>
                  </w:tcMar>
                  <w:vAlign w:val="center"/>
                </w:tcPr>
                <w:p w14:paraId="05460AF5">
                  <w:pPr>
                    <w:jc w:val="center"/>
                    <w:rPr>
                      <w:szCs w:val="21"/>
                    </w:rPr>
                  </w:pPr>
                  <w:r>
                    <w:rPr>
                      <w:szCs w:val="21"/>
                    </w:rPr>
                    <w:t>1</w:t>
                  </w:r>
                </w:p>
              </w:tc>
              <w:tc>
                <w:tcPr>
                  <w:tcW w:w="1971" w:type="pct"/>
                  <w:tcBorders>
                    <w:right w:val="single" w:color="auto" w:sz="4" w:space="0"/>
                  </w:tcBorders>
                  <w:tcMar>
                    <w:left w:w="28" w:type="dxa"/>
                    <w:right w:w="28" w:type="dxa"/>
                  </w:tcMar>
                  <w:vAlign w:val="center"/>
                </w:tcPr>
                <w:p w14:paraId="0B2293CC">
                  <w:pPr>
                    <w:jc w:val="center"/>
                    <w:rPr>
                      <w:szCs w:val="21"/>
                    </w:rPr>
                  </w:pPr>
                  <w:r>
                    <w:rPr>
                      <w:kern w:val="0"/>
                      <w:szCs w:val="21"/>
                    </w:rPr>
                    <w:t>106°42′45.530″，40°25′47.186″</w:t>
                  </w:r>
                </w:p>
              </w:tc>
              <w:tc>
                <w:tcPr>
                  <w:tcW w:w="333" w:type="pct"/>
                  <w:tcBorders>
                    <w:left w:val="single" w:color="auto" w:sz="4" w:space="0"/>
                    <w:right w:val="single" w:color="auto" w:sz="4" w:space="0"/>
                  </w:tcBorders>
                  <w:tcMar>
                    <w:left w:w="28" w:type="dxa"/>
                    <w:right w:w="28" w:type="dxa"/>
                  </w:tcMar>
                  <w:vAlign w:val="center"/>
                </w:tcPr>
                <w:p w14:paraId="3C1351F9">
                  <w:pPr>
                    <w:jc w:val="center"/>
                    <w:rPr>
                      <w:szCs w:val="21"/>
                    </w:rPr>
                  </w:pPr>
                  <w:r>
                    <w:rPr>
                      <w:szCs w:val="21"/>
                    </w:rPr>
                    <w:t>3</w:t>
                  </w:r>
                </w:p>
              </w:tc>
              <w:tc>
                <w:tcPr>
                  <w:tcW w:w="1964" w:type="pct"/>
                  <w:tcBorders>
                    <w:left w:val="single" w:color="auto" w:sz="4" w:space="0"/>
                    <w:right w:val="single" w:color="auto" w:sz="4" w:space="0"/>
                  </w:tcBorders>
                  <w:tcMar>
                    <w:left w:w="28" w:type="dxa"/>
                    <w:right w:w="28" w:type="dxa"/>
                  </w:tcMar>
                  <w:vAlign w:val="center"/>
                </w:tcPr>
                <w:p w14:paraId="490F2FAA">
                  <w:pPr>
                    <w:jc w:val="center"/>
                    <w:rPr>
                      <w:szCs w:val="21"/>
                    </w:rPr>
                  </w:pPr>
                  <w:r>
                    <w:rPr>
                      <w:kern w:val="0"/>
                      <w:szCs w:val="21"/>
                    </w:rPr>
                    <w:t>106°42′51.078″，40°25′44.654″</w:t>
                  </w:r>
                </w:p>
              </w:tc>
              <w:tc>
                <w:tcPr>
                  <w:tcW w:w="425" w:type="pct"/>
                  <w:vMerge w:val="restart"/>
                  <w:tcBorders>
                    <w:left w:val="single" w:color="auto" w:sz="4" w:space="0"/>
                  </w:tcBorders>
                  <w:tcMar>
                    <w:left w:w="28" w:type="dxa"/>
                    <w:right w:w="28" w:type="dxa"/>
                  </w:tcMar>
                  <w:vAlign w:val="center"/>
                </w:tcPr>
                <w:p w14:paraId="5314F87F">
                  <w:pPr>
                    <w:jc w:val="center"/>
                    <w:rPr>
                      <w:szCs w:val="21"/>
                    </w:rPr>
                  </w:pPr>
                  <w:r>
                    <w:rPr>
                      <w:rFonts w:hint="eastAsia"/>
                      <w:szCs w:val="21"/>
                    </w:rPr>
                    <w:t>9983</w:t>
                  </w:r>
                </w:p>
              </w:tc>
            </w:tr>
            <w:tr w14:paraId="606AD8D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54" w:hRule="atLeast"/>
                <w:jc w:val="center"/>
              </w:trPr>
              <w:tc>
                <w:tcPr>
                  <w:tcW w:w="307" w:type="pct"/>
                  <w:tcMar>
                    <w:left w:w="28" w:type="dxa"/>
                    <w:right w:w="28" w:type="dxa"/>
                  </w:tcMar>
                  <w:vAlign w:val="center"/>
                </w:tcPr>
                <w:p w14:paraId="572757D9">
                  <w:pPr>
                    <w:jc w:val="center"/>
                    <w:rPr>
                      <w:szCs w:val="21"/>
                    </w:rPr>
                  </w:pPr>
                  <w:r>
                    <w:rPr>
                      <w:szCs w:val="21"/>
                    </w:rPr>
                    <w:t>2</w:t>
                  </w:r>
                </w:p>
              </w:tc>
              <w:tc>
                <w:tcPr>
                  <w:tcW w:w="1971" w:type="pct"/>
                  <w:tcBorders>
                    <w:right w:val="single" w:color="auto" w:sz="4" w:space="0"/>
                  </w:tcBorders>
                  <w:tcMar>
                    <w:left w:w="28" w:type="dxa"/>
                    <w:right w:w="28" w:type="dxa"/>
                  </w:tcMar>
                  <w:vAlign w:val="center"/>
                </w:tcPr>
                <w:p w14:paraId="6BD69984">
                  <w:pPr>
                    <w:jc w:val="center"/>
                    <w:rPr>
                      <w:szCs w:val="21"/>
                    </w:rPr>
                  </w:pPr>
                  <w:r>
                    <w:rPr>
                      <w:kern w:val="0"/>
                      <w:szCs w:val="21"/>
                    </w:rPr>
                    <w:t>106°42′51.029″，40°25′47.247″</w:t>
                  </w:r>
                </w:p>
              </w:tc>
              <w:tc>
                <w:tcPr>
                  <w:tcW w:w="333" w:type="pct"/>
                  <w:tcBorders>
                    <w:left w:val="single" w:color="auto" w:sz="4" w:space="0"/>
                    <w:right w:val="single" w:color="auto" w:sz="4" w:space="0"/>
                  </w:tcBorders>
                  <w:tcMar>
                    <w:left w:w="28" w:type="dxa"/>
                    <w:right w:w="28" w:type="dxa"/>
                  </w:tcMar>
                  <w:vAlign w:val="center"/>
                </w:tcPr>
                <w:p w14:paraId="10243195">
                  <w:pPr>
                    <w:jc w:val="center"/>
                    <w:rPr>
                      <w:szCs w:val="21"/>
                    </w:rPr>
                  </w:pPr>
                  <w:r>
                    <w:rPr>
                      <w:szCs w:val="21"/>
                    </w:rPr>
                    <w:t>4</w:t>
                  </w:r>
                </w:p>
              </w:tc>
              <w:tc>
                <w:tcPr>
                  <w:tcW w:w="1964" w:type="pct"/>
                  <w:tcBorders>
                    <w:left w:val="single" w:color="auto" w:sz="4" w:space="0"/>
                    <w:right w:val="single" w:color="auto" w:sz="4" w:space="0"/>
                  </w:tcBorders>
                  <w:tcMar>
                    <w:left w:w="28" w:type="dxa"/>
                    <w:right w:w="28" w:type="dxa"/>
                  </w:tcMar>
                  <w:vAlign w:val="center"/>
                </w:tcPr>
                <w:p w14:paraId="58C2929F">
                  <w:pPr>
                    <w:jc w:val="center"/>
                    <w:rPr>
                      <w:szCs w:val="21"/>
                    </w:rPr>
                  </w:pPr>
                  <w:r>
                    <w:rPr>
                      <w:kern w:val="0"/>
                      <w:szCs w:val="21"/>
                    </w:rPr>
                    <w:t>106°42′45.989″，40°25′44.598″</w:t>
                  </w:r>
                </w:p>
              </w:tc>
              <w:tc>
                <w:tcPr>
                  <w:tcW w:w="425" w:type="pct"/>
                  <w:vMerge w:val="continue"/>
                  <w:tcBorders>
                    <w:left w:val="single" w:color="auto" w:sz="4" w:space="0"/>
                  </w:tcBorders>
                  <w:tcMar>
                    <w:left w:w="28" w:type="dxa"/>
                    <w:right w:w="28" w:type="dxa"/>
                  </w:tcMar>
                  <w:vAlign w:val="center"/>
                </w:tcPr>
                <w:p w14:paraId="7CF016E9">
                  <w:pPr>
                    <w:rPr>
                      <w:szCs w:val="21"/>
                      <w:highlight w:val="yellow"/>
                    </w:rPr>
                  </w:pPr>
                </w:p>
              </w:tc>
            </w:tr>
          </w:tbl>
          <w:p w14:paraId="0F9799B6">
            <w:pPr>
              <w:adjustRightInd w:val="0"/>
              <w:snapToGrid w:val="0"/>
              <w:spacing w:line="360" w:lineRule="auto"/>
              <w:ind w:firstLine="480" w:firstLineChars="200"/>
              <w:rPr>
                <w:sz w:val="24"/>
              </w:rPr>
            </w:pPr>
            <w:r>
              <w:rPr>
                <w:rFonts w:hint="eastAsia"/>
                <w:sz w:val="24"/>
              </w:rPr>
              <w:t>5</w:t>
            </w:r>
            <w:r>
              <w:rPr>
                <w:sz w:val="24"/>
              </w:rPr>
              <w:t>、</w:t>
            </w:r>
            <w:r>
              <w:rPr>
                <w:rFonts w:hint="eastAsia"/>
                <w:sz w:val="24"/>
              </w:rPr>
              <w:t>表土</w:t>
            </w:r>
            <w:r>
              <w:rPr>
                <w:sz w:val="24"/>
              </w:rPr>
              <w:t>堆存措施</w:t>
            </w:r>
          </w:p>
          <w:p w14:paraId="654F9897">
            <w:pPr>
              <w:adjustRightInd w:val="0"/>
              <w:snapToGrid w:val="0"/>
              <w:spacing w:line="360" w:lineRule="auto"/>
              <w:ind w:firstLine="480" w:firstLineChars="200"/>
              <w:rPr>
                <w:sz w:val="24"/>
              </w:rPr>
            </w:pPr>
            <w:r>
              <w:rPr>
                <w:sz w:val="24"/>
              </w:rPr>
              <w:t>施工前</w:t>
            </w:r>
            <w:r>
              <w:rPr>
                <w:rFonts w:hint="eastAsia"/>
                <w:sz w:val="24"/>
              </w:rPr>
              <w:t>利用推土机等机械设备将</w:t>
            </w:r>
            <w:r>
              <w:rPr>
                <w:sz w:val="24"/>
              </w:rPr>
              <w:t>除表土堆存区外的其余临时用地进行表土剥离，表土剥离厚度平均约</w:t>
            </w:r>
            <w:r>
              <w:rPr>
                <w:rFonts w:hint="eastAsia"/>
                <w:sz w:val="24"/>
              </w:rPr>
              <w:t>2</w:t>
            </w:r>
            <w:r>
              <w:rPr>
                <w:sz w:val="24"/>
              </w:rPr>
              <w:t>0cm，则表土堆存量约</w:t>
            </w:r>
            <w:r>
              <w:rPr>
                <w:rFonts w:hint="eastAsia"/>
                <w:sz w:val="24"/>
              </w:rPr>
              <w:t>1876.6</w:t>
            </w:r>
            <w:r>
              <w:rPr>
                <w:sz w:val="24"/>
              </w:rPr>
              <w:t>m</w:t>
            </w:r>
            <w:r>
              <w:rPr>
                <w:sz w:val="24"/>
                <w:vertAlign w:val="superscript"/>
              </w:rPr>
              <w:t>3</w:t>
            </w:r>
            <w:r>
              <w:rPr>
                <w:rFonts w:hint="eastAsia"/>
                <w:sz w:val="24"/>
              </w:rPr>
              <w:t>，</w:t>
            </w:r>
            <w:r>
              <w:rPr>
                <w:sz w:val="24"/>
              </w:rPr>
              <w:t>将表土集中堆放在不影响临时用地使用的边界处</w:t>
            </w:r>
            <w:r>
              <w:rPr>
                <w:rFonts w:hint="eastAsia"/>
                <w:sz w:val="24"/>
              </w:rPr>
              <w:t>。项目在井场内部设置1处</w:t>
            </w:r>
            <w:r>
              <w:rPr>
                <w:sz w:val="24"/>
              </w:rPr>
              <w:t>堆土区</w:t>
            </w:r>
            <w:r>
              <w:rPr>
                <w:rFonts w:hint="eastAsia"/>
                <w:sz w:val="24"/>
              </w:rPr>
              <w:t>，</w:t>
            </w:r>
            <w:r>
              <w:rPr>
                <w:sz w:val="24"/>
              </w:rPr>
              <w:t>堆土区大小为</w:t>
            </w:r>
            <w:r>
              <w:rPr>
                <w:rFonts w:hint="eastAsia"/>
                <w:sz w:val="24"/>
              </w:rPr>
              <w:t>20</w:t>
            </w:r>
            <w:r>
              <w:rPr>
                <w:kern w:val="0"/>
                <w:sz w:val="24"/>
              </w:rPr>
              <w:t>×</w:t>
            </w:r>
            <w:r>
              <w:rPr>
                <w:rFonts w:hint="eastAsia"/>
                <w:sz w:val="24"/>
              </w:rPr>
              <w:t>30</w:t>
            </w:r>
            <w:r>
              <w:rPr>
                <w:sz w:val="24"/>
              </w:rPr>
              <w:t>m。</w:t>
            </w:r>
            <w:r>
              <w:rPr>
                <w:rFonts w:hint="eastAsia"/>
                <w:sz w:val="24"/>
              </w:rPr>
              <w:t>表土堆存区采用密目网覆盖，按照《表土剥离及其再生利用技术要求》（GB/T45107-2024）规范堆存，加强堆存区的稳定性，防止水土流失</w:t>
            </w:r>
            <w:r>
              <w:rPr>
                <w:sz w:val="24"/>
              </w:rPr>
              <w:t>。</w:t>
            </w:r>
          </w:p>
          <w:p w14:paraId="7C886274">
            <w:pPr>
              <w:adjustRightInd w:val="0"/>
              <w:snapToGrid w:val="0"/>
              <w:spacing w:line="360" w:lineRule="auto"/>
              <w:ind w:firstLine="480" w:firstLineChars="200"/>
              <w:rPr>
                <w:sz w:val="24"/>
              </w:rPr>
            </w:pPr>
            <w:r>
              <w:rPr>
                <w:rFonts w:hint="eastAsia"/>
                <w:sz w:val="24"/>
              </w:rPr>
              <w:t>6、土石方平衡</w:t>
            </w:r>
          </w:p>
          <w:p w14:paraId="5B47AFB4">
            <w:pPr>
              <w:adjustRightInd w:val="0"/>
              <w:snapToGrid w:val="0"/>
              <w:spacing w:line="360" w:lineRule="auto"/>
              <w:ind w:firstLine="480" w:firstLineChars="200"/>
              <w:rPr>
                <w:sz w:val="24"/>
              </w:rPr>
            </w:pPr>
            <w:r>
              <w:rPr>
                <w:rFonts w:hint="eastAsia"/>
                <w:sz w:val="24"/>
              </w:rPr>
              <w:t>项目土石方工程主要为井场平整、设施设备基础建设等施工过程中产生的土石方。项目挖方量为1876.6m</w:t>
            </w:r>
            <w:r>
              <w:rPr>
                <w:rFonts w:hint="eastAsia"/>
                <w:sz w:val="24"/>
                <w:vertAlign w:val="superscript"/>
              </w:rPr>
              <w:t>3</w:t>
            </w:r>
            <w:r>
              <w:rPr>
                <w:rFonts w:hint="eastAsia"/>
                <w:sz w:val="24"/>
              </w:rPr>
              <w:t>，施工结束后填方量为1876.6m</w:t>
            </w:r>
            <w:r>
              <w:rPr>
                <w:rFonts w:hint="eastAsia"/>
                <w:sz w:val="24"/>
                <w:vertAlign w:val="superscript"/>
              </w:rPr>
              <w:t>3</w:t>
            </w:r>
            <w:r>
              <w:rPr>
                <w:rFonts w:hint="eastAsia"/>
                <w:sz w:val="24"/>
              </w:rPr>
              <w:t>，合理调配土石方，可做到土石方在项目内消纳，不外运，因此无需设置弃土场。</w:t>
            </w:r>
          </w:p>
          <w:p w14:paraId="307BA369">
            <w:pPr>
              <w:jc w:val="center"/>
              <w:rPr>
                <w:b/>
                <w:sz w:val="24"/>
              </w:rPr>
            </w:pPr>
            <w:r>
              <w:rPr>
                <w:b/>
                <w:sz w:val="24"/>
              </w:rPr>
              <w:t>表2-</w:t>
            </w:r>
            <w:r>
              <w:rPr>
                <w:rFonts w:hint="eastAsia"/>
                <w:b/>
                <w:sz w:val="24"/>
              </w:rPr>
              <w:t>7</w:t>
            </w:r>
            <w:r>
              <w:rPr>
                <w:b/>
                <w:sz w:val="24"/>
              </w:rPr>
              <w:t xml:space="preserve"> 项目</w:t>
            </w:r>
            <w:r>
              <w:rPr>
                <w:rFonts w:hint="eastAsia"/>
                <w:b/>
                <w:sz w:val="24"/>
              </w:rPr>
              <w:t>土石方</w:t>
            </w:r>
            <w:r>
              <w:rPr>
                <w:b/>
                <w:sz w:val="24"/>
              </w:rPr>
              <w:t>平衡表</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244"/>
              <w:gridCol w:w="933"/>
              <w:gridCol w:w="929"/>
              <w:gridCol w:w="1242"/>
              <w:gridCol w:w="3890"/>
            </w:tblGrid>
            <w:tr w14:paraId="64DEE6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755" w:type="pct"/>
                  <w:vAlign w:val="center"/>
                </w:tcPr>
                <w:p w14:paraId="4CAEC03E">
                  <w:pPr>
                    <w:jc w:val="center"/>
                    <w:rPr>
                      <w:szCs w:val="21"/>
                    </w:rPr>
                  </w:pPr>
                  <w:r>
                    <w:rPr>
                      <w:szCs w:val="21"/>
                    </w:rPr>
                    <w:t>工程名称</w:t>
                  </w:r>
                </w:p>
              </w:tc>
              <w:tc>
                <w:tcPr>
                  <w:tcW w:w="566" w:type="pct"/>
                  <w:vAlign w:val="center"/>
                </w:tcPr>
                <w:p w14:paraId="24467BFF">
                  <w:pPr>
                    <w:jc w:val="center"/>
                    <w:rPr>
                      <w:szCs w:val="21"/>
                    </w:rPr>
                  </w:pPr>
                  <w:r>
                    <w:rPr>
                      <w:szCs w:val="21"/>
                    </w:rPr>
                    <w:t>挖方m</w:t>
                  </w:r>
                  <w:r>
                    <w:rPr>
                      <w:szCs w:val="21"/>
                      <w:vertAlign w:val="superscript"/>
                    </w:rPr>
                    <w:t>3</w:t>
                  </w:r>
                </w:p>
              </w:tc>
              <w:tc>
                <w:tcPr>
                  <w:tcW w:w="564" w:type="pct"/>
                  <w:vAlign w:val="center"/>
                </w:tcPr>
                <w:p w14:paraId="6BB8BFF1">
                  <w:pPr>
                    <w:jc w:val="center"/>
                    <w:rPr>
                      <w:szCs w:val="21"/>
                    </w:rPr>
                  </w:pPr>
                  <w:r>
                    <w:rPr>
                      <w:szCs w:val="21"/>
                    </w:rPr>
                    <w:t>填方m</w:t>
                  </w:r>
                  <w:r>
                    <w:rPr>
                      <w:szCs w:val="21"/>
                      <w:vertAlign w:val="superscript"/>
                    </w:rPr>
                    <w:t>3</w:t>
                  </w:r>
                </w:p>
              </w:tc>
              <w:tc>
                <w:tcPr>
                  <w:tcW w:w="754" w:type="pct"/>
                  <w:vAlign w:val="center"/>
                </w:tcPr>
                <w:p w14:paraId="6CB3AAB4">
                  <w:pPr>
                    <w:jc w:val="center"/>
                    <w:rPr>
                      <w:szCs w:val="21"/>
                    </w:rPr>
                  </w:pPr>
                  <w:r>
                    <w:rPr>
                      <w:szCs w:val="21"/>
                    </w:rPr>
                    <w:t>余方外运m</w:t>
                  </w:r>
                  <w:r>
                    <w:rPr>
                      <w:szCs w:val="21"/>
                      <w:vertAlign w:val="superscript"/>
                    </w:rPr>
                    <w:t>3</w:t>
                  </w:r>
                </w:p>
              </w:tc>
              <w:tc>
                <w:tcPr>
                  <w:tcW w:w="2361" w:type="pct"/>
                  <w:vAlign w:val="center"/>
                </w:tcPr>
                <w:p w14:paraId="4C28C40B">
                  <w:pPr>
                    <w:jc w:val="center"/>
                    <w:rPr>
                      <w:szCs w:val="21"/>
                    </w:rPr>
                  </w:pPr>
                  <w:r>
                    <w:rPr>
                      <w:szCs w:val="21"/>
                    </w:rPr>
                    <w:t>备注</w:t>
                  </w:r>
                </w:p>
              </w:tc>
            </w:tr>
            <w:tr w14:paraId="7FF0B43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72" w:hRule="atLeast"/>
                <w:jc w:val="center"/>
              </w:trPr>
              <w:tc>
                <w:tcPr>
                  <w:tcW w:w="755" w:type="pct"/>
                  <w:vAlign w:val="center"/>
                </w:tcPr>
                <w:p w14:paraId="2A0D90C1">
                  <w:pPr>
                    <w:adjustRightInd w:val="0"/>
                    <w:snapToGrid w:val="0"/>
                    <w:jc w:val="center"/>
                    <w:rPr>
                      <w:szCs w:val="21"/>
                    </w:rPr>
                  </w:pPr>
                  <w:r>
                    <w:rPr>
                      <w:szCs w:val="21"/>
                    </w:rPr>
                    <w:t>井场工程</w:t>
                  </w:r>
                </w:p>
              </w:tc>
              <w:tc>
                <w:tcPr>
                  <w:tcW w:w="566" w:type="pct"/>
                  <w:vAlign w:val="center"/>
                </w:tcPr>
                <w:p w14:paraId="5EDA0C25">
                  <w:pPr>
                    <w:jc w:val="center"/>
                    <w:rPr>
                      <w:szCs w:val="21"/>
                    </w:rPr>
                  </w:pPr>
                  <w:r>
                    <w:rPr>
                      <w:rFonts w:hint="eastAsia"/>
                      <w:szCs w:val="21"/>
                    </w:rPr>
                    <w:t>1876.6</w:t>
                  </w:r>
                </w:p>
              </w:tc>
              <w:tc>
                <w:tcPr>
                  <w:tcW w:w="564" w:type="pct"/>
                  <w:vAlign w:val="center"/>
                </w:tcPr>
                <w:p w14:paraId="43389C67">
                  <w:pPr>
                    <w:jc w:val="center"/>
                    <w:rPr>
                      <w:szCs w:val="21"/>
                    </w:rPr>
                  </w:pPr>
                  <w:r>
                    <w:rPr>
                      <w:rFonts w:hint="eastAsia"/>
                      <w:szCs w:val="21"/>
                    </w:rPr>
                    <w:t>1876.6</w:t>
                  </w:r>
                </w:p>
              </w:tc>
              <w:tc>
                <w:tcPr>
                  <w:tcW w:w="754" w:type="pct"/>
                  <w:vAlign w:val="center"/>
                </w:tcPr>
                <w:p w14:paraId="62F05989">
                  <w:pPr>
                    <w:jc w:val="center"/>
                    <w:rPr>
                      <w:szCs w:val="21"/>
                    </w:rPr>
                  </w:pPr>
                  <w:r>
                    <w:rPr>
                      <w:rFonts w:hint="eastAsia"/>
                      <w:szCs w:val="21"/>
                    </w:rPr>
                    <w:t>0</w:t>
                  </w:r>
                </w:p>
              </w:tc>
              <w:tc>
                <w:tcPr>
                  <w:tcW w:w="2361" w:type="pct"/>
                  <w:vAlign w:val="center"/>
                </w:tcPr>
                <w:p w14:paraId="44E2167A">
                  <w:pPr>
                    <w:jc w:val="center"/>
                    <w:rPr>
                      <w:szCs w:val="21"/>
                    </w:rPr>
                  </w:pPr>
                  <w:r>
                    <w:rPr>
                      <w:rFonts w:hint="eastAsia"/>
                      <w:szCs w:val="21"/>
                    </w:rPr>
                    <w:t>合理调配土石方，不设取弃土场。表土进行剥离并集中堆放。在表土堆存期间，采取覆盖等措施防止水力与风力的侵蚀，后期用于土地复垦和生态恢复。</w:t>
                  </w:r>
                </w:p>
              </w:tc>
            </w:tr>
          </w:tbl>
          <w:p w14:paraId="188013FD">
            <w:pPr>
              <w:adjustRightInd w:val="0"/>
              <w:snapToGrid w:val="0"/>
              <w:spacing w:line="360" w:lineRule="auto"/>
              <w:ind w:firstLine="480" w:firstLineChars="200"/>
              <w:rPr>
                <w:sz w:val="24"/>
              </w:rPr>
            </w:pPr>
            <w:r>
              <w:rPr>
                <w:rFonts w:hint="eastAsia"/>
                <w:sz w:val="24"/>
              </w:rPr>
              <w:t>7</w:t>
            </w:r>
            <w:r>
              <w:rPr>
                <w:sz w:val="24"/>
              </w:rPr>
              <w:t>、公用工程</w:t>
            </w:r>
          </w:p>
          <w:p w14:paraId="30653859">
            <w:pPr>
              <w:spacing w:line="360" w:lineRule="auto"/>
              <w:ind w:firstLine="480" w:firstLineChars="200"/>
              <w:rPr>
                <w:sz w:val="24"/>
              </w:rPr>
            </w:pPr>
            <w:r>
              <w:rPr>
                <w:sz w:val="24"/>
              </w:rPr>
              <w:t>（1）供电</w:t>
            </w:r>
          </w:p>
          <w:p w14:paraId="0D7A583E">
            <w:pPr>
              <w:adjustRightInd w:val="0"/>
              <w:snapToGrid w:val="0"/>
              <w:spacing w:line="360" w:lineRule="auto"/>
              <w:ind w:firstLine="480" w:firstLineChars="200"/>
              <w:rPr>
                <w:sz w:val="24"/>
              </w:rPr>
            </w:pPr>
            <w:r>
              <w:rPr>
                <w:sz w:val="24"/>
              </w:rPr>
              <w:t>项目由施工</w:t>
            </w:r>
            <w:r>
              <w:rPr>
                <w:rFonts w:hint="eastAsia"/>
                <w:sz w:val="24"/>
              </w:rPr>
              <w:t>现场</w:t>
            </w:r>
            <w:r>
              <w:rPr>
                <w:sz w:val="24"/>
              </w:rPr>
              <w:t>柴油发电机组提供电力，可满足用电要求。</w:t>
            </w:r>
          </w:p>
          <w:p w14:paraId="32680668">
            <w:pPr>
              <w:spacing w:line="360" w:lineRule="auto"/>
              <w:ind w:firstLine="480" w:firstLineChars="200"/>
              <w:rPr>
                <w:sz w:val="24"/>
              </w:rPr>
            </w:pPr>
            <w:r>
              <w:rPr>
                <w:sz w:val="24"/>
              </w:rPr>
              <w:t>（2）供水</w:t>
            </w:r>
          </w:p>
          <w:p w14:paraId="50C36895">
            <w:pPr>
              <w:spacing w:line="360" w:lineRule="auto"/>
              <w:ind w:firstLine="480" w:firstLineChars="200"/>
              <w:rPr>
                <w:sz w:val="24"/>
              </w:rPr>
            </w:pPr>
            <w:r>
              <w:rPr>
                <w:sz w:val="24"/>
              </w:rPr>
              <w:t>生产用水：</w:t>
            </w:r>
            <w:r>
              <w:rPr>
                <w:rFonts w:hint="eastAsia"/>
                <w:sz w:val="24"/>
              </w:rPr>
              <w:t>项目</w:t>
            </w:r>
            <w:r>
              <w:rPr>
                <w:sz w:val="24"/>
              </w:rPr>
              <w:t>勘探期钻井生产用水为0.1m</w:t>
            </w:r>
            <w:r>
              <w:rPr>
                <w:sz w:val="24"/>
                <w:vertAlign w:val="superscript"/>
              </w:rPr>
              <w:t>3</w:t>
            </w:r>
            <w:r>
              <w:rPr>
                <w:sz w:val="24"/>
              </w:rPr>
              <w:t>/m，</w:t>
            </w:r>
            <w:r>
              <w:rPr>
                <w:rFonts w:hint="eastAsia"/>
                <w:sz w:val="24"/>
              </w:rPr>
              <w:t>1号井设计井深4000</w:t>
            </w:r>
            <w:r>
              <w:rPr>
                <w:sz w:val="24"/>
              </w:rPr>
              <w:t>m</w:t>
            </w:r>
            <w:r>
              <w:rPr>
                <w:rFonts w:hint="eastAsia"/>
                <w:sz w:val="24"/>
              </w:rPr>
              <w:t>，2号井设计井深4100</w:t>
            </w:r>
            <w:r>
              <w:rPr>
                <w:sz w:val="24"/>
              </w:rPr>
              <w:t>m</w:t>
            </w:r>
            <w:r>
              <w:rPr>
                <w:rFonts w:hint="eastAsia"/>
                <w:sz w:val="24"/>
              </w:rPr>
              <w:t>，3号井设计井深4100</w:t>
            </w:r>
            <w:r>
              <w:rPr>
                <w:sz w:val="24"/>
              </w:rPr>
              <w:t>m</w:t>
            </w:r>
            <w:r>
              <w:rPr>
                <w:rFonts w:hint="eastAsia"/>
                <w:sz w:val="24"/>
              </w:rPr>
              <w:t>，则</w:t>
            </w:r>
            <w:r>
              <w:rPr>
                <w:sz w:val="24"/>
              </w:rPr>
              <w:t>用水量累计</w:t>
            </w:r>
            <w:r>
              <w:rPr>
                <w:rFonts w:hint="eastAsia"/>
                <w:sz w:val="24"/>
              </w:rPr>
              <w:t>为1220</w:t>
            </w:r>
            <w:r>
              <w:rPr>
                <w:sz w:val="24"/>
              </w:rPr>
              <w:t>m</w:t>
            </w:r>
            <w:r>
              <w:rPr>
                <w:sz w:val="24"/>
                <w:vertAlign w:val="superscript"/>
              </w:rPr>
              <w:t>3</w:t>
            </w:r>
            <w:r>
              <w:rPr>
                <w:rFonts w:hint="eastAsia"/>
                <w:sz w:val="24"/>
              </w:rPr>
              <w:t>，</w:t>
            </w:r>
            <w:r>
              <w:rPr>
                <w:sz w:val="24"/>
              </w:rPr>
              <w:t>从</w:t>
            </w:r>
            <w:r>
              <w:rPr>
                <w:rFonts w:hint="eastAsia"/>
                <w:sz w:val="24"/>
              </w:rPr>
              <w:t>巴彦淖尔市市政环境（集团）有限公司用</w:t>
            </w:r>
            <w:r>
              <w:rPr>
                <w:sz w:val="24"/>
              </w:rPr>
              <w:t>罐车</w:t>
            </w:r>
            <w:r>
              <w:rPr>
                <w:rFonts w:hint="eastAsia"/>
                <w:sz w:val="24"/>
              </w:rPr>
              <w:t>拉运至井场</w:t>
            </w:r>
            <w:r>
              <w:rPr>
                <w:sz w:val="24"/>
              </w:rPr>
              <w:t>。</w:t>
            </w:r>
          </w:p>
          <w:p w14:paraId="74650838">
            <w:pPr>
              <w:adjustRightInd w:val="0"/>
              <w:snapToGrid w:val="0"/>
              <w:spacing w:line="360" w:lineRule="auto"/>
              <w:ind w:firstLine="480" w:firstLineChars="200"/>
              <w:rPr>
                <w:sz w:val="24"/>
              </w:rPr>
            </w:pPr>
            <w:r>
              <w:rPr>
                <w:rFonts w:hint="eastAsia"/>
                <w:sz w:val="24"/>
              </w:rPr>
              <w:t>抑尘用水：</w:t>
            </w:r>
            <w:r>
              <w:rPr>
                <w:sz w:val="24"/>
              </w:rPr>
              <w:t>项目勘探期间，井场每天需洒水抑尘，</w:t>
            </w:r>
            <w:r>
              <w:rPr>
                <w:rFonts w:hint="eastAsia"/>
                <w:sz w:val="24"/>
              </w:rPr>
              <w:t>按照最大水量（夏季）来考虑，</w:t>
            </w:r>
            <w:r>
              <w:rPr>
                <w:sz w:val="24"/>
              </w:rPr>
              <w:t>洒水量按2m</w:t>
            </w:r>
            <w:r>
              <w:rPr>
                <w:rFonts w:hint="eastAsia"/>
                <w:sz w:val="24"/>
                <w:vertAlign w:val="superscript"/>
              </w:rPr>
              <w:t>3</w:t>
            </w:r>
            <w:r>
              <w:rPr>
                <w:sz w:val="24"/>
              </w:rPr>
              <w:t>/d计，用水量为</w:t>
            </w:r>
            <w:r>
              <w:rPr>
                <w:rFonts w:hint="eastAsia"/>
                <w:sz w:val="24"/>
              </w:rPr>
              <w:t>360</w:t>
            </w:r>
            <w:r>
              <w:rPr>
                <w:sz w:val="24"/>
              </w:rPr>
              <w:t>m</w:t>
            </w:r>
            <w:r>
              <w:rPr>
                <w:sz w:val="24"/>
                <w:vertAlign w:val="superscript"/>
              </w:rPr>
              <w:t>3</w:t>
            </w:r>
            <w:r>
              <w:rPr>
                <w:rFonts w:hint="eastAsia"/>
                <w:sz w:val="24"/>
              </w:rPr>
              <w:t>，</w:t>
            </w:r>
            <w:r>
              <w:rPr>
                <w:sz w:val="24"/>
              </w:rPr>
              <w:t>从</w:t>
            </w:r>
            <w:r>
              <w:rPr>
                <w:rFonts w:hint="eastAsia"/>
                <w:sz w:val="24"/>
              </w:rPr>
              <w:t>巴彦淖尔市市政环境（集团）有限公司</w:t>
            </w:r>
            <w:r>
              <w:rPr>
                <w:sz w:val="24"/>
              </w:rPr>
              <w:t>用罐车</w:t>
            </w:r>
            <w:r>
              <w:rPr>
                <w:rFonts w:hint="eastAsia"/>
                <w:sz w:val="24"/>
              </w:rPr>
              <w:t>拉运至井场</w:t>
            </w:r>
            <w:r>
              <w:rPr>
                <w:sz w:val="24"/>
              </w:rPr>
              <w:t>。</w:t>
            </w:r>
          </w:p>
          <w:p w14:paraId="329E88DD">
            <w:pPr>
              <w:adjustRightInd w:val="0"/>
              <w:snapToGrid w:val="0"/>
              <w:spacing w:line="360" w:lineRule="auto"/>
              <w:ind w:firstLine="480" w:firstLineChars="200"/>
              <w:rPr>
                <w:sz w:val="24"/>
              </w:rPr>
            </w:pPr>
            <w:r>
              <w:rPr>
                <w:sz w:val="24"/>
              </w:rPr>
              <w:t>生活用水：项目劳动定员40人，勘探期为</w:t>
            </w:r>
            <w:r>
              <w:rPr>
                <w:rFonts w:hint="eastAsia"/>
                <w:sz w:val="24"/>
              </w:rPr>
              <w:t>180</w:t>
            </w:r>
            <w:r>
              <w:rPr>
                <w:sz w:val="24"/>
              </w:rPr>
              <w:t>天，按内蒙古自治区地方标准</w:t>
            </w:r>
            <w:r>
              <w:rPr>
                <w:rFonts w:hint="eastAsia"/>
                <w:sz w:val="24"/>
              </w:rPr>
              <w:t>《行业</w:t>
            </w:r>
            <w:r>
              <w:rPr>
                <w:sz w:val="24"/>
              </w:rPr>
              <w:t>用水定额</w:t>
            </w:r>
            <w:r>
              <w:rPr>
                <w:rFonts w:hint="eastAsia"/>
                <w:sz w:val="24"/>
              </w:rPr>
              <w:t>》（DB15/T385-2020）中S9620农村居民用水定额值</w:t>
            </w:r>
            <w:r>
              <w:rPr>
                <w:sz w:val="24"/>
              </w:rPr>
              <w:t>，用水量为</w:t>
            </w:r>
            <w:r>
              <w:rPr>
                <w:rFonts w:hint="eastAsia"/>
                <w:sz w:val="24"/>
              </w:rPr>
              <w:t>6</w:t>
            </w:r>
            <w:r>
              <w:rPr>
                <w:sz w:val="24"/>
              </w:rPr>
              <w:t>0L/人·d，则</w:t>
            </w:r>
            <w:r>
              <w:rPr>
                <w:rFonts w:hint="eastAsia"/>
                <w:sz w:val="24"/>
              </w:rPr>
              <w:t>生活</w:t>
            </w:r>
            <w:r>
              <w:rPr>
                <w:sz w:val="24"/>
              </w:rPr>
              <w:t>用水量为</w:t>
            </w:r>
            <w:r>
              <w:rPr>
                <w:rFonts w:hint="eastAsia"/>
                <w:sz w:val="24"/>
              </w:rPr>
              <w:t>432</w:t>
            </w:r>
            <w:r>
              <w:rPr>
                <w:sz w:val="24"/>
              </w:rPr>
              <w:t>m</w:t>
            </w:r>
            <w:r>
              <w:rPr>
                <w:sz w:val="24"/>
                <w:vertAlign w:val="superscript"/>
              </w:rPr>
              <w:t>3</w:t>
            </w:r>
            <w:r>
              <w:rPr>
                <w:sz w:val="24"/>
              </w:rPr>
              <w:t>。用水定期从附近村庄用罐车拉运自来</w:t>
            </w:r>
            <w:r>
              <w:rPr>
                <w:rFonts w:hint="eastAsia"/>
                <w:sz w:val="24"/>
              </w:rPr>
              <w:t>水</w:t>
            </w:r>
            <w:r>
              <w:rPr>
                <w:sz w:val="24"/>
              </w:rPr>
              <w:t>，能够满足项目生活用水需求。</w:t>
            </w:r>
          </w:p>
          <w:p w14:paraId="27C06D31">
            <w:pPr>
              <w:spacing w:line="360" w:lineRule="auto"/>
              <w:ind w:firstLine="480" w:firstLineChars="200"/>
              <w:outlineLvl w:val="0"/>
              <w:rPr>
                <w:sz w:val="24"/>
              </w:rPr>
            </w:pPr>
            <w:bookmarkStart w:id="5" w:name="_Toc214007546"/>
            <w:bookmarkStart w:id="6" w:name="_Toc103325976"/>
            <w:r>
              <w:rPr>
                <w:sz w:val="24"/>
              </w:rPr>
              <w:t>（3）排水</w:t>
            </w:r>
            <w:bookmarkEnd w:id="5"/>
            <w:bookmarkEnd w:id="6"/>
          </w:p>
          <w:p w14:paraId="67133C96">
            <w:pPr>
              <w:adjustRightInd w:val="0"/>
              <w:snapToGrid w:val="0"/>
              <w:spacing w:line="360" w:lineRule="auto"/>
              <w:ind w:firstLine="480" w:firstLineChars="200"/>
              <w:rPr>
                <w:bCs/>
                <w:sz w:val="24"/>
              </w:rPr>
            </w:pPr>
            <w:r>
              <w:rPr>
                <w:bCs/>
                <w:sz w:val="24"/>
              </w:rPr>
              <w:t>项目不进行油水分离，采出液进入储液罐贮存</w:t>
            </w:r>
            <w:r>
              <w:rPr>
                <w:rFonts w:hint="eastAsia"/>
                <w:bCs/>
                <w:sz w:val="24"/>
              </w:rPr>
              <w:t>，</w:t>
            </w:r>
            <w:r>
              <w:rPr>
                <w:bCs/>
                <w:sz w:val="24"/>
              </w:rPr>
              <w:t>由罐车拉运至</w:t>
            </w:r>
            <w:r>
              <w:rPr>
                <w:rFonts w:hint="eastAsia"/>
                <w:bCs/>
                <w:sz w:val="24"/>
              </w:rPr>
              <w:t>临河</w:t>
            </w:r>
            <w:r>
              <w:rPr>
                <w:bCs/>
                <w:sz w:val="24"/>
              </w:rPr>
              <w:t>联合站进行处理，无采出水产生。</w:t>
            </w:r>
          </w:p>
          <w:p w14:paraId="253733A2">
            <w:pPr>
              <w:adjustRightInd w:val="0"/>
              <w:snapToGrid w:val="0"/>
              <w:spacing w:line="360" w:lineRule="auto"/>
              <w:ind w:firstLine="480" w:firstLineChars="200"/>
              <w:rPr>
                <w:bCs/>
                <w:sz w:val="24"/>
              </w:rPr>
            </w:pPr>
            <w:r>
              <w:rPr>
                <w:bCs/>
                <w:sz w:val="24"/>
              </w:rPr>
              <w:t>项目钻井</w:t>
            </w:r>
            <w:r>
              <w:rPr>
                <w:rFonts w:hint="eastAsia"/>
                <w:bCs/>
                <w:sz w:val="24"/>
              </w:rPr>
              <w:t>泥浆</w:t>
            </w:r>
            <w:r>
              <w:rPr>
                <w:bCs/>
                <w:sz w:val="24"/>
              </w:rPr>
              <w:t>使用水基泥浆，采用泥浆不落地循环系统装置，钻井用水损耗量约</w:t>
            </w:r>
            <w:r>
              <w:rPr>
                <w:rFonts w:hint="eastAsia"/>
                <w:bCs/>
                <w:sz w:val="24"/>
              </w:rPr>
              <w:t>244</w:t>
            </w:r>
            <w:r>
              <w:rPr>
                <w:bCs/>
                <w:sz w:val="24"/>
              </w:rPr>
              <w:t>m</w:t>
            </w:r>
            <w:r>
              <w:rPr>
                <w:bCs/>
                <w:sz w:val="24"/>
                <w:vertAlign w:val="superscript"/>
              </w:rPr>
              <w:t>3</w:t>
            </w:r>
            <w:r>
              <w:rPr>
                <w:bCs/>
                <w:sz w:val="24"/>
              </w:rPr>
              <w:t>/钻井期，剩余</w:t>
            </w:r>
            <w:r>
              <w:rPr>
                <w:rFonts w:hint="eastAsia"/>
                <w:bCs/>
                <w:sz w:val="24"/>
              </w:rPr>
              <w:t>976</w:t>
            </w:r>
            <w:r>
              <w:rPr>
                <w:bCs/>
                <w:sz w:val="24"/>
              </w:rPr>
              <w:t>m</w:t>
            </w:r>
            <w:r>
              <w:rPr>
                <w:bCs/>
                <w:sz w:val="24"/>
                <w:vertAlign w:val="superscript"/>
              </w:rPr>
              <w:t>3</w:t>
            </w:r>
            <w:r>
              <w:rPr>
                <w:bCs/>
                <w:sz w:val="24"/>
              </w:rPr>
              <w:t>/钻井期（</w:t>
            </w:r>
            <w:r>
              <w:rPr>
                <w:rFonts w:hint="eastAsia"/>
                <w:bCs/>
                <w:sz w:val="24"/>
              </w:rPr>
              <w:t>1号井为320</w:t>
            </w:r>
            <w:r>
              <w:rPr>
                <w:bCs/>
                <w:sz w:val="24"/>
              </w:rPr>
              <w:t>m</w:t>
            </w:r>
            <w:r>
              <w:rPr>
                <w:bCs/>
                <w:sz w:val="24"/>
                <w:vertAlign w:val="superscript"/>
              </w:rPr>
              <w:t>3</w:t>
            </w:r>
            <w:r>
              <w:rPr>
                <w:bCs/>
                <w:sz w:val="24"/>
              </w:rPr>
              <w:t>，</w:t>
            </w:r>
            <w:r>
              <w:rPr>
                <w:rFonts w:hint="eastAsia"/>
                <w:bCs/>
                <w:sz w:val="24"/>
              </w:rPr>
              <w:t>2号井为328</w:t>
            </w:r>
            <w:r>
              <w:rPr>
                <w:bCs/>
                <w:sz w:val="24"/>
              </w:rPr>
              <w:t>m</w:t>
            </w:r>
            <w:r>
              <w:rPr>
                <w:bCs/>
                <w:sz w:val="24"/>
                <w:vertAlign w:val="superscript"/>
              </w:rPr>
              <w:t>3</w:t>
            </w:r>
            <w:r>
              <w:rPr>
                <w:bCs/>
                <w:sz w:val="24"/>
              </w:rPr>
              <w:t>，</w:t>
            </w:r>
            <w:r>
              <w:rPr>
                <w:rFonts w:hint="eastAsia"/>
                <w:bCs/>
                <w:sz w:val="24"/>
              </w:rPr>
              <w:t>3号井为328</w:t>
            </w:r>
            <w:r>
              <w:rPr>
                <w:bCs/>
                <w:sz w:val="24"/>
              </w:rPr>
              <w:t>m</w:t>
            </w:r>
            <w:r>
              <w:rPr>
                <w:bCs/>
                <w:sz w:val="24"/>
                <w:vertAlign w:val="superscript"/>
              </w:rPr>
              <w:t>3</w:t>
            </w:r>
            <w:r>
              <w:rPr>
                <w:bCs/>
                <w:sz w:val="24"/>
              </w:rPr>
              <w:t>）的</w:t>
            </w:r>
            <w:r>
              <w:rPr>
                <w:rFonts w:hint="eastAsia"/>
                <w:bCs/>
                <w:sz w:val="24"/>
              </w:rPr>
              <w:t>废水随同</w:t>
            </w:r>
            <w:r>
              <w:rPr>
                <w:bCs/>
                <w:sz w:val="24"/>
              </w:rPr>
              <w:t>废弃泥浆、钻井岩屑收集至泥浆不落地循环系统装置旁的可移动废水罐（</w:t>
            </w:r>
            <w:r>
              <w:rPr>
                <w:rFonts w:hint="eastAsia"/>
                <w:bCs/>
                <w:sz w:val="24"/>
              </w:rPr>
              <w:t>3</w:t>
            </w:r>
            <w:r>
              <w:rPr>
                <w:bCs/>
                <w:sz w:val="24"/>
              </w:rPr>
              <w:t>×30m</w:t>
            </w:r>
            <w:r>
              <w:rPr>
                <w:bCs/>
                <w:sz w:val="24"/>
                <w:vertAlign w:val="superscript"/>
              </w:rPr>
              <w:t>3</w:t>
            </w:r>
            <w:r>
              <w:rPr>
                <w:bCs/>
                <w:sz w:val="24"/>
              </w:rPr>
              <w:t>）临时贮存，定期拉运至内蒙古众宁环保科技有限公司油气田废弃物集中处理厂处理</w:t>
            </w:r>
            <w:r>
              <w:rPr>
                <w:rFonts w:hint="eastAsia"/>
                <w:bCs/>
                <w:sz w:val="24"/>
              </w:rPr>
              <w:t>。</w:t>
            </w:r>
          </w:p>
          <w:p w14:paraId="3F33E334">
            <w:pPr>
              <w:adjustRightInd w:val="0"/>
              <w:snapToGrid w:val="0"/>
              <w:spacing w:line="360" w:lineRule="auto"/>
              <w:ind w:firstLine="480" w:firstLineChars="200"/>
              <w:rPr>
                <w:sz w:val="24"/>
              </w:rPr>
            </w:pPr>
            <w:r>
              <w:rPr>
                <w:sz w:val="24"/>
              </w:rPr>
              <w:t>施工期产生的</w:t>
            </w:r>
            <w:r>
              <w:rPr>
                <w:rFonts w:hint="eastAsia"/>
                <w:sz w:val="24"/>
              </w:rPr>
              <w:t>盥洗废水</w:t>
            </w:r>
            <w:r>
              <w:rPr>
                <w:sz w:val="24"/>
              </w:rPr>
              <w:t>产生量按用水量的80%计，</w:t>
            </w:r>
            <w:r>
              <w:rPr>
                <w:rFonts w:hint="eastAsia"/>
                <w:sz w:val="24"/>
              </w:rPr>
              <w:t>盥洗废水排入</w:t>
            </w:r>
            <w:r>
              <w:rPr>
                <w:sz w:val="24"/>
              </w:rPr>
              <w:t>井场设置的</w:t>
            </w:r>
            <w:r>
              <w:rPr>
                <w:rFonts w:hint="eastAsia"/>
                <w:sz w:val="24"/>
              </w:rPr>
              <w:t>环保厕所</w:t>
            </w:r>
            <w:r>
              <w:rPr>
                <w:sz w:val="24"/>
              </w:rPr>
              <w:t>，定期清掏。</w:t>
            </w:r>
            <w:r>
              <w:rPr>
                <w:rFonts w:hint="eastAsia"/>
                <w:sz w:val="24"/>
              </w:rPr>
              <w:t>抑尘</w:t>
            </w:r>
            <w:r>
              <w:rPr>
                <w:sz w:val="24"/>
              </w:rPr>
              <w:t>过程中</w:t>
            </w:r>
            <w:r>
              <w:rPr>
                <w:rFonts w:hint="eastAsia"/>
                <w:sz w:val="24"/>
              </w:rPr>
              <w:t>用水</w:t>
            </w:r>
            <w:r>
              <w:rPr>
                <w:sz w:val="24"/>
              </w:rPr>
              <w:t>均消耗，无废水产生。</w:t>
            </w:r>
          </w:p>
          <w:p w14:paraId="31CB6CDB">
            <w:pPr>
              <w:jc w:val="center"/>
              <w:rPr>
                <w:b/>
                <w:sz w:val="24"/>
              </w:rPr>
            </w:pPr>
            <w:r>
              <w:rPr>
                <w:b/>
                <w:sz w:val="24"/>
              </w:rPr>
              <w:t>表</w:t>
            </w:r>
            <w:r>
              <w:rPr>
                <w:rFonts w:hint="eastAsia"/>
                <w:b/>
                <w:sz w:val="24"/>
              </w:rPr>
              <w:t>2</w:t>
            </w:r>
            <w:r>
              <w:rPr>
                <w:b/>
                <w:sz w:val="24"/>
              </w:rPr>
              <w:t>-</w:t>
            </w:r>
            <w:r>
              <w:rPr>
                <w:rFonts w:hint="eastAsia"/>
                <w:b/>
                <w:sz w:val="24"/>
              </w:rPr>
              <w:t xml:space="preserve">8 </w:t>
            </w:r>
            <w:r>
              <w:rPr>
                <w:b/>
                <w:sz w:val="24"/>
              </w:rPr>
              <w:t>用排水量统计表</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528"/>
              <w:gridCol w:w="846"/>
              <w:gridCol w:w="968"/>
              <w:gridCol w:w="889"/>
              <w:gridCol w:w="966"/>
              <w:gridCol w:w="966"/>
              <w:gridCol w:w="1250"/>
              <w:gridCol w:w="1825"/>
            </w:tblGrid>
            <w:tr w14:paraId="4F3B9E6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36" w:type="pct"/>
                  <w:tcMar>
                    <w:left w:w="0" w:type="dxa"/>
                    <w:right w:w="0" w:type="dxa"/>
                  </w:tcMar>
                  <w:vAlign w:val="center"/>
                </w:tcPr>
                <w:p w14:paraId="6E100B52">
                  <w:pPr>
                    <w:jc w:val="center"/>
                    <w:rPr>
                      <w:szCs w:val="21"/>
                    </w:rPr>
                  </w:pPr>
                  <w:r>
                    <w:rPr>
                      <w:szCs w:val="21"/>
                    </w:rPr>
                    <w:t>序号</w:t>
                  </w:r>
                </w:p>
              </w:tc>
              <w:tc>
                <w:tcPr>
                  <w:tcW w:w="529" w:type="pct"/>
                  <w:tcMar>
                    <w:left w:w="0" w:type="dxa"/>
                    <w:right w:w="0" w:type="dxa"/>
                  </w:tcMar>
                  <w:vAlign w:val="center"/>
                </w:tcPr>
                <w:p w14:paraId="0D59134E">
                  <w:pPr>
                    <w:jc w:val="center"/>
                    <w:rPr>
                      <w:szCs w:val="21"/>
                    </w:rPr>
                  </w:pPr>
                  <w:r>
                    <w:rPr>
                      <w:szCs w:val="21"/>
                    </w:rPr>
                    <w:t>用水项目</w:t>
                  </w:r>
                </w:p>
              </w:tc>
              <w:tc>
                <w:tcPr>
                  <w:tcW w:w="603" w:type="pct"/>
                  <w:tcMar>
                    <w:left w:w="0" w:type="dxa"/>
                    <w:right w:w="0" w:type="dxa"/>
                  </w:tcMar>
                  <w:vAlign w:val="center"/>
                </w:tcPr>
                <w:p w14:paraId="3802B623">
                  <w:pPr>
                    <w:jc w:val="center"/>
                    <w:rPr>
                      <w:szCs w:val="21"/>
                    </w:rPr>
                  </w:pPr>
                  <w:r>
                    <w:rPr>
                      <w:szCs w:val="21"/>
                    </w:rPr>
                    <w:t>用水标准</w:t>
                  </w:r>
                </w:p>
              </w:tc>
              <w:tc>
                <w:tcPr>
                  <w:tcW w:w="431" w:type="pct"/>
                  <w:tcMar>
                    <w:left w:w="0" w:type="dxa"/>
                    <w:right w:w="0" w:type="dxa"/>
                  </w:tcMar>
                  <w:vAlign w:val="center"/>
                </w:tcPr>
                <w:p w14:paraId="6B7257C5">
                  <w:pPr>
                    <w:jc w:val="center"/>
                    <w:rPr>
                      <w:szCs w:val="21"/>
                    </w:rPr>
                  </w:pPr>
                  <w:r>
                    <w:rPr>
                      <w:szCs w:val="21"/>
                    </w:rPr>
                    <w:t>数量</w:t>
                  </w:r>
                </w:p>
              </w:tc>
              <w:tc>
                <w:tcPr>
                  <w:tcW w:w="602" w:type="pct"/>
                  <w:tcMar>
                    <w:left w:w="0" w:type="dxa"/>
                    <w:right w:w="0" w:type="dxa"/>
                  </w:tcMar>
                  <w:vAlign w:val="center"/>
                </w:tcPr>
                <w:p w14:paraId="0C01DC75">
                  <w:pPr>
                    <w:jc w:val="center"/>
                    <w:rPr>
                      <w:szCs w:val="21"/>
                    </w:rPr>
                  </w:pPr>
                  <w:r>
                    <w:rPr>
                      <w:szCs w:val="21"/>
                    </w:rPr>
                    <w:t>用水量m</w:t>
                  </w:r>
                  <w:r>
                    <w:rPr>
                      <w:szCs w:val="21"/>
                      <w:vertAlign w:val="superscript"/>
                    </w:rPr>
                    <w:t>3</w:t>
                  </w:r>
                </w:p>
              </w:tc>
              <w:tc>
                <w:tcPr>
                  <w:tcW w:w="602" w:type="pct"/>
                  <w:tcBorders>
                    <w:right w:val="single" w:color="auto" w:sz="4" w:space="0"/>
                  </w:tcBorders>
                  <w:tcMar>
                    <w:left w:w="0" w:type="dxa"/>
                    <w:right w:w="0" w:type="dxa"/>
                  </w:tcMar>
                  <w:vAlign w:val="center"/>
                </w:tcPr>
                <w:p w14:paraId="26FE5A95">
                  <w:pPr>
                    <w:jc w:val="center"/>
                    <w:rPr>
                      <w:szCs w:val="21"/>
                    </w:rPr>
                  </w:pPr>
                  <w:r>
                    <w:rPr>
                      <w:rFonts w:hint="eastAsia"/>
                      <w:szCs w:val="21"/>
                    </w:rPr>
                    <w:t>损耗量</w:t>
                  </w:r>
                  <w:r>
                    <w:rPr>
                      <w:szCs w:val="21"/>
                    </w:rPr>
                    <w:t>m</w:t>
                  </w:r>
                  <w:r>
                    <w:rPr>
                      <w:szCs w:val="21"/>
                      <w:vertAlign w:val="superscript"/>
                    </w:rPr>
                    <w:t>3</w:t>
                  </w:r>
                </w:p>
              </w:tc>
              <w:tc>
                <w:tcPr>
                  <w:tcW w:w="774" w:type="pct"/>
                  <w:tcBorders>
                    <w:left w:val="single" w:color="auto" w:sz="4" w:space="0"/>
                    <w:right w:val="single" w:color="auto" w:sz="4" w:space="0"/>
                  </w:tcBorders>
                  <w:tcMar>
                    <w:left w:w="0" w:type="dxa"/>
                    <w:right w:w="0" w:type="dxa"/>
                  </w:tcMar>
                  <w:vAlign w:val="center"/>
                </w:tcPr>
                <w:p w14:paraId="48B5A309">
                  <w:pPr>
                    <w:jc w:val="center"/>
                    <w:rPr>
                      <w:szCs w:val="21"/>
                    </w:rPr>
                  </w:pPr>
                  <w:r>
                    <w:rPr>
                      <w:rFonts w:hint="eastAsia"/>
                      <w:szCs w:val="21"/>
                    </w:rPr>
                    <w:t>污水量</w:t>
                  </w:r>
                  <w:r>
                    <w:rPr>
                      <w:szCs w:val="21"/>
                    </w:rPr>
                    <w:t>m</w:t>
                  </w:r>
                  <w:r>
                    <w:rPr>
                      <w:szCs w:val="21"/>
                      <w:vertAlign w:val="superscript"/>
                    </w:rPr>
                    <w:t>3</w:t>
                  </w:r>
                </w:p>
              </w:tc>
              <w:tc>
                <w:tcPr>
                  <w:tcW w:w="1123" w:type="pct"/>
                  <w:tcBorders>
                    <w:left w:val="single" w:color="auto" w:sz="4" w:space="0"/>
                  </w:tcBorders>
                  <w:tcMar>
                    <w:left w:w="0" w:type="dxa"/>
                    <w:right w:w="0" w:type="dxa"/>
                  </w:tcMar>
                  <w:vAlign w:val="center"/>
                </w:tcPr>
                <w:p w14:paraId="058348ED">
                  <w:pPr>
                    <w:jc w:val="center"/>
                    <w:rPr>
                      <w:szCs w:val="21"/>
                    </w:rPr>
                  </w:pPr>
                  <w:r>
                    <w:rPr>
                      <w:rFonts w:hint="eastAsia"/>
                      <w:szCs w:val="21"/>
                    </w:rPr>
                    <w:t>去向</w:t>
                  </w:r>
                </w:p>
              </w:tc>
            </w:tr>
            <w:tr w14:paraId="7C12775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72" w:hRule="atLeast"/>
                <w:jc w:val="center"/>
              </w:trPr>
              <w:tc>
                <w:tcPr>
                  <w:tcW w:w="336" w:type="pct"/>
                  <w:tcMar>
                    <w:left w:w="0" w:type="dxa"/>
                    <w:right w:w="0" w:type="dxa"/>
                  </w:tcMar>
                  <w:vAlign w:val="center"/>
                </w:tcPr>
                <w:p w14:paraId="363EC3C0">
                  <w:pPr>
                    <w:jc w:val="center"/>
                    <w:rPr>
                      <w:szCs w:val="21"/>
                    </w:rPr>
                  </w:pPr>
                  <w:r>
                    <w:rPr>
                      <w:rFonts w:hint="eastAsia"/>
                      <w:szCs w:val="21"/>
                    </w:rPr>
                    <w:t>1</w:t>
                  </w:r>
                </w:p>
              </w:tc>
              <w:tc>
                <w:tcPr>
                  <w:tcW w:w="529" w:type="pct"/>
                  <w:tcMar>
                    <w:left w:w="0" w:type="dxa"/>
                    <w:right w:w="0" w:type="dxa"/>
                  </w:tcMar>
                  <w:vAlign w:val="center"/>
                </w:tcPr>
                <w:p w14:paraId="7B16E3B6">
                  <w:pPr>
                    <w:widowControl/>
                    <w:jc w:val="center"/>
                  </w:pPr>
                  <w:r>
                    <w:rPr>
                      <w:szCs w:val="21"/>
                    </w:rPr>
                    <w:t>生产用水</w:t>
                  </w:r>
                </w:p>
              </w:tc>
              <w:tc>
                <w:tcPr>
                  <w:tcW w:w="603" w:type="pct"/>
                  <w:tcMar>
                    <w:left w:w="0" w:type="dxa"/>
                    <w:right w:w="0" w:type="dxa"/>
                  </w:tcMar>
                  <w:vAlign w:val="center"/>
                </w:tcPr>
                <w:p w14:paraId="48B93CC2">
                  <w:pPr>
                    <w:widowControl/>
                    <w:jc w:val="center"/>
                    <w:rPr>
                      <w:szCs w:val="21"/>
                    </w:rPr>
                  </w:pPr>
                  <w:r>
                    <w:rPr>
                      <w:szCs w:val="21"/>
                    </w:rPr>
                    <w:t>0.</w:t>
                  </w:r>
                  <w:r>
                    <w:rPr>
                      <w:rFonts w:hint="eastAsia"/>
                      <w:szCs w:val="21"/>
                    </w:rPr>
                    <w:t>1</w:t>
                  </w:r>
                  <w:r>
                    <w:rPr>
                      <w:szCs w:val="21"/>
                    </w:rPr>
                    <w:t>m</w:t>
                  </w:r>
                  <w:r>
                    <w:rPr>
                      <w:szCs w:val="21"/>
                      <w:vertAlign w:val="superscript"/>
                    </w:rPr>
                    <w:t>3</w:t>
                  </w:r>
                  <w:r>
                    <w:rPr>
                      <w:szCs w:val="21"/>
                    </w:rPr>
                    <w:t>/m</w:t>
                  </w:r>
                </w:p>
              </w:tc>
              <w:tc>
                <w:tcPr>
                  <w:tcW w:w="431" w:type="pct"/>
                  <w:tcMar>
                    <w:left w:w="0" w:type="dxa"/>
                    <w:right w:w="0" w:type="dxa"/>
                  </w:tcMar>
                  <w:vAlign w:val="center"/>
                </w:tcPr>
                <w:p w14:paraId="5BC36372">
                  <w:pPr>
                    <w:jc w:val="center"/>
                    <w:rPr>
                      <w:szCs w:val="21"/>
                    </w:rPr>
                  </w:pPr>
                  <w:r>
                    <w:rPr>
                      <w:rFonts w:hint="eastAsia"/>
                      <w:szCs w:val="21"/>
                    </w:rPr>
                    <w:t>12200m</w:t>
                  </w:r>
                </w:p>
              </w:tc>
              <w:tc>
                <w:tcPr>
                  <w:tcW w:w="602" w:type="pct"/>
                  <w:tcMar>
                    <w:left w:w="0" w:type="dxa"/>
                    <w:right w:w="0" w:type="dxa"/>
                  </w:tcMar>
                  <w:vAlign w:val="center"/>
                </w:tcPr>
                <w:p w14:paraId="24EFD080">
                  <w:pPr>
                    <w:widowControl/>
                    <w:jc w:val="center"/>
                    <w:rPr>
                      <w:kern w:val="0"/>
                      <w:szCs w:val="21"/>
                    </w:rPr>
                  </w:pPr>
                  <w:r>
                    <w:rPr>
                      <w:rFonts w:hint="eastAsia"/>
                      <w:kern w:val="0"/>
                      <w:szCs w:val="21"/>
                    </w:rPr>
                    <w:t>1220</w:t>
                  </w:r>
                </w:p>
              </w:tc>
              <w:tc>
                <w:tcPr>
                  <w:tcW w:w="602" w:type="pct"/>
                  <w:tcBorders>
                    <w:right w:val="single" w:color="auto" w:sz="4" w:space="0"/>
                  </w:tcBorders>
                  <w:tcMar>
                    <w:left w:w="0" w:type="dxa"/>
                    <w:right w:w="0" w:type="dxa"/>
                  </w:tcMar>
                  <w:vAlign w:val="center"/>
                </w:tcPr>
                <w:p w14:paraId="1B0037AA">
                  <w:pPr>
                    <w:widowControl/>
                    <w:jc w:val="center"/>
                  </w:pPr>
                  <w:r>
                    <w:rPr>
                      <w:rFonts w:hint="eastAsia"/>
                    </w:rPr>
                    <w:t>244</w:t>
                  </w:r>
                </w:p>
              </w:tc>
              <w:tc>
                <w:tcPr>
                  <w:tcW w:w="774" w:type="pct"/>
                  <w:tcBorders>
                    <w:left w:val="single" w:color="auto" w:sz="4" w:space="0"/>
                    <w:right w:val="single" w:color="auto" w:sz="4" w:space="0"/>
                  </w:tcBorders>
                  <w:tcMar>
                    <w:left w:w="0" w:type="dxa"/>
                    <w:right w:w="0" w:type="dxa"/>
                  </w:tcMar>
                  <w:vAlign w:val="center"/>
                </w:tcPr>
                <w:p w14:paraId="020AFAD4">
                  <w:pPr>
                    <w:jc w:val="center"/>
                  </w:pPr>
                  <w:r>
                    <w:rPr>
                      <w:rFonts w:hint="eastAsia"/>
                    </w:rPr>
                    <w:t>976（进入废弃泥浆、钻井岩屑）</w:t>
                  </w:r>
                </w:p>
              </w:tc>
              <w:tc>
                <w:tcPr>
                  <w:tcW w:w="1123" w:type="pct"/>
                  <w:tcBorders>
                    <w:left w:val="single" w:color="auto" w:sz="4" w:space="0"/>
                  </w:tcBorders>
                  <w:tcMar>
                    <w:left w:w="0" w:type="dxa"/>
                    <w:right w:w="0" w:type="dxa"/>
                  </w:tcMar>
                  <w:vAlign w:val="center"/>
                </w:tcPr>
                <w:p w14:paraId="0B5C1A31">
                  <w:pPr>
                    <w:jc w:val="center"/>
                    <w:rPr>
                      <w:szCs w:val="21"/>
                    </w:rPr>
                  </w:pPr>
                  <w:r>
                    <w:rPr>
                      <w:rFonts w:hint="eastAsia"/>
                      <w:szCs w:val="21"/>
                    </w:rPr>
                    <w:t>拉运至内蒙古众宁环保科技有限公司油气田废弃物集中处理厂处理</w:t>
                  </w:r>
                </w:p>
              </w:tc>
            </w:tr>
            <w:tr w14:paraId="171B66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336" w:type="pct"/>
                  <w:tcMar>
                    <w:left w:w="0" w:type="dxa"/>
                    <w:right w:w="0" w:type="dxa"/>
                  </w:tcMar>
                  <w:vAlign w:val="center"/>
                </w:tcPr>
                <w:p w14:paraId="3F4918A9">
                  <w:pPr>
                    <w:jc w:val="center"/>
                    <w:rPr>
                      <w:szCs w:val="21"/>
                    </w:rPr>
                  </w:pPr>
                  <w:r>
                    <w:rPr>
                      <w:rFonts w:hint="eastAsia"/>
                      <w:szCs w:val="21"/>
                    </w:rPr>
                    <w:t>2</w:t>
                  </w:r>
                </w:p>
              </w:tc>
              <w:tc>
                <w:tcPr>
                  <w:tcW w:w="529" w:type="pct"/>
                  <w:tcMar>
                    <w:left w:w="0" w:type="dxa"/>
                    <w:right w:w="0" w:type="dxa"/>
                  </w:tcMar>
                  <w:vAlign w:val="center"/>
                </w:tcPr>
                <w:p w14:paraId="59D12ED8">
                  <w:pPr>
                    <w:widowControl/>
                    <w:jc w:val="center"/>
                    <w:rPr>
                      <w:szCs w:val="21"/>
                    </w:rPr>
                  </w:pPr>
                  <w:r>
                    <w:rPr>
                      <w:szCs w:val="21"/>
                    </w:rPr>
                    <w:t>抑尘</w:t>
                  </w:r>
                </w:p>
              </w:tc>
              <w:tc>
                <w:tcPr>
                  <w:tcW w:w="603" w:type="pct"/>
                  <w:tcMar>
                    <w:left w:w="0" w:type="dxa"/>
                    <w:right w:w="0" w:type="dxa"/>
                  </w:tcMar>
                  <w:vAlign w:val="center"/>
                </w:tcPr>
                <w:p w14:paraId="42BB43E5">
                  <w:pPr>
                    <w:widowControl/>
                    <w:jc w:val="center"/>
                    <w:rPr>
                      <w:szCs w:val="21"/>
                    </w:rPr>
                  </w:pPr>
                  <w:r>
                    <w:rPr>
                      <w:szCs w:val="21"/>
                    </w:rPr>
                    <w:t>2m</w:t>
                  </w:r>
                  <w:r>
                    <w:rPr>
                      <w:szCs w:val="21"/>
                      <w:vertAlign w:val="superscript"/>
                    </w:rPr>
                    <w:t>3</w:t>
                  </w:r>
                  <w:r>
                    <w:rPr>
                      <w:szCs w:val="21"/>
                    </w:rPr>
                    <w:t>/</w:t>
                  </w:r>
                  <w:r>
                    <w:rPr>
                      <w:rFonts w:hint="eastAsia"/>
                      <w:szCs w:val="21"/>
                    </w:rPr>
                    <w:t>d</w:t>
                  </w:r>
                </w:p>
              </w:tc>
              <w:tc>
                <w:tcPr>
                  <w:tcW w:w="431" w:type="pct"/>
                  <w:tcMar>
                    <w:left w:w="0" w:type="dxa"/>
                    <w:right w:w="0" w:type="dxa"/>
                  </w:tcMar>
                  <w:vAlign w:val="center"/>
                </w:tcPr>
                <w:p w14:paraId="26F5729A">
                  <w:pPr>
                    <w:jc w:val="center"/>
                    <w:rPr>
                      <w:szCs w:val="21"/>
                    </w:rPr>
                  </w:pPr>
                  <w:r>
                    <w:rPr>
                      <w:rFonts w:hint="eastAsia"/>
                      <w:szCs w:val="21"/>
                    </w:rPr>
                    <w:t>180</w:t>
                  </w:r>
                  <w:r>
                    <w:rPr>
                      <w:szCs w:val="21"/>
                    </w:rPr>
                    <w:t>天</w:t>
                  </w:r>
                </w:p>
              </w:tc>
              <w:tc>
                <w:tcPr>
                  <w:tcW w:w="602" w:type="pct"/>
                  <w:tcMar>
                    <w:left w:w="0" w:type="dxa"/>
                    <w:right w:w="0" w:type="dxa"/>
                  </w:tcMar>
                  <w:vAlign w:val="center"/>
                </w:tcPr>
                <w:p w14:paraId="39181F6D">
                  <w:pPr>
                    <w:widowControl/>
                    <w:jc w:val="center"/>
                  </w:pPr>
                  <w:r>
                    <w:rPr>
                      <w:rFonts w:hint="eastAsia"/>
                    </w:rPr>
                    <w:t>360</w:t>
                  </w:r>
                </w:p>
              </w:tc>
              <w:tc>
                <w:tcPr>
                  <w:tcW w:w="602" w:type="pct"/>
                  <w:tcBorders>
                    <w:right w:val="single" w:color="auto" w:sz="4" w:space="0"/>
                  </w:tcBorders>
                  <w:tcMar>
                    <w:left w:w="0" w:type="dxa"/>
                    <w:right w:w="0" w:type="dxa"/>
                  </w:tcMar>
                  <w:vAlign w:val="center"/>
                </w:tcPr>
                <w:p w14:paraId="2D40BB97">
                  <w:pPr>
                    <w:widowControl/>
                    <w:jc w:val="center"/>
                  </w:pPr>
                  <w:r>
                    <w:rPr>
                      <w:rFonts w:hint="eastAsia"/>
                    </w:rPr>
                    <w:t>360</w:t>
                  </w:r>
                </w:p>
              </w:tc>
              <w:tc>
                <w:tcPr>
                  <w:tcW w:w="774" w:type="pct"/>
                  <w:tcBorders>
                    <w:left w:val="single" w:color="auto" w:sz="4" w:space="0"/>
                    <w:right w:val="single" w:color="auto" w:sz="4" w:space="0"/>
                  </w:tcBorders>
                  <w:tcMar>
                    <w:left w:w="0" w:type="dxa"/>
                    <w:right w:w="0" w:type="dxa"/>
                  </w:tcMar>
                  <w:vAlign w:val="center"/>
                </w:tcPr>
                <w:p w14:paraId="459D7B2B">
                  <w:pPr>
                    <w:widowControl/>
                    <w:jc w:val="center"/>
                  </w:pPr>
                  <w:r>
                    <w:rPr>
                      <w:rFonts w:hint="eastAsia"/>
                    </w:rPr>
                    <w:t>0</w:t>
                  </w:r>
                </w:p>
              </w:tc>
              <w:tc>
                <w:tcPr>
                  <w:tcW w:w="1123" w:type="pct"/>
                  <w:tcBorders>
                    <w:left w:val="single" w:color="auto" w:sz="4" w:space="0"/>
                  </w:tcBorders>
                  <w:tcMar>
                    <w:left w:w="0" w:type="dxa"/>
                    <w:right w:w="0" w:type="dxa"/>
                  </w:tcMar>
                  <w:vAlign w:val="center"/>
                </w:tcPr>
                <w:p w14:paraId="7C84CF5D">
                  <w:pPr>
                    <w:jc w:val="center"/>
                    <w:rPr>
                      <w:szCs w:val="21"/>
                    </w:rPr>
                  </w:pPr>
                  <w:r>
                    <w:rPr>
                      <w:rFonts w:hint="eastAsia"/>
                      <w:szCs w:val="21"/>
                    </w:rPr>
                    <w:t>-</w:t>
                  </w:r>
                  <w:r>
                    <w:rPr>
                      <w:szCs w:val="21"/>
                    </w:rPr>
                    <w:t>-</w:t>
                  </w:r>
                </w:p>
              </w:tc>
            </w:tr>
            <w:tr w14:paraId="3DAED21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336" w:type="pct"/>
                  <w:tcMar>
                    <w:left w:w="0" w:type="dxa"/>
                    <w:right w:w="0" w:type="dxa"/>
                  </w:tcMar>
                  <w:vAlign w:val="center"/>
                </w:tcPr>
                <w:p w14:paraId="5553E9CD">
                  <w:pPr>
                    <w:jc w:val="center"/>
                    <w:rPr>
                      <w:szCs w:val="21"/>
                    </w:rPr>
                  </w:pPr>
                  <w:r>
                    <w:rPr>
                      <w:rFonts w:hint="eastAsia"/>
                      <w:szCs w:val="21"/>
                    </w:rPr>
                    <w:t>3</w:t>
                  </w:r>
                </w:p>
              </w:tc>
              <w:tc>
                <w:tcPr>
                  <w:tcW w:w="529" w:type="pct"/>
                  <w:tcMar>
                    <w:left w:w="0" w:type="dxa"/>
                    <w:right w:w="0" w:type="dxa"/>
                  </w:tcMar>
                  <w:vAlign w:val="center"/>
                </w:tcPr>
                <w:p w14:paraId="2B501768">
                  <w:pPr>
                    <w:widowControl/>
                    <w:jc w:val="center"/>
                  </w:pPr>
                  <w:r>
                    <w:t>生活用水</w:t>
                  </w:r>
                </w:p>
              </w:tc>
              <w:tc>
                <w:tcPr>
                  <w:tcW w:w="603" w:type="pct"/>
                  <w:tcMar>
                    <w:left w:w="0" w:type="dxa"/>
                    <w:right w:w="0" w:type="dxa"/>
                  </w:tcMar>
                  <w:vAlign w:val="center"/>
                </w:tcPr>
                <w:p w14:paraId="4D18CEE8">
                  <w:pPr>
                    <w:widowControl/>
                    <w:jc w:val="center"/>
                  </w:pPr>
                  <w:r>
                    <w:rPr>
                      <w:rFonts w:hint="eastAsia"/>
                    </w:rPr>
                    <w:t>6</w:t>
                  </w:r>
                  <w:r>
                    <w:t>0L/d•人</w:t>
                  </w:r>
                </w:p>
              </w:tc>
              <w:tc>
                <w:tcPr>
                  <w:tcW w:w="431" w:type="pct"/>
                  <w:tcMar>
                    <w:left w:w="0" w:type="dxa"/>
                    <w:right w:w="0" w:type="dxa"/>
                  </w:tcMar>
                  <w:vAlign w:val="center"/>
                </w:tcPr>
                <w:p w14:paraId="7A2D5D2A">
                  <w:pPr>
                    <w:jc w:val="center"/>
                  </w:pPr>
                  <w:r>
                    <w:t>40人</w:t>
                  </w:r>
                  <w:r>
                    <w:rPr>
                      <w:szCs w:val="21"/>
                    </w:rPr>
                    <w:t>，</w:t>
                  </w:r>
                  <w:r>
                    <w:rPr>
                      <w:rFonts w:hint="eastAsia"/>
                      <w:szCs w:val="21"/>
                    </w:rPr>
                    <w:t>180</w:t>
                  </w:r>
                  <w:r>
                    <w:rPr>
                      <w:szCs w:val="21"/>
                    </w:rPr>
                    <w:t>天</w:t>
                  </w:r>
                </w:p>
              </w:tc>
              <w:tc>
                <w:tcPr>
                  <w:tcW w:w="602" w:type="pct"/>
                  <w:tcMar>
                    <w:left w:w="0" w:type="dxa"/>
                    <w:right w:w="0" w:type="dxa"/>
                  </w:tcMar>
                  <w:vAlign w:val="center"/>
                </w:tcPr>
                <w:p w14:paraId="1A476AD2">
                  <w:pPr>
                    <w:widowControl/>
                    <w:jc w:val="center"/>
                  </w:pPr>
                  <w:r>
                    <w:rPr>
                      <w:rFonts w:hint="eastAsia"/>
                    </w:rPr>
                    <w:t>432</w:t>
                  </w:r>
                </w:p>
              </w:tc>
              <w:tc>
                <w:tcPr>
                  <w:tcW w:w="602" w:type="pct"/>
                  <w:tcBorders>
                    <w:right w:val="single" w:color="auto" w:sz="4" w:space="0"/>
                  </w:tcBorders>
                  <w:tcMar>
                    <w:left w:w="0" w:type="dxa"/>
                    <w:right w:w="0" w:type="dxa"/>
                  </w:tcMar>
                  <w:vAlign w:val="center"/>
                </w:tcPr>
                <w:p w14:paraId="6359D842">
                  <w:pPr>
                    <w:widowControl/>
                    <w:jc w:val="center"/>
                  </w:pPr>
                  <w:r>
                    <w:rPr>
                      <w:rFonts w:hint="eastAsia"/>
                    </w:rPr>
                    <w:t>86.4</w:t>
                  </w:r>
                </w:p>
              </w:tc>
              <w:tc>
                <w:tcPr>
                  <w:tcW w:w="774" w:type="pct"/>
                  <w:tcBorders>
                    <w:left w:val="single" w:color="auto" w:sz="4" w:space="0"/>
                    <w:right w:val="single" w:color="auto" w:sz="4" w:space="0"/>
                  </w:tcBorders>
                  <w:tcMar>
                    <w:left w:w="0" w:type="dxa"/>
                    <w:right w:w="0" w:type="dxa"/>
                  </w:tcMar>
                  <w:vAlign w:val="center"/>
                </w:tcPr>
                <w:p w14:paraId="0E78DD51">
                  <w:pPr>
                    <w:jc w:val="center"/>
                  </w:pPr>
                  <w:r>
                    <w:rPr>
                      <w:rFonts w:hint="eastAsia"/>
                    </w:rPr>
                    <w:t>345.6</w:t>
                  </w:r>
                </w:p>
              </w:tc>
              <w:tc>
                <w:tcPr>
                  <w:tcW w:w="1123" w:type="pct"/>
                  <w:tcBorders>
                    <w:left w:val="single" w:color="auto" w:sz="4" w:space="0"/>
                  </w:tcBorders>
                  <w:tcMar>
                    <w:left w:w="0" w:type="dxa"/>
                    <w:right w:w="0" w:type="dxa"/>
                  </w:tcMar>
                  <w:vAlign w:val="center"/>
                </w:tcPr>
                <w:p w14:paraId="7FF6F215">
                  <w:pPr>
                    <w:jc w:val="center"/>
                    <w:rPr>
                      <w:szCs w:val="21"/>
                    </w:rPr>
                  </w:pPr>
                  <w:r>
                    <w:rPr>
                      <w:rFonts w:hint="eastAsia"/>
                      <w:szCs w:val="21"/>
                    </w:rPr>
                    <w:t>排入环保厕所，</w:t>
                  </w:r>
                  <w:r>
                    <w:rPr>
                      <w:szCs w:val="21"/>
                    </w:rPr>
                    <w:t>定期清掏</w:t>
                  </w:r>
                </w:p>
              </w:tc>
            </w:tr>
            <w:tr w14:paraId="64B0B9C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899" w:type="pct"/>
                  <w:gridSpan w:val="4"/>
                  <w:tcMar>
                    <w:left w:w="0" w:type="dxa"/>
                    <w:right w:w="0" w:type="dxa"/>
                  </w:tcMar>
                  <w:vAlign w:val="center"/>
                </w:tcPr>
                <w:p w14:paraId="5B741277">
                  <w:pPr>
                    <w:jc w:val="center"/>
                    <w:rPr>
                      <w:szCs w:val="21"/>
                    </w:rPr>
                  </w:pPr>
                  <w:r>
                    <w:rPr>
                      <w:rFonts w:hint="eastAsia"/>
                      <w:szCs w:val="21"/>
                    </w:rPr>
                    <w:t>合计</w:t>
                  </w:r>
                </w:p>
              </w:tc>
              <w:tc>
                <w:tcPr>
                  <w:tcW w:w="602" w:type="pct"/>
                  <w:tcMar>
                    <w:left w:w="0" w:type="dxa"/>
                    <w:right w:w="0" w:type="dxa"/>
                  </w:tcMar>
                  <w:vAlign w:val="center"/>
                </w:tcPr>
                <w:p w14:paraId="5B24451B">
                  <w:pPr>
                    <w:widowControl/>
                    <w:jc w:val="center"/>
                  </w:pPr>
                  <w:r>
                    <w:rPr>
                      <w:rFonts w:hint="eastAsia"/>
                    </w:rPr>
                    <w:t>2012</w:t>
                  </w:r>
                </w:p>
              </w:tc>
              <w:tc>
                <w:tcPr>
                  <w:tcW w:w="602" w:type="pct"/>
                  <w:tcBorders>
                    <w:right w:val="single" w:color="auto" w:sz="4" w:space="0"/>
                  </w:tcBorders>
                  <w:tcMar>
                    <w:left w:w="0" w:type="dxa"/>
                    <w:right w:w="0" w:type="dxa"/>
                  </w:tcMar>
                  <w:vAlign w:val="center"/>
                </w:tcPr>
                <w:p w14:paraId="11D5B24A">
                  <w:pPr>
                    <w:widowControl/>
                    <w:jc w:val="center"/>
                  </w:pPr>
                  <w:r>
                    <w:rPr>
                      <w:rFonts w:hint="eastAsia"/>
                    </w:rPr>
                    <w:t>690.4</w:t>
                  </w:r>
                </w:p>
              </w:tc>
              <w:tc>
                <w:tcPr>
                  <w:tcW w:w="774" w:type="pct"/>
                  <w:tcBorders>
                    <w:left w:val="single" w:color="auto" w:sz="4" w:space="0"/>
                    <w:right w:val="single" w:color="auto" w:sz="4" w:space="0"/>
                  </w:tcBorders>
                  <w:tcMar>
                    <w:left w:w="0" w:type="dxa"/>
                    <w:right w:w="0" w:type="dxa"/>
                  </w:tcMar>
                  <w:vAlign w:val="center"/>
                </w:tcPr>
                <w:p w14:paraId="5D338B35">
                  <w:pPr>
                    <w:widowControl/>
                    <w:jc w:val="center"/>
                  </w:pPr>
                  <w:r>
                    <w:rPr>
                      <w:rFonts w:hint="eastAsia"/>
                    </w:rPr>
                    <w:t>1321.6</w:t>
                  </w:r>
                </w:p>
              </w:tc>
              <w:tc>
                <w:tcPr>
                  <w:tcW w:w="1123" w:type="pct"/>
                  <w:tcBorders>
                    <w:left w:val="single" w:color="auto" w:sz="4" w:space="0"/>
                  </w:tcBorders>
                  <w:tcMar>
                    <w:left w:w="0" w:type="dxa"/>
                    <w:right w:w="0" w:type="dxa"/>
                  </w:tcMar>
                  <w:vAlign w:val="center"/>
                </w:tcPr>
                <w:p w14:paraId="3F5FE691">
                  <w:pPr>
                    <w:jc w:val="center"/>
                    <w:rPr>
                      <w:kern w:val="0"/>
                      <w:szCs w:val="21"/>
                    </w:rPr>
                  </w:pPr>
                  <w:r>
                    <w:rPr>
                      <w:rFonts w:hint="eastAsia"/>
                      <w:kern w:val="0"/>
                      <w:szCs w:val="21"/>
                    </w:rPr>
                    <w:t>-</w:t>
                  </w:r>
                  <w:r>
                    <w:rPr>
                      <w:kern w:val="0"/>
                      <w:szCs w:val="21"/>
                    </w:rPr>
                    <w:t>-</w:t>
                  </w:r>
                </w:p>
              </w:tc>
            </w:tr>
          </w:tbl>
          <w:p w14:paraId="1D304373">
            <w:pPr>
              <w:spacing w:before="120" w:beforeLines="50" w:line="360" w:lineRule="auto"/>
              <w:jc w:val="center"/>
              <w:rPr>
                <w:b/>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1879600</wp:posOffset>
                      </wp:positionH>
                      <wp:positionV relativeFrom="paragraph">
                        <wp:posOffset>58420</wp:posOffset>
                      </wp:positionV>
                      <wp:extent cx="360045" cy="252095"/>
                      <wp:effectExtent l="3175" t="1270" r="8255" b="3810"/>
                      <wp:wrapNone/>
                      <wp:docPr id="2411" name="Text Box 1406"/>
                      <wp:cNvGraphicFramePr/>
                      <a:graphic xmlns:a="http://schemas.openxmlformats.org/drawingml/2006/main">
                        <a:graphicData uri="http://schemas.microsoft.com/office/word/2010/wordprocessingShape">
                          <wps:wsp>
                            <wps:cNvSpPr txBox="1">
                              <a:spLocks noChangeArrowheads="1"/>
                            </wps:cNvSpPr>
                            <wps:spPr bwMode="auto">
                              <a:xfrm>
                                <a:off x="0" y="0"/>
                                <a:ext cx="36004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7D3838F1">
                                  <w:pPr>
                                    <w:pStyle w:val="25"/>
                                    <w:jc w:val="center"/>
                                    <w:rPr>
                                      <w:rFonts w:ascii="Times New Roman" w:hAnsi="Times New Roman"/>
                                    </w:rPr>
                                  </w:pPr>
                                  <w:r>
                                    <w:rPr>
                                      <w:rFonts w:hint="eastAsia" w:ascii="Times New Roman" w:hAnsi="Times New Roman"/>
                                      <w:sz w:val="21"/>
                                      <w:szCs w:val="21"/>
                                    </w:rPr>
                                    <w:t>80</w:t>
                                  </w:r>
                                </w:p>
                              </w:txbxContent>
                            </wps:txbx>
                            <wps:bodyPr rot="0" vert="horz" wrap="square" lIns="0" tIns="45720" rIns="0" bIns="45720" anchor="t" anchorCtr="0" upright="1">
                              <a:noAutofit/>
                            </wps:bodyPr>
                          </wps:wsp>
                        </a:graphicData>
                      </a:graphic>
                    </wp:anchor>
                  </w:drawing>
                </mc:Choice>
                <mc:Fallback>
                  <w:pict>
                    <v:shape id="Text Box 1406" o:spid="_x0000_s1026" o:spt="202" type="#_x0000_t202" style="position:absolute;left:0pt;margin-left:148pt;margin-top:4.6pt;height:19.85pt;width:28.35pt;z-index:251661312;mso-width-relative:page;mso-height-relative:page;" fillcolor="#FFFFFF" filled="t" stroked="f" coordsize="21600,21600" o:gfxdata="UEsDBAoAAAAAAIdO4kAAAAAAAAAAAAAAAAAEAAAAZHJzL1BLAwQUAAAACACHTuJASEwN8tgAAAAI&#10;AQAADwAAAGRycy9kb3ducmV2LnhtbE2PP0/DMBTEdyS+g/WQ2KjTFNomjdMBCQnBAoWB0bFf7LTx&#10;cxQ7/fPtMRMdT3e6+121PbueHXEMnScB81kGDEl53ZER8P318rAGFqIkLXtPKOCCAbb17U0lS+1P&#10;9InHXTQslVAopQAb41ByHpRFJ8PMD0jJa/3oZExyNFyP8pTKXc/zLFtyJztKC1YO+GxRHXaTE6AO&#10;bWv2q9fF1Pyoyzu+mWmwH0Lc382zDbCI5/gfhj/8hA51Ymr8RDqwXkBeLNOXKKDIgSV/8ZSvgDUC&#10;HtcF8Lri1wfqX1BLAwQUAAAACACHTuJAj3QJemMCAAANBQAADgAAAGRycy9lMm9Eb2MueG1srVRN&#10;b9QwEL0j8R8s32mSZbdA1GxVWhUhlQ+pRZy9jpNYOB7j8W5Sfj1je3dZlUslyCFyxvabee/N5OJy&#10;Hg3bKY8abMOrs5IzZSW02vYN//Zw++otZxiEbYUBqxr+qJBfrl++uJhcrRYwgGmVZwRisZ5cw4cQ&#10;XF0UKAc1CjwDpyxtduBHEejT90XrxUTooykWZXleTOBb50EqRIre5E2+R/TPAYSu01LdgNyOyoaM&#10;6pURgSjhoB3ydaq265QMX7oOVWCm4cQ0pDclofUmvov1hah7L9yg5b4E8ZwSnnAahbaU9Ah1I4Jg&#10;W6//ghq19IDQhTMJY5GJJEWIRVU+0eZ+EE4lLiQ1uqPo+P9g5efdV8902/DFsqo4s2Ikzx/UHNh7&#10;mFm1LM+jRpPDmo7eOzocZtqhzkl80d2B/IHMwvUgbK+uvIdpUKKlGqt4szi5mnEwgmymT9BSJrEN&#10;kIDmzo9RQJKEETr583j0J1YjKfj6vCyXK84kbS1Wi/LdKmUQ9eGy8xg+KBhZXDTck/0JXOzuMMRi&#10;RH04sjervdXGMA/huw5D0vvArEe6k04hc0B0ykzY95tr49lOUEfdpienMG4QOZq6ilJhPprS9ngK&#10;VZXx+Vc8SnEs0mjLSP+Gr5YZm6EURpGv2YXUmYlsrMPY+LYQyWdZckSlidlrFY2LXmXXwryZ942w&#10;gfaRLCTRkk/0L6HFAP4XZxNNUsPx51Z4xZn5aJNuLKTFcvVmQb76Q3RzGhVWEkTDAycecXkd8phu&#10;ndf9QBlyw1m4opbpdLIzlpir2TcaTUmWO090HMPT73Tqz19s/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ITA3y2AAAAAgBAAAPAAAAAAAAAAEAIAAAACIAAABkcnMvZG93bnJldi54bWxQSwECFAAU&#10;AAAACACHTuJAj3QJemMCAAANBQAADgAAAAAAAAABACAAAAAnAQAAZHJzL2Uyb0RvYy54bWxQSwUG&#10;AAAAAAYABgBZAQAA/AUAAAAA&#10;">
                      <v:fill type="gradient" on="t" color2="#FFFFFF" opacity="0f" o:opacity2="0f" focus="100%" focussize="0,0" rotate="t"/>
                      <v:stroke on="f"/>
                      <v:imagedata o:title=""/>
                      <o:lock v:ext="edit" aspectratio="f"/>
                      <v:textbox inset="0mm,1.27mm,0mm,1.27mm">
                        <w:txbxContent>
                          <w:p w14:paraId="7D3838F1">
                            <w:pPr>
                              <w:pStyle w:val="25"/>
                              <w:jc w:val="center"/>
                              <w:rPr>
                                <w:rFonts w:ascii="Times New Roman" w:hAnsi="Times New Roman"/>
                              </w:rPr>
                            </w:pPr>
                            <w:r>
                              <w:rPr>
                                <w:rFonts w:hint="eastAsia" w:ascii="Times New Roman" w:hAnsi="Times New Roman"/>
                                <w:sz w:val="21"/>
                                <w:szCs w:val="21"/>
                              </w:rPr>
                              <w:t>80</w:t>
                            </w:r>
                          </w:p>
                        </w:txbxContent>
                      </v:textbox>
                    </v:shape>
                  </w:pict>
                </mc:Fallback>
              </mc:AlternateContent>
            </w:r>
            <w:r>
              <w:rPr>
                <w:sz w:val="24"/>
              </w:rPr>
              <mc:AlternateContent>
                <mc:Choice Requires="wpc">
                  <w:drawing>
                    <wp:inline distT="0" distB="0" distL="0" distR="0">
                      <wp:extent cx="4911725" cy="3049270"/>
                      <wp:effectExtent l="0" t="38100" r="0" b="0"/>
                      <wp:docPr id="2099" name="画布 13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54" name="AutoShape 1388"/>
                              <wps:cNvCnPr/>
                              <wps:spPr bwMode="auto">
                                <a:xfrm>
                                  <a:off x="82550" y="1360616"/>
                                  <a:ext cx="504190" cy="635"/>
                                </a:xfrm>
                                <a:prstGeom prst="straightConnector1">
                                  <a:avLst/>
                                </a:prstGeom>
                                <a:noFill/>
                                <a:ln w="15875">
                                  <a:solidFill>
                                    <a:srgbClr val="000000"/>
                                  </a:solidFill>
                                  <a:round/>
                                  <a:tailEnd type="triangle" w="med" len="med"/>
                                </a:ln>
                                <a:effectLst/>
                              </wps:spPr>
                              <wps:bodyPr/>
                            </wps:wsp>
                            <wps:wsp>
                              <wps:cNvPr id="1955" name="Text Box 1391"/>
                              <wps:cNvSpPr txBox="1">
                                <a:spLocks noChangeArrowheads="1"/>
                              </wps:cNvSpPr>
                              <wps:spPr bwMode="auto">
                                <a:xfrm>
                                  <a:off x="22860" y="915481"/>
                                  <a:ext cx="539750" cy="440690"/>
                                </a:xfrm>
                                <a:prstGeom prst="rect">
                                  <a:avLst/>
                                </a:prstGeom>
                                <a:noFill/>
                                <a:ln>
                                  <a:noFill/>
                                </a:ln>
                                <a:effectLst/>
                              </wps:spPr>
                              <wps:txbx>
                                <w:txbxContent>
                                  <w:p w14:paraId="7C3536C0">
                                    <w:pPr>
                                      <w:jc w:val="center"/>
                                    </w:pPr>
                                    <w:r>
                                      <w:rPr>
                                        <w:rFonts w:hint="eastAsia"/>
                                      </w:rPr>
                                      <w:t>市政中水1580</w:t>
                                    </w:r>
                                  </w:p>
                                </w:txbxContent>
                              </wps:txbx>
                              <wps:bodyPr rot="0" vert="horz" wrap="square" lIns="0" tIns="45720" rIns="0" bIns="45720" anchor="t" anchorCtr="0" upright="1">
                                <a:noAutofit/>
                              </wps:bodyPr>
                            </wps:wsp>
                            <wps:wsp>
                              <wps:cNvPr id="1956" name="Rectangle 1393"/>
                              <wps:cNvSpPr>
                                <a:spLocks noChangeArrowheads="1"/>
                              </wps:cNvSpPr>
                              <wps:spPr bwMode="auto">
                                <a:xfrm>
                                  <a:off x="3475990" y="540196"/>
                                  <a:ext cx="1229360" cy="1141095"/>
                                </a:xfrm>
                                <a:prstGeom prst="rect">
                                  <a:avLst/>
                                </a:prstGeom>
                                <a:noFill/>
                                <a:ln w="15875">
                                  <a:solidFill>
                                    <a:srgbClr val="000000"/>
                                  </a:solidFill>
                                  <a:miter lim="800000"/>
                                </a:ln>
                                <a:effectLst/>
                              </wps:spPr>
                              <wps:txbx>
                                <w:txbxContent>
                                  <w:p w14:paraId="4E03978E">
                                    <w:pPr>
                                      <w:jc w:val="center"/>
                                    </w:pPr>
                                    <w:r>
                                      <w:rPr>
                                        <w:rFonts w:hint="eastAsia"/>
                                      </w:rPr>
                                      <w:t>进入废弃泥浆、钻井岩屑中，由罐车拉运至内蒙古众宁环保科技有限公司油气田废弃物集中处理厂处理</w:t>
                                    </w:r>
                                  </w:p>
                                </w:txbxContent>
                              </wps:txbx>
                              <wps:bodyPr rot="0" vert="horz" wrap="square" lIns="54000" tIns="45720" rIns="54000" bIns="45720" anchor="t" anchorCtr="0" upright="1">
                                <a:noAutofit/>
                              </wps:bodyPr>
                            </wps:wsp>
                            <wps:wsp>
                              <wps:cNvPr id="1957" name="AutoShape 1390"/>
                              <wps:cNvCnPr/>
                              <wps:spPr bwMode="auto">
                                <a:xfrm>
                                  <a:off x="596265" y="432246"/>
                                  <a:ext cx="431800" cy="1270"/>
                                </a:xfrm>
                                <a:prstGeom prst="straightConnector1">
                                  <a:avLst/>
                                </a:prstGeom>
                                <a:noFill/>
                                <a:ln w="15875">
                                  <a:solidFill>
                                    <a:srgbClr val="000000"/>
                                  </a:solidFill>
                                  <a:round/>
                                  <a:tailEnd type="triangle" w="med" len="med"/>
                                </a:ln>
                                <a:effectLst/>
                              </wps:spPr>
                              <wps:bodyPr/>
                            </wps:wsp>
                            <wps:wsp>
                              <wps:cNvPr id="1958" name="Rectangle 1405"/>
                              <wps:cNvSpPr>
                                <a:spLocks noChangeArrowheads="1"/>
                              </wps:cNvSpPr>
                              <wps:spPr bwMode="auto">
                                <a:xfrm>
                                  <a:off x="1028065" y="224601"/>
                                  <a:ext cx="828040" cy="431800"/>
                                </a:xfrm>
                                <a:prstGeom prst="rect">
                                  <a:avLst/>
                                </a:prstGeom>
                                <a:noFill/>
                                <a:ln w="15875">
                                  <a:solidFill>
                                    <a:srgbClr val="000000"/>
                                  </a:solidFill>
                                  <a:miter lim="800000"/>
                                </a:ln>
                                <a:effectLst/>
                              </wps:spPr>
                              <wps:txbx>
                                <w:txbxContent>
                                  <w:p w14:paraId="2E03D3E1">
                                    <w:pPr>
                                      <w:pStyle w:val="25"/>
                                      <w:jc w:val="center"/>
                                      <w:rPr>
                                        <w:rFonts w:ascii="Times New Roman" w:hAnsi="Times New Roman"/>
                                      </w:rPr>
                                    </w:pPr>
                                    <w:r>
                                      <w:rPr>
                                        <w:rFonts w:hint="eastAsia" w:ascii="Times New Roman" w:hAnsi="Times New Roman"/>
                                        <w:sz w:val="21"/>
                                        <w:szCs w:val="21"/>
                                      </w:rPr>
                                      <w:t>1号井钻井泥浆</w:t>
                                    </w:r>
                                    <w:r>
                                      <w:rPr>
                                        <w:rFonts w:ascii="Times New Roman" w:hAnsi="Times New Roman"/>
                                        <w:sz w:val="21"/>
                                        <w:szCs w:val="21"/>
                                      </w:rPr>
                                      <w:t>循环系统</w:t>
                                    </w:r>
                                  </w:p>
                                </w:txbxContent>
                              </wps:txbx>
                              <wps:bodyPr rot="0" vert="horz" wrap="square" lIns="0" tIns="45720" rIns="0" bIns="45720" anchor="t" anchorCtr="0" upright="1">
                                <a:noAutofit/>
                              </wps:bodyPr>
                            </wps:wsp>
                            <wps:wsp>
                              <wps:cNvPr id="1959" name="Text Box 1406"/>
                              <wps:cNvSpPr txBox="1">
                                <a:spLocks noChangeArrowheads="1"/>
                              </wps:cNvSpPr>
                              <wps:spPr bwMode="auto">
                                <a:xfrm>
                                  <a:off x="2230120" y="196661"/>
                                  <a:ext cx="36004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050FACD2">
                                    <w:pPr>
                                      <w:pStyle w:val="25"/>
                                      <w:jc w:val="center"/>
                                      <w:rPr>
                                        <w:rFonts w:ascii="Times New Roman" w:hAnsi="Times New Roman"/>
                                        <w:sz w:val="21"/>
                                        <w:szCs w:val="21"/>
                                      </w:rPr>
                                    </w:pPr>
                                    <w:r>
                                      <w:rPr>
                                        <w:rFonts w:hint="eastAsia" w:ascii="Times New Roman" w:hAnsi="Times New Roman"/>
                                        <w:sz w:val="21"/>
                                        <w:szCs w:val="21"/>
                                      </w:rPr>
                                      <w:t>320</w:t>
                                    </w:r>
                                  </w:p>
                                </w:txbxContent>
                              </wps:txbx>
                              <wps:bodyPr rot="0" vert="horz" wrap="square" lIns="0" tIns="45720" rIns="0" bIns="45720" anchor="t" anchorCtr="0" upright="1">
                                <a:noAutofit/>
                              </wps:bodyPr>
                            </wps:wsp>
                            <wps:wsp>
                              <wps:cNvPr id="1960" name="AutoShape 1408"/>
                              <wps:cNvCnPr/>
                              <wps:spPr bwMode="auto">
                                <a:xfrm>
                                  <a:off x="1863090" y="452566"/>
                                  <a:ext cx="1151890" cy="635"/>
                                </a:xfrm>
                                <a:prstGeom prst="straightConnector1">
                                  <a:avLst/>
                                </a:prstGeom>
                                <a:noFill/>
                                <a:ln w="9525">
                                  <a:solidFill>
                                    <a:srgbClr val="000000"/>
                                  </a:solidFill>
                                  <a:round/>
                                  <a:tailEnd type="triangle" w="med" len="med"/>
                                </a:ln>
                                <a:effectLst/>
                              </wps:spPr>
                              <wps:bodyPr/>
                            </wps:wsp>
                            <wps:wsp>
                              <wps:cNvPr id="1961" name="AutoShape 1398"/>
                              <wps:cNvCnPr/>
                              <wps:spPr bwMode="auto">
                                <a:xfrm flipV="1">
                                  <a:off x="1444625" y="36006"/>
                                  <a:ext cx="266700" cy="179705"/>
                                </a:xfrm>
                                <a:prstGeom prst="straightConnector1">
                                  <a:avLst/>
                                </a:prstGeom>
                                <a:noFill/>
                                <a:ln w="15875">
                                  <a:solidFill>
                                    <a:srgbClr val="000000"/>
                                  </a:solidFill>
                                  <a:prstDash val="dash"/>
                                  <a:round/>
                                  <a:tailEnd type="triangle" w="med" len="med"/>
                                </a:ln>
                                <a:effectLst/>
                              </wps:spPr>
                              <wps:bodyPr/>
                            </wps:wsp>
                            <wps:wsp>
                              <wps:cNvPr id="1962" name="AutoShape 1398"/>
                              <wps:cNvCnPr/>
                              <wps:spPr bwMode="auto">
                                <a:xfrm flipV="1">
                                  <a:off x="1343660" y="2534731"/>
                                  <a:ext cx="266700" cy="179705"/>
                                </a:xfrm>
                                <a:prstGeom prst="straightConnector1">
                                  <a:avLst/>
                                </a:prstGeom>
                                <a:noFill/>
                                <a:ln w="15875">
                                  <a:solidFill>
                                    <a:srgbClr val="000000"/>
                                  </a:solidFill>
                                  <a:prstDash val="dash"/>
                                  <a:round/>
                                  <a:tailEnd type="triangle" w="med" len="med"/>
                                </a:ln>
                                <a:effectLst/>
                              </wps:spPr>
                              <wps:bodyPr/>
                            </wps:wsp>
                            <wps:wsp>
                              <wps:cNvPr id="1963" name="Text Box 1406"/>
                              <wps:cNvSpPr txBox="1">
                                <a:spLocks noChangeArrowheads="1"/>
                              </wps:cNvSpPr>
                              <wps:spPr bwMode="auto">
                                <a:xfrm>
                                  <a:off x="558165" y="179516"/>
                                  <a:ext cx="46799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795F09EB">
                                    <w:pPr>
                                      <w:pStyle w:val="25"/>
                                      <w:jc w:val="center"/>
                                      <w:rPr>
                                        <w:rFonts w:ascii="Times New Roman" w:hAnsi="Times New Roman"/>
                                        <w:sz w:val="21"/>
                                        <w:szCs w:val="21"/>
                                      </w:rPr>
                                    </w:pPr>
                                    <w:r>
                                      <w:rPr>
                                        <w:rFonts w:hint="eastAsia" w:ascii="Times New Roman" w:hAnsi="Times New Roman"/>
                                        <w:sz w:val="21"/>
                                        <w:szCs w:val="21"/>
                                      </w:rPr>
                                      <w:t>400</w:t>
                                    </w:r>
                                  </w:p>
                                </w:txbxContent>
                              </wps:txbx>
                              <wps:bodyPr rot="0" vert="horz" wrap="square" lIns="0" tIns="45720" rIns="0" bIns="45720" anchor="t" anchorCtr="0" upright="1">
                                <a:noAutofit/>
                              </wps:bodyPr>
                            </wps:wsp>
                            <wps:wsp>
                              <wps:cNvPr id="1964" name="Rectangle 1405"/>
                              <wps:cNvSpPr>
                                <a:spLocks noChangeArrowheads="1"/>
                              </wps:cNvSpPr>
                              <wps:spPr bwMode="auto">
                                <a:xfrm>
                                  <a:off x="1003935" y="2241361"/>
                                  <a:ext cx="612140" cy="252095"/>
                                </a:xfrm>
                                <a:prstGeom prst="rect">
                                  <a:avLst/>
                                </a:prstGeom>
                                <a:noFill/>
                                <a:ln w="15875">
                                  <a:solidFill>
                                    <a:srgbClr val="000000"/>
                                  </a:solidFill>
                                  <a:miter lim="800000"/>
                                </a:ln>
                                <a:effectLst/>
                              </wps:spPr>
                              <wps:txbx>
                                <w:txbxContent>
                                  <w:p w14:paraId="1DAB61D7">
                                    <w:pPr>
                                      <w:pStyle w:val="25"/>
                                      <w:jc w:val="center"/>
                                      <w:rPr>
                                        <w:rFonts w:ascii="Times New Roman" w:hAnsi="Times New Roman"/>
                                      </w:rPr>
                                    </w:pPr>
                                    <w:r>
                                      <w:rPr>
                                        <w:rFonts w:hint="eastAsia" w:ascii="Times New Roman" w:hAnsi="Times New Roman"/>
                                        <w:sz w:val="21"/>
                                        <w:szCs w:val="21"/>
                                      </w:rPr>
                                      <w:t>洒水降尘</w:t>
                                    </w:r>
                                  </w:p>
                                </w:txbxContent>
                              </wps:txbx>
                              <wps:bodyPr rot="0" vert="horz" wrap="square" lIns="0" tIns="45720" rIns="0" bIns="45720" anchor="t" anchorCtr="0" upright="1">
                                <a:noAutofit/>
                              </wps:bodyPr>
                            </wps:wsp>
                            <wps:wsp>
                              <wps:cNvPr id="1965" name="Text Box 1406"/>
                              <wps:cNvSpPr txBox="1">
                                <a:spLocks noChangeArrowheads="1"/>
                              </wps:cNvSpPr>
                              <wps:spPr bwMode="auto">
                                <a:xfrm>
                                  <a:off x="1661795" y="2424876"/>
                                  <a:ext cx="323850"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1AD12089">
                                    <w:pPr>
                                      <w:pStyle w:val="25"/>
                                      <w:rPr>
                                        <w:rFonts w:ascii="Times New Roman" w:hAnsi="Times New Roman"/>
                                      </w:rPr>
                                    </w:pPr>
                                    <w:r>
                                      <w:rPr>
                                        <w:rFonts w:hint="eastAsia" w:ascii="Times New Roman" w:hAnsi="Times New Roman"/>
                                        <w:sz w:val="21"/>
                                        <w:szCs w:val="21"/>
                                      </w:rPr>
                                      <w:t>86.4</w:t>
                                    </w:r>
                                  </w:p>
                                </w:txbxContent>
                              </wps:txbx>
                              <wps:bodyPr rot="0" vert="horz" wrap="square" lIns="0" tIns="45720" rIns="0" bIns="45720" anchor="t" anchorCtr="0" upright="1">
                                <a:noAutofit/>
                              </wps:bodyPr>
                            </wps:wsp>
                            <wps:wsp>
                              <wps:cNvPr id="1966" name="图片 726"/>
                              <wps:cNvSpPr>
                                <a:spLocks noChangeAspect="1" noChangeArrowheads="1"/>
                              </wps:cNvSpPr>
                              <wps:spPr bwMode="auto">
                                <a:xfrm>
                                  <a:off x="180340" y="38546"/>
                                  <a:ext cx="0" cy="0"/>
                                </a:xfrm>
                                <a:prstGeom prst="rect">
                                  <a:avLst/>
                                </a:prstGeom>
                                <a:noFill/>
                                <a:ln>
                                  <a:noFill/>
                                </a:ln>
                                <a:effectLst/>
                              </wps:spPr>
                              <wps:bodyPr rot="0" vert="horz" wrap="square" lIns="91440" tIns="45720" rIns="91440" bIns="45720" anchor="t" anchorCtr="0" upright="1">
                                <a:noAutofit/>
                              </wps:bodyPr>
                            </wps:wsp>
                            <wps:wsp>
                              <wps:cNvPr id="1967" name="自选图形 721"/>
                              <wps:cNvCnPr/>
                              <wps:spPr bwMode="auto">
                                <a:xfrm>
                                  <a:off x="591185" y="425896"/>
                                  <a:ext cx="635" cy="1943735"/>
                                </a:xfrm>
                                <a:prstGeom prst="straightConnector1">
                                  <a:avLst/>
                                </a:prstGeom>
                                <a:noFill/>
                                <a:ln w="15875">
                                  <a:solidFill>
                                    <a:srgbClr val="000000"/>
                                  </a:solidFill>
                                  <a:round/>
                                </a:ln>
                                <a:effectLst/>
                              </wps:spPr>
                              <wps:bodyPr/>
                            </wps:wsp>
                            <wps:wsp>
                              <wps:cNvPr id="1969" name="Text Box 1406"/>
                              <wps:cNvSpPr txBox="1">
                                <a:spLocks noChangeArrowheads="1"/>
                              </wps:cNvSpPr>
                              <wps:spPr bwMode="auto">
                                <a:xfrm>
                                  <a:off x="180340" y="2589976"/>
                                  <a:ext cx="78422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6E714239">
                                    <w:pPr>
                                      <w:pStyle w:val="25"/>
                                      <w:jc w:val="center"/>
                                      <w:rPr>
                                        <w:rFonts w:ascii="Times New Roman" w:hAnsi="Times New Roman"/>
                                        <w:sz w:val="21"/>
                                        <w:szCs w:val="21"/>
                                      </w:rPr>
                                    </w:pPr>
                                    <w:r>
                                      <w:rPr>
                                        <w:rFonts w:hint="eastAsia" w:ascii="Times New Roman" w:hAnsi="Times New Roman"/>
                                        <w:sz w:val="21"/>
                                        <w:szCs w:val="21"/>
                                      </w:rPr>
                                      <w:t>新鲜水432</w:t>
                                    </w:r>
                                  </w:p>
                                </w:txbxContent>
                              </wps:txbx>
                              <wps:bodyPr rot="0" vert="horz" wrap="square" lIns="0" tIns="45720" rIns="0" bIns="45720" anchor="t" anchorCtr="0" upright="1">
                                <a:noAutofit/>
                              </wps:bodyPr>
                            </wps:wsp>
                            <wps:wsp>
                              <wps:cNvPr id="1970" name="Rectangle 1405"/>
                              <wps:cNvSpPr>
                                <a:spLocks noChangeArrowheads="1"/>
                              </wps:cNvSpPr>
                              <wps:spPr bwMode="auto">
                                <a:xfrm>
                                  <a:off x="1013460" y="2727136"/>
                                  <a:ext cx="612140" cy="252095"/>
                                </a:xfrm>
                                <a:prstGeom prst="rect">
                                  <a:avLst/>
                                </a:prstGeom>
                                <a:noFill/>
                                <a:ln w="15875">
                                  <a:solidFill>
                                    <a:srgbClr val="000000"/>
                                  </a:solidFill>
                                  <a:miter lim="800000"/>
                                </a:ln>
                                <a:effectLst/>
                              </wps:spPr>
                              <wps:txbx>
                                <w:txbxContent>
                                  <w:p w14:paraId="472B2CAD">
                                    <w:pPr>
                                      <w:pStyle w:val="25"/>
                                      <w:jc w:val="center"/>
                                      <w:rPr>
                                        <w:rFonts w:ascii="Times New Roman" w:hAnsi="Times New Roman"/>
                                      </w:rPr>
                                    </w:pPr>
                                    <w:r>
                                      <w:rPr>
                                        <w:rFonts w:hint="eastAsia" w:ascii="Times New Roman" w:hAnsi="Times New Roman"/>
                                        <w:sz w:val="21"/>
                                        <w:szCs w:val="21"/>
                                      </w:rPr>
                                      <w:t>生活用水</w:t>
                                    </w:r>
                                  </w:p>
                                </w:txbxContent>
                              </wps:txbx>
                              <wps:bodyPr rot="0" vert="horz" wrap="square" lIns="0" tIns="45720" rIns="0" bIns="45720" anchor="t" anchorCtr="0" upright="1">
                                <a:noAutofit/>
                              </wps:bodyPr>
                            </wps:wsp>
                            <wps:wsp>
                              <wps:cNvPr id="1971" name="AutoShape 1390"/>
                              <wps:cNvCnPr/>
                              <wps:spPr bwMode="auto">
                                <a:xfrm>
                                  <a:off x="1640205" y="2840801"/>
                                  <a:ext cx="1440180" cy="635"/>
                                </a:xfrm>
                                <a:prstGeom prst="straightConnector1">
                                  <a:avLst/>
                                </a:prstGeom>
                                <a:noFill/>
                                <a:ln w="15875">
                                  <a:solidFill>
                                    <a:srgbClr val="000000"/>
                                  </a:solidFill>
                                  <a:round/>
                                  <a:tailEnd type="triangle" w="med" len="med"/>
                                </a:ln>
                                <a:effectLst/>
                              </wps:spPr>
                              <wps:bodyPr/>
                            </wps:wsp>
                            <wps:wsp>
                              <wps:cNvPr id="1972" name="Rectangle 1405"/>
                              <wps:cNvSpPr>
                                <a:spLocks noChangeArrowheads="1"/>
                              </wps:cNvSpPr>
                              <wps:spPr bwMode="auto">
                                <a:xfrm>
                                  <a:off x="3080385" y="2617916"/>
                                  <a:ext cx="1191895" cy="431800"/>
                                </a:xfrm>
                                <a:prstGeom prst="rect">
                                  <a:avLst/>
                                </a:prstGeom>
                                <a:noFill/>
                                <a:ln>
                                  <a:noFill/>
                                </a:ln>
                                <a:effectLst/>
                              </wps:spPr>
                              <wps:txbx>
                                <w:txbxContent>
                                  <w:p w14:paraId="7110865C">
                                    <w:pPr>
                                      <w:pStyle w:val="25"/>
                                      <w:rPr>
                                        <w:rFonts w:ascii="Times New Roman" w:hAnsi="Times New Roman"/>
                                      </w:rPr>
                                    </w:pPr>
                                    <w:r>
                                      <w:rPr>
                                        <w:rFonts w:hint="eastAsia" w:ascii="Times New Roman" w:hAnsi="Times New Roman"/>
                                        <w:sz w:val="21"/>
                                        <w:szCs w:val="21"/>
                                      </w:rPr>
                                      <w:t>排入井场设置的环保厕所，定期清掏</w:t>
                                    </w:r>
                                  </w:p>
                                </w:txbxContent>
                              </wps:txbx>
                              <wps:bodyPr rot="0" vert="horz" wrap="square" lIns="0" tIns="45720" rIns="0" bIns="45720" anchor="t" anchorCtr="0" upright="1">
                                <a:noAutofit/>
                              </wps:bodyPr>
                            </wps:wsp>
                            <wps:wsp>
                              <wps:cNvPr id="1973" name="Text Box 1406"/>
                              <wps:cNvSpPr txBox="1">
                                <a:spLocks noChangeArrowheads="1"/>
                              </wps:cNvSpPr>
                              <wps:spPr bwMode="auto">
                                <a:xfrm>
                                  <a:off x="683260" y="2116266"/>
                                  <a:ext cx="215900"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6E511FE2">
                                    <w:pPr>
                                      <w:pStyle w:val="25"/>
                                      <w:rPr>
                                        <w:rFonts w:ascii="Times New Roman" w:hAnsi="Times New Roman"/>
                                      </w:rPr>
                                    </w:pPr>
                                    <w:r>
                                      <w:rPr>
                                        <w:rFonts w:hint="eastAsia" w:ascii="Times New Roman" w:hAnsi="Times New Roman"/>
                                        <w:sz w:val="21"/>
                                        <w:szCs w:val="21"/>
                                      </w:rPr>
                                      <w:t>360</w:t>
                                    </w:r>
                                  </w:p>
                                </w:txbxContent>
                              </wps:txbx>
                              <wps:bodyPr rot="0" vert="horz" wrap="square" lIns="0" tIns="45720" rIns="0" bIns="45720" anchor="t" anchorCtr="0" upright="1">
                                <a:noAutofit/>
                              </wps:bodyPr>
                            </wps:wsp>
                            <wps:wsp>
                              <wps:cNvPr id="1974" name="Text Box 1406"/>
                              <wps:cNvSpPr txBox="1">
                                <a:spLocks noChangeArrowheads="1"/>
                              </wps:cNvSpPr>
                              <wps:spPr bwMode="auto">
                                <a:xfrm>
                                  <a:off x="2155190" y="2585531"/>
                                  <a:ext cx="396240"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3BC229E9">
                                    <w:pPr>
                                      <w:pStyle w:val="25"/>
                                      <w:jc w:val="center"/>
                                      <w:rPr>
                                        <w:rFonts w:ascii="Times New Roman" w:hAnsi="Times New Roman"/>
                                        <w:sz w:val="21"/>
                                        <w:szCs w:val="21"/>
                                      </w:rPr>
                                    </w:pPr>
                                    <w:r>
                                      <w:rPr>
                                        <w:rFonts w:hint="eastAsia" w:ascii="Times New Roman" w:hAnsi="Times New Roman"/>
                                        <w:sz w:val="21"/>
                                        <w:szCs w:val="21"/>
                                      </w:rPr>
                                      <w:t>345.6</w:t>
                                    </w:r>
                                  </w:p>
                                </w:txbxContent>
                              </wps:txbx>
                              <wps:bodyPr rot="0" vert="horz" wrap="square" lIns="0" tIns="45720" rIns="0" bIns="45720" anchor="t" anchorCtr="0" upright="1">
                                <a:noAutofit/>
                              </wps:bodyPr>
                            </wps:wsp>
                            <wps:wsp>
                              <wps:cNvPr id="1975" name="AutoShape 1398"/>
                              <wps:cNvCnPr/>
                              <wps:spPr bwMode="auto">
                                <a:xfrm flipV="1">
                                  <a:off x="1323975" y="2062291"/>
                                  <a:ext cx="266700" cy="179705"/>
                                </a:xfrm>
                                <a:prstGeom prst="straightConnector1">
                                  <a:avLst/>
                                </a:prstGeom>
                                <a:noFill/>
                                <a:ln w="15875">
                                  <a:solidFill>
                                    <a:srgbClr val="000000"/>
                                  </a:solidFill>
                                  <a:prstDash val="dash"/>
                                  <a:round/>
                                  <a:tailEnd type="triangle" w="med" len="med"/>
                                </a:ln>
                                <a:effectLst/>
                              </wps:spPr>
                              <wps:bodyPr/>
                            </wps:wsp>
                            <wps:wsp>
                              <wps:cNvPr id="1976" name="AutoShape 1390"/>
                              <wps:cNvCnPr/>
                              <wps:spPr bwMode="auto">
                                <a:xfrm>
                                  <a:off x="586740" y="2357566"/>
                                  <a:ext cx="431800" cy="1270"/>
                                </a:xfrm>
                                <a:prstGeom prst="straightConnector1">
                                  <a:avLst/>
                                </a:prstGeom>
                                <a:noFill/>
                                <a:ln w="15875">
                                  <a:solidFill>
                                    <a:srgbClr val="000000"/>
                                  </a:solidFill>
                                  <a:round/>
                                  <a:tailEnd type="triangle" w="med" len="med"/>
                                </a:ln>
                                <a:effectLst/>
                              </wps:spPr>
                              <wps:bodyPr/>
                            </wps:wsp>
                            <wps:wsp>
                              <wps:cNvPr id="1977" name="AutoShape 1390"/>
                              <wps:cNvCnPr/>
                              <wps:spPr bwMode="auto">
                                <a:xfrm>
                                  <a:off x="264160" y="2842071"/>
                                  <a:ext cx="756285" cy="1270"/>
                                </a:xfrm>
                                <a:prstGeom prst="straightConnector1">
                                  <a:avLst/>
                                </a:prstGeom>
                                <a:noFill/>
                                <a:ln w="15875">
                                  <a:solidFill>
                                    <a:srgbClr val="000000"/>
                                  </a:solidFill>
                                  <a:round/>
                                  <a:tailEnd type="triangle" w="med" len="med"/>
                                </a:ln>
                                <a:effectLst/>
                              </wps:spPr>
                              <wps:bodyPr/>
                            </wps:wsp>
                            <wps:wsp>
                              <wps:cNvPr id="1978" name="Text Box 1406"/>
                              <wps:cNvSpPr txBox="1">
                                <a:spLocks noChangeArrowheads="1"/>
                              </wps:cNvSpPr>
                              <wps:spPr bwMode="auto">
                                <a:xfrm>
                                  <a:off x="1590675" y="1971486"/>
                                  <a:ext cx="323850"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5BECCE28">
                                    <w:pPr>
                                      <w:pStyle w:val="25"/>
                                      <w:jc w:val="center"/>
                                      <w:rPr>
                                        <w:rFonts w:ascii="Times New Roman" w:hAnsi="Times New Roman"/>
                                        <w:sz w:val="21"/>
                                        <w:szCs w:val="21"/>
                                      </w:rPr>
                                    </w:pPr>
                                    <w:r>
                                      <w:rPr>
                                        <w:rFonts w:hint="eastAsia" w:ascii="Times New Roman" w:hAnsi="Times New Roman"/>
                                        <w:sz w:val="21"/>
                                        <w:szCs w:val="21"/>
                                      </w:rPr>
                                      <w:t>360</w:t>
                                    </w:r>
                                  </w:p>
                                </w:txbxContent>
                              </wps:txbx>
                              <wps:bodyPr rot="0" vert="horz" wrap="square" lIns="0" tIns="45720" rIns="0" bIns="45720" anchor="t" anchorCtr="0" upright="1">
                                <a:noAutofit/>
                              </wps:bodyPr>
                            </wps:wsp>
                            <wps:wsp>
                              <wps:cNvPr id="1979" name="AutoShape 1390"/>
                              <wps:cNvCnPr/>
                              <wps:spPr bwMode="auto">
                                <a:xfrm>
                                  <a:off x="596265" y="1099631"/>
                                  <a:ext cx="431800" cy="1270"/>
                                </a:xfrm>
                                <a:prstGeom prst="straightConnector1">
                                  <a:avLst/>
                                </a:prstGeom>
                                <a:noFill/>
                                <a:ln w="15875">
                                  <a:solidFill>
                                    <a:srgbClr val="000000"/>
                                  </a:solidFill>
                                  <a:round/>
                                  <a:tailEnd type="triangle" w="med" len="med"/>
                                </a:ln>
                                <a:effectLst/>
                              </wps:spPr>
                              <wps:bodyPr/>
                            </wps:wsp>
                            <wps:wsp>
                              <wps:cNvPr id="1980" name="Rectangle 1405"/>
                              <wps:cNvSpPr>
                                <a:spLocks noChangeArrowheads="1"/>
                              </wps:cNvSpPr>
                              <wps:spPr bwMode="auto">
                                <a:xfrm>
                                  <a:off x="1028065" y="891986"/>
                                  <a:ext cx="828040" cy="431800"/>
                                </a:xfrm>
                                <a:prstGeom prst="rect">
                                  <a:avLst/>
                                </a:prstGeom>
                                <a:noFill/>
                                <a:ln w="15875">
                                  <a:solidFill>
                                    <a:srgbClr val="000000"/>
                                  </a:solidFill>
                                  <a:miter lim="800000"/>
                                </a:ln>
                                <a:effectLst/>
                              </wps:spPr>
                              <wps:txbx>
                                <w:txbxContent>
                                  <w:p w14:paraId="049D2765">
                                    <w:pPr>
                                      <w:pStyle w:val="25"/>
                                      <w:jc w:val="center"/>
                                      <w:rPr>
                                        <w:rFonts w:ascii="Times New Roman" w:hAnsi="Times New Roman"/>
                                      </w:rPr>
                                    </w:pPr>
                                    <w:r>
                                      <w:rPr>
                                        <w:rFonts w:hint="eastAsia" w:ascii="Times New Roman" w:hAnsi="Times New Roman"/>
                                        <w:sz w:val="21"/>
                                        <w:szCs w:val="21"/>
                                      </w:rPr>
                                      <w:t>2号井钻井泥浆</w:t>
                                    </w:r>
                                    <w:r>
                                      <w:rPr>
                                        <w:rFonts w:ascii="Times New Roman" w:hAnsi="Times New Roman"/>
                                        <w:sz w:val="21"/>
                                        <w:szCs w:val="21"/>
                                      </w:rPr>
                                      <w:t>循环系统</w:t>
                                    </w:r>
                                  </w:p>
                                </w:txbxContent>
                              </wps:txbx>
                              <wps:bodyPr rot="0" vert="horz" wrap="square" lIns="0" tIns="45720" rIns="0" bIns="45720" anchor="t" anchorCtr="0" upright="1">
                                <a:noAutofit/>
                              </wps:bodyPr>
                            </wps:wsp>
                            <wps:wsp>
                              <wps:cNvPr id="1981" name="Text Box 1406"/>
                              <wps:cNvSpPr txBox="1">
                                <a:spLocks noChangeArrowheads="1"/>
                              </wps:cNvSpPr>
                              <wps:spPr bwMode="auto">
                                <a:xfrm>
                                  <a:off x="2230120" y="864046"/>
                                  <a:ext cx="36004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78AB90F9">
                                    <w:pPr>
                                      <w:pStyle w:val="25"/>
                                      <w:jc w:val="center"/>
                                      <w:rPr>
                                        <w:rFonts w:ascii="Times New Roman" w:hAnsi="Times New Roman"/>
                                        <w:sz w:val="21"/>
                                        <w:szCs w:val="21"/>
                                      </w:rPr>
                                    </w:pPr>
                                    <w:r>
                                      <w:rPr>
                                        <w:rFonts w:hint="eastAsia" w:ascii="Times New Roman" w:hAnsi="Times New Roman"/>
                                        <w:sz w:val="21"/>
                                        <w:szCs w:val="21"/>
                                      </w:rPr>
                                      <w:t>328</w:t>
                                    </w:r>
                                  </w:p>
                                </w:txbxContent>
                              </wps:txbx>
                              <wps:bodyPr rot="0" vert="horz" wrap="square" lIns="0" tIns="45720" rIns="0" bIns="45720" anchor="t" anchorCtr="0" upright="1">
                                <a:noAutofit/>
                              </wps:bodyPr>
                            </wps:wsp>
                            <wps:wsp>
                              <wps:cNvPr id="1982" name="AutoShape 1408"/>
                              <wps:cNvCnPr/>
                              <wps:spPr bwMode="auto">
                                <a:xfrm>
                                  <a:off x="1863090" y="1119951"/>
                                  <a:ext cx="1151890" cy="635"/>
                                </a:xfrm>
                                <a:prstGeom prst="straightConnector1">
                                  <a:avLst/>
                                </a:prstGeom>
                                <a:noFill/>
                                <a:ln w="9525">
                                  <a:solidFill>
                                    <a:srgbClr val="000000"/>
                                  </a:solidFill>
                                  <a:round/>
                                  <a:tailEnd type="triangle" w="med" len="med"/>
                                </a:ln>
                                <a:effectLst/>
                              </wps:spPr>
                              <wps:bodyPr/>
                            </wps:wsp>
                            <wps:wsp>
                              <wps:cNvPr id="1983" name="AutoShape 1398"/>
                              <wps:cNvCnPr/>
                              <wps:spPr bwMode="auto">
                                <a:xfrm flipV="1">
                                  <a:off x="1444625" y="703391"/>
                                  <a:ext cx="266700" cy="179705"/>
                                </a:xfrm>
                                <a:prstGeom prst="straightConnector1">
                                  <a:avLst/>
                                </a:prstGeom>
                                <a:noFill/>
                                <a:ln w="15875">
                                  <a:solidFill>
                                    <a:srgbClr val="000000"/>
                                  </a:solidFill>
                                  <a:prstDash val="dash"/>
                                  <a:round/>
                                  <a:tailEnd type="triangle" w="med" len="med"/>
                                </a:ln>
                                <a:effectLst/>
                              </wps:spPr>
                              <wps:bodyPr/>
                            </wps:wsp>
                            <wps:wsp>
                              <wps:cNvPr id="2400" name="Text Box 1406"/>
                              <wps:cNvSpPr txBox="1">
                                <a:spLocks noChangeArrowheads="1"/>
                              </wps:cNvSpPr>
                              <wps:spPr bwMode="auto">
                                <a:xfrm>
                                  <a:off x="558165" y="846901"/>
                                  <a:ext cx="46799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01AF4929">
                                    <w:pPr>
                                      <w:pStyle w:val="25"/>
                                      <w:jc w:val="center"/>
                                      <w:rPr>
                                        <w:rFonts w:ascii="Times New Roman" w:hAnsi="Times New Roman"/>
                                        <w:sz w:val="21"/>
                                        <w:szCs w:val="21"/>
                                      </w:rPr>
                                    </w:pPr>
                                    <w:r>
                                      <w:rPr>
                                        <w:rFonts w:hint="eastAsia" w:ascii="Times New Roman" w:hAnsi="Times New Roman"/>
                                        <w:sz w:val="21"/>
                                        <w:szCs w:val="21"/>
                                      </w:rPr>
                                      <w:t>410</w:t>
                                    </w:r>
                                  </w:p>
                                </w:txbxContent>
                              </wps:txbx>
                              <wps:bodyPr rot="0" vert="horz" wrap="square" lIns="0" tIns="45720" rIns="0" bIns="45720" anchor="t" anchorCtr="0" upright="1">
                                <a:noAutofit/>
                              </wps:bodyPr>
                            </wps:wsp>
                            <wps:wsp>
                              <wps:cNvPr id="2401" name="Text Box 1406"/>
                              <wps:cNvSpPr txBox="1">
                                <a:spLocks noChangeArrowheads="1"/>
                              </wps:cNvSpPr>
                              <wps:spPr bwMode="auto">
                                <a:xfrm>
                                  <a:off x="1718310" y="605601"/>
                                  <a:ext cx="36004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315D3C12">
                                    <w:pPr>
                                      <w:pStyle w:val="25"/>
                                      <w:jc w:val="center"/>
                                      <w:rPr>
                                        <w:rFonts w:ascii="Times New Roman" w:hAnsi="Times New Roman"/>
                                      </w:rPr>
                                    </w:pPr>
                                    <w:r>
                                      <w:rPr>
                                        <w:rFonts w:hint="eastAsia" w:ascii="Times New Roman" w:hAnsi="Times New Roman"/>
                                        <w:sz w:val="21"/>
                                        <w:szCs w:val="21"/>
                                      </w:rPr>
                                      <w:t>82</w:t>
                                    </w:r>
                                  </w:p>
                                </w:txbxContent>
                              </wps:txbx>
                              <wps:bodyPr rot="0" vert="horz" wrap="square" lIns="0" tIns="45720" rIns="0" bIns="45720" anchor="t" anchorCtr="0" upright="1">
                                <a:noAutofit/>
                              </wps:bodyPr>
                            </wps:wsp>
                            <wps:wsp>
                              <wps:cNvPr id="2402" name="AutoShape 1390"/>
                              <wps:cNvCnPr/>
                              <wps:spPr bwMode="auto">
                                <a:xfrm>
                                  <a:off x="603250" y="1776541"/>
                                  <a:ext cx="431800" cy="1270"/>
                                </a:xfrm>
                                <a:prstGeom prst="straightConnector1">
                                  <a:avLst/>
                                </a:prstGeom>
                                <a:noFill/>
                                <a:ln w="15875">
                                  <a:solidFill>
                                    <a:srgbClr val="000000"/>
                                  </a:solidFill>
                                  <a:round/>
                                  <a:tailEnd type="triangle" w="med" len="med"/>
                                </a:ln>
                                <a:effectLst/>
                              </wps:spPr>
                              <wps:bodyPr/>
                            </wps:wsp>
                            <wps:wsp>
                              <wps:cNvPr id="2403" name="Rectangle 1405"/>
                              <wps:cNvSpPr>
                                <a:spLocks noChangeArrowheads="1"/>
                              </wps:cNvSpPr>
                              <wps:spPr bwMode="auto">
                                <a:xfrm>
                                  <a:off x="1035050" y="1568896"/>
                                  <a:ext cx="828040" cy="431800"/>
                                </a:xfrm>
                                <a:prstGeom prst="rect">
                                  <a:avLst/>
                                </a:prstGeom>
                                <a:noFill/>
                                <a:ln w="15875">
                                  <a:solidFill>
                                    <a:srgbClr val="000000"/>
                                  </a:solidFill>
                                  <a:miter lim="800000"/>
                                </a:ln>
                                <a:effectLst/>
                              </wps:spPr>
                              <wps:txbx>
                                <w:txbxContent>
                                  <w:p w14:paraId="4CCB8706">
                                    <w:pPr>
                                      <w:pStyle w:val="25"/>
                                      <w:jc w:val="center"/>
                                      <w:rPr>
                                        <w:rFonts w:ascii="Times New Roman" w:hAnsi="Times New Roman"/>
                                      </w:rPr>
                                    </w:pPr>
                                    <w:r>
                                      <w:rPr>
                                        <w:rFonts w:hint="eastAsia" w:ascii="Times New Roman" w:hAnsi="Times New Roman"/>
                                        <w:sz w:val="21"/>
                                        <w:szCs w:val="21"/>
                                      </w:rPr>
                                      <w:t>3号井钻井泥浆</w:t>
                                    </w:r>
                                    <w:r>
                                      <w:rPr>
                                        <w:rFonts w:ascii="Times New Roman" w:hAnsi="Times New Roman"/>
                                        <w:sz w:val="21"/>
                                        <w:szCs w:val="21"/>
                                      </w:rPr>
                                      <w:t>循环系统</w:t>
                                    </w:r>
                                  </w:p>
                                </w:txbxContent>
                              </wps:txbx>
                              <wps:bodyPr rot="0" vert="horz" wrap="square" lIns="0" tIns="45720" rIns="0" bIns="45720" anchor="t" anchorCtr="0" upright="1">
                                <a:noAutofit/>
                              </wps:bodyPr>
                            </wps:wsp>
                            <wps:wsp>
                              <wps:cNvPr id="2404" name="Text Box 1406"/>
                              <wps:cNvSpPr txBox="1">
                                <a:spLocks noChangeArrowheads="1"/>
                              </wps:cNvSpPr>
                              <wps:spPr bwMode="auto">
                                <a:xfrm>
                                  <a:off x="2237105" y="1540956"/>
                                  <a:ext cx="36004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7FC99572">
                                    <w:pPr>
                                      <w:pStyle w:val="25"/>
                                      <w:jc w:val="center"/>
                                      <w:rPr>
                                        <w:rFonts w:ascii="Times New Roman" w:hAnsi="Times New Roman"/>
                                        <w:sz w:val="21"/>
                                        <w:szCs w:val="21"/>
                                      </w:rPr>
                                    </w:pPr>
                                    <w:r>
                                      <w:rPr>
                                        <w:rFonts w:hint="eastAsia" w:ascii="Times New Roman" w:hAnsi="Times New Roman"/>
                                        <w:sz w:val="21"/>
                                        <w:szCs w:val="21"/>
                                      </w:rPr>
                                      <w:t>328</w:t>
                                    </w:r>
                                  </w:p>
                                </w:txbxContent>
                              </wps:txbx>
                              <wps:bodyPr rot="0" vert="horz" wrap="square" lIns="0" tIns="45720" rIns="0" bIns="45720" anchor="t" anchorCtr="0" upright="1">
                                <a:noAutofit/>
                              </wps:bodyPr>
                            </wps:wsp>
                            <wps:wsp>
                              <wps:cNvPr id="2405" name="AutoShape 1408"/>
                              <wps:cNvCnPr/>
                              <wps:spPr bwMode="auto">
                                <a:xfrm>
                                  <a:off x="1870075" y="1796861"/>
                                  <a:ext cx="1151890" cy="635"/>
                                </a:xfrm>
                                <a:prstGeom prst="straightConnector1">
                                  <a:avLst/>
                                </a:prstGeom>
                                <a:noFill/>
                                <a:ln w="9525">
                                  <a:solidFill>
                                    <a:srgbClr val="000000"/>
                                  </a:solidFill>
                                  <a:round/>
                                  <a:tailEnd type="triangle" w="med" len="med"/>
                                </a:ln>
                                <a:effectLst/>
                              </wps:spPr>
                              <wps:bodyPr/>
                            </wps:wsp>
                            <wps:wsp>
                              <wps:cNvPr id="2406" name="AutoShape 1398"/>
                              <wps:cNvCnPr/>
                              <wps:spPr bwMode="auto">
                                <a:xfrm flipV="1">
                                  <a:off x="1451610" y="1380301"/>
                                  <a:ext cx="266700" cy="179705"/>
                                </a:xfrm>
                                <a:prstGeom prst="straightConnector1">
                                  <a:avLst/>
                                </a:prstGeom>
                                <a:noFill/>
                                <a:ln w="15875">
                                  <a:solidFill>
                                    <a:srgbClr val="000000"/>
                                  </a:solidFill>
                                  <a:prstDash val="dash"/>
                                  <a:round/>
                                  <a:tailEnd type="triangle" w="med" len="med"/>
                                </a:ln>
                                <a:effectLst/>
                              </wps:spPr>
                              <wps:bodyPr/>
                            </wps:wsp>
                            <wps:wsp>
                              <wps:cNvPr id="2407" name="Text Box 1406"/>
                              <wps:cNvSpPr txBox="1">
                                <a:spLocks noChangeArrowheads="1"/>
                              </wps:cNvSpPr>
                              <wps:spPr bwMode="auto">
                                <a:xfrm>
                                  <a:off x="565150" y="1523811"/>
                                  <a:ext cx="46799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105E1C81">
                                    <w:pPr>
                                      <w:pStyle w:val="25"/>
                                      <w:jc w:val="center"/>
                                      <w:rPr>
                                        <w:rFonts w:ascii="Times New Roman" w:hAnsi="Times New Roman"/>
                                        <w:sz w:val="21"/>
                                        <w:szCs w:val="21"/>
                                      </w:rPr>
                                    </w:pPr>
                                    <w:r>
                                      <w:rPr>
                                        <w:rFonts w:hint="eastAsia" w:ascii="Times New Roman" w:hAnsi="Times New Roman"/>
                                        <w:sz w:val="21"/>
                                        <w:szCs w:val="21"/>
                                      </w:rPr>
                                      <w:t>410</w:t>
                                    </w:r>
                                  </w:p>
                                </w:txbxContent>
                              </wps:txbx>
                              <wps:bodyPr rot="0" vert="horz" wrap="square" lIns="0" tIns="45720" rIns="0" bIns="45720" anchor="t" anchorCtr="0" upright="1">
                                <a:noAutofit/>
                              </wps:bodyPr>
                            </wps:wsp>
                            <wps:wsp>
                              <wps:cNvPr id="2408" name="Text Box 1406"/>
                              <wps:cNvSpPr txBox="1">
                                <a:spLocks noChangeArrowheads="1"/>
                              </wps:cNvSpPr>
                              <wps:spPr bwMode="auto">
                                <a:xfrm>
                                  <a:off x="1725295" y="1282511"/>
                                  <a:ext cx="360045" cy="252095"/>
                                </a:xfrm>
                                <a:prstGeom prst="rect">
                                  <a:avLst/>
                                </a:prstGeom>
                                <a:gradFill rotWithShape="1">
                                  <a:gsLst>
                                    <a:gs pos="0">
                                      <a:srgbClr val="FFFFFF">
                                        <a:alpha val="0"/>
                                      </a:srgbClr>
                                    </a:gs>
                                    <a:gs pos="100000">
                                      <a:srgbClr val="FFFFFF">
                                        <a:alpha val="0"/>
                                      </a:srgbClr>
                                    </a:gs>
                                  </a:gsLst>
                                  <a:lin ang="5400000" scaled="1"/>
                                </a:gradFill>
                                <a:ln>
                                  <a:noFill/>
                                </a:ln>
                                <a:effectLst/>
                              </wps:spPr>
                              <wps:txbx>
                                <w:txbxContent>
                                  <w:p w14:paraId="2116CF8F">
                                    <w:pPr>
                                      <w:pStyle w:val="25"/>
                                      <w:jc w:val="center"/>
                                      <w:rPr>
                                        <w:rFonts w:ascii="Times New Roman" w:hAnsi="Times New Roman"/>
                                      </w:rPr>
                                    </w:pPr>
                                    <w:r>
                                      <w:rPr>
                                        <w:rFonts w:hint="eastAsia" w:ascii="Times New Roman" w:hAnsi="Times New Roman"/>
                                        <w:sz w:val="21"/>
                                        <w:szCs w:val="21"/>
                                      </w:rPr>
                                      <w:t>82</w:t>
                                    </w:r>
                                  </w:p>
                                </w:txbxContent>
                              </wps:txbx>
                              <wps:bodyPr rot="0" vert="horz" wrap="square" lIns="0" tIns="45720" rIns="0" bIns="45720" anchor="t" anchorCtr="0" upright="1">
                                <a:noAutofit/>
                              </wps:bodyPr>
                            </wps:wsp>
                            <wps:wsp>
                              <wps:cNvPr id="2409" name="自选图形 721"/>
                              <wps:cNvCnPr/>
                              <wps:spPr bwMode="auto">
                                <a:xfrm>
                                  <a:off x="3011170" y="455106"/>
                                  <a:ext cx="635" cy="1332230"/>
                                </a:xfrm>
                                <a:prstGeom prst="straightConnector1">
                                  <a:avLst/>
                                </a:prstGeom>
                                <a:noFill/>
                                <a:ln w="15875">
                                  <a:solidFill>
                                    <a:srgbClr val="000000"/>
                                  </a:solidFill>
                                  <a:round/>
                                </a:ln>
                                <a:effectLst/>
                              </wps:spPr>
                              <wps:bodyPr/>
                            </wps:wsp>
                            <wps:wsp>
                              <wps:cNvPr id="2410" name="AutoShape 1408"/>
                              <wps:cNvCnPr/>
                              <wps:spPr bwMode="auto">
                                <a:xfrm>
                                  <a:off x="3000375" y="1119951"/>
                                  <a:ext cx="467995" cy="635"/>
                                </a:xfrm>
                                <a:prstGeom prst="straightConnector1">
                                  <a:avLst/>
                                </a:prstGeom>
                                <a:noFill/>
                                <a:ln w="9525">
                                  <a:solidFill>
                                    <a:srgbClr val="000000"/>
                                  </a:solidFill>
                                  <a:round/>
                                  <a:tailEnd type="triangle" w="med" len="med"/>
                                </a:ln>
                                <a:effectLst/>
                              </wps:spPr>
                              <wps:bodyPr/>
                            </wps:wsp>
                          </wpc:wpc>
                        </a:graphicData>
                      </a:graphic>
                    </wp:inline>
                  </w:drawing>
                </mc:Choice>
                <mc:Fallback>
                  <w:pict>
                    <v:group id="画布 1386" o:spid="_x0000_s1026" o:spt="203" style="height:240.1pt;width:386.75pt;" coordsize="4912242,3049647" editas="canvas" o:gfxdata="UEsDBAoAAAAAAIdO4kAAAAAAAAAAAAAAAAAEAAAAZHJzL1BLAwQUAAAACACHTuJAEBfLK9gAAAAF&#10;AQAADwAAAGRycy9kb3ducmV2LnhtbE2PQUvDQBCF70L/wzIFL2J3W6stMZseCmIRoZhqz9vsmASz&#10;s2l2m9R/7+ilXgYe7/HeN+nq7BrRYxdqTxqmEwUCqfC2plLD++7pdgkiREPWNJ5QwzcGWGWjq9Qk&#10;1g/0hn0eS8ElFBKjoYqxTaQMRYXOhIlvkdj79J0zkWVXStuZgctdI2dKPUhnauKFyrS4rrD4yk9O&#10;w1Bs+/3u9Vlub/YbT8fNcZ1/vGh9PZ6qRxARz/EShl98RoeMmQ7+RDaIRgM/Ev8ue4vF3T2Ig4b5&#10;Us1AZqn8T5/9AFBLAwQUAAAACACHTuJAGGcpngUJAACUZgAADgAAAGRycy9lMm9Eb2MueG1s7V1N&#10;j9vGGb4H6H8geK/FmSGHpOB1kK5jI0DSBEnanrkSJRGlSJbkWuucCuQQ5J5bbjn2FxQo2n9jpP0X&#10;feaDFD0rY3ct7ZIbjw9rihS/3nnmfZ/3a/T046tt7rxK6yYrizOXPPFcJy0W5TIr1mfun7598fvI&#10;dZo2KZZJXhbpmfs6bdyPn/3uo6e7ap7SclPmy7R2cJGime+qM3fTttV8NmsWm3SbNE/KKi1wcFXW&#10;26TFx3o9W9bJDlff5jPqeXy2K+tlVZeLtGmw97k66Oor1re5YLlaZYv0ebm43KZFq65ap3nS4pWa&#10;TVY17jP5tKtVumi/XK2atHXyMxdv2sq/uAm2L8Tf2bOnyXxdJ9UmW+hHSG7zCMY7bZOswE37Sz1P&#10;2sS5rLNrl9pmi7psylX7ZFFuZ+pFpETwFsQzZPOyLi8r+S7r+W5d9ULHQBlSf+/LLv746qvayZZn&#10;LvXi2HWKZIsx//Wnf7355/cOYREXEtpV6zm++LKuvqm+qvWOtfokXvpqVW/F/3gd50rK9nUv2/Sq&#10;dRbY6ceEUp+6zgLHmOfH3A+V9BcbDNG18xabT284c9bdeCaer3+cXQVcNnthNccJ65tNUqVyDBoh&#10;Ay0sEgd+J6xPLttSfkvIK1Lykt89L7SwmnkDuTkXuy/KJaSb4AQJFkNuEQ0C4BLyIYx7nEjZJ/NO&#10;goHnkxjHhQA5C8SNehEk86pu2pdpuXXExpnbtHWSrTfteVkUmARlTeQdk1efN606sTtBDFxRvsjy&#10;HPuTeV44OzxAEIWBPKMp82wpjoqDTb2+OM9r51UippP8px/jra8BtsVSXq1NsvzTYum0ryu8eFtn&#10;SbHOU1fcYpsuXSdPoYPElnqmvBB3SeW81Q8qhlNIT6CwmV+Uy9dSqBhzOcxq90OMd9CN97diQP5Q&#10;XmG4YzIYbjE3nPYKRyA/Jbvq83Lx18YpyvMNXjz9pK7L3SZNlsCkPFO+BVAlTlVvciugUBpxBZSY&#10;BH4kLzXACYtDgSOBE9/3ODCjpNvBrRt5DZUa+JCPextwvIUWwO/GEWuvLq5w+/3gOXWptDBsEDY2&#10;Zf0d8AANDND+7TKpgY78swISwiu0csMPQooPdbf3Yrg3KRa4BLDlOmrzvFXq/bKqxQToxqIoxTxd&#10;ZRL9+6fBHHpwJPEOSV9D8nJCCCgxA0pyvt0TgJgfBrHQJYBI4HskNlQNVHUMFaQwRIhPvPgGfXMn&#10;EB2vYbZZCxKSZ9szNxqqoXuEI+TkHYakPvLYYRl2sBwaNKU8xBSBmrqrQQtiTjn0plBEDNbfQJnP&#10;CAZPg4yGN6gpa9H2JPtOdO+dDAZEX9G9gR7yPTnR9YAruwS7f096iHg08jRCBD48w5RFOOxrhGi0&#10;nM6UPUotdFgDYe9j1z6977GnV+Auhk18KHrFPCIYB/QWTCPnBiphGT0fak0QLBrAbzrSNsL9lAxb&#10;MKO/ZO1GTtiOt6wbEGHBBdaNU5WSFklmMGTiL+Q/xeHyapNofq5pnybt0ltYN8NLEWU6j7weWGD/&#10;kHlWgIbBP5U2USj3ZpHk6bLju9JB7t0JZa1758PSSUQ13hkMeJcaFzRNqfGB3fa9YxxREnHmaXro&#10;BzTghuEmJCCROP4QrmiMB1DelPVExTyKoY6uDziL7zzgzirPqj93ekbHbojv+xwCF7pP6Dlj5Cnn&#10;YU/ZwjhUbGGiYQjh5z5Pmo1Sh0tsCY2YzH+L4QmOyNo1LXAyUDCfcR1xoAGcR2ZYRAuLiUatOOtg&#10;MT6tCoKIaK5Pwjgww5s+D2MwKcuqBJ3SZE1TP8uqHjxIx/vw/ojOsYeooDLFcI6REzC0LieUdN7x&#10;KfyQnoifJgswQowOlPQ3GTIWalNZ9/HVOIE/DPUtGSISen4UGhyRURZ1+YdTwNK6xyo3Z93j93KP&#10;+2zLm5//8+uPPzghNaNKMv5hRjibCskZ4RydPHuHoDcTalt4WFFgBsW1V31DMPxO6Rbxfr1uvw2K&#10;VJb11om6GE7jYc2rjzzy2CTvMyP//eEf//v7jwDSm3//AiBJe/zeuRFCIqVFfRpEZgZOJPglFSax&#10;z8JHke2/PbJEDP+hs658QgHmgQYQQx+bFjSMfCpiMDbAbF2h8esVkJjV5HNEV4gwZAcV5wxpCF9I&#10;hfK62ijrCn0o1TPh4ei35EvvaYoJ9z2KSLZgZDRC6sRMQwt+A539MPkOW3qnh7EvtQz72PZoCogB&#10;FCDrCiLC/zWjl4TESIlpm33yUoU7M3hbdXcNRBOKhPOI0c6aEYIaKcOaURLEXZbNRlBElbMtMNCl&#10;zyN4TmEfCh8/+IiZEcgieFl6EwWBmYlkKDk8ZUzcBh9t8PHmRp131eagh+I+s/JUVPorTuJxlGwb&#10;+SGblZ9oVh7xnkOwOMaHCSIe6qAyZUF4rWTL1lqP2j0U9iHkQZEeO6q4nnKfdCQS8UIPjrGsbupC&#10;IsAAFR6LCCISW13/0PHmsK+uH581CXeCa0tB4pD4qq1z3zJmU7airbGvkLYOh5gtKgs4hsPRp2pO&#10;piwHnUjoZYu56TZY89gP+BjJORFbnVArUhST2FSRthXpQ8kwoJ9ag3F8y03pvhUpQprCrBaxrUjW&#10;cE+nsz3qEzUDw326ViSCJAvqxt92c2wvUsfURjHcfVZlMOInazsZ9CKFHtOrbey9FhvfmmR8C/H3&#10;ns6Nb0EHXSeRj7VQDPVhu06sAZ2KAcXEmRD1JCGJGFE1V9wLrq3NYKmnnTkTmjmHqOdxAXbuMdqt&#10;xxaGPPBN02GXrxmPekJX9tRztKow4rHA6yAS8OhaFb8NGn0YQSOgcUpFMpSFRNezYn1ArE9j1JdZ&#10;021N94RM96EimWOjRlilpEt4hjGPzNZpGzUa1XQfrn851Qo2WFpC+y1YkNdDAP3tiKENG001bNQX&#10;yUwgbMQD0jM7NLQTA0Q2bmRN6IRM6JSKjUK0LOj1IQjFmubm1LHs006dCU2dvtjohM394ByEiL5Z&#10;1F766Fgwl9Hbd/czrIvMbljsoZnCWv5T7u7H4kh9xmmQhzzOh2BYHJV1PsShzPOQAtz37zE8nkUw&#10;sbCD/LESVUypflhF/BrK8LOsKdz/mMyz/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2CwAAW0NvbnRlbnRfVHlwZXNdLnhtbFBLAQIUAAoAAAAA&#10;AIdO4kAAAAAAAAAAAAAAAAAGAAAAAAAAAAAAEAAAAFgKAABfcmVscy9QSwECFAAUAAAACACHTuJA&#10;ihRmPNEAAACUAQAACwAAAAAAAAABACAAAAB8CgAAX3JlbHMvLnJlbHNQSwECFAAKAAAAAACHTuJA&#10;AAAAAAAAAAAAAAAABAAAAAAAAAAAABAAAAAAAAAAZHJzL1BLAQIUABQAAAAIAIdO4kAQF8sr2AAA&#10;AAUBAAAPAAAAAAAAAAEAIAAAACIAAABkcnMvZG93bnJldi54bWxQSwECFAAUAAAACACHTuJAGGcp&#10;ngUJAACUZgAADgAAAAAAAAABACAAAAAnAQAAZHJzL2Uyb0RvYy54bWxQSwUGAAAAAAYABgBZAQAA&#10;ngwAAAAA&#10;">
                      <o:lock v:ext="edit" aspectratio="f"/>
                      <v:shape id="画布 1386" o:spid="_x0000_s1026" style="position:absolute;left:0;top:0;height:3049647;width:4912242;" filled="f" stroked="f" coordsize="21600,21600" o:gfxdata="UEsDBAoAAAAAAIdO4kAAAAAAAAAAAAAAAAAEAAAAZHJzL1BLAwQUAAAACACHTuJAEBfLK9gAAAAF&#10;AQAADwAAAGRycy9kb3ducmV2LnhtbE2PQUvDQBCF70L/wzIFL2J3W6stMZseCmIRoZhqz9vsmASz&#10;s2l2m9R/7+ilXgYe7/HeN+nq7BrRYxdqTxqmEwUCqfC2plLD++7pdgkiREPWNJ5QwzcGWGWjq9Qk&#10;1g/0hn0eS8ElFBKjoYqxTaQMRYXOhIlvkdj79J0zkWVXStuZgctdI2dKPUhnauKFyrS4rrD4yk9O&#10;w1Bs+/3u9Vlub/YbT8fNcZ1/vGh9PZ6qRxARz/EShl98RoeMmQ7+RDaIRgM/Ev8ue4vF3T2Ig4b5&#10;Us1AZqn8T5/9AFBLAwQUAAAACACHTuJAgJle2MAIAAALZgAADgAAAGRycy9lMm9Eb2MueG1s7V3L&#10;cuO4Fd2nKv/A0j4tAiBAUtXuqYk7nUrVJJnKTJI1TVESKxTJkLTlziq7qfmG7GY5/5D8zVSSv8jB&#10;g7QMy7E9kk16Gr1wSyIJkcDBveeeewG9/ex6W3hXWdPmVXk2I2/8mZeVabXMy/XZ7I9ff/hFNPPa&#10;LimXSVGV2dnsY9bOPnv385+93dWLjFabqlhmjYdGynaxq89mm66rF/N5m26ybdK+qeqsxMFV1WyT&#10;Dm+b9XzZJDu0vi3m1PfFfFc1y7qp0qxt8el7fXBmWmwe02C1WuVp9r5KL7dZ2elWm6xIOjxSu8nr&#10;dvZO3e1qlaXd71erNuu84myGJ+3UX3wJXl/Iv/N3b5PFuknqTZ6aW0gecwvWM22TvMSXDk29T7rE&#10;u2zyO01t87Sp2mrVvUmr7Vw/iOoRPAXxrb45T8qrRD9Mir7ubxCvTtjuxVred1l9yIsCvTFH6wv5&#10;mfx/h9HO5OGivH2S/kSda87Z1YBDWw/AaI+7xa82SZ2pYWwX6e+uvmy8fAm0xjyYeWWyBS4/v+wq&#10;dZZHWBTJgZS3gHPPyy8b866tceHF7rfVEhckuECN0fWq2crHQe9712eziHIOOHxE80z4gggNiuy6&#10;81Ic5n5AYhxPcYJgXB6cJ4u+jbppu19n1daTL85mbdck+XrTnVdlCexVDVHfmFx90Xb6wv6CW/0p&#10;u9Pb4QZ4FHJ1RVsV+VIOiTyvbdYX50XjXSUSxeqfuY1bpzXVZbnEtySLLsmLX5VLr/tY48G7Jk/K&#10;dZHN5Fdss+XMKzJMfflK35Me3UxNF3Ojsi9l7+levaiWH1WnYsTVMOuPX2K8eT/eX8sB+WV1jeGO&#10;ibxxM9xfyTHurnEE/af7rv6iSv/SemV1vsGDZ583TbXbZMkSmFRXqqcAUuSlup1HAYXSSGigxIQH&#10;kWoqWQw4YXEocSRxEgS+AGZ0794DlQb4ULf7GHDcQgvg9+CIddcX16aP9OB5TaWNH0w/Xmyq5m/A&#10;AwwfQPvXy6QBOorflOghPEKnXgQ8pHjT9J9e7H+alCmaALZmnn553mmrelk3cgL0Y1FWcp6ucoV+&#10;OWL6bpSdeWEkiR5Jf0DPqwkhocQsKKn59kwAYkHIY2lLABEe+CS2TA2hNIYJ0hgiJCB+/IC9eRKI&#10;jrcw27yD7y/yLazmvhl6Rjiin/zDkDRHXjsswx6W+w5NGw9j4Z7q0HgsqIDdlIaIURpYKAsYweAZ&#10;kNHwATPlPNoNt30SebuXwYBfawazZ4cCX030PZf2nHaI+DTyDUIkPnzLlUU4HBiEGLSczpW9Sit0&#10;2ALh09dufeIejDf0CtzF8okvRa+YTyTjgN2CaxTCQiU8ox/ArEmCRTk92jci6lMMWzKjP+fdRk3Y&#10;nresWxBhOQfXrVdXihapGbnPxD+of5rDFfUmMfzc0D5D2lW0sG73myLadR7ZHljgcJNFXoKGIX5X&#10;PlEa9zZNimzZ810Vlw7hxOFgDkz2/gDA0UljmodAVNK0O4Fo4B8TiJJIMN/Qw4BTLizHTQgnkTz+&#10;EqFojBvQ0ZSLROU8imGO7g44i5884N6qyOs/9XbGaBAkCAKBDpe2T9o5a+SpEOFA2cI41GxhojKE&#10;VDjeJ+1Gm8MlXkmLmCx+ivKEoM8JChYwYRQHyhE8MssjOlj8X6c1nmolWA+L8WkV5xExXJ+EMbfl&#10;zUCEMVQGx6oknTJkzVA/x6peXO4Vg7w/YnDsQxXUrhjBMXICltUVhJI+Oj5FHDKkXk6TBRhBowMl&#10;/UlKxtJsao4/vhkniIdhvhVDpAENotDiiIyyqM8/nAKWLjw2CVGXbUmze1PU96mciF3N1PnhH//6&#10;97ffeCG1VSWlf9iZlrZGckYGRyfP3kH0ZtJsywgr4rYobqLqB8TwJ6Vb5PMNtv0xObsnJupiBI2H&#10;La858sq1STFkRv7zzff//fu3ANIP//wOQFL++EfnRgiJtBUNKI/sDJxM8CsqTOKAha8i2/94ZEkN&#10;X3Yb0vYvlr8XExKY9yyAHPrY9qBhFFCpwTiB2YVC49crIDFrPOiIoRBhyA5qzhnSELGQlvL6mhcX&#10;Cn0q1TPhYfVb8aUf6YqJCHwKJVsyMhohdWKnoSW/gc1+mXyHK72zM1zhoG2PZoAYQAGyriEi419b&#10;vSQkRkrM+OyTlyo8mcG7NOkdEE1ICRcRo703IwQ1UpY3o4THfZbNKSiyytkVGIxXrxoOUvj44iNm&#10;BldF8Kr0JuLczkQylByeUhN34qMTHx9eH3Of+Ig1FM9YqgGhHZX+mpP4AiXbVn7IZeUnmpWH3nMI&#10;FsfEMDwSoRGVKePhnZItV2s9LPkYQ30MBwn5ZMX1VASkJ5HQC30Exqq6qZdEgAEqIxYpIhJXXf/S&#10;enM4VNePz5pkOCGMpyBxSILICjhcylYuaxwqpF3AIWfLaAvkwiFVczJjubcSCWvZYmGHDc49DgM+&#10;hnuU2uqEliJFMYltE+mWIn0qGQaspzZgHN9zU3qzFClCmsKuFnFLkZzjns7K9mhI1Ow57tMtRSJI&#10;sqBu/HaY49Yi9UxtFMc9ZFX2Rvw51iKFPjO7bdxsdOH0rUnqW9DfBzo3vgfdW3USBdgLxTIfbtWJ&#10;c6BTcaCYOBOiniQkESO65kr4/M7eDI56upkzoZlziHqyo3avET6j/X5sYSh4YLsOt33NeNQTtnKg&#10;nqNVhRGfcb+HCBfRnSp+Jxp9GqIR0DilIhnKQmLqWbE/IPansdM9bgMbl+6ZyH6ImDqHimSOVY2w&#10;S0mf8AxjEdlLp51qNKrrPlz/cqodbLC1hIlbsCGvDwH9tmLoZKOpykZDkcwEZCPBycDssKCdWCBy&#10;upGLficU/U6p2CjEkgWzPwSh2NPcnjpOOHJTZ0JTZyg2OuHifnAOQuS6WdReBlixYG+jd7O6n2Ff&#10;ZPbAZg/tFPbyn/LqfmyONGSc9vKQx8UQDJujsj6GOJR53qcAz/17DK9nE0xs7JDKnwjRxZT690zk&#10;j5Dsv1fbP9z8hsu7/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xCwAAW0NvbnRlbnRfVHlwZXNdLnhtbFBLAQIUAAoAAAAAAIdO4kAAAAAAAAAA&#10;AAAAAAAGAAAAAAAAAAAAEAAAABMKAABfcmVscy9QSwECFAAUAAAACACHTuJAihRmPNEAAACUAQAA&#10;CwAAAAAAAAABACAAAAA3CgAAX3JlbHMvLnJlbHNQSwECFAAKAAAAAACHTuJAAAAAAAAAAAAAAAAA&#10;BAAAAAAAAAAAABAAAAAAAAAAZHJzL1BLAQIUABQAAAAIAIdO4kAQF8sr2AAAAAUBAAAPAAAAAAAA&#10;AAEAIAAAACIAAABkcnMvZG93bnJldi54bWxQSwECFAAUAAAACACHTuJAgJle2MAIAAALZgAADgAA&#10;AAAAAAABACAAAAAnAQAAZHJzL2Uyb0RvYy54bWxQSwUGAAAAAAYABgBZAQAAWQwAAAAA&#10;">
                        <v:fill on="f" focussize="0,0"/>
                        <v:stroke on="f"/>
                        <v:imagedata o:title=""/>
                        <o:lock v:ext="edit" aspectratio="t"/>
                      </v:shape>
                      <v:shape id="AutoShape 1388" o:spid="_x0000_s1026" o:spt="32" type="#_x0000_t32" style="position:absolute;left:82550;top:1360616;height:635;width:504190;" filled="f" stroked="t" coordsize="21600,21600" o:gfxdata="UEsDBAoAAAAAAIdO4kAAAAAAAAAAAAAAAAAEAAAAZHJzL1BLAwQUAAAACACHTuJAZxrVZ9cAAAAF&#10;AQAADwAAAGRycy9kb3ducmV2LnhtbE2PQUvDQBCF74L/YRnBS2l326gtMZseBEEQBaPQHqfJuIlm&#10;Z8PuNqn/3tWLXgYe7/HeN8X2ZHsxkg+dYw3LhQJBXLumY6Ph7fV+vgERInKDvWPS8EUBtuX5WYF5&#10;4yZ+obGKRqQSDjlqaGMccilD3ZLFsHADcfLenbcYk/RGNh6nVG57uVLqRlrsOC20ONBdS/VndbQa&#10;8GE/81yNj2baZ5mcnmZm9/Gs9eXFUt2CiHSKf2H4wU/oUCamgztyE0SvIT0Sf2/y1uvsGsRBw9VG&#10;rUCWhfxPX34DUEsDBBQAAAAIAIdO4kBlL15E7QEAAM4DAAAOAAAAZHJzL2Uyb0RvYy54bWytU02P&#10;2yAQvVfqf0DcG9vJOs1acVZV0u2lHyu1+wMIYBsJGAQkTv59B+xdbbeXPawP1sAwb957DNu7i9Hk&#10;LH1QYFtaLUpKpOUglO1b+vjn/tOGkhCZFUyDlS29ykDvdh8/bEfXyCUMoIX0BEFsaEbX0iFG1xRF&#10;4IM0LCzASYvJDrxhEZe+L4RnI6IbXSzLcl2M4IXzwGUIuHuYknRG9G8BhK5TXB6An4y0cUL1UrOI&#10;ksKgXKC7zLbrJI+/ui7ISHRLUWnMf2yC8TH9i92WNb1nblB8psDeQuGVJsOUxabPUAcWGTl59R+U&#10;UdxDgC4uOJhiEpIdQRVV+cqb3wNzMmtBq4N7Nj28Hyz/eX7wRAmchNv6hhLLDN75l1OE3JxUq80m&#10;mTS60ODZvX3w8yo4LDyOP0BgAcOCrP/SeZN8QGXk0tLNsq7R6ivCr9blulpPhstLJBzTdXlT3WKe&#10;44H1qk7JgjVPGM6H+E2CISloaYieqX6Ie7AW7xV8lTuy8/cQp8KngkTAwr3SGvdZoy0ZkUC9+Vzn&#10;igBaiZRNyeD74157cmZpQvI30/jnmIeTFRktMqW/WkHi1aHw6BWzvZY0tTBSUKIlPqsUTZy0TV1k&#10;HsWZaPIyuTe5egRxzaYWaR+vOXswj2Sao5drjF8+w9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xrVZ9cAAAAFAQAADwAAAAAAAAABACAAAAAiAAAAZHJzL2Rvd25yZXYueG1sUEsBAhQAFAAAAAgA&#10;h07iQGUvXkTtAQAAzgMAAA4AAAAAAAAAAQAgAAAAJgEAAGRycy9lMm9Eb2MueG1sUEsFBgAAAAAG&#10;AAYAWQEAAIUFAAAAAA==&#10;">
                        <v:fill on="f" focussize="0,0"/>
                        <v:stroke weight="1.25pt" color="#000000" joinstyle="round" endarrow="block"/>
                        <v:imagedata o:title=""/>
                        <o:lock v:ext="edit" aspectratio="f"/>
                      </v:shape>
                      <v:shape id="Text Box 1391" o:spid="_x0000_s1026" o:spt="202" type="#_x0000_t202" style="position:absolute;left:22860;top:915481;height:440690;width:539750;" filled="f" stroked="f" coordsize="21600,21600" o:gfxdata="UEsDBAoAAAAAAIdO4kAAAAAAAAAAAAAAAAAEAAAAZHJzL1BLAwQUAAAACACHTuJA191ssNcAAAAF&#10;AQAADwAAAGRycy9kb3ducmV2LnhtbE2PwWrDMBBE74X+g9hCb40Ut02CYzkU4xwCpWCnhRwVa2ub&#10;WCtjyYn791V7SS4Lwwwzb5PNZDp2xsG1liTMZwIYUmV1S7WEz/32aQXMeUVadZZQwg862KT3d4mK&#10;tb1QgefS1yyUkIuVhMb7PubcVQ0a5Wa2Rwretx2M8kEONdeDuoRy0/FIiAU3qqWw0KgeswarUzka&#10;CYcor/Ppo3j7ot17MZ3ybJ+NpZSPD3OxBuZx8tcw/OEHdEgD09GOpB3rJIRH/P8N3nL5/ArsKOFl&#10;JSLgacJv6dNfUEsDBBQAAAAIAIdO4kCe+/i5FgIAACgEAAAOAAAAZHJzL2Uyb0RvYy54bWytU8Fu&#10;2zAMvQ/YPwi6L07SOE2MOEXXoMOArhvQ7gMUWY6FWaJGKbGzrx8lJ13WXXrYxaBI6pHv6Xl105uW&#10;HRR6Dbbkk9GYM2UlVNruSv79+f7DgjMfhK1EC1aV/Kg8v1m/f7fqXKGm0EBbKWQEYn3RuZI3Ibgi&#10;y7xslBF+BE5ZKtaARgQ64i6rUHSEbtpsOh7Psw6wcghSeU/ZzVDkJ0R8CyDUtZZqA3JvlA0DKqpW&#10;BKLkG+08X6dt61rJ8LWuvQqsLTkxDelLQyjexm+2Xolih8I1Wp5WEG9Z4RUnI7SloS9QGxEE26P+&#10;B8poieChDiMJJhuIJEWIxWT8SpunRjiVuJDU3r2I7v8frHw8fEOmK3LCMs85s8LQmz+rPrCP0LPJ&#10;1XISNeqcL6j1yVFz6KlC/Ymvdw8gf3hm4a4RdqduEaFrlKhox3Qzu7g64PgIsu2+QEWTxD5AAupr&#10;NFFAkoQR+nS6mNMbHUu+nOSzRYISRVxLUjW/Wl7nVJZUn83G82V6yEwUZxSHPnxSYFgMSo7kgzRF&#10;HB58ID7Uem6JQy3c67ZNXmjtXwlqHDIqmel0O3KKNAZCod/2J422UB2JHcJgNPrNKGgAf3HWkclK&#10;7n/uBSrO2s+WFIqOTMEsv57SAc/Z7WVWWEkQJQ+cDeFdGBy8d6h3DU0Y3sLCLalZ60QwrjhsQ2zj&#10;gQyUeJ/MHh16eU5df37w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X3Wyw1wAAAAUBAAAPAAAA&#10;AAAAAAEAIAAAACIAAABkcnMvZG93bnJldi54bWxQSwECFAAUAAAACACHTuJAnvv4uRYCAAAoBAAA&#10;DgAAAAAAAAABACAAAAAmAQAAZHJzL2Uyb0RvYy54bWxQSwUGAAAAAAYABgBZAQAArgUAAAAA&#10;">
                        <v:fill on="f" focussize="0,0"/>
                        <v:stroke on="f"/>
                        <v:imagedata o:title=""/>
                        <o:lock v:ext="edit" aspectratio="f"/>
                        <v:textbox inset="0mm,1.27mm,0mm,1.27mm">
                          <w:txbxContent>
                            <w:p w14:paraId="7C3536C0">
                              <w:pPr>
                                <w:jc w:val="center"/>
                              </w:pPr>
                              <w:r>
                                <w:rPr>
                                  <w:rFonts w:hint="eastAsia"/>
                                </w:rPr>
                                <w:t>市政中水1580</w:t>
                              </w:r>
                            </w:p>
                          </w:txbxContent>
                        </v:textbox>
                      </v:shape>
                      <v:rect id="Rectangle 1393" o:spid="_x0000_s1026" o:spt="1" style="position:absolute;left:3475990;top:540196;height:1141095;width:1229360;" filled="f" stroked="t" coordsize="21600,21600" o:gfxdata="UEsDBAoAAAAAAIdO4kAAAAAAAAAAAAAAAAAEAAAAZHJzL1BLAwQUAAAACACHTuJAjp2pEdUAAAAF&#10;AQAADwAAAGRycy9kb3ducmV2LnhtbE2PwU7DMBBE70j8g7VI3KjdktAoxOkBCQRH0iLEbRtvE4t4&#10;HcVuU/4ewwUuK41mNPO22pzdIE40BetZw3KhQBC33ljuNOy2jzcFiBCRDQ6eScMXBdjUlxcVlsbP&#10;/EqnJnYilXAoUUMf41hKGdqeHIaFH4mTd/CTw5jk1Ekz4ZzK3SBXSt1Jh5bTQo8jPfTUfjZHp4EP&#10;T7bI53bYZS8fb3mGzbN9t1pfXy3VPYhI5/gXhh/8hA51Ytr7I5sgBg3pkfh7k7de3+Yg9hqyQq1A&#10;1pX8T19/A1BLAwQUAAAACACHTuJAd/FJkz8CAAB1BAAADgAAAGRycy9lMm9Eb2MueG1srVRNb9sw&#10;DL0P2H8QdF9tJ3EaG3WKIkGHAd1WrNsPUGQ5FqavUUqc7tePkt0u7S49zAdDNKlHvkfSV9cnrchR&#10;gJfWNLS4yCkRhttWmn1Df3y//bCixAdmWqasEQ19FJ5er9+/uxpcLWa2t6oVQBDE+HpwDe1DcHWW&#10;ed4LzfyFdcKgs7OgWUAT9lkLbEB0rbJZni+zwULrwHLhPX7djk46IcJbAG3XSS62lh+0MGFEBaFY&#10;QEq+l87Tdaq26wQPX7vOi0BUQ5FpSG9MguddfGfrK1bvgble8qkE9pYSXnHSTBpM+gy1ZYGRA8h/&#10;oLTkYL3twgW3OhuJJEWQRZG/0uahZ04kLii1d8+i+/8Hy78c74HIFiehKpeUGKax599QN2b2SpBi&#10;Xs2jSIPzNcY+uHuINL27s/ynJ8ZuegwUNwB26AVrsbQixmcvLkTD41WyGz7bFhOwQ7BJr1MHOgKi&#10;EuTU0PnisqwqbM5jQ8tFXlTLsUPiFAhHfzGbVfMl+jkGFMWiyKsypWP1E5IDHz4Kq0k8NBSQSsrE&#10;jnc+xMpY/RQSExt7K5VKY6AMGRC1XF2W6Ya3SrbRmxjDfrdRQI4sTlJ6psQvwrQMuB1K6oauzoOU&#10;iSAiTeRUx5Moo7jhtDtNOu9s+4hagR2nFXcVD72F35QMOKkN9b8ODAQl6pNBvVGnPI52Mhbl5QwN&#10;OPfszj3McIRqaKBkPG7CuA4HB3LfY6YikTf2BnvUySRZLHWsauosTmNSctqcOO7ndor6+7d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OnakR1QAAAAUBAAAPAAAAAAAAAAEAIAAAACIAAABkcnMv&#10;ZG93bnJldi54bWxQSwECFAAUAAAACACHTuJAd/FJkz8CAAB1BAAADgAAAAAAAAABACAAAAAkAQAA&#10;ZHJzL2Uyb0RvYy54bWxQSwUGAAAAAAYABgBZAQAA1QUAAAAA&#10;">
                        <v:fill on="f" focussize="0,0"/>
                        <v:stroke weight="1.25pt" color="#000000" miterlimit="8" joinstyle="miter"/>
                        <v:imagedata o:title=""/>
                        <o:lock v:ext="edit" aspectratio="f"/>
                        <v:textbox inset="1.5mm,1.27mm,1.5mm,1.27mm">
                          <w:txbxContent>
                            <w:p w14:paraId="4E03978E">
                              <w:pPr>
                                <w:jc w:val="center"/>
                              </w:pPr>
                              <w:r>
                                <w:rPr>
                                  <w:rFonts w:hint="eastAsia"/>
                                </w:rPr>
                                <w:t>进入废弃泥浆、钻井岩屑中，由罐车拉运至内蒙古众宁环保科技有限公司油气田废弃物集中处理厂处理</w:t>
                              </w:r>
                            </w:p>
                          </w:txbxContent>
                        </v:textbox>
                      </v:rect>
                      <v:shape id="AutoShape 1390" o:spid="_x0000_s1026" o:spt="32" type="#_x0000_t32" style="position:absolute;left:596265;top:432246;height:1270;width:431800;" filled="f" stroked="t" coordsize="21600,21600" o:gfxdata="UEsDBAoAAAAAAIdO4kAAAAAAAAAAAAAAAAAEAAAAZHJzL1BLAwQUAAAACACHTuJAZxrVZ9cAAAAF&#10;AQAADwAAAGRycy9kb3ducmV2LnhtbE2PQUvDQBCF74L/YRnBS2l326gtMZseBEEQBaPQHqfJuIlm&#10;Z8PuNqn/3tWLXgYe7/HeN8X2ZHsxkg+dYw3LhQJBXLumY6Ph7fV+vgERInKDvWPS8EUBtuX5WYF5&#10;4yZ+obGKRqQSDjlqaGMccilD3ZLFsHADcfLenbcYk/RGNh6nVG57uVLqRlrsOC20ONBdS/VndbQa&#10;8GE/81yNj2baZ5mcnmZm9/Gs9eXFUt2CiHSKf2H4wU/oUCamgztyE0SvIT0Sf2/y1uvsGsRBw9VG&#10;rUCWhfxPX34DUEsDBBQAAAAIAIdO4kAQy6mR7wEAAM8DAAAOAAAAZHJzL2Uyb0RvYy54bWytU02P&#10;2yAQvVfqf0DcG8fOtxVnVSXdXtruSm1/AAFsIwGDgMTJv++Ak9V2e9lDfbCAYd6b92bYPlyMJmfp&#10;gwLb0HIypURaDkLZrqG/fz1+WlMSIrOCabCyoVcZ6MPu44ft4GpZQQ9aSE8QxIZ6cA3tY3R1UQTe&#10;S8PCBJy0GGzBGxZx67tCeDYgutFFNZ0uiwG8cB64DAFPD2OQ3hD9ewChbRWXB+AnI20cUb3ULKKk&#10;0CsX6C5X27aSx6e2DTIS3VBUGvMfSXB9TP9it2V155nrFb+VwN5TwhtNhimLpC9QBxYZOXn1D5RR&#10;3EOANk44mGIUkh1BFeX0jTc/e+Zk1oJWB/dievh/sPzH+dkTJXASNosVJZYZ7PnnU4RMTsrZJps0&#10;uFDj3b199mhZ2gWHicfhOwhMYJiQ9V9ab5IPqIxcGrrYLKvlgpJrQ+ezqpovR8PlJRKO4fmsXE+x&#10;FRzjZbXKTAWr7yDOh/hVgiFp0dAQPVNdH/dgLTYWfJkp2flbiFgUJt4TUgUWHpXWub/akgEJFuvV&#10;ImcE0EqkaLoXfHfca0/OLI1I/lKRiPbXNQ8nKzJaZEp/sYLEq0Pl0StmOy1pojBSUKIlvqu0GlG0&#10;TSwyz+Kt0Lt9o5FHENfsapHOsc+Z/DaTaZBe73H9+h3u/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nGtVn1wAAAAUBAAAPAAAAAAAAAAEAIAAAACIAAABkcnMvZG93bnJldi54bWxQSwECFAAUAAAA&#10;CACHTuJAEMupke8BAADPAwAADgAAAAAAAAABACAAAAAmAQAAZHJzL2Uyb0RvYy54bWxQSwUGAAAA&#10;AAYABgBZAQAAhwUAAAAA&#10;">
                        <v:fill on="f" focussize="0,0"/>
                        <v:stroke weight="1.25pt" color="#000000" joinstyle="round" endarrow="block"/>
                        <v:imagedata o:title=""/>
                        <o:lock v:ext="edit" aspectratio="f"/>
                      </v:shape>
                      <v:rect id="Rectangle 1405" o:spid="_x0000_s1026" o:spt="1" style="position:absolute;left:1028065;top:224601;height:431800;width:828040;" filled="f" stroked="t" coordsize="21600,21600" o:gfxdata="UEsDBAoAAAAAAIdO4kAAAAAAAAAAAAAAAAAEAAAAZHJzL1BLAwQUAAAACACHTuJA4sH8vtgAAAAF&#10;AQAADwAAAGRycy9kb3ducmV2LnhtbE2PQUvDQBCF74L/YRnBm91tqqbEbApWKlgRNO3F2zQ7JsHs&#10;bMhu2/Tfu/Wil4HHe7z3Tb4YbScONPjWsYbpRIEgrpxpudaw3axu5iB8QDbYOSYNJ/KwKC4vcsyM&#10;O/IHHcpQi1jCPkMNTQh9JqWvGrLoJ64njt6XGyyGKIdamgGPsdx2MlHqXlpsOS402NOyoeq73FsN&#10;K/n+uN08l6/Lt3qdrJ/Gl1k6fmp9fTVVDyACjeEvDGf8iA5FZNq5PRsvOg3xkfB7o5emszsQOw23&#10;c5WALHL5n774AVBLAwQUAAAACACHTuJALVtfezoCAABrBAAADgAAAGRycy9lMm9Eb2MueG1srVTB&#10;bhoxEL1X6j9YvpddKBC6YokiUKpKaRM17QcYr5e1anvcsWFJv75jL6Q0veRQDivbM37z3psxy+uj&#10;NeygMGhwNR+PSs6Uk9Bot6v592+37xachShcIww4VfMnFfj16u2bZe8rNYEOTKOQEYgLVe9r3sXo&#10;q6IIslNWhBF45SjYAloRaYu7okHRE7o1xaQs50UP2HgEqUKg080Q5CdEfA0gtK2WagNyb5WLAyoq&#10;IyJJCp32ga8y27ZVMt63bVCRmZqT0pi/VITW2/QtVktR7VD4TssTBfEaCi80WaEdFX2G2ogo2B71&#10;P1BWS4QAbRxJsMUgJDtCKsblC28eO+FV1kJWB/9sevh/sPLL4QGZbmgSPsyo805Y6vlX8k24nVFs&#10;PC1nyaTeh4pyH/0DJpnB34H8EZiDdUeJ6gYR+k6JhqiNU37x14W0CXSVbfvP0FABsY+Q/Tq2aBMg&#10;OcGOdLecLMr5jLOnmk8m03mZwUSljpFJii8oPKXeSYpP348XZe5gIaozjscQPyqwLC1qjiQk1xGH&#10;uxATL1GdU1JZB7famDwExrGeCMwWV7N8I4DRTYpmvbjbrg2yg0hzlH9ZJTlxmWZ1pLdhtCWml0nG&#10;JRCV5/HE42zJYG08bo8nl7fQPJFTCMOs0kulRQf4i7Oe5rTm4edeoOLMfHLkdhrqvJjOria0wfPp&#10;9vJUOEkQNY+cDct1HB7B3qPedVRhnEU7uKHOtDpblSgObE79pBnMDp7eSxryy33O+vMfsf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4sH8vtgAAAAFAQAADwAAAAAAAAABACAAAAAiAAAAZHJzL2Rv&#10;d25yZXYueG1sUEsBAhQAFAAAAAgAh07iQC1bX3s6AgAAawQAAA4AAAAAAAAAAQAgAAAAJwEAAGRy&#10;cy9lMm9Eb2MueG1sUEsFBgAAAAAGAAYAWQEAANMFAAAAAA==&#10;">
                        <v:fill on="f" focussize="0,0"/>
                        <v:stroke weight="1.25pt" color="#000000" miterlimit="8" joinstyle="miter"/>
                        <v:imagedata o:title=""/>
                        <o:lock v:ext="edit" aspectratio="f"/>
                        <v:textbox inset="0mm,1.27mm,0mm,1.27mm">
                          <w:txbxContent>
                            <w:p w14:paraId="2E03D3E1">
                              <w:pPr>
                                <w:pStyle w:val="25"/>
                                <w:jc w:val="center"/>
                                <w:rPr>
                                  <w:rFonts w:ascii="Times New Roman" w:hAnsi="Times New Roman"/>
                                </w:rPr>
                              </w:pPr>
                              <w:r>
                                <w:rPr>
                                  <w:rFonts w:hint="eastAsia" w:ascii="Times New Roman" w:hAnsi="Times New Roman"/>
                                  <w:sz w:val="21"/>
                                  <w:szCs w:val="21"/>
                                </w:rPr>
                                <w:t>1号井钻井泥浆</w:t>
                              </w:r>
                              <w:r>
                                <w:rPr>
                                  <w:rFonts w:ascii="Times New Roman" w:hAnsi="Times New Roman"/>
                                  <w:sz w:val="21"/>
                                  <w:szCs w:val="21"/>
                                </w:rPr>
                                <w:t>循环系统</w:t>
                              </w:r>
                            </w:p>
                          </w:txbxContent>
                        </v:textbox>
                      </v:rect>
                      <v:shape id="Text Box 1406" o:spid="_x0000_s1026" o:spt="202" type="#_x0000_t202" style="position:absolute;left:2230120;top:196661;height:252095;width:36004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KQvNuZuAgAAGAUAAA4AAABkcnMvZTJvRG9jLnhtbK1Uy27b&#10;MBC8F+g/ELzXkhVbrYXIQZrARYH0ASRFzzRFSUQpLkvSltKv75KUUyO9BGh1IChyNTszu6vLq2lQ&#10;5Cisk6BrulzklAjNoZG6q+m3h92bd5Q4z3TDFGhR00fh6NX29avL0VSigB5UIyxBEO2q0dS0995U&#10;WeZ4LwbmFmCExssW7MA8vtouaywbEX1QWZHnZTaCbYwFLpzD09t0SWdE+xJAaFvJxS3wwyC0T6hW&#10;KOZRkuulcXQb2bat4P5L2zrhiaopKvVxxSS434c1216yqrPM9JLPFNhLKDzTNDCpMekT1C3zjBys&#10;/AtqkNyCg9YvOAxZEhIdQRXL/Jk39z0zImpBq515Mt39P1j++fjVEtlgJ2zWG0o0G7DmD2Ly5D1M&#10;ZLnKy+DRaFyFofcGg/2ENxgf9TpzB/yHIxpueqY7cW0tjL1gDXJchi+zs08Tjgsg+/ETNJiJHTxE&#10;oKm1QzAQLSGIXhQX+bLAKj0GZmVZRjBWBWIc7y/KPF+tKeF4X6yLfLOOyVh1wjHW+Q8CBhI2NbXY&#10;CTEPO945H3ix6hQy163ZSaWIBf9d+j5afxLZOfwmRjliAJXlSbvt9jfKkiPD5trFJ6VQpmfpNDYY&#10;pnIpNKbt3DnUMg/Pv+JhiieSSmqCpajpepWwieNMiVDi2SPs9yg28FA6rBqC+GRLOhFxeGavQg1D&#10;2VIB/bSf5p7YQ/OI1UTT4kjhbwU3PdhflIw4VDV1Pw/MCkrURx19Iz5uVuu3obj2dLo/P2WaI0RN&#10;PUUdYXvj08QejJVdjxlS72m4xu5pZSxnoJjYzD2HA5PsTsMdJvL8PUb9+aF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QO4p1gAAAAUBAAAPAAAAAAAAAAEAIAAAACIAAABkcnMvZG93bnJldi54&#10;bWxQSwECFAAUAAAACACHTuJApC825m4CAAAYBQAADgAAAAAAAAABACAAAAAlAQAAZHJzL2Uyb0Rv&#10;Yy54bWxQSwUGAAAAAAYABgBZAQAABQYAAAAA&#10;">
                        <v:fill type="gradient" on="t" color2="#FFFFFF" opacity="0f" o:opacity2="0f" focus="100%" focussize="0,0" rotate="t"/>
                        <v:stroke on="f"/>
                        <v:imagedata o:title=""/>
                        <o:lock v:ext="edit" aspectratio="f"/>
                        <v:textbox inset="0mm,1.27mm,0mm,1.27mm">
                          <w:txbxContent>
                            <w:p w14:paraId="050FACD2">
                              <w:pPr>
                                <w:pStyle w:val="25"/>
                                <w:jc w:val="center"/>
                                <w:rPr>
                                  <w:rFonts w:ascii="Times New Roman" w:hAnsi="Times New Roman"/>
                                  <w:sz w:val="21"/>
                                  <w:szCs w:val="21"/>
                                </w:rPr>
                              </w:pPr>
                              <w:r>
                                <w:rPr>
                                  <w:rFonts w:hint="eastAsia" w:ascii="Times New Roman" w:hAnsi="Times New Roman"/>
                                  <w:sz w:val="21"/>
                                  <w:szCs w:val="21"/>
                                </w:rPr>
                                <w:t>320</w:t>
                              </w:r>
                            </w:p>
                          </w:txbxContent>
                        </v:textbox>
                      </v:shape>
                      <v:shape id="AutoShape 1408" o:spid="_x0000_s1026" o:spt="32" type="#_x0000_t32" style="position:absolute;left:1863090;top:452566;height:635;width:1151890;" filled="f" stroked="t" coordsize="21600,21600" o:gfxdata="UEsDBAoAAAAAAIdO4kAAAAAAAAAAAAAAAAAEAAAAZHJzL1BLAwQUAAAACACHTuJAZwssTtgAAAAF&#10;AQAADwAAAGRycy9kb3ducmV2LnhtbE2PzU7DMBCE70i8g7VI3KjdAmkJcSqVCpELldoixNGNl9hq&#10;vI5i94+nx3BpLyuNZjTzbTE9upbtsQ/Wk4ThQABDqr221Ej4WL/eTYCFqEir1hNKOGGAaXl9Vahc&#10;+wMtcb+KDUslFHIlwcTY5ZyH2qBTYeA7pOR9+96pmGTfcN2rQyp3LR8JkXGnLKUFozp8MVhvVzsn&#10;Ic6/Tib7rGdPdrF+e8/sT1VVcylvb4biGVjEYzyH4Q8/oUOZmDZ+RzqwVkJ6JP7f5I3H94/ANhIe&#10;JmIEvCz4JX35C1BLAwQUAAAACACHTuJAqrj8N+sBAADPAwAADgAAAGRycy9lMm9Eb2MueG1srVNN&#10;b+MgEL2vtP8Bcd/YThsrseJUVbLdy35U2u0PIIBtJGAQkDj59ztgt2q7lx7WB2tgmDfvPYbt3cVo&#10;cpY+KLAtrRYlJdJyEMr2LX368/BlTUmIzAqmwcqWXmWgd7vPn7aja+QSBtBCeoIgNjSja+kQo2uK&#10;IvBBGhYW4KTFZAfesIhL3xfCsxHRjS6WZVkXI3jhPHAZAu4epiSdEf1HAKHrFJcH4CcjbZxQvdQs&#10;oqQwKBfoLrPtOsnjr64LMhLdUlQa8x+bYHxM/2K3ZU3vmRsUnymwj1B4p8kwZbHpC9SBRUZOXv0D&#10;ZRT3EKCLCw6mmIRkR1BFVb7z5vfAnMxa0OrgXkwP/w+W/zw/eqIETsKmRlMsM3jn96cIuTmpbst1&#10;Mml0ocGze/vo51VwWHgcf4DAAoYFWf+l8yb5gMrIBUHX9U25QdxrS29Xy1VdT47LSyQ85atVtU55&#10;jgfqm1XKFqx5RnE+xG8SDElBS0P0TPVD3IO1eLPgq9yTnb+HOBU+FyQKFh6U1rjPGm3J2NINEsgF&#10;AbQSKZlywffHvfbkzNKI5G9m8eaYh5MVGSwypb9aQeLVofLoFbO9ljR1MFJQoiW+qxRNlLRNXWSe&#10;xZlnMjPZN9l6BHHNrhZpH+85WzDPZBqk12uMX7/D3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CyxO2AAAAAUBAAAPAAAAAAAAAAEAIAAAACIAAABkcnMvZG93bnJldi54bWxQSwECFAAUAAAACACH&#10;TuJAqrj8N+sBAADPAwAADgAAAAAAAAABACAAAAAnAQAAZHJzL2Uyb0RvYy54bWxQSwUGAAAAAAYA&#10;BgBZAQAAhAUAAAAA&#10;">
                        <v:fill on="f" focussize="0,0"/>
                        <v:stroke color="#000000" joinstyle="round" endarrow="block"/>
                        <v:imagedata o:title=""/>
                        <o:lock v:ext="edit" aspectratio="f"/>
                      </v:shape>
                      <v:shape id="AutoShape 1398" o:spid="_x0000_s1026" o:spt="32" type="#_x0000_t32" style="position:absolute;left:1444625;top:36006;flip:y;height:179705;width:266700;" filled="f" stroked="t" coordsize="21600,21600" o:gfxdata="UEsDBAoAAAAAAIdO4kAAAAAAAAAAAAAAAAAEAAAAZHJzL1BLAwQUAAAACACHTuJALcVnRtYAAAAF&#10;AQAADwAAAGRycy9kb3ducmV2LnhtbE2PO0/DQBCEeyT+w2mR6MidwyOJ8TkFCg2kCDH0G99iW9zD&#10;8m0ezq/noIFmpdGMZr4tlidnxYGG2AWvIZsoEOTrYDrfaHivnm/mICKjN2iDJw0jRViWlxcF5iYc&#10;/RsdttyIVOJjjhpa5j6XMtYtOYyT0JNP3mcYHHKSQyPNgMdU7qycKvUgHXY+LbTY01NL9dd27zSs&#10;XhavH3we1lnF43ph8bzajJXW11eZegTBdOK/MPzgJ3QoE9Mu7L2JwmpIj/DvTd5sdnsPYqfhbq6m&#10;IMtC/qcvvwFQSwMEFAAAAAgAh07iQFxiaOkAAgAA8wMAAA4AAABkcnMvZTJvRG9jLnhtbK1TTY/b&#10;IBC9V+p/QNwbO9nESaw4qyrp9tJ2V+rHnQC2kYBBQOLk33fA7mq7veyhPljzwbyZ9xh291ejyUX6&#10;oMA2dD4rKZGWg1C2a+jPHw8fNpSEyKxgGqxs6E0Ger9//243uFouoActpCcIYkM9uIb2Mbq6KALv&#10;pWFhBk5aTLbgDYvo+q4Qng2IbnSxKMuqGMAL54HLEDB6HJN0QvRvAYS2VVwegZ+NtHFE9VKziJRC&#10;r1yg+zxt20oeH9s2yEh0Q5FpzH9sgvYp/Yv9jtWdZ65XfBqBvWWEV5wMUxabPkMdWWTk7NU/UEZx&#10;DwHaOONgipFIVgRZzMtX2nzvmZOZC0od3LPo4f/B8m+XJ0+UwE3YVnNKLDN45x/PEXJzMr/bbpJI&#10;gws1nj3YJz95wWHhafgKAgsYFmT+19Yb0mrlfiFijiBHckVnuVxWixUlt4beVbgHo/TyGgnH9KKq&#10;1iVeCsf0fL1dl6uUL1idAJOwzof4WYIhyWhoiJ6pro8HsBYvGfzYjF2+hDgW/ilIxRYelNYYZ7W2&#10;ZMAWq816lccLoJVI2ZQMvjsdtCcXltYlf9MYfx1L0EcW+vGcQGsk4+FsRe4SmdKfrCDx5lCd6BWz&#10;nZY0tTZSUKIlvr1kjbNqm7rLvK8TgSR4kniU/gTilpUvUhx3IWsz7W1atpc+2i/f6v4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cVnRtYAAAAFAQAADwAAAAAAAAABACAAAAAiAAAAZHJzL2Rvd25y&#10;ZXYueG1sUEsBAhQAFAAAAAgAh07iQFxiaOkAAgAA8wMAAA4AAAAAAAAAAQAgAAAAJQEAAGRycy9l&#10;Mm9Eb2MueG1sUEsFBgAAAAAGAAYAWQEAAJcFAAAAAA==&#10;">
                        <v:fill on="f" focussize="0,0"/>
                        <v:stroke weight="1.25pt" color="#000000" joinstyle="round" dashstyle="dash" endarrow="block"/>
                        <v:imagedata o:title=""/>
                        <o:lock v:ext="edit" aspectratio="f"/>
                      </v:shape>
                      <v:shape id="AutoShape 1398" o:spid="_x0000_s1026" o:spt="32" type="#_x0000_t32" style="position:absolute;left:1343660;top:2534731;flip:y;height:179705;width:266700;" filled="f" stroked="t" coordsize="21600,21600" o:gfxdata="UEsDBAoAAAAAAIdO4kAAAAAAAAAAAAAAAAAEAAAAZHJzL1BLAwQUAAAACACHTuJALcVnRtYAAAAF&#10;AQAADwAAAGRycy9kb3ducmV2LnhtbE2PO0/DQBCEeyT+w2mR6MidwyOJ8TkFCg2kCDH0G99iW9zD&#10;8m0ezq/noIFmpdGMZr4tlidnxYGG2AWvIZsoEOTrYDrfaHivnm/mICKjN2iDJw0jRViWlxcF5iYc&#10;/RsdttyIVOJjjhpa5j6XMtYtOYyT0JNP3mcYHHKSQyPNgMdU7qycKvUgHXY+LbTY01NL9dd27zSs&#10;XhavH3we1lnF43ph8bzajJXW11eZegTBdOK/MPzgJ3QoE9Mu7L2JwmpIj/DvTd5sdnsPYqfhbq6m&#10;IMtC/qcvvwFQSwMEFAAAAAgAh07iQMAm52oCAgAA9QMAAA4AAABkcnMvZTJvRG9jLnhtbK1TTW/b&#10;MAy9D9h/EHRf7CSNkxhxiiFZd9nWAvu4K5JsC5BEQVLi5N+Pkr2i6y49zAeBFMlHvmdqd381mlyk&#10;DwpsQ+ezkhJpOQhlu4b+/PHwYUNJiMwKpsHKht5koPf79+92g6vlAnrQQnqCIDbUg2toH6OriyLw&#10;XhoWZuCkxWAL3rCIru8K4dmA6EYXi7KsigG8cB64DAFvj2OQToj+LYDQtorLI/CzkTaOqF5qFpFS&#10;6JULdJ+nbVvJ42PbBhmJbigyjfnEJmif0lnsd6zuPHO94tMI7C0jvOJkmLLY9BnqyCIjZ6/+gTKK&#10;ewjQxhkHU4xEsiLIYl6+0uZ7z5zMXFDq4J5FD/8Pln+7PHmiBG7CtlpQYpnBf/7xHCE3J/PldpNE&#10;GlyoMfdgn/zkBYeFp+ErCCxgWJD5X1tvSKuV+4WI+QY5kis6y7tlVaHst4YuVsu79XI+ii+vkXBM&#10;WFTVusQ4x4T5ersuVylesDpBJmmdD/GzBEOS0dAQPVNdHw9gLf5m8GM7dvkS4lj4pyAVW3hQWuM9&#10;q7UlA7ZYbdarPGAArUSKpmDw3emgPbmwtDD5m8b4Ky1BH1noxzyB1kjGw9mK3CUypT9ZQeLNoT7R&#10;K2Y7LWlqbaSgREt8fckaZ9U2dZd5YycCSfIk8ij+CcQta1+ke9yGrM20uWndXvpov3yt+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txWdG1gAAAAUBAAAPAAAAAAAAAAEAIAAAACIAAABkcnMvZG93&#10;bnJldi54bWxQSwECFAAUAAAACACHTuJAwCbnagICAAD1AwAADgAAAAAAAAABACAAAAAlAQAAZHJz&#10;L2Uyb0RvYy54bWxQSwUGAAAAAAYABgBZAQAAmQUAAAAA&#10;">
                        <v:fill on="f" focussize="0,0"/>
                        <v:stroke weight="1.25pt" color="#000000" joinstyle="round" dashstyle="dash" endarrow="block"/>
                        <v:imagedata o:title=""/>
                        <o:lock v:ext="edit" aspectratio="f"/>
                      </v:shape>
                      <v:shape id="Text Box 1406" o:spid="_x0000_s1026" o:spt="202" type="#_x0000_t202" style="position:absolute;left:558165;top:179516;height:252095;width:46799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CVk6MJsAgAAFwUAAA4AAABkcnMvZTJvRG9jLnhtbK1UTW/b&#10;MAy9D9h/EHRfbGdJ2hhxii5FhwHdB9AOOyuybAuTRU1SYme/fpSUpEF3KbD5IMgk/cj3SHp1M/aK&#10;7IV1EnRFi0lOidAcaqnbin5/un93TYnzTNdMgRYVPQhHb9Zv36wGU4opdKBqYQmCaFcOpqKd96bM&#10;Msc70TM3ASM0OhuwPfP4atustmxA9F5l0zxfZAPY2ljgwjm03iUnPSLa1wBC00gu7oDveqF9QrVC&#10;MY+UXCeNo+tYbdMI7r82jROeqIoiUx9PTIL3bTiz9YqVrWWmk/xYAntNCS849UxqTHqGumOekZ2V&#10;f0H1kltw0PgJhz5LRKIiyKLIX2jz2DEjIheU2pmz6O7/wfIv+2+WyBonYbl4T4lmPfb8SYyefICR&#10;FLN8ETQajCsx9NFgsB/Rg/GRrzMPwH86omHTMd2KW2th6ASrscYifJldfJpwXADZDp+hxkxs5yEC&#10;jY3tg4AoCUH0+fy6WMwpOSDM1XJexCpYGeri6J4trpZLdHP0T+fTHO8hFytPMMY6/1FAT8KlohYH&#10;IaZh+wfnU+gp5Ni2+l4qRSz4H9J3UfkTx9bhNzHKEQNILE/UbbvdKEv2DGfrPj4phTIdS9Y4X1iV&#10;S6GxwtZdQhV5eP4VD1Oci1RSE+wESjhL2MRxpkTo8FEjHPdINtShdDg1BPJJlmQRcXeOWoUWhq6l&#10;/vlxO2JoMG6hPmAzUbS4UfhXwUsH9jclA+5URd2vHbOCEvVJR92Ij5fZ/GqKG2hP1u2llWmOEBX1&#10;FHmE68anhd0ZK9sOM6TR03CLw9PI2M7nao4jh/uS5E67HRby8j1GPf/P1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0DuKdYAAAAFAQAADwAAAAAAAAABACAAAAAiAAAAZHJzL2Rvd25yZXYueG1s&#10;UEsBAhQAFAAAAAgAh07iQCVk6MJsAgAAFwUAAA4AAAAAAAAAAQAgAAAAJQEAAGRycy9lMm9Eb2Mu&#10;eG1sUEsFBgAAAAAGAAYAWQEAAAMGAAAAAA==&#10;">
                        <v:fill type="gradient" on="t" color2="#FFFFFF" opacity="0f" o:opacity2="0f" focus="100%" focussize="0,0" rotate="t"/>
                        <v:stroke on="f"/>
                        <v:imagedata o:title=""/>
                        <o:lock v:ext="edit" aspectratio="f"/>
                        <v:textbox inset="0mm,1.27mm,0mm,1.27mm">
                          <w:txbxContent>
                            <w:p w14:paraId="795F09EB">
                              <w:pPr>
                                <w:pStyle w:val="25"/>
                                <w:jc w:val="center"/>
                                <w:rPr>
                                  <w:rFonts w:ascii="Times New Roman" w:hAnsi="Times New Roman"/>
                                  <w:sz w:val="21"/>
                                  <w:szCs w:val="21"/>
                                </w:rPr>
                              </w:pPr>
                              <w:r>
                                <w:rPr>
                                  <w:rFonts w:hint="eastAsia" w:ascii="Times New Roman" w:hAnsi="Times New Roman"/>
                                  <w:sz w:val="21"/>
                                  <w:szCs w:val="21"/>
                                </w:rPr>
                                <w:t>400</w:t>
                              </w:r>
                            </w:p>
                          </w:txbxContent>
                        </v:textbox>
                      </v:shape>
                      <v:rect id="Rectangle 1405" o:spid="_x0000_s1026" o:spt="1" style="position:absolute;left:1003935;top:2241361;height:252095;width:612140;" filled="f" stroked="t" coordsize="21600,21600" o:gfxdata="UEsDBAoAAAAAAIdO4kAAAAAAAAAAAAAAAAAEAAAAZHJzL1BLAwQUAAAACACHTuJA4sH8vtgAAAAF&#10;AQAADwAAAGRycy9kb3ducmV2LnhtbE2PQUvDQBCF74L/YRnBm91tqqbEbApWKlgRNO3F2zQ7JsHs&#10;bMhu2/Tfu/Wil4HHe7z3Tb4YbScONPjWsYbpRIEgrpxpudaw3axu5iB8QDbYOSYNJ/KwKC4vcsyM&#10;O/IHHcpQi1jCPkMNTQh9JqWvGrLoJ64njt6XGyyGKIdamgGPsdx2MlHqXlpsOS402NOyoeq73FsN&#10;K/n+uN08l6/Lt3qdrJ/Gl1k6fmp9fTVVDyACjeEvDGf8iA5FZNq5PRsvOg3xkfB7o5emszsQOw23&#10;c5WALHL5n774AVBLAwQUAAAACACHTuJATcA4BzwCAABsBAAADgAAAGRycy9lMm9Eb2MueG1srVRN&#10;bxshEL1X6n9A3Jv9iO0kq6yjKFGqSmkTNe0PwCzrRQWGDtjr9Nd3YO3UTS85dA9ogOHNe49hL692&#10;1rCtwqDBtbw6KTlTTkKn3brl37/dfTjnLEThOmHAqZY/q8Cvlu/fXY6+UTUMYDqFjEBcaEbf8iFG&#10;3xRFkIOyIpyAV442e0ArIk1xXXQoRkK3pqjLclGMgJ1HkCoEWr2dNvkeEd8CCH2vpboFubHKxQkV&#10;lRGRJIVB+8CXmW3fKxkf+j6oyEzLSWnMIxWheJXGYnkpmjUKP2i5pyDeQuGVJiu0o6IvULciCrZB&#10;/Q+U1RIhQB9PJNhiEpIdIRVV+cqbp0F4lbWQ1cG/mB7+H6z8sn1EpjvqhIvFjDMnLN35V/JNuLVR&#10;rJqV82TS6ENDuU/+EZPM4O9B/gjMwc1AieoaEcZBiY6oVSm/+OtAmgQ6ylbjZ+iogNhEyH7terQJ&#10;kJxgOzpblqcXp3POnlte17PqdJHRRKN2kUlKWFQ1UeJMpoR5XV5kdoVoDkAeQ/yowLIUtBxJSS4k&#10;tvchJmKiOaSkug7utDG5C4xjIzGYn5/N84kARndpNwvG9erGINuK1Ej5yzLJiuM0qyM9DqNty8+P&#10;k4xLICo35J7HwZPJ27hb7fY2r6B7JqsQpmalp0rBAPiLs5EateXh50ag4sx8cmR36uoczOZnNU3w&#10;sLo6XhVOEkTLI2dTeBOnV7DxqNcDVaiyaAfXdDW9zlYlihOb/YVSE2YH9w8mdfnxPGf9+U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iwfy+2AAAAAUBAAAPAAAAAAAAAAEAIAAAACIAAABkcnMv&#10;ZG93bnJldi54bWxQSwECFAAUAAAACACHTuJATcA4BzwCAABsBAAADgAAAAAAAAABACAAAAAnAQAA&#10;ZHJzL2Uyb0RvYy54bWxQSwUGAAAAAAYABgBZAQAA1QUAAAAA&#10;">
                        <v:fill on="f" focussize="0,0"/>
                        <v:stroke weight="1.25pt" color="#000000" miterlimit="8" joinstyle="miter"/>
                        <v:imagedata o:title=""/>
                        <o:lock v:ext="edit" aspectratio="f"/>
                        <v:textbox inset="0mm,1.27mm,0mm,1.27mm">
                          <w:txbxContent>
                            <w:p w14:paraId="1DAB61D7">
                              <w:pPr>
                                <w:pStyle w:val="25"/>
                                <w:jc w:val="center"/>
                                <w:rPr>
                                  <w:rFonts w:ascii="Times New Roman" w:hAnsi="Times New Roman"/>
                                </w:rPr>
                              </w:pPr>
                              <w:r>
                                <w:rPr>
                                  <w:rFonts w:hint="eastAsia" w:ascii="Times New Roman" w:hAnsi="Times New Roman"/>
                                  <w:sz w:val="21"/>
                                  <w:szCs w:val="21"/>
                                </w:rPr>
                                <w:t>洒水降尘</w:t>
                              </w:r>
                            </w:p>
                          </w:txbxContent>
                        </v:textbox>
                      </v:rect>
                      <v:shape id="Text Box 1406" o:spid="_x0000_s1026" o:spt="202" type="#_x0000_t202" style="position:absolute;left:1661795;top:2424876;height:252095;width:323850;"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MHU5ZFtAgAAGQUAAA4AAABkcnMvZTJvRG9jLnhtbK1UTW/b&#10;MAy9D9h/EHRf7bhJ2hp1iq5FhwH7AtphZ0WWbWGyqIlKnO7Xj5KSNuguBTYfBFl+euR7JH15tRsN&#10;2yqPGmzDZyclZ8pKaLXtG/794e7dOWcYhG2FAasa/qiQX63evrmcXK0qGMC0yjMisVhPruFDCK4u&#10;CpSDGgWegFOWPnbgRxHo1fdF68VE7KMpqrJcFhP41nmQCpFOb/NHvmf0ryGErtNS3YLcjMqGzOqV&#10;EYEk4aAd8lXKtuuUDF+7DlVgpuGkNKSVgtB+HddidSnq3gs3aLlPQbwmhReaRqEtBX2iuhVBsI3X&#10;f1GNWnpA6MKJhLHIQpIjpGJWvvDmfhBOJS1kNbon0/H/0cov22+e6ZY64WK54MyKkWr+oHaBvYcd&#10;m83LZfRoclgT9N4ROOzoC+GTXnSfQP5EZuFmELZX197DNCjRUo6zeLM4upp5MJKsp8/QUiSxCZCI&#10;dp0fo4FkCYvsy+Xs7IISemx4Na/m52cpD1HHzCQBTqvT8wVVUUbAoioJG6OJ+kDkPIYPCkYWNw33&#10;1AopkNh+wpChB8i+cO2dNoZ5CD90GJL3B5U90p2EQuaApJVZvO/XN8azraDuuktPDmHcIPJp6jDK&#10;CjM0ZdjjMdWsjM+/8lGIpySNtoxq0fDFPHMzlMKoWOO9R9TwSWzMw9i4Wojisy35RKXp2XsVixjr&#10;lisYdusdQePhGtpHKieZlmaK/iu0GcD/5myiqWo4/toIrzgzH23yjYW0mS/OKqqeP5yuj0+FlUTR&#10;8MBJR9zehDyyG+d1P1CE3HwWrql9Op3K+ZzNvuloYrLdebrjSB6/J9TzH23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9A7inWAAAABQEAAA8AAAAAAAAAAQAgAAAAIgAAAGRycy9kb3ducmV2Lnht&#10;bFBLAQIUABQAAAAIAIdO4kDB1OWRbQIAABkFAAAOAAAAAAAAAAEAIAAAACUBAABkcnMvZTJvRG9j&#10;LnhtbFBLBQYAAAAABgAGAFkBAAAEBgAAAAA=&#10;">
                        <v:fill type="gradient" on="t" color2="#FFFFFF" opacity="0f" o:opacity2="0f" focus="100%" focussize="0,0" rotate="t"/>
                        <v:stroke on="f"/>
                        <v:imagedata o:title=""/>
                        <o:lock v:ext="edit" aspectratio="f"/>
                        <v:textbox inset="0mm,1.27mm,0mm,1.27mm">
                          <w:txbxContent>
                            <w:p w14:paraId="1AD12089">
                              <w:pPr>
                                <w:pStyle w:val="25"/>
                                <w:rPr>
                                  <w:rFonts w:ascii="Times New Roman" w:hAnsi="Times New Roman"/>
                                </w:rPr>
                              </w:pPr>
                              <w:r>
                                <w:rPr>
                                  <w:rFonts w:hint="eastAsia" w:ascii="Times New Roman" w:hAnsi="Times New Roman"/>
                                  <w:sz w:val="21"/>
                                  <w:szCs w:val="21"/>
                                </w:rPr>
                                <w:t>86.4</w:t>
                              </w:r>
                            </w:p>
                          </w:txbxContent>
                        </v:textbox>
                      </v:shape>
                      <v:rect id="图片 726" o:spid="_x0000_s1026" o:spt="1" style="position:absolute;left:180340;top:38546;height:0;width:0;" filled="f" stroked="f" coordsize="21600,21600" o:gfxdata="UEsDBAoAAAAAAIdO4kAAAAAAAAAAAAAAAAAEAAAAZHJzL1BLAwQUAAAACACHTuJAEBfLK9gAAAAF&#10;AQAADwAAAGRycy9kb3ducmV2LnhtbE2PQUvDQBCF70L/wzIFL2J3W6stMZseCmIRoZhqz9vsmASz&#10;s2l2m9R/7+ilXgYe7/HeN+nq7BrRYxdqTxqmEwUCqfC2plLD++7pdgkiREPWNJ5QwzcGWGWjq9Qk&#10;1g/0hn0eS8ElFBKjoYqxTaQMRYXOhIlvkdj79J0zkWVXStuZgctdI2dKPUhnauKFyrS4rrD4yk9O&#10;w1Bs+/3u9Vlub/YbT8fNcZ1/vGh9PZ6qRxARz/EShl98RoeMmQ7+RDaIRgM/Ev8ue4vF3T2Ig4b5&#10;Us1AZqn8T5/9AFBLAwQUAAAACACHTuJASIPZsRcCAAAhBAAADgAAAGRycy9lMm9Eb2MueG1srVNB&#10;btswELwX6B8I3mvZjuM4guUgiJGiQNoGSPuANUVZRCUuu6Qtpx8o+ob8pb8p+o0uKTt10ksOvQhc&#10;Ljk7MxzNL3ZtI7aavEFbyNFgKIW2Cktj14X8/On6zUwKH8CW0KDVhbzXXl4sXr+ady7XY6yxKTUJ&#10;BrE+71wh6xBcnmVe1boFP0CnLTcrpBYCl7TOSoKO0dsmGw+H06xDKh2h0t7z7rJvyj0ivQQQq8oo&#10;vUS1abUNPSrpBgJL8rVxXi4S26rSKnysKq+DaArJSkP68hBer+I3W8whXxO42qg9BXgJhWeaWjCW&#10;hz5CLSGA2JD5B6o1itBjFQYK26wXkhxhFaPhM2/uanA6aWGrvXs03f8/WPVhe0vClJyE8+lUCgst&#10;v/mvh5+/f3wXZ+NpNKhzPudzd+6WokTvblB98cLiVQ12rS+9Y5sZgG8ftoiwqzWUzHQUIbInGLHw&#10;jCZW3XsseR5sAib7dhW1cQYbI3Z8dzY8mfBT3RfyZHY6SWwg17sgFHe5obiTHjGD/HDXkQ9vNbYi&#10;LgpJTC5hw/bGh8gF8sOROMritWmalIPGPtngg/2OTkHa3z6Q731ZYXnPQgj7ZPF/xYsa6ZsUHaeq&#10;kP7rBkhL0byzbMb5aBL1hFRMTs/GXNBxZ3XcAasYqpBBin55FfrobhyZdZ087xlfsoGVSeoiv57V&#10;3nZOThK9T3mM5nGdTv39sx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AXyyvYAAAABQEAAA8A&#10;AAAAAAAAAQAgAAAAIgAAAGRycy9kb3ducmV2LnhtbFBLAQIUABQAAAAIAIdO4kBIg9mxFwIAACEE&#10;AAAOAAAAAAAAAAEAIAAAACcBAABkcnMvZTJvRG9jLnhtbFBLBQYAAAAABgAGAFkBAACwBQAAAAA=&#10;">
                        <v:fill on="f" focussize="0,0"/>
                        <v:stroke on="f"/>
                        <v:imagedata o:title=""/>
                        <o:lock v:ext="edit" aspectratio="t"/>
                      </v:rect>
                      <v:shape id="自选图形 721" o:spid="_x0000_s1026" o:spt="32" type="#_x0000_t32" style="position:absolute;left:591185;top:425896;height:1943735;width:635;" filled="f" stroked="t" coordsize="21600,21600" o:gfxdata="UEsDBAoAAAAAAIdO4kAAAAAAAAAAAAAAAAAEAAAAZHJzL1BLAwQUAAAACACHTuJAW9hGrdYAAAAF&#10;AQAADwAAAGRycy9kb3ducmV2LnhtbE2PS0/DMBCE70j8B2uRuNF1W6BViNMDjx4QRaJUnN14iSPi&#10;dRRvH/DrMVzgstJoRjPflotj6NSehtRGNjAeaVDEdXQtNwY2rw8Xc1BJLDvbRSYDn5RgUZ2elLZw&#10;8cAvtF9Lo3IJp8Ia8CJ9gZhqT8GmUeyJs/ceh2Aly6FBN9hDLg8dTrS+xmBbzgve9nTrqf5Y74KB&#10;L/SE9CxvfjVdbu5x9bS8e0zGnJ+N9Q0ooaP8heEHP6NDlZm2cccuqc5AfkR+b/Zms+kVqK2By7me&#10;AFYl/qevvgFQSwMEFAAAAAgAh07iQM736A7qAQAAowMAAA4AAABkcnMvZTJvRG9jLnhtbK1TS27b&#10;MBDdF+gdCO5rWU7kj2A5Cxvppp8AbQ9AU5REgOQQJG3Zu+6KnqG7LnuH5jYB2lt0SClBmm6yqBYE&#10;h4/zZt7jaH110oochfMSTEXzyZQSYTjU0rQV/fTx+tWSEh+YqZkCIyp6Fp5ebV6+WPe2FDPoQNXC&#10;ESQxvuxtRbsQbJllnndCMz8BKwyCDTjNAoauzWrHemTXKptNp/OsB1dbB1x4j6e7AaQjo3sOITSN&#10;5GIH/KCFCQOrE4oFlOQ7aT3dpG6bRvDwvmm8CERVFJWGtGIR3O/jmm3WrGwds53kYwvsOS080aSZ&#10;NFj0gWrHAiMHJ/+h0pI78NCECQedDUKSI6ginz7x5kPHrEha0GpvH0z3/4+WvzveOCJrnITVfEGJ&#10;YRrf/NeXH78/f737dnv38ztZzPJoU299ibe35saNkbeYuu/fQo0p7BAgOXBqnI5OoDZyqmixyvNl&#10;Qcm5opezYrmaD5aLUyAc4fkFYhzBfHV5scAAuTNW3pNY58NrAZrETUV9cEy2XdiCMfi04PJUkh3f&#10;+DAk3ifEDgxcS6XwnJXKkB5rFMtFkTI8KFlHNILetfutcuTI4pCkb2zjr2sODqYeqigT80Sar7F0&#10;tCcaMhi1h/qcfMriOb5dUjXOWRyOxzHuH/9bm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b2Eat&#10;1gAAAAUBAAAPAAAAAAAAAAEAIAAAACIAAABkcnMvZG93bnJldi54bWxQSwECFAAUAAAACACHTuJA&#10;zvfoDuoBAACjAwAADgAAAAAAAAABACAAAAAlAQAAZHJzL2Uyb0RvYy54bWxQSwUGAAAAAAYABgBZ&#10;AQAAgQUAAAAA&#10;">
                        <v:fill on="f" focussize="0,0"/>
                        <v:stroke weight="1.25pt" color="#000000" joinstyle="round"/>
                        <v:imagedata o:title=""/>
                        <o:lock v:ext="edit" aspectratio="f"/>
                      </v:shape>
                      <v:shape id="Text Box 1406" o:spid="_x0000_s1026" o:spt="202" type="#_x0000_t202" style="position:absolute;left:180340;top:2589976;height:252095;width:78422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J08eqhuAgAAGAUAAA4AAABkcnMvZTJvRG9jLnhtbK1Uy27b&#10;MBC8F+g/ELw3klU7sQXLQeogRYH0ASRFzzRFSUQpLkvSltKvz5KUXSO9BGh1IChyNbszs6v19dgr&#10;chDWSdAVnV3klAjNoZa6rej3x7t3S0qcZ7pmCrSo6JNw9Hrz9s16MKUooANVC0sQRLtyMBXtvDdl&#10;ljneiZ65CzBC42UDtmceX22b1ZYNiN6rrMjzy2wAWxsLXDiHp7fpkk6I9jWA0DSSi1vg+15on1Ct&#10;UMwjJddJ4+gmVts0gvuvTeOEJ6qiyNTHFZPgfhfWbLNmZWuZ6SSfSmCvKeEFp55JjUlPULfMM7K3&#10;8i+oXnILDhp/waHPEpGoCLKY5S+0eeiYEZELSu3MSXT3/2D5l8M3S2SNnbC6XFGiWY+eP4rRkw8w&#10;ktk8vwwaDcaVGPpgMNiPeIPxka8z98B/OqJh2zHdihtrYegEq7HGWfgyO/s04bgAshs+Q42Z2N5D&#10;BBob2wcBURIS0Jf5+zma9FTRYrFcra5iGawMhXG8v1rOi2JBCY8BRb5axGSsPOIY6/xHAT0Jm4pa&#10;7ISYhx3unQ91sfIYMvlW30mliAX/Q/ouSn8k2Tr8JkY5YgCZ5Ym7bXdbZcmBYXPdxSelUKZj6TQ2&#10;GKZyKTSmbd051CwPz7/iYYpTkUpqglZUdDFP2MRxpkSweNII+z2SDXUoHVYNgXySJZ2IODyTVsHD&#10;YFsy0I+7ceqJHdRP6CaKFkcKfyu46cD+pmTAoaqo+7VnVlCiPumoG/FxM19cFeiuPZ7uzk+Z5ghR&#10;UU+RR9hufZrYvbGy7TBD6j0NN9g9jYx2hhJTNVPP4cAkudNwh4k8f49Rf35om2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QO4p1gAAAAUBAAAPAAAAAAAAAAEAIAAAACIAAABkcnMvZG93bnJldi54&#10;bWxQSwECFAAUAAAACACHTuJAnTx6qG4CAAAYBQAADgAAAAAAAAABACAAAAAlAQAAZHJzL2Uyb0Rv&#10;Yy54bWxQSwUGAAAAAAYABgBZAQAABQYAAAAA&#10;">
                        <v:fill type="gradient" on="t" color2="#FFFFFF" opacity="0f" o:opacity2="0f" focus="100%" focussize="0,0" rotate="t"/>
                        <v:stroke on="f"/>
                        <v:imagedata o:title=""/>
                        <o:lock v:ext="edit" aspectratio="f"/>
                        <v:textbox inset="0mm,1.27mm,0mm,1.27mm">
                          <w:txbxContent>
                            <w:p w14:paraId="6E714239">
                              <w:pPr>
                                <w:pStyle w:val="25"/>
                                <w:jc w:val="center"/>
                                <w:rPr>
                                  <w:rFonts w:ascii="Times New Roman" w:hAnsi="Times New Roman"/>
                                  <w:sz w:val="21"/>
                                  <w:szCs w:val="21"/>
                                </w:rPr>
                              </w:pPr>
                              <w:r>
                                <w:rPr>
                                  <w:rFonts w:hint="eastAsia" w:ascii="Times New Roman" w:hAnsi="Times New Roman"/>
                                  <w:sz w:val="21"/>
                                  <w:szCs w:val="21"/>
                                </w:rPr>
                                <w:t>新鲜水432</w:t>
                              </w:r>
                            </w:p>
                          </w:txbxContent>
                        </v:textbox>
                      </v:shape>
                      <v:rect id="Rectangle 1405" o:spid="_x0000_s1026" o:spt="1" style="position:absolute;left:1013460;top:2727136;height:252095;width:612140;" filled="f" stroked="t" coordsize="21600,21600" o:gfxdata="UEsDBAoAAAAAAIdO4kAAAAAAAAAAAAAAAAAEAAAAZHJzL1BLAwQUAAAACACHTuJA4sH8vtgAAAAF&#10;AQAADwAAAGRycy9kb3ducmV2LnhtbE2PQUvDQBCF74L/YRnBm91tqqbEbApWKlgRNO3F2zQ7JsHs&#10;bMhu2/Tfu/Wil4HHe7z3Tb4YbScONPjWsYbpRIEgrpxpudaw3axu5iB8QDbYOSYNJ/KwKC4vcsyM&#10;O/IHHcpQi1jCPkMNTQh9JqWvGrLoJ64njt6XGyyGKIdamgGPsdx2MlHqXlpsOS402NOyoeq73FsN&#10;K/n+uN08l6/Lt3qdrJ/Gl1k6fmp9fTVVDyACjeEvDGf8iA5FZNq5PRsvOg3xkfB7o5emszsQOw23&#10;c5WALHL5n774AVBLAwQUAAAACACHTuJAxPMGFTsCAABsBAAADgAAAGRycy9lMm9Eb2MueG1srVRN&#10;bxshEL1X6n9A3Jv9SGwnq6yjKFGqSmkTNe0PwCzrRQWGDtjr9Nd3YO3UTS85dA9ogOHNe49hL692&#10;1rCtwqDBtbw6KTlTTkKn3brl37/dfTjnLEThOmHAqZY/q8Cvlu/fXY6+UTUMYDqFjEBcaEbf8iFG&#10;3xRFkIOyIpyAV442e0ArIk1xXXQoRkK3pqjLcl6MgJ1HkCoEWr2dNvkeEd8CCH2vpboFubHKxQkV&#10;lRGRJIVB+8CXmW3fKxkf+j6oyEzLSWnMIxWheJXGYnkpmjUKP2i5pyDeQuGVJiu0o6IvULciCrZB&#10;/Q+U1RIhQB9PJNhiEpIdIRVV+cqbp0F4lbWQ1cG/mB7+H6z8sn1EpjvqhIsFmeKEpTv/Sr4JtzaK&#10;VWflLJk0+tBQ7pN/xCQz+HuQPwJzcDNQorpGhHFQoiNqVcov/jqQJoGOstX4GToqIDYRsl+7Hm0C&#10;JCfYjs6W1enZnHg8t7xe1IvqdD5dkdpFJilhXtVEiTOZEmZ1eZHZFaI5AHkM8aMCy1LQciQluZDY&#10;3oeYiInmkJLqOrjTxuQuMI6NxGB2vpjlEwGM7tJuFozr1Y1BthWpkfKXZZIVx2lWR3ocRtuWnx8n&#10;GZdAVG7IPY+DJ5O3cbfa7W1eQfdMViFMzUpPlYIB8BdnIzVqy8PPjUDFmfnkyG4yI+bgbLaoaYKH&#10;1dXxqnCSIFoeOZvCmzi9go1HvR6oQpVFO7imq+l1tipRnNjsL5SaMDu4fzCpy4/nOevPT2L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LB/L7YAAAABQEAAA8AAAAAAAAAAQAgAAAAIgAAAGRycy9k&#10;b3ducmV2LnhtbFBLAQIUABQAAAAIAIdO4kDE8wYVOwIAAGwEAAAOAAAAAAAAAAEAIAAAACcBAABk&#10;cnMvZTJvRG9jLnhtbFBLBQYAAAAABgAGAFkBAADUBQAAAAA=&#10;">
                        <v:fill on="f" focussize="0,0"/>
                        <v:stroke weight="1.25pt" color="#000000" miterlimit="8" joinstyle="miter"/>
                        <v:imagedata o:title=""/>
                        <o:lock v:ext="edit" aspectratio="f"/>
                        <v:textbox inset="0mm,1.27mm,0mm,1.27mm">
                          <w:txbxContent>
                            <w:p w14:paraId="472B2CAD">
                              <w:pPr>
                                <w:pStyle w:val="25"/>
                                <w:jc w:val="center"/>
                                <w:rPr>
                                  <w:rFonts w:ascii="Times New Roman" w:hAnsi="Times New Roman"/>
                                </w:rPr>
                              </w:pPr>
                              <w:r>
                                <w:rPr>
                                  <w:rFonts w:hint="eastAsia" w:ascii="Times New Roman" w:hAnsi="Times New Roman"/>
                                  <w:sz w:val="21"/>
                                  <w:szCs w:val="21"/>
                                </w:rPr>
                                <w:t>生活用水</w:t>
                              </w:r>
                            </w:p>
                          </w:txbxContent>
                        </v:textbox>
                      </v:rect>
                      <v:shape id="AutoShape 1390" o:spid="_x0000_s1026" o:spt="32" type="#_x0000_t32" style="position:absolute;left:1640205;top:2840801;height:635;width:1440180;" filled="f" stroked="t" coordsize="21600,21600" o:gfxdata="UEsDBAoAAAAAAIdO4kAAAAAAAAAAAAAAAAAEAAAAZHJzL1BLAwQUAAAACACHTuJAZxrVZ9cAAAAF&#10;AQAADwAAAGRycy9kb3ducmV2LnhtbE2PQUvDQBCF74L/YRnBS2l326gtMZseBEEQBaPQHqfJuIlm&#10;Z8PuNqn/3tWLXgYe7/HeN8X2ZHsxkg+dYw3LhQJBXLumY6Ph7fV+vgERInKDvWPS8EUBtuX5WYF5&#10;4yZ+obGKRqQSDjlqaGMccilD3ZLFsHADcfLenbcYk/RGNh6nVG57uVLqRlrsOC20ONBdS/VndbQa&#10;8GE/81yNj2baZ5mcnmZm9/Gs9eXFUt2CiHSKf2H4wU/oUCamgztyE0SvIT0Sf2/y1uvsGsRBw9VG&#10;rUCWhfxPX34DUEsDBBQAAAAIAIdO4kB9tm2J7gEAANEDAAAOAAAAZHJzL2Uyb0RvYy54bWytU8Fu&#10;2zAMvQ/YPwi6L7bTJHWNOMWQrLtsa4F1H6BIsi1AEgVJiZO/HyUnRdddeqgPBiWSj3yP1Pr+ZDQ5&#10;Sh8U2JZWs5ISaTkIZfuW/nl++FJTEiKzgmmwsqVnGej95vOn9egaOYcBtJCeIIgNzehaOsTomqII&#10;fJCGhRk4adHZgTcs4tH3hfBsRHSji3lZrooRvHAeuAwBb3eTk14Q/XsAoesUlzvgByNtnFC91Cwi&#10;pTAoF+gmd9t1ksfHrgsyEt1SZBrzH4ugvU//YrNmTe+ZGxS/tMDe08IbToYpi0VfoHYsMnLw6j8o&#10;o7iHAF2ccTDFRCQrgiyq8o02vwfmZOaCUgf3Inr4OFj+6/jkiRK4CXe3FSWWGZz510OEXJxUN3dZ&#10;pNGFBmO39smjZOkUHCbux58gMIFhQuZ/6rxJOiAzckLQ1aKcl0tKzi2d14uyLqtJcnmKhKeAxaKs&#10;apwGx4jVzTJ5C9ZcYZwP8bsEQ5LR0hA9U/0Qt2AtjhZ8lYuy448Qp8RrQurBwoPSOk9YWzJisWV9&#10;u8wZAbQSyZvigu/3W+3JkaUlyd+ljX/CPBysyGiRKf3NChLPDrlHr5jttaSphJGCEi3xZSVr6knb&#10;VEXmbbw0ehVwknIP4px1LdI9TjprcNnKtEqvz2i/fomb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a1WfXAAAABQEAAA8AAAAAAAAAAQAgAAAAIgAAAGRycy9kb3ducmV2LnhtbFBLAQIUABQAAAAI&#10;AIdO4kB9tm2J7gEAANEDAAAOAAAAAAAAAAEAIAAAACYBAABkcnMvZTJvRG9jLnhtbFBLBQYAAAAA&#10;BgAGAFkBAACGBQAAAAA=&#10;">
                        <v:fill on="f" focussize="0,0"/>
                        <v:stroke weight="1.25pt" color="#000000" joinstyle="round" endarrow="block"/>
                        <v:imagedata o:title=""/>
                        <o:lock v:ext="edit" aspectratio="f"/>
                      </v:shape>
                      <v:rect id="Rectangle 1405" o:spid="_x0000_s1026" o:spt="1" style="position:absolute;left:3080385;top:2617916;height:431800;width:1191895;" filled="f" stroked="f" coordsize="21600,21600" o:gfxdata="UEsDBAoAAAAAAIdO4kAAAAAAAAAAAAAAAAAEAAAAZHJzL1BLAwQUAAAACACHTuJAadU4DNYAAAAF&#10;AQAADwAAAGRycy9kb3ducmV2LnhtbE2PwU7DMBBE70j8g7VIvSBqN0BThTg9tAKOiJYDx228TSLi&#10;dRo7TeDrMVzgstJoRjNv8/VkW3Gm3jeONSzmCgRx6UzDlYa3/ePNCoQPyAZbx6Thkzysi8uLHDPj&#10;Rn6l8y5UIpawz1BDHUKXSenLmiz6ueuIo3d0vcUQZV9J0+MYy20rE6WW0mLDcaHGjjY1lR+7wWrY&#10;ji9P1+/J13FK9kjpUJ6e2S21nl0t1AOIQFP4C8MPfkSHIjId3MDGi1ZDfCT83uil6e09iIOGu5VK&#10;QBa5/E9ffANQSwMEFAAAAAgAh07iQFNg+5gVAgAAIwQAAA4AAABkcnMvZTJvRG9jLnhtbK1Ty27b&#10;MBC8F+g/ELzXkvyKLVgOghgpCqRt0LQfQFOURVTiskvakvv1XVJymqSXHHohlsvl7M5wuLnu24ad&#10;FDoNpuDZJOVMGQmlNoeC//h+92HFmfPClKIBowp+Vo5fb9+/23Q2V1OooSkVMgIxLu9swWvvbZ4k&#10;TtaqFW4CVhk6rABb4WmLh6RE0RF62yTTNF0mHWBpEaRyjrK74ZCPiPgWQKgqLdUO5LFVxg+oqBrh&#10;iZKrtXV8G6etKiX916pyyrOm4MTUx5WaULwPa7LdiPyAwtZajiOIt4zwilMrtKGmT1A74QU7ov4H&#10;qtUSwUHlJxLaZCASFSEWWfpKm8daWBW5kNTOPonu/h+s/HJ6QKZLcsL6asqZES29+TfSTZhDo1g2&#10;TxdBpM66nGof7QMGms7eg/zpmIHbmgrVDSJ0tRIljZaF+uTFhbBxdJXtu89QUgNx9BD16itsAyAp&#10;wfqCz9JVOlstODsXfLrMrtbZcngi1XsmqSDL1tlqTQWSKuazbJXGN0xEfkGy6PxHBS0LQcGRqMRO&#10;4nTvfJhM5JeS0NjAnW6aaIPGvEhQ4ZBR0Ufj7QuVQRLf7/tRnT2UZ2KIMHiMfhgFNeBvzjryV8Hd&#10;r6NAxVnzyZBKwYwxmC+uprTBS3b/PCuMJIiCe86G8NYP5j1a1IeaOmSRnIEbUrTSkWAYcZhmfAfy&#10;TuQ9+jyY8/k+Vv3929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dU4DNYAAAAFAQAADwAAAAAA&#10;AAABACAAAAAiAAAAZHJzL2Rvd25yZXYueG1sUEsBAhQAFAAAAAgAh07iQFNg+5gVAgAAIwQAAA4A&#10;AAAAAAAAAQAgAAAAJQEAAGRycy9lMm9Eb2MueG1sUEsFBgAAAAAGAAYAWQEAAKwFAAAAAA==&#10;">
                        <v:fill on="f" focussize="0,0"/>
                        <v:stroke on="f"/>
                        <v:imagedata o:title=""/>
                        <o:lock v:ext="edit" aspectratio="f"/>
                        <v:textbox inset="0mm,1.27mm,0mm,1.27mm">
                          <w:txbxContent>
                            <w:p w14:paraId="7110865C">
                              <w:pPr>
                                <w:pStyle w:val="25"/>
                                <w:rPr>
                                  <w:rFonts w:ascii="Times New Roman" w:hAnsi="Times New Roman"/>
                                </w:rPr>
                              </w:pPr>
                              <w:r>
                                <w:rPr>
                                  <w:rFonts w:hint="eastAsia" w:ascii="Times New Roman" w:hAnsi="Times New Roman"/>
                                  <w:sz w:val="21"/>
                                  <w:szCs w:val="21"/>
                                </w:rPr>
                                <w:t>排入井场设置的环保厕所，定期清掏</w:t>
                              </w:r>
                            </w:p>
                          </w:txbxContent>
                        </v:textbox>
                      </v:rect>
                      <v:shape id="Text Box 1406" o:spid="_x0000_s1026" o:spt="202" type="#_x0000_t202" style="position:absolute;left:683260;top:2116266;height:252095;width:215900;"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PBj4z9vAgAAGAUAAA4AAABkcnMvZTJvRG9jLnhtbK1Uy27b&#10;MBC8F+g/ELw3esR2YiFykDpIUSB9AEnRM01RElGKy5K0pfTruyTl1EgvAVodCIpczc7M7urqehoU&#10;OQjrJOiaFmc5JUJzaKTuavrt8e7dJSXOM90wBVrU9Ek4er15++ZqNJUooQfVCEsQRLtqNDXtvTdV&#10;ljnei4G5MzBC42ULdmAeX22XNZaNiD6orMzzVTaCbYwFLpzD09t0SWdE+xpAaFvJxS3w/SC0T6hW&#10;KOZRkuulcXQT2bat4P5L2zrhiaopKvVxxSS434U121yxqrPM9JLPFNhrKLzQNDCpMekz1C3zjOyt&#10;/AtqkNyCg9afcRiyJCQ6giqK/IU3Dz0zImpBq515Nt39P1j++fDVEtlgJ6wvzinRbMCaP4rJk/cw&#10;kWKRr4JHo3EVhj4YDPYT3mB81OvMPfAfjmjY9kx34sZaGHvBGuRYhC+zk08Tjgsgu/ETNJiJ7T1E&#10;oKm1QzAQLSGIvro8L1dYpKealkWxKleRBqsCMY73ZbFc53jPQ8CyzNfLmIxVRxxjnf8gYCBhU1OL&#10;nRDzsMO984EXq44hc92aO6kUseC/S99H648iO4ffxChHDKCyPGm33W6rLDkwbK67+KQUyvQsncYG&#10;w1Quhca0nTuFKvLw/CsepngmqaQmWIqaLhcJmzjOlAglnj3Cfo9iAw+lw6ohiE+2pBMRh2f2KtQw&#10;lC0V0E+7ae6JHTRPWE00LY4U/lZw04P9RcmIQ1VT93PPrKBEfdTRN+LjZrG8KLF69ni6Oz1lmiNE&#10;TT1FHWG79Wli98bKrscMqfc03GD3tDKWM1BMbOaew4FJdqfhDhN5+h6j/vzQN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0DuKdYAAAAFAQAADwAAAAAAAAABACAAAAAiAAAAZHJzL2Rvd25yZXYu&#10;eG1sUEsBAhQAFAAAAAgAh07iQPBj4z9vAgAAGAUAAA4AAAAAAAAAAQAgAAAAJQEAAGRycy9lMm9E&#10;b2MueG1sUEsFBgAAAAAGAAYAWQEAAAYGAAAAAA==&#10;">
                        <v:fill type="gradient" on="t" color2="#FFFFFF" opacity="0f" o:opacity2="0f" focus="100%" focussize="0,0" rotate="t"/>
                        <v:stroke on="f"/>
                        <v:imagedata o:title=""/>
                        <o:lock v:ext="edit" aspectratio="f"/>
                        <v:textbox inset="0mm,1.27mm,0mm,1.27mm">
                          <w:txbxContent>
                            <w:p w14:paraId="6E511FE2">
                              <w:pPr>
                                <w:pStyle w:val="25"/>
                                <w:rPr>
                                  <w:rFonts w:ascii="Times New Roman" w:hAnsi="Times New Roman"/>
                                </w:rPr>
                              </w:pPr>
                              <w:r>
                                <w:rPr>
                                  <w:rFonts w:hint="eastAsia" w:ascii="Times New Roman" w:hAnsi="Times New Roman"/>
                                  <w:sz w:val="21"/>
                                  <w:szCs w:val="21"/>
                                </w:rPr>
                                <w:t>360</w:t>
                              </w:r>
                            </w:p>
                          </w:txbxContent>
                        </v:textbox>
                      </v:shape>
                      <v:shape id="Text Box 1406" o:spid="_x0000_s1026" o:spt="202" type="#_x0000_t202" style="position:absolute;left:2155190;top:2585531;height:252095;width:396240;"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DlrknBuAgAAGQUAAA4AAABkcnMvZTJvRG9jLnhtbK1UTW/b&#10;MAy9D9h/EHRfbadx2xh1ii5BhwHdB9AOOyuybAuTRU1SYne/fpTkdEF3KbD5INAS9cj3SOr6ZhoU&#10;OQjrJOiaFmc5JUJzaKTuavrt8e7dFSXOM90wBVrU9Ek4erN+++Z6NJVYQA+qEZYgiHbVaGrae2+q&#10;LHO8FwNzZ2CExsMW7MA8/touaywbEX1Q2SLPL7IRbGMscOEc7m7TIZ0R7WsAoW0lF1vg+0Fon1Ct&#10;UMwjJddL4+g6Ztu2gvsvbeuEJ6qmyNTHFYOgvQtrtr5mVWeZ6SWfU2CvSeEFp4FJjUGfobbMM7K3&#10;8i+oQXILDlp/xmHIEpGoCLIo8hfaPPTMiMgFpXbmWXT3/2D558NXS2SDnbC6XFKi2YA1fxSTJ+9h&#10;IsUyvwgajcZV6Ppg0NlPeIL+ka8z98B/OKJh0zPdiVtrYewFazDHItzMTq4mHBdAduMnaDAS23uI&#10;QFNrhyAgSkIQfVGUZbHCKj2hXV6V5XlEY1XIjKPD+episcRzHh0W+aqM0Vh1BDLW+Q8CBhKMmlps&#10;hRiIHe6dD4mx6ugyF665k0oRC/679H3U/siyc3gnejliAKnlibztdhtlyYFhd93FL4VQpmdpN3YY&#10;hnLJNYbt3ClUkYfvX/EwxHOSSmqCtahpuUzYxHGmRKjxrBE2fCQb8lA6rBoC+SRL2hFxematQhFD&#10;3VIF/bSb5qbYQfOE5UTR4kzhu4JGD/YXJSNOVU3dzz2zghL1UUfdiI/GsrxcYPXscXd3uss0R4ia&#10;eoo8grnxaWT3xsquxwip+TTcYvu0MpYzpJiymZsOJybJnaY7jOTpf/T686K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QO4p1gAAAAUBAAAPAAAAAAAAAAEAIAAAACIAAABkcnMvZG93bnJldi54&#10;bWxQSwECFAAUAAAACACHTuJAOWuScG4CAAAZBQAADgAAAAAAAAABACAAAAAlAQAAZHJzL2Uyb0Rv&#10;Yy54bWxQSwUGAAAAAAYABgBZAQAABQYAAAAA&#10;">
                        <v:fill type="gradient" on="t" color2="#FFFFFF" opacity="0f" o:opacity2="0f" focus="100%" focussize="0,0" rotate="t"/>
                        <v:stroke on="f"/>
                        <v:imagedata o:title=""/>
                        <o:lock v:ext="edit" aspectratio="f"/>
                        <v:textbox inset="0mm,1.27mm,0mm,1.27mm">
                          <w:txbxContent>
                            <w:p w14:paraId="3BC229E9">
                              <w:pPr>
                                <w:pStyle w:val="25"/>
                                <w:jc w:val="center"/>
                                <w:rPr>
                                  <w:rFonts w:ascii="Times New Roman" w:hAnsi="Times New Roman"/>
                                  <w:sz w:val="21"/>
                                  <w:szCs w:val="21"/>
                                </w:rPr>
                              </w:pPr>
                              <w:r>
                                <w:rPr>
                                  <w:rFonts w:hint="eastAsia" w:ascii="Times New Roman" w:hAnsi="Times New Roman"/>
                                  <w:sz w:val="21"/>
                                  <w:szCs w:val="21"/>
                                </w:rPr>
                                <w:t>345.6</w:t>
                              </w:r>
                            </w:p>
                          </w:txbxContent>
                        </v:textbox>
                      </v:shape>
                      <v:shape id="AutoShape 1398" o:spid="_x0000_s1026" o:spt="32" type="#_x0000_t32" style="position:absolute;left:1323975;top:2062291;flip:y;height:179705;width:266700;" filled="f" stroked="t" coordsize="21600,21600" o:gfxdata="UEsDBAoAAAAAAIdO4kAAAAAAAAAAAAAAAAAEAAAAZHJzL1BLAwQUAAAACACHTuJALcVnRtYAAAAF&#10;AQAADwAAAGRycy9kb3ducmV2LnhtbE2PO0/DQBCEeyT+w2mR6MidwyOJ8TkFCg2kCDH0G99iW9zD&#10;8m0ezq/noIFmpdGMZr4tlidnxYGG2AWvIZsoEOTrYDrfaHivnm/mICKjN2iDJw0jRViWlxcF5iYc&#10;/RsdttyIVOJjjhpa5j6XMtYtOYyT0JNP3mcYHHKSQyPNgMdU7qycKvUgHXY+LbTY01NL9dd27zSs&#10;XhavH3we1lnF43ph8bzajJXW11eZegTBdOK/MPzgJ3QoE9Mu7L2JwmpIj/DvTd5sdnsPYqfhbq6m&#10;IMtC/qcvvwFQSwMEFAAAAAgAh07iQGdt0G3+AQAA9QMAAA4AAABkcnMvZTJvRG9jLnhtbK1TS2/b&#10;MAy+D9h/EHRf7DjIy4hTDMm6yx4FtvXOSLItQC9ISpz8+1GyW3TdpYf6YJAU+ZHfJ2p3d9WKXIQP&#10;0pqGzmclJcIwy6XpGvrn9/2nDSUhguGgrBENvYlA7/YfP+wGV4vK9lZx4QmCmFAPrqF9jK4uisB6&#10;oSHMrBMGD1vrNUR0fVdwDwOia1VUZbkqBuu585aJEDB6HA/phOjfAmjbVjJxtOyshYkjqhcKIlIK&#10;vXSB7vO0bStY/Nm2QUSiGopMY/5jE7RP6V/sd1B3Hlwv2TQCvGWEV5w0SINNn6GOEIGcvfwPSkvm&#10;bbBtnDGri5FIVgRZzMtX2vzqwYnMBaUO7ln08H6w7MflwRPJcRO26yUlBjTe+edztLk5mS+2myTS&#10;4EKNuQfz4CcvOCw8Dd8txwLAgsz/2npNWiXdIyLmCHIkV3QW1SJ3uDW0KldVtZ2P4otrJAwTqtVq&#10;XeK1MEyYr7frcpnOC6gTZJLW+RC/CqtJMhoaogfZ9fFgjcFrtn5sB5dvIY6FTwWp2Nh7qRTGoVaG&#10;DNhiuUG+yQ9WSZ5Os+O700F5coG0MPmbxvgnLUEfIfRjHkdrJOPt2fDcJYJUXwwn8eZQn+glmE4J&#10;mlprwSlRAl9fssZZlUndRd7YiUCSPIk8in+y/Ja1L1IctyFrM21uWreXPtovX+v+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3FZ0bWAAAABQEAAA8AAAAAAAAAAQAgAAAAIgAAAGRycy9kb3ducmV2&#10;LnhtbFBLAQIUABQAAAAIAIdO4kBnbdBt/gEAAPUDAAAOAAAAAAAAAAEAIAAAACUBAABkcnMvZTJv&#10;RG9jLnhtbFBLBQYAAAAABgAGAFkBAACVBQAAAAA=&#10;">
                        <v:fill on="f" focussize="0,0"/>
                        <v:stroke weight="1.25pt" color="#000000" joinstyle="round" dashstyle="dash" endarrow="block"/>
                        <v:imagedata o:title=""/>
                        <o:lock v:ext="edit" aspectratio="f"/>
                      </v:shape>
                      <v:shape id="AutoShape 1390" o:spid="_x0000_s1026" o:spt="32" type="#_x0000_t32" style="position:absolute;left:586740;top:2357566;height:1270;width:431800;" filled="f" stroked="t" coordsize="21600,21600" o:gfxdata="UEsDBAoAAAAAAIdO4kAAAAAAAAAAAAAAAAAEAAAAZHJzL1BLAwQUAAAACACHTuJAZxrVZ9cAAAAF&#10;AQAADwAAAGRycy9kb3ducmV2LnhtbE2PQUvDQBCF74L/YRnBS2l326gtMZseBEEQBaPQHqfJuIlm&#10;Z8PuNqn/3tWLXgYe7/HeN8X2ZHsxkg+dYw3LhQJBXLumY6Ph7fV+vgERInKDvWPS8EUBtuX5WYF5&#10;4yZ+obGKRqQSDjlqaGMccilD3ZLFsHADcfLenbcYk/RGNh6nVG57uVLqRlrsOC20ONBdS/VndbQa&#10;8GE/81yNj2baZ5mcnmZm9/Gs9eXFUt2CiHSKf2H4wU/oUCamgztyE0SvIT0Sf2/y1uvsGsRBw9VG&#10;rUCWhfxPX34DUEsDBBQAAAAIAIdO4kCd8zXG8AEAANADAAAOAAAAZHJzL2Uyb0RvYy54bWytU8GO&#10;2yAQvVfqPyDujeNkY2etOKsq6fbSdldq+wEEsI0EDAISJ3/fASer7fayh/pgAcO8N+/NsHk4G01O&#10;0gcFtqXlbE6JtByEsn1Lf/96/LSmJERmBdNgZUsvMtCH7ccPm9E1cgEDaCE9QRAbmtG1dIjRNUUR&#10;+CANCzNw0mKwA29YxK3vC+HZiOhGF4v5vCpG8MJ54DIEPN1PQXpF9O8BhK5TXO6BH420cUL1UrOI&#10;ksKgXKDbXG3XSR6fui7ISHRLUWnMfyTB9SH9i+2GNb1nblD8WgJ7TwlvNBmmLJK+QO1ZZOTo1T9Q&#10;RnEPAbo442CKSUh2BFWU8zfe/ByYk1kLWh3ci+nh/8HyH6dnT5TASbivK0osM9jzz8cImZyUy/ts&#10;0uhCg3d39tmjZWkXHCYexu8gMIFhQtZ/7rxJPqAycm7pal3Vd+j1paWL5apeVdXkuDxHwjF+tyzX&#10;c4xzvFAu6kxVsOaG4nyIXyUYkhYtDdEz1Q9xB9ZiZ8GXmZOdvoWIVWHiLSGVYOFRaZ0brC0ZkWC1&#10;rlc5I4BWIkXTveD7w057cmJpRvKXikS0v655OFqR0SJT+osVJF4cSo9eMdtrSROFkYISLfFhpdWE&#10;om1ikXkYr4Xe/JucPIC4ZFuLdI6NzuTXoUyT9HqP69cPcf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xrVZ9cAAAAFAQAADwAAAAAAAAABACAAAAAiAAAAZHJzL2Rvd25yZXYueG1sUEsBAhQAFAAA&#10;AAgAh07iQJ3zNcbwAQAA0AMAAA4AAAAAAAAAAQAgAAAAJgEAAGRycy9lMm9Eb2MueG1sUEsFBgAA&#10;AAAGAAYAWQEAAIgFAAAAAA==&#10;">
                        <v:fill on="f" focussize="0,0"/>
                        <v:stroke weight="1.25pt" color="#000000" joinstyle="round" endarrow="block"/>
                        <v:imagedata o:title=""/>
                        <o:lock v:ext="edit" aspectratio="f"/>
                      </v:shape>
                      <v:shape id="AutoShape 1390" o:spid="_x0000_s1026" o:spt="32" type="#_x0000_t32" style="position:absolute;left:264160;top:2842071;height:1270;width:756285;" filled="f" stroked="t" coordsize="21600,21600" o:gfxdata="UEsDBAoAAAAAAIdO4kAAAAAAAAAAAAAAAAAEAAAAZHJzL1BLAwQUAAAACACHTuJAZxrVZ9cAAAAF&#10;AQAADwAAAGRycy9kb3ducmV2LnhtbE2PQUvDQBCF74L/YRnBS2l326gtMZseBEEQBaPQHqfJuIlm&#10;Z8PuNqn/3tWLXgYe7/HeN8X2ZHsxkg+dYw3LhQJBXLumY6Ph7fV+vgERInKDvWPS8EUBtuX5WYF5&#10;4yZ+obGKRqQSDjlqaGMccilD3ZLFsHADcfLenbcYk/RGNh6nVG57uVLqRlrsOC20ONBdS/VndbQa&#10;8GE/81yNj2baZ5mcnmZm9/Gs9eXFUt2CiHSKf2H4wU/oUCamgztyE0SvIT0Sf2/y1uvsGsRBw9VG&#10;rUCWhfxPX34DUEsDBBQAAAAIAIdO4kCMN+9c7wEAANADAAAOAAAAZHJzL2Uyb0RvYy54bWytU02P&#10;2yAQvVfqf0DcG390E2etOKsq6fbSj5Xa/gAC2EYCBgGJk3/fASer7fayh/pgDQzz3rzHsHk4G01O&#10;0gcFtqPVoqREWg5C2aGjv389flhTEiKzgmmwsqMXGejD9v27zeRaWcMIWkhPEMSGdnIdHWN0bVEE&#10;PkrDwgKctJjswRsWcemHQng2IbrRRV2Wq2ICL5wHLkPA3f2cpFdE/xZA6HvF5R740UgbZ1QvNYso&#10;KYzKBbrN3fa95PFH3wcZie4oKo35jyQYH9K/2G5YO3jmRsWvLbC3tPBKk2HKIukz1J5FRo5e/QNl&#10;FPcQoI8LDqaYhWRHUEVVvvLm58iczFrQ6uCeTQ//D5Z/Pz15ogROwn3TUGKZwTv/dIyQyUn18T6b&#10;NLnQ4tmdffJoWVoFh4WH6RsILGBYkPWfe2+SD6iMnDtar+6qFXp9wXB9V5dNNTsuz5FwzDfLVb1e&#10;UsLxQFU3mapg7Q3F+RC/SDAkBR0N0TM1jHEH1uLNgq8yJzt9DRG7wsJbQWrBwqPSOl+wtmRCguW6&#10;WeaKAFqJlE3ngh8OO+3JiaUZyV9qEtH+OubhaEVGi0zpz1aQeHEoPXrF7KAlTRRGCkq0xIeVohlF&#10;28Qi8zBeG735Nzt5AHHJthZpHy86k1+HMk3SyzXGLx/i9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nGtVn1wAAAAUBAAAPAAAAAAAAAAEAIAAAACIAAABkcnMvZG93bnJldi54bWxQSwECFAAUAAAA&#10;CACHTuJAjDfvXO8BAADQAwAADgAAAAAAAAABACAAAAAmAQAAZHJzL2Uyb0RvYy54bWxQSwUGAAAA&#10;AAYABgBZAQAAhwUAAAAA&#10;">
                        <v:fill on="f" focussize="0,0"/>
                        <v:stroke weight="1.25pt" color="#000000" joinstyle="round" endarrow="block"/>
                        <v:imagedata o:title=""/>
                        <o:lock v:ext="edit" aspectratio="f"/>
                      </v:shape>
                      <v:shape id="Text Box 1406" o:spid="_x0000_s1026" o:spt="202" type="#_x0000_t202" style="position:absolute;left:1590675;top:1971486;height:252095;width:323850;"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AtneN9uAgAAGQUAAA4AAABkcnMvZTJvRG9jLnhtbK1Uy27b&#10;MBC8F+g/ELzXkh3LdoTIQZogRYH0ASRFzzRFSUQpLkvSltyv75KUUyO9BGh1IChqOTszu6ur67FX&#10;5CCsk6ArOp/llAjNoZa6rei3p/t3G0qcZ7pmCrSo6FE4er19++ZqMKVYQAeqFpYgiHblYCraeW/K&#10;LHO8Ez1zMzBC48cGbM88vto2qy0bEL1X2SLPV9kAtjYWuHAOT+/SRzoh2tcAQtNILu6A73uhfUK1&#10;QjGPklwnjaPbyLZpBPdfmsYJT1RFUamPKybB/S6s2faKla1lppN8osBeQ+GFpp5JjUmfoe6YZ2Rv&#10;5V9QveQWHDR+xqHPkpDoCKqY5y+8eeyYEVELWu3Ms+nu/8Hyz4evlsgaO+FyjZXXrMeaP4nRk/cw&#10;kvkyXwWPBuNKDH00GOxH/ILxUa8zD8B/OKLhtmO6FTfWwtAJViPHebiZnV1NOC6A7IZPUGMmtvcQ&#10;gcbG9sFAtIQE9OIyX60LSo6R2Xy5iTxYGZhxDLhYXGwKrCLHgEWxyC+LmI2VJyBjnf8goCdhU1GL&#10;rRATscOD84EYK08hU+Hqe6kUseC/S99F708qW4d3YpQjBlBansTbdnerLDkw7K77+KQUynQsncYO&#10;w1Quhca0rTuHmufh+Vc8TPFMUklNsBYVLZYJmzjOlAg1njzCho9iAw+lw6ohiE+2pBMRp2fyKhQx&#10;1C1V0I+7cWqKHdRHLCeaFmcK/yu46cD+omTAqaqo+7lnVlCiPuroG/FxsyzWC6yePZ3uzk+Z5ghR&#10;UU9RR9je+jSye2Nl22GG1HwabrB9GhnLGSgmNlPT4cQku9N0h5E8f49Rf/5o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QO4p1gAAAAUBAAAPAAAAAAAAAAEAIAAAACIAAABkcnMvZG93bnJldi54&#10;bWxQSwECFAAUAAAACACHTuJAC2d4324CAAAZBQAADgAAAAAAAAABACAAAAAlAQAAZHJzL2Uyb0Rv&#10;Yy54bWxQSwUGAAAAAAYABgBZAQAABQYAAAAA&#10;">
                        <v:fill type="gradient" on="t" color2="#FFFFFF" opacity="0f" o:opacity2="0f" focus="100%" focussize="0,0" rotate="t"/>
                        <v:stroke on="f"/>
                        <v:imagedata o:title=""/>
                        <o:lock v:ext="edit" aspectratio="f"/>
                        <v:textbox inset="0mm,1.27mm,0mm,1.27mm">
                          <w:txbxContent>
                            <w:p w14:paraId="5BECCE28">
                              <w:pPr>
                                <w:pStyle w:val="25"/>
                                <w:jc w:val="center"/>
                                <w:rPr>
                                  <w:rFonts w:ascii="Times New Roman" w:hAnsi="Times New Roman"/>
                                  <w:sz w:val="21"/>
                                  <w:szCs w:val="21"/>
                                </w:rPr>
                              </w:pPr>
                              <w:r>
                                <w:rPr>
                                  <w:rFonts w:hint="eastAsia" w:ascii="Times New Roman" w:hAnsi="Times New Roman"/>
                                  <w:sz w:val="21"/>
                                  <w:szCs w:val="21"/>
                                </w:rPr>
                                <w:t>360</w:t>
                              </w:r>
                            </w:p>
                          </w:txbxContent>
                        </v:textbox>
                      </v:shape>
                      <v:shape id="AutoShape 1390" o:spid="_x0000_s1026" o:spt="32" type="#_x0000_t32" style="position:absolute;left:596265;top:1099631;height:1270;width:431800;" filled="f" stroked="t" coordsize="21600,21600" o:gfxdata="UEsDBAoAAAAAAIdO4kAAAAAAAAAAAAAAAAAEAAAAZHJzL1BLAwQUAAAACACHTuJAZxrVZ9cAAAAF&#10;AQAADwAAAGRycy9kb3ducmV2LnhtbE2PQUvDQBCF74L/YRnBS2l326gtMZseBEEQBaPQHqfJuIlm&#10;Z8PuNqn/3tWLXgYe7/HeN8X2ZHsxkg+dYw3LhQJBXLumY6Ph7fV+vgERInKDvWPS8EUBtuX5WYF5&#10;4yZ+obGKRqQSDjlqaGMccilD3ZLFsHADcfLenbcYk/RGNh6nVG57uVLqRlrsOC20ONBdS/VndbQa&#10;8GE/81yNj2baZ5mcnmZm9/Gs9eXFUt2CiHSKf2H4wU/oUCamgztyE0SvIT0Sf2/y1uvsGsRBw9VG&#10;rUCWhfxPX34DUEsDBBQAAAAIAIdO4kBwAibv7wEAANADAAAOAAAAZHJzL2Uyb0RvYy54bWytU02P&#10;2yAQvVfqf0DcG9tJ82ErzqpKur30Y6W2P4AAtpGAQUDi5N93wMlqu73soT5YwDDvzXszbB8uRpOz&#10;9EGBbWk1KymRloNQtm/p71+PHzaUhMisYBqsbOlVBvqwe/9uO7pGzmEALaQnCGJDM7qWDjG6pigC&#10;H6RhYQZOWgx24A2LuPV9ITwbEd3oYl6Wq2IEL5wHLkPA08MUpDdE/xZA6DrF5QH4yUgbJ1QvNYso&#10;KQzKBbrL1Xad5PFH1wUZiW4pKo35jyS4PqZ/sduypvfMDYrfSmBvKeGVJsOURdJnqAOLjJy8+gfK&#10;KO4hQBdnHEwxCcmOoIqqfOXNz4E5mbWg1cE9mx7+Hyz/fn7yRAmchHpdU2KZwZ5/OkXI5KRa1Nmk&#10;0YUG7+7tk0fL0i44TDyO30BgAsOErP/SeZN8QGXk0tJlvZqvlpRcEb+s69WimhyXl0g4xj8uqk2J&#10;veDpwnydqQrW3FGcD/GLBEPSoqUheqb6Ie7BWuws+CpzsvPXELEqTLwnpBIsPCqtc4O1JSMSLDfr&#10;Zc4IoJVI0XQv+P64156cWZqR/KUiEe2vax5OVmS0yJT+bAWJV4fSo1fM9lrSRGGkoERLfFhpNaFo&#10;m1hkHsZboXf/JiePIK7Z1iKdY6Mz+W0o0yS93OP65UPc/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nGtVn1wAAAAUBAAAPAAAAAAAAAAEAIAAAACIAAABkcnMvZG93bnJldi54bWxQSwECFAAUAAAA&#10;CACHTuJAcAIm7+8BAADQAwAADgAAAAAAAAABACAAAAAmAQAAZHJzL2Uyb0RvYy54bWxQSwUGAAAA&#10;AAYABgBZAQAAhwUAAAAA&#10;">
                        <v:fill on="f" focussize="0,0"/>
                        <v:stroke weight="1.25pt" color="#000000" joinstyle="round" endarrow="block"/>
                        <v:imagedata o:title=""/>
                        <o:lock v:ext="edit" aspectratio="f"/>
                      </v:shape>
                      <v:rect id="Rectangle 1405" o:spid="_x0000_s1026" o:spt="1" style="position:absolute;left:1028065;top:891986;height:431800;width:828040;" filled="f" stroked="t" coordsize="21600,21600" o:gfxdata="UEsDBAoAAAAAAIdO4kAAAAAAAAAAAAAAAAAEAAAAZHJzL1BLAwQUAAAACACHTuJA4sH8vtgAAAAF&#10;AQAADwAAAGRycy9kb3ducmV2LnhtbE2PQUvDQBCF74L/YRnBm91tqqbEbApWKlgRNO3F2zQ7JsHs&#10;bMhu2/Tfu/Wil4HHe7z3Tb4YbScONPjWsYbpRIEgrpxpudaw3axu5iB8QDbYOSYNJ/KwKC4vcsyM&#10;O/IHHcpQi1jCPkMNTQh9JqWvGrLoJ64njt6XGyyGKIdamgGPsdx2MlHqXlpsOS402NOyoeq73FsN&#10;K/n+uN08l6/Lt3qdrJ/Gl1k6fmp9fTVVDyACjeEvDGf8iA5FZNq5PRsvOg3xkfB7o5emszsQOw23&#10;c5WALHL5n774AVBLAwQUAAAACACHTuJATvA+ITkCAABrBAAADgAAAGRycy9lMm9Eb2MueG1srVTB&#10;bhMxEL0j8Q+W73Q3IWm3q2yqKlERUoGKwgc4Xm/WwvaYsZNN+XrG3qSEcumBHFa2Z/zmvTfjLG4O&#10;1rC9wqDBNXxyUXKmnIRWu23Dv3+7e1dxFqJwrTDgVMOfVOA3y7dvFoOv1RR6MK1CRiAu1INveB+j&#10;r4siyF5ZES7AK0fBDtCKSFvcFi2KgdCtKaZleVkMgK1HkCoEOl2PQX5ExNcAQtdpqdYgd1a5OKKi&#10;MiKSpNBrH/gys+06JeOXrgsqMtNwUhrzl4rQepO+xXIh6i0K32t5pCBeQ+GFJiu0o6LPUGsRBduh&#10;/gfKaokQoIsXEmwxCsmOkIpJ+cKbx154lbWQ1cE/mx7+H6z8vH9ApluahOuKTHHCUs+/km/CbY1i&#10;k1k5TyYNPtSU++gfMMkM/h7kj8AcrHpKVLeIMPRKtERtkvKLvy6kTaCrbDN8gpYKiF2E7NehQ5sA&#10;yQl2oLvltCov55w9Nby6JkqXY4fUITJJ8YrCM6IpKT57P6nK3MFC1CccjyF+UGBZWjQcSUiuI/b3&#10;ISZeoj6lpLIO7rQxeQiMYwMRmFdX83wjgNFtima9uN2sDLK9SHOUf1klOXGeZnWkt2G0JabnScYl&#10;EJXn8cjjZMlobTxsDkeXN9A+kVMI46zSS6VFD/iLs4HmtOHh506g4sx8dOR2Guq8mM2vprTB0+nm&#10;/FQ4SRANj5yNy1UcH8HOo972VGGSRTu4pc50OluVKI5sjv2kGcwOHt9LGvLzfc768x+x/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iwfy+2AAAAAUBAAAPAAAAAAAAAAEAIAAAACIAAABkcnMvZG93&#10;bnJldi54bWxQSwECFAAUAAAACACHTuJATvA+ITkCAABrBAAADgAAAAAAAAABACAAAAAnAQAAZHJz&#10;L2Uyb0RvYy54bWxQSwUGAAAAAAYABgBZAQAA0gUAAAAA&#10;">
                        <v:fill on="f" focussize="0,0"/>
                        <v:stroke weight="1.25pt" color="#000000" miterlimit="8" joinstyle="miter"/>
                        <v:imagedata o:title=""/>
                        <o:lock v:ext="edit" aspectratio="f"/>
                        <v:textbox inset="0mm,1.27mm,0mm,1.27mm">
                          <w:txbxContent>
                            <w:p w14:paraId="049D2765">
                              <w:pPr>
                                <w:pStyle w:val="25"/>
                                <w:jc w:val="center"/>
                                <w:rPr>
                                  <w:rFonts w:ascii="Times New Roman" w:hAnsi="Times New Roman"/>
                                </w:rPr>
                              </w:pPr>
                              <w:r>
                                <w:rPr>
                                  <w:rFonts w:hint="eastAsia" w:ascii="Times New Roman" w:hAnsi="Times New Roman"/>
                                  <w:sz w:val="21"/>
                                  <w:szCs w:val="21"/>
                                </w:rPr>
                                <w:t>2号井钻井泥浆</w:t>
                              </w:r>
                              <w:r>
                                <w:rPr>
                                  <w:rFonts w:ascii="Times New Roman" w:hAnsi="Times New Roman"/>
                                  <w:sz w:val="21"/>
                                  <w:szCs w:val="21"/>
                                </w:rPr>
                                <w:t>循环系统</w:t>
                              </w:r>
                            </w:p>
                          </w:txbxContent>
                        </v:textbox>
                      </v:rect>
                      <v:shape id="Text Box 1406" o:spid="_x0000_s1026" o:spt="202" type="#_x0000_t202" style="position:absolute;left:2230120;top:864046;height:252095;width:36004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AuFWCRvAgAAGAUAAA4AAABkcnMvZTJvRG9jLnhtbK1Uy27b&#10;MBC8F+g/ELw3esR2E8FykDpIUSB9AEnRM01RElGKy5K0pfTrsyTl1EgvAVodCIpczc7M7mp9NQ2K&#10;HIR1EnRNi7OcEqE5NFJ3Nf3+cPvughLnmW6YAi1q+igcvdq8fbMeTSVK6EE1whIE0a4aTU17702V&#10;ZY73YmDuDIzQeNmCHZjHV9tljWUjog8qK/N8lY1gG2OBC+fw9CZd0hnRvgYQ2lZycQN8PwjtE6oV&#10;inmU5HppHN1Etm0ruP/atk54omqKSn1cMQnud2HNNmtWdZaZXvKZAnsNhReaBiY1Jn2GumGekb2V&#10;f0ENkltw0PozDkOWhERHUEWRv/DmvmdGRC1otTPPprv/B8u/HL5ZIhvshMuLghLNBqz5g5g8+QAT&#10;KRb5Kng0Gldh6L3BYD/hDcZHvc7cAf/piIZtz3Qnrq2FsResQY5F+DI7+TThuACyGz9Dg5nY3kME&#10;mlo7BAPREoLoZXmeFyVW6bGmF6tFvog0WBWIcbw/X+X5YkkJx/tyWeaXy5iMVUccY53/KGAgYVNT&#10;i50Q87DDnfOBF6uOIXPdmlupFLHgf0jfR+uPIjuH38QoRwygsjxpt91uqyw5MGyu2/ikFMr0LJ3G&#10;BsNULoXGtJ07hSry8PwrHqZ4JqmkJliKmi4XCZs4zpQIJZ49wn6PYgMPpcOqIYhPtqQTEYdn9irU&#10;MJQtFdBPu2nuiR00j1hNNC2OFP5WcNOD/U3JiENVU/drz6ygRH3S0Tfi42axfB+Ka4+nu9NTpjlC&#10;1NRT1BG2W58mdm+s7HrMkHpPwzV2TytjOQPFxGbuORyYZHca7jCRp+8x6s8PbfM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0DuKdYAAAAFAQAADwAAAAAAAAABACAAAAAiAAAAZHJzL2Rvd25yZXYu&#10;eG1sUEsBAhQAFAAAAAgAh07iQAuFWCRvAgAAGAUAAA4AAAAAAAAAAQAgAAAAJQEAAGRycy9lMm9E&#10;b2MueG1sUEsFBgAAAAAGAAYAWQEAAAYGAAAAAA==&#10;">
                        <v:fill type="gradient" on="t" color2="#FFFFFF" opacity="0f" o:opacity2="0f" focus="100%" focussize="0,0" rotate="t"/>
                        <v:stroke on="f"/>
                        <v:imagedata o:title=""/>
                        <o:lock v:ext="edit" aspectratio="f"/>
                        <v:textbox inset="0mm,1.27mm,0mm,1.27mm">
                          <w:txbxContent>
                            <w:p w14:paraId="78AB90F9">
                              <w:pPr>
                                <w:pStyle w:val="25"/>
                                <w:jc w:val="center"/>
                                <w:rPr>
                                  <w:rFonts w:ascii="Times New Roman" w:hAnsi="Times New Roman"/>
                                  <w:sz w:val="21"/>
                                  <w:szCs w:val="21"/>
                                </w:rPr>
                              </w:pPr>
                              <w:r>
                                <w:rPr>
                                  <w:rFonts w:hint="eastAsia" w:ascii="Times New Roman" w:hAnsi="Times New Roman"/>
                                  <w:sz w:val="21"/>
                                  <w:szCs w:val="21"/>
                                </w:rPr>
                                <w:t>328</w:t>
                              </w:r>
                            </w:p>
                          </w:txbxContent>
                        </v:textbox>
                      </v:shape>
                      <v:shape id="AutoShape 1408" o:spid="_x0000_s1026" o:spt="32" type="#_x0000_t32" style="position:absolute;left:1863090;top:1119951;height:635;width:1151890;" filled="f" stroked="t" coordsize="21600,21600" o:gfxdata="UEsDBAoAAAAAAIdO4kAAAAAAAAAAAAAAAAAEAAAAZHJzL1BLAwQUAAAACACHTuJAZwssTtgAAAAF&#10;AQAADwAAAGRycy9kb3ducmV2LnhtbE2PzU7DMBCE70i8g7VI3KjdAmkJcSqVCpELldoixNGNl9hq&#10;vI5i94+nx3BpLyuNZjTzbTE9upbtsQ/Wk4ThQABDqr221Ej4WL/eTYCFqEir1hNKOGGAaXl9Vahc&#10;+wMtcb+KDUslFHIlwcTY5ZyH2qBTYeA7pOR9+96pmGTfcN2rQyp3LR8JkXGnLKUFozp8MVhvVzsn&#10;Ic6/Tib7rGdPdrF+e8/sT1VVcylvb4biGVjEYzyH4Q8/oUOZmDZ+RzqwVkJ6JP7f5I3H94/ANhIe&#10;JmIEvCz4JX35C1BLAwQUAAAACACHTuJAZtnIYOwBAADQAwAADgAAAGRycy9lMm9Eb2MueG1srVNN&#10;j9sgEL1X6n9A3Bvb2TqKrTirKun20o+V2v4AAthGAgYBiZN/3wF7V9vtZQ/lgAZm5s28x7C7vxpN&#10;LtIHBbaj1aqkRFoOQtmho79/PXzYUhIis4JpsLKjNxno/f79u93kWrmGEbSQniCIDe3kOjrG6Nqi&#10;CHyUhoUVOGnR2YM3LOLRD4XwbEJ0o4t1WW6KCbxwHrgMAW+Ps5MuiP4tgND3issj8LORNs6oXmoW&#10;kVIYlQt0n7vte8njj74PMhLdUWQa845F0D6lvdjvWDt45kbFlxbYW1p4xckwZbHoM9SRRUbOXv0D&#10;ZRT3EKCPKw6mmIlkRZBFVb7S5ufInMxcUOrgnkUP/w+Wf788eqIETkKzXVNimcE3/3SOkIuT6mO5&#10;TSJNLrQYe7CPfjkFh4mn6RsITGCYkPlfe2+SDsiMXBF0u7krGxT7hnZVNU1dzZLLayQ8BVR1tU0B&#10;HCM2d3XyFqx9gnE+xC8SDElGR0P0TA1jPIC1+LTgq1yUXb6GOCc+JaQeLDworfGetdqSqaNNva5z&#10;QgCtRHImX/DD6aA9ubA0I3ktXfwV5uFsRQaLTOnPVpB4c0g9esXsoCVNFYwUlGiJHytZc0vapioy&#10;D+PSZ1Iz6TfregJxy7IW6R4fOkuwDGWapJdntF9+xP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wssTtgAAAAFAQAADwAAAAAAAAABACAAAAAiAAAAZHJzL2Rvd25yZXYueG1sUEsBAhQAFAAAAAgA&#10;h07iQGbZyGDsAQAA0AMAAA4AAAAAAAAAAQAgAAAAJwEAAGRycy9lMm9Eb2MueG1sUEsFBgAAAAAG&#10;AAYAWQEAAIUFAAAAAA==&#10;">
                        <v:fill on="f" focussize="0,0"/>
                        <v:stroke color="#000000" joinstyle="round" endarrow="block"/>
                        <v:imagedata o:title=""/>
                        <o:lock v:ext="edit" aspectratio="f"/>
                      </v:shape>
                      <v:shape id="AutoShape 1398" o:spid="_x0000_s1026" o:spt="32" type="#_x0000_t32" style="position:absolute;left:1444625;top:703391;flip:y;height:179705;width:266700;" filled="f" stroked="t" coordsize="21600,21600" o:gfxdata="UEsDBAoAAAAAAIdO4kAAAAAAAAAAAAAAAAAEAAAAZHJzL1BLAwQUAAAACACHTuJALcVnRtYAAAAF&#10;AQAADwAAAGRycy9kb3ducmV2LnhtbE2PO0/DQBCEeyT+w2mR6MidwyOJ8TkFCg2kCDH0G99iW9zD&#10;8m0ezq/noIFmpdGMZr4tlidnxYGG2AWvIZsoEOTrYDrfaHivnm/mICKjN2iDJw0jRViWlxcF5iYc&#10;/RsdttyIVOJjjhpa5j6XMtYtOYyT0JNP3mcYHHKSQyPNgMdU7qycKvUgHXY+LbTY01NL9dd27zSs&#10;XhavH3we1lnF43ph8bzajJXW11eZegTBdOK/MPzgJ3QoE9Mu7L2JwmpIj/DvTd5sdnsPYqfhbq6m&#10;IMtC/qcvvwFQSwMEFAAAAAgAh07iQHTF+UYAAgAA9AMAAA4AAABkcnMvZTJvRG9jLnhtbK1TyW7b&#10;MBC9F+g/ELzXkndbsBwUdtNL2wRo0/uYpCQC3EDSlv33HVJqkKaXHKKDMAvnzbzH4e7uqhW5CB+k&#10;NTWdTkpKhGGWS9PW9OnX/acNJSGC4aCsETW9iUDv9h8/7HpXiZntrOLCEwQxoepdTbsYXVUUgXVC&#10;Q5hYJwwmG+s1RHR9W3APPaJrVczKclX01nPnLRMhYPQ4JOmI6N8CaJtGMnG07KyFiQOqFwoiUgqd&#10;dIHu87RNI1h8aJogIlE1RaYx/7EJ2qf0L/Y7qFoPrpNsHAHeMsIrThqkwabPUEeIQM5e/gelJfM2&#10;2CZOmNXFQCQrgiym5SttfnbgROaCUgf3LHp4P1j24/LoieS4CdvNnBIDGu/88zna3JxM59tNEql3&#10;ocKzB/PoRy84LDz13y3HAsCCzP/aeE0aJd1vRMwR5Eiu6CwWi9VsScmtputyPt9OB+3FNRKG+dlq&#10;tS7xVhjmp+vtulymfAFVQkzKOh/iV2E1SUZNQ/Qg2y4erDF4y9YP3eDyLcSh8G9BKjb2XiqFcaiU&#10;IT22WG7WyzxfsErylE3J4NvTQXlygbQv+RvH+OdYgj5C6IZzHK2BjLdnw3OXCFJ9MZzEm0N5opdg&#10;WiVoaq0Fp0QJfHzJGmZVJnUXeWFHAknxpPGg/cnyW5a+SHFchqzNuLhp2176aL98r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cVnRtYAAAAFAQAADwAAAAAAAAABACAAAAAiAAAAZHJzL2Rvd25y&#10;ZXYueG1sUEsBAhQAFAAAAAgAh07iQHTF+UYAAgAA9AMAAA4AAAAAAAAAAQAgAAAAJQEAAGRycy9l&#10;Mm9Eb2MueG1sUEsFBgAAAAAGAAYAWQEAAJcFAAAAAA==&#10;">
                        <v:fill on="f" focussize="0,0"/>
                        <v:stroke weight="1.25pt" color="#000000" joinstyle="round" dashstyle="dash" endarrow="block"/>
                        <v:imagedata o:title=""/>
                        <o:lock v:ext="edit" aspectratio="f"/>
                      </v:shape>
                      <v:shape id="Text Box 1406" o:spid="_x0000_s1026" o:spt="202" type="#_x0000_t202" style="position:absolute;left:558165;top:846901;height:252095;width:46799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OSSmH1sAgAAFwUAAA4AAABkcnMvZTJvRG9jLnhtbK1UwW7b&#10;MAy9D9g/CLqvdoIkbY06Rdeiw4BuHdAOOyuybAuTRU1UYndfP0pK2qC7FNh8EGSSfuR7JH1xOQ2G&#10;7ZRHDbbms5OSM2UlNNp2Nf/+ePvhjDMMwjbCgFU1f1LIL9fv312MrlJz6ME0yjMCsViNruZ9CK4q&#10;CpS9GgSegFOWnC34QQR69V3ReDES+mCKeVmuihF84zxIhUjWm+zke0T/FkBoWy3VDcjtoGzIqF4Z&#10;EYgS9tohX6dq21bJcN+2qAIzNSemIZ2UhO6beBbrC1F1Xrhey30J4i0lvOI0CG0p6TPUjQiCbb3+&#10;C2rQ0gNCG04kDEUmkhQhFrPylTYPvXAqcSGp0T2Ljv8PVn7dffNMNzWfL0oSxYqBev6opsA+wsRm&#10;i3IVNRodVhT64Cg4TOShyUl80d2B/InMwnUvbKeuvIexV6KhGmfxy+Lo04yDEWQzfoGGMoltgAQ0&#10;tX6IApIkjNCXy7PZasnZU83PFqvzMmGJKtYlyb1YnZ6fk1uSf76cl3SPuUR1gHEewycFA4uXmnsa&#10;hJRG7O4w5NBDyL5tza02hnkIP3Tok/IHjh3SNykKmQMiVmbqvttcG892gmbrNj05hXG9yNY0X1QV&#10;5tBUYYfHULMyPv+KRymeizTaMuoESUgNjdgMpTCKOpz7kWY0kY11GBtPC5F8liVbVNqdvVaxhbFr&#10;uX9h2kwUGo0baJ6omSRa2ij6q9ClB/+bs5F2qub4ayu84sx8tkk3FtJlsTydU2H+YN0cW4WVBFHz&#10;wIlHvF6HvLBb53XXU4Y8ehauaHhandr5Us1+5Ghfstx5t+NCHr+nqJf/2f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0DuKdYAAAAFAQAADwAAAAAAAAABACAAAAAiAAAAZHJzL2Rvd25yZXYueG1s&#10;UEsBAhQAFAAAAAgAh07iQOSSmH1sAgAAFwUAAA4AAAAAAAAAAQAgAAAAJQEAAGRycy9lMm9Eb2Mu&#10;eG1sUEsFBgAAAAAGAAYAWQEAAAMGAAAAAA==&#10;">
                        <v:fill type="gradient" on="t" color2="#FFFFFF" opacity="0f" o:opacity2="0f" focus="100%" focussize="0,0" rotate="t"/>
                        <v:stroke on="f"/>
                        <v:imagedata o:title=""/>
                        <o:lock v:ext="edit" aspectratio="f"/>
                        <v:textbox inset="0mm,1.27mm,0mm,1.27mm">
                          <w:txbxContent>
                            <w:p w14:paraId="01AF4929">
                              <w:pPr>
                                <w:pStyle w:val="25"/>
                                <w:jc w:val="center"/>
                                <w:rPr>
                                  <w:rFonts w:ascii="Times New Roman" w:hAnsi="Times New Roman"/>
                                  <w:sz w:val="21"/>
                                  <w:szCs w:val="21"/>
                                </w:rPr>
                              </w:pPr>
                              <w:r>
                                <w:rPr>
                                  <w:rFonts w:hint="eastAsia" w:ascii="Times New Roman" w:hAnsi="Times New Roman"/>
                                  <w:sz w:val="21"/>
                                  <w:szCs w:val="21"/>
                                </w:rPr>
                                <w:t>410</w:t>
                              </w:r>
                            </w:p>
                          </w:txbxContent>
                        </v:textbox>
                      </v:shape>
                      <v:shape id="Text Box 1406" o:spid="_x0000_s1026" o:spt="202" type="#_x0000_t202" style="position:absolute;left:1718310;top:605601;height:252095;width:36004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AYZUi9uAgAAGAUAAA4AAABkcnMvZTJvRG9jLnhtbK1UTW/b&#10;MAy9D9h/EHRfbadJ2gV1iq5FhwHdB9AOOyuybAuTRU1UYne/fpSUtEF3KbD5IMgS/cj3HumLy2kw&#10;bKc8arA1r05KzpSV0Gjb1fz7w+27c84wCNsIA1bV/FEhv1y/fXMxupWaQQ+mUZ4RiMXV6Greh+BW&#10;RYGyV4PAE3DK0mULfhCBXn1XNF6MhD6YYlaWy2IE3zgPUiHS6U2+5HtE/xpAaFst1Q3I7aBsyKhe&#10;GRGIEvbaIV+nattWyfC1bVEFZmpOTENaKQntN3Et1hdi1Xnhei33JYjXlPCC0yC0paRPUDciCLb1&#10;+i+oQUsPCG04kTAUmUhShFhU5Qtt7nvhVOJCUqN7Eh3/H6z8svvmmW5qPpuXFWdWDOT5g5oC+wAT&#10;q+blMmo0OlxR6L2j4DDRDXVO4ovuDuRPZBaue2E7deU9jL0SDdVYxS+Lo08zDkaQzfgZGsoktgES&#10;0NT6IQpIkrCIfladn1bk0mPNl+ViSbUlq2Jhku5Pl2U5X3Am6X62mJXvFymZWB1wnMfwUcHA4qbm&#10;njoh5RG7OwyxLrE6hOx9a261McxD+KFDn6Q/kOyQvklRyBwQszJz993m2ni2E9Rct+nJKYzrRT5N&#10;DUapMIemtB0eQ1VlfP4Vj1I8FWm0ZWRFzRfzjM1QCqPI4mxIatJENtZhbFwtRPJZlnyi0vDstYoe&#10;RtuygWHaTBQaDzfQPJKbJFoaKfqt0KYH/5uzkYaq5vhrK7zizHyySTcW0ma+OJuRuf5wujk+FVYS&#10;RM0DJx5xex3yxG6d111PGXLvWbii7ml1svO5mn3P0cBkufNwx4k8fk9Rzz+09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QO4p1gAAAAUBAAAPAAAAAAAAAAEAIAAAACIAAABkcnMvZG93bnJldi54&#10;bWxQSwECFAAUAAAACACHTuJABhlSL24CAAAYBQAADgAAAAAAAAABACAAAAAlAQAAZHJzL2Uyb0Rv&#10;Yy54bWxQSwUGAAAAAAYABgBZAQAABQYAAAAA&#10;">
                        <v:fill type="gradient" on="t" color2="#FFFFFF" opacity="0f" o:opacity2="0f" focus="100%" focussize="0,0" rotate="t"/>
                        <v:stroke on="f"/>
                        <v:imagedata o:title=""/>
                        <o:lock v:ext="edit" aspectratio="f"/>
                        <v:textbox inset="0mm,1.27mm,0mm,1.27mm">
                          <w:txbxContent>
                            <w:p w14:paraId="315D3C12">
                              <w:pPr>
                                <w:pStyle w:val="25"/>
                                <w:jc w:val="center"/>
                                <w:rPr>
                                  <w:rFonts w:ascii="Times New Roman" w:hAnsi="Times New Roman"/>
                                </w:rPr>
                              </w:pPr>
                              <w:r>
                                <w:rPr>
                                  <w:rFonts w:hint="eastAsia" w:ascii="Times New Roman" w:hAnsi="Times New Roman"/>
                                  <w:sz w:val="21"/>
                                  <w:szCs w:val="21"/>
                                </w:rPr>
                                <w:t>82</w:t>
                              </w:r>
                            </w:p>
                          </w:txbxContent>
                        </v:textbox>
                      </v:shape>
                      <v:shape id="AutoShape 1390" o:spid="_x0000_s1026" o:spt="32" type="#_x0000_t32" style="position:absolute;left:603250;top:1776541;height:1270;width:431800;" filled="f" stroked="t" coordsize="21600,21600" o:gfxdata="UEsDBAoAAAAAAIdO4kAAAAAAAAAAAAAAAAAEAAAAZHJzL1BLAwQUAAAACACHTuJAZxrVZ9cAAAAF&#10;AQAADwAAAGRycy9kb3ducmV2LnhtbE2PQUvDQBCF74L/YRnBS2l326gtMZseBEEQBaPQHqfJuIlm&#10;Z8PuNqn/3tWLXgYe7/HeN8X2ZHsxkg+dYw3LhQJBXLumY6Ph7fV+vgERInKDvWPS8EUBtuX5WYF5&#10;4yZ+obGKRqQSDjlqaGMccilD3ZLFsHADcfLenbcYk/RGNh6nVG57uVLqRlrsOC20ONBdS/VndbQa&#10;8GE/81yNj2baZ5mcnmZm9/Gs9eXFUt2CiHSKf2H4wU/oUCamgztyE0SvIT0Sf2/y1uvsGsRBw9VG&#10;rUCWhfxPX34DUEsDBBQAAAAIAIdO4kCzIPTq7gEAANADAAAOAAAAZHJzL2Uyb0RvYy54bWytU8uO&#10;GyEQvEfKPyDu8Tz8zMjjVWRnc8ljpSQfgIGZQQIaAfbYf5+GsVebzWUPmcMIaLqqq7rZPlyMJmfp&#10;gwLb0mpWUiItB6Fs39Lfvx4/bCgJkVnBNFjZ0qsM9GH3/t12dI2sYQAtpCcIYkMzupYOMbqmKAIf&#10;pGFhBk5aDHbgDYu49X0hPBsR3eiiLstVMYIXzgOXIeDpYQrSG6J/CyB0neLyAPxkpI0TqpeaRZQU&#10;BuUC3eVqu07y+KPrgoxEtxSVxvxHElwf07/YbVnTe+YGxW8lsLeU8EqTYcoi6TPUgUVGTl79A2UU&#10;9xCgizMOppiEZEdQRVW+8ubnwJzMWtDq4J5ND/8Pln8/P3miREvrRVlTYpnBnn86RcjkpJp/zCaN&#10;LjR4d2+fPFqWdsFh4nH8BgITGCZk/ZfOm+QDKiOXlq7Keb1Er684aev1armoJsflJRKO8cW82pQY&#10;5+lCvc5UBWvuKM6H+EWCIWnR0hA9U/0Q92AtdhZ8lTnZ+WuIWBUm3hNSCRYelda5wdqSEQmWm/Uy&#10;ZwTQSqRouhd8f9xrT84szUj+UpGI9tc1DycrMlpkSn+2gsSrQ+nRK2Z7LWmiMFJQoiU+rLSaULRN&#10;LDIP463Qu3+Tk0cQ12xrkc6x0Zn8NpRpkl7ucf3yIe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a1WfXAAAABQEAAA8AAAAAAAAAAQAgAAAAIgAAAGRycy9kb3ducmV2LnhtbFBLAQIUABQAAAAI&#10;AIdO4kCzIPTq7gEAANADAAAOAAAAAAAAAAEAIAAAACYBAABkcnMvZTJvRG9jLnhtbFBLBQYAAAAA&#10;BgAGAFkBAACGBQAAAAA=&#10;">
                        <v:fill on="f" focussize="0,0"/>
                        <v:stroke weight="1.25pt" color="#000000" joinstyle="round" endarrow="block"/>
                        <v:imagedata o:title=""/>
                        <o:lock v:ext="edit" aspectratio="f"/>
                      </v:shape>
                      <v:rect id="Rectangle 1405" o:spid="_x0000_s1026" o:spt="1" style="position:absolute;left:1035050;top:1568896;height:431800;width:828040;" filled="f" stroked="t" coordsize="21600,21600" o:gfxdata="UEsDBAoAAAAAAIdO4kAAAAAAAAAAAAAAAAAEAAAAZHJzL1BLAwQUAAAACACHTuJA4sH8vtgAAAAF&#10;AQAADwAAAGRycy9kb3ducmV2LnhtbE2PQUvDQBCF74L/YRnBm91tqqbEbApWKlgRNO3F2zQ7JsHs&#10;bMhu2/Tfu/Wil4HHe7z3Tb4YbScONPjWsYbpRIEgrpxpudaw3axu5iB8QDbYOSYNJ/KwKC4vcsyM&#10;O/IHHcpQi1jCPkMNTQh9JqWvGrLoJ64njt6XGyyGKIdamgGPsdx2MlHqXlpsOS402NOyoeq73FsN&#10;K/n+uN08l6/Lt3qdrJ/Gl1k6fmp9fTVVDyACjeEvDGf8iA5FZNq5PRsvOg3xkfB7o5emszsQOw23&#10;c5WALHL5n774AVBLAwQUAAAACACHTuJARU0FtDoCAABsBAAADgAAAGRycy9lMm9Eb2MueG1srVRN&#10;bxMxEL0j8R8s3+luvtpllU1VpSpCKlBR+AGO15u1sD1m7GRTfj1jb1JCufRADqux/fxm3ptxltcH&#10;a9heYdDgGj65KDlTTkKr3bbh37/dvas4C1G4VhhwquFPKvDr1ds3y8HXago9mFYhIxIX6sE3vI/R&#10;10URZK+sCBfglaPDDtCKSEvcFi2KgditKaZleVkMgK1HkCoE2r0dD/mREV9DCF2npboFubPKxZEV&#10;lRGRJIVe+8BXudquUzJ+6bqgIjMNJ6UxfykJxZv0LVZLUW9R+F7LYwniNSW80GSFdpT0mepWRMF2&#10;qP+hsloiBOjihQRbjEKyI6RiUr7w5rEXXmUtZHXwz6aH/0crP+8fkOm24dN5OePMCUs9/0q+Cbc1&#10;ik3m5SKZNPhQE/bRP2CSGfw9yB+BOVj3BFQ3iDD0SrRU2iThi78upEWgq2wzfIKWEohdhOzXoUOb&#10;CMkJdqC75WxRLqg5TxQvLqvq/eXYInWITBKgmlblnM4lAeazSVXmFhaiPhF5DPGDAstS0HAkJTmR&#10;2N+HmAoT9QmS8jq408bkKTCODSlrdbXINwIY3abTLBi3m7VBthdpkPIvyyQrzmFWR3ocRluq9Bxk&#10;XCJReSCPdZw8Gb2Nh83haPMG2ieyCmEcVnqqFPSAvzgbaFAbHn7uBCrOzEdHdqepzsF8cTWlBZ52&#10;N+e7wkmiaHjkbAzXcXwFO49621OGSRbt4IZa0+lsVSpxrObYUBrC7ODxwaQpP19n1J8/id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4sH8vtgAAAAFAQAADwAAAAAAAAABACAAAAAiAAAAZHJzL2Rv&#10;d25yZXYueG1sUEsBAhQAFAAAAAgAh07iQEVNBbQ6AgAAbAQAAA4AAAAAAAAAAQAgAAAAJwEAAGRy&#10;cy9lMm9Eb2MueG1sUEsFBgAAAAAGAAYAWQEAANMFAAAAAA==&#10;">
                        <v:fill on="f" focussize="0,0"/>
                        <v:stroke weight="1.25pt" color="#000000" miterlimit="8" joinstyle="miter"/>
                        <v:imagedata o:title=""/>
                        <o:lock v:ext="edit" aspectratio="f"/>
                        <v:textbox inset="0mm,1.27mm,0mm,1.27mm">
                          <w:txbxContent>
                            <w:p w14:paraId="4CCB8706">
                              <w:pPr>
                                <w:pStyle w:val="25"/>
                                <w:jc w:val="center"/>
                                <w:rPr>
                                  <w:rFonts w:ascii="Times New Roman" w:hAnsi="Times New Roman"/>
                                </w:rPr>
                              </w:pPr>
                              <w:r>
                                <w:rPr>
                                  <w:rFonts w:hint="eastAsia" w:ascii="Times New Roman" w:hAnsi="Times New Roman"/>
                                  <w:sz w:val="21"/>
                                  <w:szCs w:val="21"/>
                                </w:rPr>
                                <w:t>3号井钻井泥浆</w:t>
                              </w:r>
                              <w:r>
                                <w:rPr>
                                  <w:rFonts w:ascii="Times New Roman" w:hAnsi="Times New Roman"/>
                                  <w:sz w:val="21"/>
                                  <w:szCs w:val="21"/>
                                </w:rPr>
                                <w:t>循环系统</w:t>
                              </w:r>
                            </w:p>
                          </w:txbxContent>
                        </v:textbox>
                      </v:rect>
                      <v:shape id="Text Box 1406" o:spid="_x0000_s1026" o:spt="202" type="#_x0000_t202" style="position:absolute;left:2237105;top:1540956;height:252095;width:36004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BvvhgxvAgAAGQUAAA4AAABkcnMvZTJvRG9jLnhtbK1UTW/U&#10;MBC9I/EfLN9psuluC1GzVWlVhFQ+pBZxnnWcxMLxGNu7Sfn1jO3dsiqXSpCD5diTN++9mcnF5Txq&#10;tpPOKzQNX5yUnEkjsFWmb/i3h9s3bznzAUwLGo1s+KP0/HL9+tXFZGtZ4YC6lY4RiPH1ZBs+hGDr&#10;ovBikCP4E7TS0GWHboRAr64vWgcToY+6qMryrJjQtdahkN7T6U2+5HtE9xJA7Dol5A2K7ShNyKhO&#10;aggkyQ/Ker5ObLtOivCl67wMTDeclIa0UhLab+JarC+g7h3YQYk9BXgJhWeaRlCGkj5B3UAAtnXq&#10;L6hRCYceu3AicCyykOQIqViUz7y5H8DKpIWs9vbJdP//YMXn3VfHVNvwalkuOTMwUs0f5BzYe5zZ&#10;YlmeRY8m62sKvbcUHGa6oc5Jer29Q/HDM4PXA5heXjmH0yChJY6L+GVx9GnG8RFkM33CljLBNmAC&#10;mjs3RgPJEkboVXV6vihXnD0SzmpZvlslHlBHZoICTs/Kckn3ggKqVUUBKRvUByDrfPggcWRx03BH&#10;rZASwe7Oh0gM6kPIvnDtrdKaOQzfVRiS9weVvadvUpRnFklamcW7fnOtHdsBdddtenIKbQfIp6nD&#10;KJXPoSlt74+hFmV8/hWPUjyR1MowqkXDybeEzbwALanGuSKpS5PYyEObuBqM4rMt+USm6dl7FYsY&#10;65YrGObNvG+KDbaPVE4yLc0U/VdoM6D7xdlEU9Vw/3MLTnKmP5rkGwtps1ydVzSD7nC6OT4FIwii&#10;4YGTjri9Dnlkt9apfqAMufkMXlH7dCqVM1LMbPZNRxOT7c7THUfy+D1F/fmjr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0DuKdYAAAAFAQAADwAAAAAAAAABACAAAAAiAAAAZHJzL2Rvd25yZXYu&#10;eG1sUEsBAhQAFAAAAAgAh07iQBvvhgxvAgAAGQUAAA4AAAAAAAAAAQAgAAAAJQEAAGRycy9lMm9E&#10;b2MueG1sUEsFBgAAAAAGAAYAWQEAAAYGAAAAAA==&#10;">
                        <v:fill type="gradient" on="t" color2="#FFFFFF" opacity="0f" o:opacity2="0f" focus="100%" focussize="0,0" rotate="t"/>
                        <v:stroke on="f"/>
                        <v:imagedata o:title=""/>
                        <o:lock v:ext="edit" aspectratio="f"/>
                        <v:textbox inset="0mm,1.27mm,0mm,1.27mm">
                          <w:txbxContent>
                            <w:p w14:paraId="7FC99572">
                              <w:pPr>
                                <w:pStyle w:val="25"/>
                                <w:jc w:val="center"/>
                                <w:rPr>
                                  <w:rFonts w:ascii="Times New Roman" w:hAnsi="Times New Roman"/>
                                  <w:sz w:val="21"/>
                                  <w:szCs w:val="21"/>
                                </w:rPr>
                              </w:pPr>
                              <w:r>
                                <w:rPr>
                                  <w:rFonts w:hint="eastAsia" w:ascii="Times New Roman" w:hAnsi="Times New Roman"/>
                                  <w:sz w:val="21"/>
                                  <w:szCs w:val="21"/>
                                </w:rPr>
                                <w:t>328</w:t>
                              </w:r>
                            </w:p>
                          </w:txbxContent>
                        </v:textbox>
                      </v:shape>
                      <v:shape id="AutoShape 1408" o:spid="_x0000_s1026" o:spt="32" type="#_x0000_t32" style="position:absolute;left:1870075;top:1796861;height:635;width:1151890;" filled="f" stroked="t" coordsize="21600,21600" o:gfxdata="UEsDBAoAAAAAAIdO4kAAAAAAAAAAAAAAAAAEAAAAZHJzL1BLAwQUAAAACACHTuJAZwssTtgAAAAF&#10;AQAADwAAAGRycy9kb3ducmV2LnhtbE2PzU7DMBCE70i8g7VI3KjdAmkJcSqVCpELldoixNGNl9hq&#10;vI5i94+nx3BpLyuNZjTzbTE9upbtsQ/Wk4ThQABDqr221Ej4WL/eTYCFqEir1hNKOGGAaXl9Vahc&#10;+wMtcb+KDUslFHIlwcTY5ZyH2qBTYeA7pOR9+96pmGTfcN2rQyp3LR8JkXGnLKUFozp8MVhvVzsn&#10;Ic6/Tib7rGdPdrF+e8/sT1VVcylvb4biGVjEYzyH4Q8/oUOZmDZ+RzqwVkJ6JP7f5I3H94/ANhIe&#10;JmIEvCz4JX35C1BLAwQUAAAACACHTuJAowoAbu8BAADQAwAADgAAAGRycy9lMm9Eb2MueG1srVNN&#10;b9swDL0P2H8QdF9sZ03iGHGKIVl32UeBbT9AkWRbgCQKkhIn/36U7BZdd+lhPhiUSD7yPVK7+6vR&#10;5CJ9UGBbWi1KSqTlIJTtW/r718OHmpIQmRVMg5UtvclA7/fv3+1G18glDKCF9ARBbGhG19IhRtcU&#10;ReCDNCwswEmLzg68YRGPvi+EZyOiG10sy3JdjOCF88BlCHh7nJx0RvRvAYSuU1wegZ+NtHFC9VKz&#10;iJTCoFyg+9xt10kef3RdkJHoliLTmP9YBO1T+hf7HWt6z9yg+NwCe0sLrzgZpiwWfYY6ssjI2at/&#10;oIziHgJ0ccHBFBORrAiyqMpX2vwcmJOZC0od3LPo4f/B8u+XR0+UaOnyrlxRYpnBmX86R8jFSXVX&#10;1kmk0YUGYw/20c+n4DDxNH4DgQkMEzL/a+dN0gGZkSuuV70pyw3i3tDebNf1upokl9dIeAqoVlW9&#10;xWlwjFh/XCVvwZonGOdD/CLBkGS0NETPVD/EA1iLowVf5aLs8jXEKfEpIfVg4UFpjfes0ZaMLd2u&#10;lqucEEArkZzJF3x/OmhPLiztSP7mLv4K83C2IoNFpvRnK0i8OaQevWK215KmCkYKSrTEh5WsqSVt&#10;UxWZl3HuM6mZ9Jt0PYG4ZVmLdI+DzhLMS5k26eUZ7ZcPc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wssTtgAAAAFAQAADwAAAAAAAAABACAAAAAiAAAAZHJzL2Rvd25yZXYueG1sUEsBAhQAFAAA&#10;AAgAh07iQKMKAG7vAQAA0AMAAA4AAAAAAAAAAQAgAAAAJwEAAGRycy9lMm9Eb2MueG1sUEsFBgAA&#10;AAAGAAYAWQEAAIgFAAAAAA==&#10;">
                        <v:fill on="f" focussize="0,0"/>
                        <v:stroke color="#000000" joinstyle="round" endarrow="block"/>
                        <v:imagedata o:title=""/>
                        <o:lock v:ext="edit" aspectratio="f"/>
                      </v:shape>
                      <v:shape id="AutoShape 1398" o:spid="_x0000_s1026" o:spt="32" type="#_x0000_t32" style="position:absolute;left:1451610;top:1380301;flip:y;height:179705;width:266700;" filled="f" stroked="t" coordsize="21600,21600" o:gfxdata="UEsDBAoAAAAAAIdO4kAAAAAAAAAAAAAAAAAEAAAAZHJzL1BLAwQUAAAACACHTuJALcVnRtYAAAAF&#10;AQAADwAAAGRycy9kb3ducmV2LnhtbE2PO0/DQBCEeyT+w2mR6MidwyOJ8TkFCg2kCDH0G99iW9zD&#10;8m0ezq/noIFmpdGMZr4tlidnxYGG2AWvIZsoEOTrYDrfaHivnm/mICKjN2iDJw0jRViWlxcF5iYc&#10;/RsdttyIVOJjjhpa5j6XMtYtOYyT0JNP3mcYHHKSQyPNgMdU7qycKvUgHXY+LbTY01NL9dd27zSs&#10;XhavH3we1lnF43ph8bzajJXW11eZegTBdOK/MPzgJ3QoE9Mu7L2JwmpIj/DvTd5sdnsPYqfhbq6m&#10;IMtC/qcvvwFQSwMEFAAAAAgAh07iQIIDJ7UBAgAA9QMAAA4AAABkcnMvZTJvRG9jLnhtbK1TTW/b&#10;MAy9D9h/EHRfbCfNR404xZCsu2xrga27M5JsC9AXJCVO/v0o2Su67tJDfRBIkXzke6a2dxetyFn4&#10;IK1paDUrKRGGWS5N19CnX/efNpSECIaDskY09CoCvdt9/LAdXC3mtreKC08QxIR6cA3tY3R1UQTW&#10;Cw1hZp0wGGyt1xDR9V3BPQyIrlUxL8tVMVjPnbdMhIC3hzFIJ0T/FkDbtpKJg2UnLUwcUb1QEJFS&#10;6KULdJenbVvB4kPbBhGJaigyjfnEJmgf01nstlB3Hlwv2TQCvGWEV5w0SINNn6EOEIGcvPwPSkvm&#10;bbBtnDGri5FIVgRZVOUrbX724ETmglIH9yx6eD9Y9uP86InkDZ3flCtKDGj8559P0ebmpFrcbpJI&#10;gws15u7No5+84LDwOHy3HAsACzL/S+s1aZV0v3G38g1yJBd0bpbVqkLZr2gvNuWirEbxxSUShgnz&#10;1WpdYpylhPXtulymeAF1gkzSOh/iV2E1SUZDQ/Qguz7urTH4m60f28H5W4hj4d+CVGzsvVQK76FW&#10;hgzYYrlZL/OAwSrJUzQFg++Oe+XJGdLC5G8a45+0BH2A0I95HK2RjLcnw3OXCFJ9MZzEq0N9opdg&#10;OiVoaq0Fp0QJfH3JGmdVJnUXeWMnAknyJPIo/tHya9a+SPe4DVmbaXPTur300X75Wn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3FZ0bWAAAABQEAAA8AAAAAAAAAAQAgAAAAIgAAAGRycy9kb3du&#10;cmV2LnhtbFBLAQIUABQAAAAIAIdO4kCCAye1AQIAAPUDAAAOAAAAAAAAAAEAIAAAACUBAABkcnMv&#10;ZTJvRG9jLnhtbFBLBQYAAAAABgAGAFkBAACYBQAAAAA=&#10;">
                        <v:fill on="f" focussize="0,0"/>
                        <v:stroke weight="1.25pt" color="#000000" joinstyle="round" dashstyle="dash" endarrow="block"/>
                        <v:imagedata o:title=""/>
                        <o:lock v:ext="edit" aspectratio="f"/>
                      </v:shape>
                      <v:shape id="Text Box 1406" o:spid="_x0000_s1026" o:spt="202" type="#_x0000_t202" style="position:absolute;left:565150;top:1523811;height:252095;width:46799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D4Gtz1sAgAAGAUAAA4AAABkcnMvZTJvRG9jLnhtbK1UTW/b&#10;MAy9D9h/EHRf/bE4bY06RZegw4DuA2iHnRVZtoXJoiYpsbtfP0pK2qC7FNh8EGiKfuR7JH11PY+K&#10;7IV1EnRDi7OcEqE5tFL3Df3+cPvughLnmW6ZAi0a+igcvV69fXM1mVqUMIBqhSUIol09mYYO3ps6&#10;yxwfxMjcGRih8bIDOzKPr7bPWssmRB9VVub5MpvAtsYCF86hd5Mu6QHRvgYQuk5ysQG+G4X2CdUK&#10;xTxScoM0jq5itV0nuP/adU54ohqKTH08MQna23BmqytW95aZQfJDCew1JbzgNDKpMekT1IZ5RnZW&#10;/gU1Sm7BQefPOIxZIhIVQRZF/kKb+4EZEbmg1M48ie7+Hyz/sv9miWwbWi7yc0o0G7HnD2L25APM&#10;pFjky6DRZFyNofcGg/2MNzg5ka8zd8B/OqJhPTDdixtrYRoEa7HGInyZnXyacFwA2U6focVMbOch&#10;As2dHYOAKAlB9GpZFRU26RFhqvL9RRHBWB0K43i/WJ5fXlaUcAwoqzJHOyRj9RHHWOc/ChhJMBpq&#10;cRJiHra/cz6FHkMOfWtvpVLEgv8h/RClP5LsHX4ToxwxgMzyxN3227WyZM9wuG7jk1IoM7DkjQOG&#10;VbkUGivs3SlUkYfnX/EwxVORSmqCrUANFwmbOM6UwBanhsQhjWRDHUqHU0Mgn2RJHhGX56BV6GFo&#10;W2qgn7czhgbnFtpH7CaKFlcKfytoDGB/UzLhUjXU/doxKyhRn3TUjfhoLKrzErtrj97tqZdpjhAN&#10;9RR5BHPt08bujJX9gBnS7Gm4wenpZGznczWHmcOFSXKn5Q4befoeo55/aK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0DuKdYAAAAFAQAADwAAAAAAAAABACAAAAAiAAAAZHJzL2Rvd25yZXYueG1s&#10;UEsBAhQAFAAAAAgAh07iQD4Gtz1sAgAAGAUAAA4AAAAAAAAAAQAgAAAAJQEAAGRycy9lMm9Eb2Mu&#10;eG1sUEsFBgAAAAAGAAYAWQEAAAMGAAAAAA==&#10;">
                        <v:fill type="gradient" on="t" color2="#FFFFFF" opacity="0f" o:opacity2="0f" focus="100%" focussize="0,0" rotate="t"/>
                        <v:stroke on="f"/>
                        <v:imagedata o:title=""/>
                        <o:lock v:ext="edit" aspectratio="f"/>
                        <v:textbox inset="0mm,1.27mm,0mm,1.27mm">
                          <w:txbxContent>
                            <w:p w14:paraId="105E1C81">
                              <w:pPr>
                                <w:pStyle w:val="25"/>
                                <w:jc w:val="center"/>
                                <w:rPr>
                                  <w:rFonts w:ascii="Times New Roman" w:hAnsi="Times New Roman"/>
                                  <w:sz w:val="21"/>
                                  <w:szCs w:val="21"/>
                                </w:rPr>
                              </w:pPr>
                              <w:r>
                                <w:rPr>
                                  <w:rFonts w:hint="eastAsia" w:ascii="Times New Roman" w:hAnsi="Times New Roman"/>
                                  <w:sz w:val="21"/>
                                  <w:szCs w:val="21"/>
                                </w:rPr>
                                <w:t>410</w:t>
                              </w:r>
                            </w:p>
                          </w:txbxContent>
                        </v:textbox>
                      </v:shape>
                      <v:shape id="Text Box 1406" o:spid="_x0000_s1026" o:spt="202" type="#_x0000_t202" style="position:absolute;left:1725295;top:1282511;height:252095;width:360045;" fillcolor="#FFFFFF" filled="t" stroked="f" coordsize="21600,21600" o:gfxdata="UEsDBAoAAAAAAIdO4kAAAAAAAAAAAAAAAAAEAAAAZHJzL1BLAwQUAAAACACHTuJAD0DuKdYAAAAF&#10;AQAADwAAAGRycy9kb3ducmV2LnhtbE2PzU7DMBCE70i8g7VI3KjdFkiVxukBCQnBBQoHjo69sdPG&#10;6yh2+vP2GC70stJoRjPfVpuT79kBx9gFkjCfCWBIOpiOrISvz+e7FbCYFBnVB0IJZ4ywqa+vKlWa&#10;cKQPPGyTZbmEYqkkuJSGkvOoHXoVZ2FAyl4bRq9SlqPlZlTHXO57vhDikXvVUV5wasAnh3q/nbwE&#10;vW9buytellPzrc9v+Gqnwb1LeXszF2tgCU/pPwy/+Bkd6szUhIlMZL2E/Ej6u9kriuUDsEbC/Uos&#10;gNcVv6SvfwBQSwMEFAAAAAgAh07iQNc13g9rAgAAGQUAAA4AAABkcnMvZTJvRG9jLnhtbK1UTW/b&#10;MAy9D9h/EHRf7XhJ1xl1iq5FhwHdB9AOOyuybAuTRU1UYne/fpSUtEF3KbD5INAU/cj3SPr8Yh4N&#10;2ymPGmzDFyclZ8pKaLXtG/79/ubNGWcYhG2FAasa/qCQX6xfvzqfXK0qGMC0yjMCsVhPruFDCK4u&#10;CpSDGgWegFOWLjvwowj06vui9WIi9NEUVVmeFhP41nmQCpG81/mS7xH9SwCh67RU1yC3o7Iho3pl&#10;RCBKOGiHfJ2q7Tolw9euQxWYaTgxDemkJGRv4lmsz0Xde+EGLfcliJeU8IzTKLSlpI9Q1yIItvX6&#10;L6hRSw8IXTiRMBaZSFKEWCzKZ9rcDcKpxIWkRvcoOv4/WPll980z3Ta8WpbUeStG6vm9mgP7ADNb&#10;LMvTqNHksKbQO0fBYaYbmpzEF90tyJ/ILFwNwvbq0nuYBiVaqnERvyyOPs04GEE202doKZPYBkhA&#10;c+fHKCBJwiL6u2pVvV9x9kB2dVatFglN1LEySQFvT8tySfeSAii0pNiYTdQHIOcxfFQwsmg03NMo&#10;pERid4shhx5C9o1rb7QxzEP4ocOQtD+w7JG+SVHIHBC1MpP3/ebKeLYTNF036ckpjBtE9qYJo6ow&#10;h6YKezyGWpTx+Vc8SvFYpNGWUS8avlpmbIZSGEU9zh1JU5rIxjqMjaeFSD7Lkj0qbc9eq9jE2Lfc&#10;wTBvZgqNzg20D9ROEi3tFP1XyBjA/+Zsoq1qOP7aCq84M59s0o2FZCxX7yraQX/wbo69wkqCaHjg&#10;xCOaVyGv7NZ53Q+UIQ+fhUsan06ndj5Vsx862pgsd97uuJLH7ynq6Y+2/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PQO4p1gAAAAUBAAAPAAAAAAAAAAEAIAAAACIAAABkcnMvZG93bnJldi54bWxQ&#10;SwECFAAUAAAACACHTuJA1zXeD2sCAAAZBQAADgAAAAAAAAABACAAAAAlAQAAZHJzL2Uyb0RvYy54&#10;bWxQSwUGAAAAAAYABgBZAQAAAgYAAAAA&#10;">
                        <v:fill type="gradient" on="t" color2="#FFFFFF" opacity="0f" o:opacity2="0f" focus="100%" focussize="0,0" rotate="t"/>
                        <v:stroke on="f"/>
                        <v:imagedata o:title=""/>
                        <o:lock v:ext="edit" aspectratio="f"/>
                        <v:textbox inset="0mm,1.27mm,0mm,1.27mm">
                          <w:txbxContent>
                            <w:p w14:paraId="2116CF8F">
                              <w:pPr>
                                <w:pStyle w:val="25"/>
                                <w:jc w:val="center"/>
                                <w:rPr>
                                  <w:rFonts w:ascii="Times New Roman" w:hAnsi="Times New Roman"/>
                                </w:rPr>
                              </w:pPr>
                              <w:r>
                                <w:rPr>
                                  <w:rFonts w:hint="eastAsia" w:ascii="Times New Roman" w:hAnsi="Times New Roman"/>
                                  <w:sz w:val="21"/>
                                  <w:szCs w:val="21"/>
                                </w:rPr>
                                <w:t>82</w:t>
                              </w:r>
                            </w:p>
                          </w:txbxContent>
                        </v:textbox>
                      </v:shape>
                      <v:shape id="自选图形 721" o:spid="_x0000_s1026" o:spt="32" type="#_x0000_t32" style="position:absolute;left:3011170;top:455106;height:1332230;width:635;" filled="f" stroked="t" coordsize="21600,21600" o:gfxdata="UEsDBAoAAAAAAIdO4kAAAAAAAAAAAAAAAAAEAAAAZHJzL1BLAwQUAAAACACHTuJAW9hGrdYAAAAF&#10;AQAADwAAAGRycy9kb3ducmV2LnhtbE2PS0/DMBCE70j8B2uRuNF1W6BViNMDjx4QRaJUnN14iSPi&#10;dRRvH/DrMVzgstJoRjPflotj6NSehtRGNjAeaVDEdXQtNwY2rw8Xc1BJLDvbRSYDn5RgUZ2elLZw&#10;8cAvtF9Lo3IJp8Ia8CJ9gZhqT8GmUeyJs/ceh2Aly6FBN9hDLg8dTrS+xmBbzgve9nTrqf5Y74KB&#10;L/SE9CxvfjVdbu5x9bS8e0zGnJ+N9Q0ooaP8heEHP6NDlZm2cccuqc5AfkR+b/Zms+kVqK2By7me&#10;AFYl/qevvgFQSwMEFAAAAAgAh07iQA+hCy7tAQAApAMAAA4AAABkcnMvZTJvRG9jLnhtbK1TS44T&#10;MRDdI3EHy3vSv+lkaKUzi0TDhs9IwAEctzttyXZZtpNOduwQZ2DHkjvAbUaCW1B2Z0bDsJkFvbDK&#10;rqpX9V5VL6+OWpGDcF6CaWkxyykRhkMnza6lHz9cv7ikxAdmOqbAiJaehKdXq+fPlqNtRAkDqE44&#10;giDGN6Nt6RCCbbLM80Fo5mdghUFnD06zgFe3yzrHRkTXKivzfJ6N4DrrgAvv8XUzOekZ0T0FEPpe&#10;crEBvtfChAnVCcUCUvKDtJ6uUrd9L3h41/deBKJaikxDOrEI2tt4Zqsla3aO2UHycwvsKS084qSZ&#10;NFj0HmrDAiN7J/+B0pI78NCHGQedTUSSIsiiyB9p835gViQuKLW396L7/wfL3x5uHJFdS8uL/CUl&#10;hmmc+a/P339/+nL79eftj29kURZRptH6BqPX5sadb95i6nZ8Ax2msH2ApMCxdzoqgdzIsaVVXhTF&#10;AuU+tfSirot8PmkujoFw9M+rmhKOzqKqyrJKE8lYc4dinQ+vBGgSjZb64JjcDWENxuBswRWpJju8&#10;9gG7wsS7hNiCgWupVBqxMmTEGvXlok4ZHpTsojfGebfbrpUjBxa3JH2xSUT7K8zB3nTTuzIxT6QF&#10;O5eO+kRFJqW20J2SUFl8x+EluPOixe14eEf74c+1+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b&#10;2Eat1gAAAAUBAAAPAAAAAAAAAAEAIAAAACIAAABkcnMvZG93bnJldi54bWxQSwECFAAUAAAACACH&#10;TuJAD6ELLu0BAACkAwAADgAAAAAAAAABACAAAAAlAQAAZHJzL2Uyb0RvYy54bWxQSwUGAAAAAAYA&#10;BgBZAQAAhAUAAAAA&#10;">
                        <v:fill on="f" focussize="0,0"/>
                        <v:stroke weight="1.25pt" color="#000000" joinstyle="round"/>
                        <v:imagedata o:title=""/>
                        <o:lock v:ext="edit" aspectratio="f"/>
                      </v:shape>
                      <v:shape id="AutoShape 1408" o:spid="_x0000_s1026" o:spt="32" type="#_x0000_t32" style="position:absolute;left:3000375;top:1119951;height:635;width:467995;" filled="f" stroked="t" coordsize="21600,21600" o:gfxdata="UEsDBAoAAAAAAIdO4kAAAAAAAAAAAAAAAAAEAAAAZHJzL1BLAwQUAAAACACHTuJAZwssTtgAAAAF&#10;AQAADwAAAGRycy9kb3ducmV2LnhtbE2PzU7DMBCE70i8g7VI3KjdAmkJcSqVCpELldoixNGNl9hq&#10;vI5i94+nx3BpLyuNZjTzbTE9upbtsQ/Wk4ThQABDqr221Ej4WL/eTYCFqEir1hNKOGGAaXl9Vahc&#10;+wMtcb+KDUslFHIlwcTY5ZyH2qBTYeA7pOR9+96pmGTfcN2rQyp3LR8JkXGnLKUFozp8MVhvVzsn&#10;Ic6/Tib7rGdPdrF+e8/sT1VVcylvb4biGVjEYzyH4Q8/oUOZmDZ+RzqwVkJ6JP7f5I3H94/ANhIe&#10;JmIEvCz4JX35C1BLAwQUAAAACACHTuJA60CCbO8BAADPAwAADgAAAGRycy9lMm9Eb2MueG1srVPL&#10;btswELwX6D8QvNeS/EosWA4Ku+mlbQI0/QCapCQCJJcgacv++y4pJUjTSw7RQVjuY3ZnuNzeXYwm&#10;Z+mDAtvQalZSIi0HoWzX0D9P919uKQmRWcE0WNnQqwz0bvf503ZwtZxDD1pITxDEhnpwDe1jdHVR&#10;BN5Lw8IMnLQYbMEbFvHou0J4NiC60cW8LNfFAF44D1yGgN7DGKQTon8PILSt4vIA/GSkjSOql5pF&#10;pBR65QLd5WnbVvL40LZBRqIbikxj/mMTtI/pX+y2rO48c73i0wjsPSO84WSYstj0BerAIiMnr/6D&#10;Mop7CNDGGQdTjESyIsiiKt9o87tnTmYuKHVwL6KHj4Plv86PnijR0PmyQlEsM3jnX08RcnNSLcvb&#10;JNLgQo25e/vop1NwWHgcfoLAAoYFmf+l9SbpgMzIpaGLsiwXNytKrrhqVbXZrKpRcnmJhGPCcn2D&#10;Tko4JqwXqxQsWP2M4nyI3yUYkoyGhuiZ6vq4B2vxZsFXuSc7/whxLHwuSCNYuFdao5/V2pKhoZvV&#10;fJULAmglUjDFgu+Oe+3JmaUVyd80xT9pHk5WZLDIlP5mBYlXh8yjV8x2WtLUwUhBiZb4rpI1jqRt&#10;6iLzLk5zJjGTfKOsRxDXrGqR/HjPWYJpJ9MivT6j/fod7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wssTtgAAAAFAQAADwAAAAAAAAABACAAAAAiAAAAZHJzL2Rvd25yZXYueG1sUEsBAhQAFAAA&#10;AAgAh07iQOtAgmzvAQAAzwMAAA4AAAAAAAAAAQAgAAAAJwEAAGRycy9lMm9Eb2MueG1sUEsFBgAA&#10;AAAGAAYAWQEAAIgFAAAAAA==&#10;">
                        <v:fill on="f" focussize="0,0"/>
                        <v:stroke color="#000000" joinstyle="round" endarrow="block"/>
                        <v:imagedata o:title=""/>
                        <o:lock v:ext="edit" aspectratio="f"/>
                      </v:shape>
                      <w10:wrap type="none"/>
                      <w10:anchorlock/>
                    </v:group>
                  </w:pict>
                </mc:Fallback>
              </mc:AlternateContent>
            </w:r>
          </w:p>
          <w:p w14:paraId="444EACDF">
            <w:pPr>
              <w:spacing w:before="120" w:beforeLines="50" w:line="360" w:lineRule="auto"/>
              <w:jc w:val="center"/>
              <w:rPr>
                <w:rFonts w:eastAsia="黑体"/>
                <w:sz w:val="24"/>
              </w:rPr>
            </w:pPr>
            <w:r>
              <w:rPr>
                <w:rFonts w:eastAsia="黑体"/>
                <w:sz w:val="24"/>
              </w:rPr>
              <w:t>图2-1 项目总水平衡图（m</w:t>
            </w:r>
            <w:r>
              <w:rPr>
                <w:rFonts w:eastAsia="黑体"/>
                <w:sz w:val="24"/>
                <w:vertAlign w:val="superscript"/>
              </w:rPr>
              <w:t>3</w:t>
            </w:r>
            <w:r>
              <w:rPr>
                <w:rFonts w:eastAsia="黑体"/>
                <w:sz w:val="24"/>
              </w:rPr>
              <w:t>/勘探期）</w:t>
            </w:r>
          </w:p>
          <w:p w14:paraId="0DE3CC9C">
            <w:pPr>
              <w:adjustRightInd w:val="0"/>
              <w:snapToGrid w:val="0"/>
              <w:spacing w:line="360" w:lineRule="auto"/>
              <w:ind w:firstLine="480" w:firstLineChars="200"/>
              <w:rPr>
                <w:sz w:val="24"/>
              </w:rPr>
            </w:pPr>
            <w:r>
              <w:rPr>
                <w:rFonts w:hint="eastAsia"/>
                <w:sz w:val="24"/>
              </w:rPr>
              <w:t>（4）</w:t>
            </w:r>
            <w:r>
              <w:rPr>
                <w:sz w:val="24"/>
              </w:rPr>
              <w:t>供热</w:t>
            </w:r>
          </w:p>
          <w:p w14:paraId="73DAA831">
            <w:pPr>
              <w:spacing w:line="360" w:lineRule="auto"/>
              <w:ind w:firstLine="480" w:firstLineChars="200"/>
              <w:rPr>
                <w:sz w:val="24"/>
              </w:rPr>
            </w:pPr>
            <w:r>
              <w:rPr>
                <w:rFonts w:hint="eastAsia"/>
                <w:sz w:val="24"/>
              </w:rPr>
              <w:t>项目不设置加热炉，如勘探期为冬季，则办公生活区采用电暖器取暖，采出液输送管线利用伴热带保温，单井储液罐使用电加热器加热。由柴油发电机组提供电力，可以满足项目供暖的需求</w:t>
            </w:r>
            <w:r>
              <w:rPr>
                <w:sz w:val="24"/>
              </w:rPr>
              <w:t>。</w:t>
            </w:r>
          </w:p>
          <w:p w14:paraId="11D1509E">
            <w:pPr>
              <w:adjustRightInd w:val="0"/>
              <w:snapToGrid w:val="0"/>
              <w:spacing w:line="360" w:lineRule="auto"/>
              <w:ind w:firstLine="480" w:firstLineChars="200"/>
              <w:rPr>
                <w:sz w:val="24"/>
              </w:rPr>
            </w:pPr>
            <w:r>
              <w:rPr>
                <w:rFonts w:hint="eastAsia"/>
                <w:sz w:val="24"/>
              </w:rPr>
              <w:t>8</w:t>
            </w:r>
            <w:r>
              <w:rPr>
                <w:sz w:val="24"/>
              </w:rPr>
              <w:t>、总投资及投资来源</w:t>
            </w:r>
          </w:p>
          <w:p w14:paraId="6D59469E">
            <w:pPr>
              <w:adjustRightInd w:val="0"/>
              <w:snapToGrid w:val="0"/>
              <w:spacing w:line="360" w:lineRule="auto"/>
              <w:ind w:firstLine="480" w:firstLineChars="200"/>
              <w:rPr>
                <w:sz w:val="24"/>
              </w:rPr>
            </w:pPr>
            <w:r>
              <w:rPr>
                <w:sz w:val="24"/>
              </w:rPr>
              <w:t>项目总投资</w:t>
            </w:r>
            <w:r>
              <w:rPr>
                <w:rFonts w:hint="eastAsia"/>
                <w:sz w:val="24"/>
              </w:rPr>
              <w:t>2800</w:t>
            </w:r>
            <w:r>
              <w:rPr>
                <w:sz w:val="24"/>
              </w:rPr>
              <w:t>万元，全部由企业自筹解决。</w:t>
            </w:r>
          </w:p>
          <w:p w14:paraId="352E97FA">
            <w:pPr>
              <w:adjustRightInd w:val="0"/>
              <w:snapToGrid w:val="0"/>
              <w:spacing w:line="360" w:lineRule="auto"/>
              <w:ind w:firstLine="482" w:firstLineChars="200"/>
              <w:rPr>
                <w:b/>
                <w:sz w:val="24"/>
              </w:rPr>
            </w:pPr>
            <w:r>
              <w:rPr>
                <w:rFonts w:hint="eastAsia"/>
                <w:b/>
                <w:sz w:val="24"/>
              </w:rPr>
              <w:t>三</w:t>
            </w:r>
            <w:r>
              <w:rPr>
                <w:b/>
                <w:sz w:val="24"/>
              </w:rPr>
              <w:t>、建设规模</w:t>
            </w:r>
          </w:p>
          <w:p w14:paraId="219387B8">
            <w:pPr>
              <w:adjustRightInd w:val="0"/>
              <w:snapToGrid w:val="0"/>
              <w:spacing w:line="360" w:lineRule="auto"/>
              <w:ind w:firstLine="480" w:firstLineChars="200"/>
              <w:rPr>
                <w:sz w:val="24"/>
              </w:rPr>
            </w:pPr>
            <w:r>
              <w:rPr>
                <w:rFonts w:hint="eastAsia"/>
                <w:sz w:val="24"/>
              </w:rPr>
              <w:t>1号井设计井深4000m，井型为直井式</w:t>
            </w:r>
            <w:r>
              <w:rPr>
                <w:sz w:val="24"/>
              </w:rPr>
              <w:t>，</w:t>
            </w:r>
            <w:r>
              <w:rPr>
                <w:rFonts w:hint="eastAsia"/>
                <w:sz w:val="24"/>
              </w:rPr>
              <w:t>采用二开井身结构；2号井设计井深4100m，井型为斜井式</w:t>
            </w:r>
            <w:r>
              <w:rPr>
                <w:sz w:val="24"/>
              </w:rPr>
              <w:t>，</w:t>
            </w:r>
            <w:r>
              <w:rPr>
                <w:rFonts w:hint="eastAsia"/>
                <w:sz w:val="24"/>
              </w:rPr>
              <w:t>采用二开井身结构；3号井设计井深4100m，井型为斜井式</w:t>
            </w:r>
            <w:r>
              <w:rPr>
                <w:sz w:val="24"/>
              </w:rPr>
              <w:t>，</w:t>
            </w:r>
            <w:r>
              <w:rPr>
                <w:rFonts w:hint="eastAsia"/>
                <w:sz w:val="24"/>
              </w:rPr>
              <w:t>采用二开井身结构。井口间距为10~15m。</w:t>
            </w:r>
          </w:p>
          <w:p w14:paraId="3D1BC6CD">
            <w:pPr>
              <w:jc w:val="center"/>
              <w:rPr>
                <w:b/>
                <w:sz w:val="24"/>
              </w:rPr>
            </w:pPr>
            <w:r>
              <w:rPr>
                <w:b/>
                <w:sz w:val="24"/>
              </w:rPr>
              <w:t>表2-</w:t>
            </w:r>
            <w:r>
              <w:rPr>
                <w:rFonts w:hint="eastAsia"/>
                <w:b/>
                <w:sz w:val="24"/>
              </w:rPr>
              <w:t>9 项目</w:t>
            </w:r>
            <w:r>
              <w:rPr>
                <w:b/>
                <w:sz w:val="24"/>
              </w:rPr>
              <w:t>井位坐标数据表</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283"/>
              <w:gridCol w:w="1560"/>
              <w:gridCol w:w="2410"/>
              <w:gridCol w:w="1493"/>
              <w:gridCol w:w="1492"/>
            </w:tblGrid>
            <w:tr w14:paraId="06905CA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779" w:type="pct"/>
                  <w:vAlign w:val="center"/>
                </w:tcPr>
                <w:p w14:paraId="75F6D96B">
                  <w:pPr>
                    <w:adjustRightInd w:val="0"/>
                    <w:snapToGrid w:val="0"/>
                    <w:jc w:val="center"/>
                    <w:rPr>
                      <w:szCs w:val="21"/>
                    </w:rPr>
                  </w:pPr>
                  <w:r>
                    <w:rPr>
                      <w:szCs w:val="21"/>
                    </w:rPr>
                    <w:t>名称</w:t>
                  </w:r>
                </w:p>
              </w:tc>
              <w:tc>
                <w:tcPr>
                  <w:tcW w:w="947" w:type="pct"/>
                  <w:vAlign w:val="center"/>
                </w:tcPr>
                <w:p w14:paraId="70E0A6B2">
                  <w:pPr>
                    <w:adjustRightInd w:val="0"/>
                    <w:snapToGrid w:val="0"/>
                    <w:jc w:val="center"/>
                    <w:rPr>
                      <w:szCs w:val="21"/>
                    </w:rPr>
                  </w:pPr>
                  <w:r>
                    <w:rPr>
                      <w:szCs w:val="21"/>
                    </w:rPr>
                    <w:t>井号</w:t>
                  </w:r>
                </w:p>
              </w:tc>
              <w:tc>
                <w:tcPr>
                  <w:tcW w:w="1463" w:type="pct"/>
                  <w:vAlign w:val="center"/>
                </w:tcPr>
                <w:p w14:paraId="38DFEFED">
                  <w:pPr>
                    <w:adjustRightInd w:val="0"/>
                    <w:snapToGrid w:val="0"/>
                    <w:jc w:val="center"/>
                    <w:rPr>
                      <w:szCs w:val="21"/>
                    </w:rPr>
                  </w:pPr>
                  <w:r>
                    <w:rPr>
                      <w:szCs w:val="21"/>
                    </w:rPr>
                    <w:t>井口坐标</w:t>
                  </w:r>
                </w:p>
              </w:tc>
              <w:tc>
                <w:tcPr>
                  <w:tcW w:w="906" w:type="pct"/>
                  <w:tcBorders>
                    <w:right w:val="single" w:color="auto" w:sz="4" w:space="0"/>
                  </w:tcBorders>
                  <w:vAlign w:val="center"/>
                </w:tcPr>
                <w:p w14:paraId="5A97F199">
                  <w:pPr>
                    <w:adjustRightInd w:val="0"/>
                    <w:snapToGrid w:val="0"/>
                    <w:jc w:val="center"/>
                    <w:rPr>
                      <w:szCs w:val="21"/>
                    </w:rPr>
                  </w:pPr>
                  <w:r>
                    <w:rPr>
                      <w:szCs w:val="21"/>
                    </w:rPr>
                    <w:t>井型</w:t>
                  </w:r>
                </w:p>
              </w:tc>
              <w:tc>
                <w:tcPr>
                  <w:tcW w:w="906" w:type="pct"/>
                  <w:tcBorders>
                    <w:left w:val="single" w:color="auto" w:sz="4" w:space="0"/>
                  </w:tcBorders>
                  <w:vAlign w:val="center"/>
                </w:tcPr>
                <w:p w14:paraId="7A78B4A1">
                  <w:pPr>
                    <w:adjustRightInd w:val="0"/>
                    <w:snapToGrid w:val="0"/>
                    <w:jc w:val="center"/>
                    <w:rPr>
                      <w:szCs w:val="21"/>
                    </w:rPr>
                  </w:pPr>
                  <w:r>
                    <w:rPr>
                      <w:szCs w:val="21"/>
                    </w:rPr>
                    <w:t>设计井深</w:t>
                  </w:r>
                </w:p>
              </w:tc>
            </w:tr>
            <w:tr w14:paraId="140F13C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779" w:type="pct"/>
                  <w:vMerge w:val="restart"/>
                  <w:vAlign w:val="center"/>
                </w:tcPr>
                <w:p w14:paraId="2DC66661">
                  <w:pPr>
                    <w:adjustRightInd w:val="0"/>
                    <w:snapToGrid w:val="0"/>
                    <w:jc w:val="center"/>
                    <w:rPr>
                      <w:szCs w:val="21"/>
                    </w:rPr>
                  </w:pPr>
                  <w:r>
                    <w:rPr>
                      <w:rFonts w:hint="eastAsia"/>
                      <w:szCs w:val="21"/>
                    </w:rPr>
                    <w:t>磴4平台</w:t>
                  </w:r>
                </w:p>
              </w:tc>
              <w:tc>
                <w:tcPr>
                  <w:tcW w:w="947" w:type="pct"/>
                  <w:vAlign w:val="center"/>
                </w:tcPr>
                <w:p w14:paraId="5AE4FC93">
                  <w:pPr>
                    <w:adjustRightInd w:val="0"/>
                    <w:snapToGrid w:val="0"/>
                    <w:jc w:val="center"/>
                    <w:rPr>
                      <w:szCs w:val="21"/>
                    </w:rPr>
                  </w:pPr>
                  <w:r>
                    <w:rPr>
                      <w:rFonts w:hint="eastAsia"/>
                      <w:szCs w:val="21"/>
                    </w:rPr>
                    <w:t>1号井</w:t>
                  </w:r>
                </w:p>
              </w:tc>
              <w:tc>
                <w:tcPr>
                  <w:tcW w:w="1463" w:type="pct"/>
                  <w:vAlign w:val="center"/>
                </w:tcPr>
                <w:p w14:paraId="66F5DF94">
                  <w:pPr>
                    <w:adjustRightInd w:val="0"/>
                    <w:snapToGrid w:val="0"/>
                    <w:jc w:val="center"/>
                    <w:rPr>
                      <w:szCs w:val="21"/>
                    </w:rPr>
                  </w:pPr>
                  <w:r>
                    <w:rPr>
                      <w:szCs w:val="21"/>
                    </w:rPr>
                    <w:t>106°42′49.8″，40°25′45.9″</w:t>
                  </w:r>
                </w:p>
              </w:tc>
              <w:tc>
                <w:tcPr>
                  <w:tcW w:w="906" w:type="pct"/>
                  <w:tcBorders>
                    <w:right w:val="single" w:color="auto" w:sz="4" w:space="0"/>
                  </w:tcBorders>
                  <w:vAlign w:val="center"/>
                </w:tcPr>
                <w:p w14:paraId="4818F968">
                  <w:pPr>
                    <w:adjustRightInd w:val="0"/>
                    <w:snapToGrid w:val="0"/>
                    <w:jc w:val="center"/>
                    <w:rPr>
                      <w:szCs w:val="21"/>
                    </w:rPr>
                  </w:pPr>
                  <w:r>
                    <w:rPr>
                      <w:szCs w:val="21"/>
                    </w:rPr>
                    <w:t>直井</w:t>
                  </w:r>
                </w:p>
              </w:tc>
              <w:tc>
                <w:tcPr>
                  <w:tcW w:w="906" w:type="pct"/>
                  <w:tcBorders>
                    <w:left w:val="single" w:color="auto" w:sz="4" w:space="0"/>
                  </w:tcBorders>
                  <w:vAlign w:val="center"/>
                </w:tcPr>
                <w:p w14:paraId="32FCDBAD">
                  <w:pPr>
                    <w:adjustRightInd w:val="0"/>
                    <w:snapToGrid w:val="0"/>
                    <w:jc w:val="center"/>
                    <w:rPr>
                      <w:szCs w:val="21"/>
                    </w:rPr>
                  </w:pPr>
                  <w:r>
                    <w:rPr>
                      <w:rFonts w:hint="eastAsia"/>
                      <w:szCs w:val="21"/>
                    </w:rPr>
                    <w:t>4000m</w:t>
                  </w:r>
                </w:p>
              </w:tc>
            </w:tr>
            <w:tr w14:paraId="2CC0D11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779" w:type="pct"/>
                  <w:vMerge w:val="continue"/>
                  <w:vAlign w:val="center"/>
                </w:tcPr>
                <w:p w14:paraId="1ED4EFB5">
                  <w:pPr>
                    <w:adjustRightInd w:val="0"/>
                    <w:snapToGrid w:val="0"/>
                    <w:jc w:val="center"/>
                    <w:rPr>
                      <w:szCs w:val="21"/>
                    </w:rPr>
                  </w:pPr>
                </w:p>
              </w:tc>
              <w:tc>
                <w:tcPr>
                  <w:tcW w:w="947" w:type="pct"/>
                  <w:vAlign w:val="center"/>
                </w:tcPr>
                <w:p w14:paraId="19EEBEBB">
                  <w:pPr>
                    <w:adjustRightInd w:val="0"/>
                    <w:snapToGrid w:val="0"/>
                    <w:jc w:val="center"/>
                    <w:rPr>
                      <w:szCs w:val="21"/>
                    </w:rPr>
                  </w:pPr>
                  <w:r>
                    <w:rPr>
                      <w:rFonts w:hint="eastAsia"/>
                      <w:szCs w:val="21"/>
                    </w:rPr>
                    <w:t>2号井</w:t>
                  </w:r>
                </w:p>
              </w:tc>
              <w:tc>
                <w:tcPr>
                  <w:tcW w:w="1463" w:type="pct"/>
                  <w:vAlign w:val="center"/>
                </w:tcPr>
                <w:p w14:paraId="752CE5B8">
                  <w:pPr>
                    <w:adjustRightInd w:val="0"/>
                    <w:snapToGrid w:val="0"/>
                    <w:jc w:val="center"/>
                    <w:rPr>
                      <w:szCs w:val="21"/>
                    </w:rPr>
                  </w:pPr>
                  <w:r>
                    <w:rPr>
                      <w:szCs w:val="21"/>
                    </w:rPr>
                    <w:t>106°42′49.2″，40°25′45.9″</w:t>
                  </w:r>
                </w:p>
              </w:tc>
              <w:tc>
                <w:tcPr>
                  <w:tcW w:w="906" w:type="pct"/>
                  <w:tcBorders>
                    <w:right w:val="single" w:color="auto" w:sz="4" w:space="0"/>
                  </w:tcBorders>
                  <w:vAlign w:val="center"/>
                </w:tcPr>
                <w:p w14:paraId="34D36142">
                  <w:pPr>
                    <w:adjustRightInd w:val="0"/>
                    <w:snapToGrid w:val="0"/>
                    <w:jc w:val="center"/>
                    <w:rPr>
                      <w:szCs w:val="21"/>
                    </w:rPr>
                  </w:pPr>
                  <w:r>
                    <w:rPr>
                      <w:rFonts w:hint="eastAsia"/>
                      <w:szCs w:val="21"/>
                    </w:rPr>
                    <w:t>斜井</w:t>
                  </w:r>
                </w:p>
              </w:tc>
              <w:tc>
                <w:tcPr>
                  <w:tcW w:w="906" w:type="pct"/>
                  <w:tcBorders>
                    <w:left w:val="single" w:color="auto" w:sz="4" w:space="0"/>
                  </w:tcBorders>
                  <w:vAlign w:val="center"/>
                </w:tcPr>
                <w:p w14:paraId="10D31B1E">
                  <w:pPr>
                    <w:adjustRightInd w:val="0"/>
                    <w:snapToGrid w:val="0"/>
                    <w:jc w:val="center"/>
                    <w:rPr>
                      <w:szCs w:val="21"/>
                    </w:rPr>
                  </w:pPr>
                  <w:r>
                    <w:rPr>
                      <w:rFonts w:hint="eastAsia"/>
                      <w:szCs w:val="21"/>
                    </w:rPr>
                    <w:t>4100m</w:t>
                  </w:r>
                </w:p>
              </w:tc>
            </w:tr>
            <w:tr w14:paraId="33A211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425" w:hRule="atLeast"/>
              </w:trPr>
              <w:tc>
                <w:tcPr>
                  <w:tcW w:w="779" w:type="pct"/>
                  <w:vMerge w:val="continue"/>
                  <w:vAlign w:val="center"/>
                </w:tcPr>
                <w:p w14:paraId="72F514A7">
                  <w:pPr>
                    <w:adjustRightInd w:val="0"/>
                    <w:snapToGrid w:val="0"/>
                    <w:jc w:val="center"/>
                    <w:rPr>
                      <w:szCs w:val="21"/>
                    </w:rPr>
                  </w:pPr>
                </w:p>
              </w:tc>
              <w:tc>
                <w:tcPr>
                  <w:tcW w:w="947" w:type="pct"/>
                  <w:vAlign w:val="center"/>
                </w:tcPr>
                <w:p w14:paraId="06933965">
                  <w:pPr>
                    <w:adjustRightInd w:val="0"/>
                    <w:snapToGrid w:val="0"/>
                    <w:jc w:val="center"/>
                    <w:rPr>
                      <w:szCs w:val="21"/>
                    </w:rPr>
                  </w:pPr>
                  <w:r>
                    <w:rPr>
                      <w:rFonts w:hint="eastAsia"/>
                      <w:szCs w:val="21"/>
                    </w:rPr>
                    <w:t>3号井</w:t>
                  </w:r>
                </w:p>
              </w:tc>
              <w:tc>
                <w:tcPr>
                  <w:tcW w:w="1463" w:type="pct"/>
                  <w:vAlign w:val="center"/>
                </w:tcPr>
                <w:p w14:paraId="13B09413">
                  <w:pPr>
                    <w:adjustRightInd w:val="0"/>
                    <w:snapToGrid w:val="0"/>
                    <w:jc w:val="center"/>
                    <w:rPr>
                      <w:szCs w:val="21"/>
                    </w:rPr>
                  </w:pPr>
                  <w:r>
                    <w:rPr>
                      <w:szCs w:val="21"/>
                    </w:rPr>
                    <w:t>106°42′48.7″，40°25′45.9″</w:t>
                  </w:r>
                </w:p>
              </w:tc>
              <w:tc>
                <w:tcPr>
                  <w:tcW w:w="906" w:type="pct"/>
                  <w:tcBorders>
                    <w:right w:val="single" w:color="auto" w:sz="4" w:space="0"/>
                  </w:tcBorders>
                  <w:vAlign w:val="center"/>
                </w:tcPr>
                <w:p w14:paraId="06EE7BE2">
                  <w:pPr>
                    <w:adjustRightInd w:val="0"/>
                    <w:snapToGrid w:val="0"/>
                    <w:jc w:val="center"/>
                    <w:rPr>
                      <w:szCs w:val="21"/>
                    </w:rPr>
                  </w:pPr>
                  <w:r>
                    <w:rPr>
                      <w:rFonts w:hint="eastAsia"/>
                      <w:szCs w:val="21"/>
                    </w:rPr>
                    <w:t>斜井</w:t>
                  </w:r>
                </w:p>
              </w:tc>
              <w:tc>
                <w:tcPr>
                  <w:tcW w:w="906" w:type="pct"/>
                  <w:tcBorders>
                    <w:left w:val="single" w:color="auto" w:sz="4" w:space="0"/>
                  </w:tcBorders>
                  <w:vAlign w:val="center"/>
                </w:tcPr>
                <w:p w14:paraId="439133FF">
                  <w:pPr>
                    <w:adjustRightInd w:val="0"/>
                    <w:snapToGrid w:val="0"/>
                    <w:jc w:val="center"/>
                    <w:rPr>
                      <w:szCs w:val="21"/>
                    </w:rPr>
                  </w:pPr>
                  <w:r>
                    <w:rPr>
                      <w:rFonts w:hint="eastAsia"/>
                      <w:szCs w:val="21"/>
                    </w:rPr>
                    <w:t>4100m</w:t>
                  </w:r>
                </w:p>
              </w:tc>
            </w:tr>
          </w:tbl>
          <w:p w14:paraId="6CD82E31">
            <w:pPr>
              <w:jc w:val="center"/>
            </w:pPr>
            <w:r>
              <w:rPr>
                <w:rFonts w:hint="eastAsia"/>
                <w:b/>
                <w:kern w:val="0"/>
                <w:sz w:val="24"/>
              </w:rPr>
              <w:drawing>
                <wp:anchor distT="0" distB="0" distL="114300" distR="114300" simplePos="0" relativeHeight="251670528" behindDoc="0" locked="0" layoutInCell="1" allowOverlap="1">
                  <wp:simplePos x="0" y="0"/>
                  <wp:positionH relativeFrom="column">
                    <wp:posOffset>4119245</wp:posOffset>
                  </wp:positionH>
                  <wp:positionV relativeFrom="paragraph">
                    <wp:posOffset>39370</wp:posOffset>
                  </wp:positionV>
                  <wp:extent cx="483870" cy="494665"/>
                  <wp:effectExtent l="0" t="0" r="0" b="635"/>
                  <wp:wrapNone/>
                  <wp:docPr id="2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 name="图片 1"/>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83870" cy="494665"/>
                          </a:xfrm>
                          <a:prstGeom prst="rect">
                            <a:avLst/>
                          </a:prstGeom>
                          <a:noFill/>
                          <a:ln>
                            <a:noFill/>
                          </a:ln>
                        </pic:spPr>
                      </pic:pic>
                    </a:graphicData>
                  </a:graphic>
                </wp:anchor>
              </w:drawing>
            </w:r>
            <w:r>
              <w:rPr>
                <w:rFonts w:hint="eastAsia"/>
                <w:b/>
                <w:kern w:val="0"/>
                <w:sz w:val="24"/>
              </w:rPr>
              <mc:AlternateContent>
                <mc:Choice Requires="wps">
                  <w:drawing>
                    <wp:anchor distT="0" distB="0" distL="114300" distR="114300" simplePos="0" relativeHeight="251666432" behindDoc="0" locked="0" layoutInCell="1" allowOverlap="1">
                      <wp:simplePos x="0" y="0"/>
                      <wp:positionH relativeFrom="column">
                        <wp:posOffset>2870835</wp:posOffset>
                      </wp:positionH>
                      <wp:positionV relativeFrom="paragraph">
                        <wp:posOffset>1671955</wp:posOffset>
                      </wp:positionV>
                      <wp:extent cx="612140" cy="360045"/>
                      <wp:effectExtent l="13335" t="300355" r="12700" b="6350"/>
                      <wp:wrapNone/>
                      <wp:docPr id="1953" name="AutoShape 2438"/>
                      <wp:cNvGraphicFramePr/>
                      <a:graphic xmlns:a="http://schemas.openxmlformats.org/drawingml/2006/main">
                        <a:graphicData uri="http://schemas.microsoft.com/office/word/2010/wordprocessingShape">
                          <wps:wsp>
                            <wps:cNvSpPr>
                              <a:spLocks noChangeArrowheads="1"/>
                            </wps:cNvSpPr>
                            <wps:spPr bwMode="auto">
                              <a:xfrm>
                                <a:off x="0" y="0"/>
                                <a:ext cx="612140" cy="360045"/>
                              </a:xfrm>
                              <a:prstGeom prst="wedgeRoundRectCallout">
                                <a:avLst>
                                  <a:gd name="adj1" fmla="val -417"/>
                                  <a:gd name="adj2" fmla="val -126014"/>
                                  <a:gd name="adj3" fmla="val 16667"/>
                                </a:avLst>
                              </a:prstGeom>
                              <a:solidFill>
                                <a:srgbClr val="FFFFFF"/>
                              </a:solidFill>
                              <a:ln w="9525">
                                <a:solidFill>
                                  <a:srgbClr val="000000"/>
                                </a:solidFill>
                                <a:miter lim="800000"/>
                              </a:ln>
                            </wps:spPr>
                            <wps:txbx>
                              <w:txbxContent>
                                <w:p w14:paraId="0C9167C4">
                                  <w:pPr>
                                    <w:jc w:val="center"/>
                                  </w:pPr>
                                  <w:r>
                                    <w:rPr>
                                      <w:rFonts w:hint="eastAsia"/>
                                    </w:rPr>
                                    <w:t>井口</w:t>
                                  </w:r>
                                  <w:r>
                                    <w:t>间距</w:t>
                                  </w:r>
                                  <w:r>
                                    <w:rPr>
                                      <w:rFonts w:hint="eastAsia"/>
                                    </w:rPr>
                                    <w:t>10m-15m</w:t>
                                  </w:r>
                                </w:p>
                              </w:txbxContent>
                            </wps:txbx>
                            <wps:bodyPr rot="0" vert="horz" wrap="square" lIns="0" tIns="0" rIns="0" bIns="0" anchor="t" anchorCtr="0" upright="1">
                              <a:noAutofit/>
                            </wps:bodyPr>
                          </wps:wsp>
                        </a:graphicData>
                      </a:graphic>
                    </wp:anchor>
                  </w:drawing>
                </mc:Choice>
                <mc:Fallback>
                  <w:pict>
                    <v:shape id="AutoShape 2438" o:spid="_x0000_s1026" o:spt="62" type="#_x0000_t62" style="position:absolute;left:0pt;margin-left:226.05pt;margin-top:131.65pt;height:28.35pt;width:48.2pt;z-index:251666432;mso-width-relative:page;mso-height-relative:page;" fillcolor="#FFFFFF" filled="t" stroked="t" coordsize="21600,21600" o:gfxdata="UEsDBAoAAAAAAIdO4kAAAAAAAAAAAAAAAAAEAAAAZHJzL1BLAwQUAAAACACHTuJA4u79g9oAAAAL&#10;AQAADwAAAGRycy9kb3ducmV2LnhtbE2Py07DMBBF90j8gzVIbCrqPJooCnG6qChsEBIt3bvxkITG&#10;4yh2m/L3DCtYju7VuWeq9dUO4oKT7x0piJcRCKTGmZ5aBR/77UMBwgdNRg+OUME3eljXtzeVLo2b&#10;6R0vu9AKhpAvtYIuhLGU0jcdWu2XbkTi7NNNVgc+p1aaSc8Mt4NMoiiXVvfEC50ecdNhc9qdLVMO&#10;+cvb/JUv9ofNc7HA7Wl+xSel7u/i6BFEwGv4K8OvPqtDzU5HdybjxaBglSUxVxUkeZqC4Ea2KjIQ&#10;RwUpL4OsK/n/h/oHUEsDBBQAAAAIAIdO4kBIEJwsXwIAAPkEAAAOAAAAZHJzL2Uyb0RvYy54bWyt&#10;VNtu2zAMfR+wfxD03vrSxGuNOkWRosOAXYp2+wBFlm1tkqhJcpzu60fLTpu0e+jD9CBQFnXIw0P6&#10;8mqnFdkK5yWYimanKSXCcKilaSv64/vtyTklPjBTMwVGVPRReHq1ev/ucrClyKEDVQtHEMT4crAV&#10;7UKwZZJ43gnN/ClYYfCyAadZwKNrk9qxAdG1SvI0LZIBXG0dcOE9fr2ZLumM6N4CCE0jubgB3mth&#10;woTqhGIBKflOWk9XMdumETx8axovAlEVRaYh7hgE7c24J6tLVraO2U7yOQX2lhRecNJMGgz6BHXD&#10;AiO9k6+gtOQOPDThlINOJiKxIsgiS1/U5qFjVkQuWGpvn4ru/x8s/7q9c0TW2AkXyzNKDNOo+XUf&#10;IAYn+eLsfCzSYH2Jvg/2zo00vf0M/JcnBtYdM624dg6GTrAaU8tG/+TowXjw+JRshi9QYwCGAWK9&#10;do3TIyBWguyiLI9PsohdIBw/FlmeLVAwjldnRZouljECK/ePrfPhowBNRqOig6hbcQ+9qe9R/zVT&#10;CvoQo7HtZx+iTPXMlNU/M0oarVD1LVPkZJF9mJviwCU/csnyIs0Wr72wfM9AWVEUESlh5RwWrX2m&#10;sYagZH0rlYoH127WyhHMoaK3cc0k/aGbMmSo6MUyX0Y+R3f+ECKN618QWgacXyV1Rc8PnZSZVRuF&#10;mgQPu81u1n4D9SPq52CaIPx/oNGB+0PJgNNTUf+7Z05Qoj4Z7IFx1PaG2xubvcEMx6cVDZRM5jpM&#10;I9lbJ9sOkbNIz8DYiI0M+4aaspjzxIlA62jkDs/R6/mPtf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u79g9oAAAALAQAADwAAAAAAAAABACAAAAAiAAAAZHJzL2Rvd25yZXYueG1sUEsBAhQAFAAA&#10;AAgAh07iQEgQnCxfAgAA+QQAAA4AAAAAAAAAAQAgAAAAKQEAAGRycy9lMm9Eb2MueG1sUEsFBgAA&#10;AAAGAAYAWQEAAPoFAAAAAA==&#10;" adj="10710,-16419,14400">
                      <v:fill on="t" focussize="0,0"/>
                      <v:stroke color="#000000" miterlimit="8" joinstyle="miter"/>
                      <v:imagedata o:title=""/>
                      <o:lock v:ext="edit" aspectratio="f"/>
                      <v:textbox inset="0mm,0mm,0mm,0mm">
                        <w:txbxContent>
                          <w:p w14:paraId="0C9167C4">
                            <w:pPr>
                              <w:jc w:val="center"/>
                            </w:pPr>
                            <w:r>
                              <w:rPr>
                                <w:rFonts w:hint="eastAsia"/>
                              </w:rPr>
                              <w:t>井口</w:t>
                            </w:r>
                            <w:r>
                              <w:t>间距</w:t>
                            </w:r>
                            <w:r>
                              <w:rPr>
                                <w:rFonts w:hint="eastAsia"/>
                              </w:rPr>
                              <w:t>10m-15m</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815340</wp:posOffset>
                      </wp:positionH>
                      <wp:positionV relativeFrom="paragraph">
                        <wp:posOffset>35560</wp:posOffset>
                      </wp:positionV>
                      <wp:extent cx="776605" cy="266065"/>
                      <wp:effectExtent l="5715" t="6985" r="8255" b="107950"/>
                      <wp:wrapNone/>
                      <wp:docPr id="1952" name="AutoShape 2434"/>
                      <wp:cNvGraphicFramePr/>
                      <a:graphic xmlns:a="http://schemas.openxmlformats.org/drawingml/2006/main">
                        <a:graphicData uri="http://schemas.microsoft.com/office/word/2010/wordprocessingShape">
                          <wps:wsp>
                            <wps:cNvSpPr>
                              <a:spLocks noChangeArrowheads="1"/>
                            </wps:cNvSpPr>
                            <wps:spPr bwMode="auto">
                              <a:xfrm>
                                <a:off x="0" y="0"/>
                                <a:ext cx="776605" cy="266065"/>
                              </a:xfrm>
                              <a:prstGeom prst="wedgeRoundRectCallout">
                                <a:avLst>
                                  <a:gd name="adj1" fmla="val 45176"/>
                                  <a:gd name="adj2" fmla="val 81981"/>
                                  <a:gd name="adj3" fmla="val 16667"/>
                                </a:avLst>
                              </a:prstGeom>
                              <a:solidFill>
                                <a:srgbClr val="FFFFFF"/>
                              </a:solidFill>
                              <a:ln w="9525">
                                <a:solidFill>
                                  <a:srgbClr val="000000"/>
                                </a:solidFill>
                                <a:miter lim="800000"/>
                              </a:ln>
                            </wps:spPr>
                            <wps:txbx>
                              <w:txbxContent>
                                <w:p w14:paraId="00DA42DF">
                                  <w:r>
                                    <w:t>井场范围</w:t>
                                  </w:r>
                                </w:p>
                              </w:txbxContent>
                            </wps:txbx>
                            <wps:bodyPr rot="0" vert="horz" wrap="square" lIns="91440" tIns="45720" rIns="91440" bIns="45720" anchor="t" anchorCtr="0" upright="1">
                              <a:noAutofit/>
                            </wps:bodyPr>
                          </wps:wsp>
                        </a:graphicData>
                      </a:graphic>
                    </wp:anchor>
                  </w:drawing>
                </mc:Choice>
                <mc:Fallback>
                  <w:pict>
                    <v:shape id="AutoShape 2434" o:spid="_x0000_s1026" o:spt="62" type="#_x0000_t62" style="position:absolute;left:0pt;margin-left:64.2pt;margin-top:2.8pt;height:20.95pt;width:61.15pt;z-index:251665408;mso-width-relative:page;mso-height-relative:page;" fillcolor="#FFFFFF" filled="t" stroked="t" coordsize="21600,21600" o:gfxdata="UEsDBAoAAAAAAIdO4kAAAAAAAAAAAAAAAAAEAAAAZHJzL1BLAwQUAAAACACHTuJA4kEQu9kAAAAI&#10;AQAADwAAAGRycy9kb3ducmV2LnhtbE2PP0/DMBTEdyS+g/WQ2Kjd0KRVGqdDAbEgRJMwdHNjk0SN&#10;nyPb/cO35zHBeLrT3e+KzdWO7Gx8GBxKmM8EMIOt0wN2Epr65WEFLESFWo0OjYRvE2BT3t4UKtfu&#10;gjtzrmLHqARDriT0MU4556HtjVVh5iaD5H05b1Uk6TuuvbpQuR15IkTGrRqQFno1mW1v2mN1shKy&#10;bf36vts/Zsem/vT4FJu3j+pZyvu7uVgDi+Ya/8Lwi0/oUBLTwZ1QBzaSTlYLikpIM2DkJ6lYAjtI&#10;WCxT4GXB/x8ofwBQSwMEFAAAAAgAh07iQH0ysjtoAgAACAUAAA4AAABkcnMvZTJvRG9jLnhtbK1U&#10;wW7bMAy9D9g/CLqvjtPESY06RZGiw4BuK9rtAxRJtrVJoiYpcbqvHy27rdvt0MN8MEiTeuTjE31+&#10;cTSaHKQPCmxF85MZJdJyEMo2Ff3+7frDmpIQmRVMg5UVfZCBXmzevzvvXCnn0IIW0hMEsaHsXEXb&#10;GF2ZZYG30rBwAk5aDNbgDYvo+iYTnnWIbnQ2n82KrAMvnAcuQ8CvV0OQjoj+LYBQ14rLK+B7I20c&#10;UL3ULCKl0CoX6CZ1W9eSx691HWQkuqLINKY3FkF717+zzTkrG89cq/jYAntLC684GaYsFn2CumKR&#10;kb1Xf0EZxT0EqOMJB5MNRNJEkEU+ezWb+5Y5mbjgqIN7Gnr4f7D8y+HWEyXwJpwt55RYZlDzy32E&#10;VJzMF6eLfkidCyXm3rtb39MM7gb4z0AsbFtmG3npPXStZAJby/v87MWB3gl4lOy6zyCwAMMCaV7H&#10;2pseECdBjkmWhydZ5DESjh9Xq6KYLSnhGJqjWSxTBVY+HnY+xI8SDOmNinZSNPIO9lbcof5bpjXs&#10;Y6rGDjchJpnEyJSJHzkltdGo+oFpsljmq2K8FZMcnMxzzjo/WyeSKPck53SakxdFsRrbHKtmrHxs&#10;NI0QtBLXSuvk+Ga31Z5gCxW9Ts94OEzTtCVdRVGoZaLzIhamELP0/AvCqIjrq5Wp6HqapO0oWq/T&#10;oHc87o6j9DsQDyifh2GB8PeBRgv+NyUdLk9Fw68985IS/cniFTjLF4t+25KzWK7m6PhpZDeNMMsR&#10;qqKRksHcxmFD986rpsVKeaJrob+XtYqP92voauwbFwStFxs49VPW8w9s8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iQRC72QAAAAgBAAAPAAAAAAAAAAEAIAAAACIAAABkcnMvZG93bnJldi54bWxQ&#10;SwECFAAUAAAACACHTuJAfTKyO2gCAAAIBQAADgAAAAAAAAABACAAAAAoAQAAZHJzL2Uyb0RvYy54&#10;bWxQSwUGAAAAAAYABgBZAQAAAgYAAAAA&#10;" adj="20558,28508,14400">
                      <v:fill on="t" focussize="0,0"/>
                      <v:stroke color="#000000" miterlimit="8" joinstyle="miter"/>
                      <v:imagedata o:title=""/>
                      <o:lock v:ext="edit" aspectratio="f"/>
                      <v:textbox>
                        <w:txbxContent>
                          <w:p w14:paraId="00DA42DF">
                            <w:r>
                              <w:t>井场范围</w:t>
                            </w:r>
                          </w:p>
                        </w:txbxContent>
                      </v:textbox>
                    </v:shape>
                  </w:pict>
                </mc:Fallback>
              </mc:AlternateContent>
            </w:r>
            <w:r>
              <w:drawing>
                <wp:inline distT="0" distB="0" distL="0" distR="0">
                  <wp:extent cx="4018915" cy="2658110"/>
                  <wp:effectExtent l="0" t="0" r="63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018915" cy="2658110"/>
                          </a:xfrm>
                          <a:prstGeom prst="rect">
                            <a:avLst/>
                          </a:prstGeom>
                          <a:noFill/>
                          <a:ln>
                            <a:noFill/>
                          </a:ln>
                        </pic:spPr>
                      </pic:pic>
                    </a:graphicData>
                  </a:graphic>
                </wp:inline>
              </w:drawing>
            </w:r>
          </w:p>
          <w:p w14:paraId="05581368">
            <w:pPr>
              <w:spacing w:line="360" w:lineRule="auto"/>
              <w:jc w:val="center"/>
              <w:rPr>
                <w:rFonts w:eastAsia="黑体"/>
              </w:rPr>
            </w:pPr>
            <w:r>
              <w:rPr>
                <w:rFonts w:eastAsia="黑体"/>
                <w:sz w:val="24"/>
              </w:rPr>
              <w:t>图2-2 磴4平台井位位置关系图</w:t>
            </w:r>
          </w:p>
          <w:p w14:paraId="448791C6">
            <w:pPr>
              <w:jc w:val="center"/>
              <w:rPr>
                <w:b/>
                <w:sz w:val="24"/>
              </w:rPr>
            </w:pPr>
            <w:r>
              <w:rPr>
                <w:b/>
                <w:sz w:val="24"/>
              </w:rPr>
              <w:t>表2-</w:t>
            </w:r>
            <w:r>
              <w:rPr>
                <w:rFonts w:hint="eastAsia"/>
                <w:b/>
                <w:sz w:val="24"/>
              </w:rPr>
              <w:t xml:space="preserve">10 </w:t>
            </w:r>
            <w:r>
              <w:rPr>
                <w:b/>
                <w:sz w:val="24"/>
              </w:rPr>
              <w:t>井身结构设计数据表</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372"/>
              <w:gridCol w:w="1046"/>
              <w:gridCol w:w="1274"/>
              <w:gridCol w:w="1417"/>
              <w:gridCol w:w="1755"/>
              <w:gridCol w:w="1374"/>
            </w:tblGrid>
            <w:tr w14:paraId="76443B6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33" w:type="pct"/>
                  <w:vAlign w:val="center"/>
                </w:tcPr>
                <w:p w14:paraId="4AD329FA">
                  <w:pPr>
                    <w:adjustRightInd w:val="0"/>
                    <w:snapToGrid w:val="0"/>
                    <w:jc w:val="center"/>
                    <w:rPr>
                      <w:szCs w:val="21"/>
                    </w:rPr>
                  </w:pPr>
                  <w:r>
                    <w:rPr>
                      <w:szCs w:val="21"/>
                    </w:rPr>
                    <w:t>开钻次序</w:t>
                  </w:r>
                </w:p>
              </w:tc>
              <w:tc>
                <w:tcPr>
                  <w:tcW w:w="635" w:type="pct"/>
                  <w:vAlign w:val="center"/>
                </w:tcPr>
                <w:p w14:paraId="2885A0CB">
                  <w:pPr>
                    <w:adjustRightInd w:val="0"/>
                    <w:snapToGrid w:val="0"/>
                    <w:jc w:val="center"/>
                    <w:rPr>
                      <w:szCs w:val="21"/>
                    </w:rPr>
                  </w:pPr>
                  <w:r>
                    <w:rPr>
                      <w:rFonts w:hint="eastAsia"/>
                      <w:szCs w:val="21"/>
                    </w:rPr>
                    <w:t>井深m</w:t>
                  </w:r>
                </w:p>
              </w:tc>
              <w:tc>
                <w:tcPr>
                  <w:tcW w:w="773" w:type="pct"/>
                  <w:vAlign w:val="center"/>
                </w:tcPr>
                <w:p w14:paraId="707ACC2A">
                  <w:pPr>
                    <w:adjustRightInd w:val="0"/>
                    <w:snapToGrid w:val="0"/>
                    <w:jc w:val="center"/>
                    <w:rPr>
                      <w:szCs w:val="21"/>
                    </w:rPr>
                  </w:pPr>
                  <w:r>
                    <w:rPr>
                      <w:rFonts w:hint="eastAsia"/>
                      <w:szCs w:val="21"/>
                    </w:rPr>
                    <w:t>钻头尺寸mm</w:t>
                  </w:r>
                </w:p>
              </w:tc>
              <w:tc>
                <w:tcPr>
                  <w:tcW w:w="860" w:type="pct"/>
                  <w:tcBorders>
                    <w:right w:val="single" w:color="auto" w:sz="4" w:space="0"/>
                  </w:tcBorders>
                  <w:vAlign w:val="center"/>
                </w:tcPr>
                <w:p w14:paraId="19B1A7DB">
                  <w:pPr>
                    <w:adjustRightInd w:val="0"/>
                    <w:snapToGrid w:val="0"/>
                    <w:jc w:val="center"/>
                    <w:rPr>
                      <w:szCs w:val="21"/>
                    </w:rPr>
                  </w:pPr>
                  <w:r>
                    <w:rPr>
                      <w:rFonts w:hint="eastAsia"/>
                      <w:szCs w:val="21"/>
                    </w:rPr>
                    <w:t>套管尺寸mm</w:t>
                  </w:r>
                </w:p>
              </w:tc>
              <w:tc>
                <w:tcPr>
                  <w:tcW w:w="1065" w:type="pct"/>
                  <w:tcBorders>
                    <w:left w:val="single" w:color="auto" w:sz="4" w:space="0"/>
                  </w:tcBorders>
                  <w:vAlign w:val="center"/>
                </w:tcPr>
                <w:p w14:paraId="5F242E44">
                  <w:pPr>
                    <w:adjustRightInd w:val="0"/>
                    <w:snapToGrid w:val="0"/>
                    <w:jc w:val="center"/>
                    <w:rPr>
                      <w:szCs w:val="21"/>
                    </w:rPr>
                  </w:pPr>
                  <w:r>
                    <w:rPr>
                      <w:szCs w:val="21"/>
                    </w:rPr>
                    <w:t>套管下入深度m</w:t>
                  </w:r>
                </w:p>
              </w:tc>
              <w:tc>
                <w:tcPr>
                  <w:tcW w:w="834" w:type="pct"/>
                  <w:vAlign w:val="center"/>
                </w:tcPr>
                <w:p w14:paraId="0FBBB599">
                  <w:pPr>
                    <w:adjustRightInd w:val="0"/>
                    <w:snapToGrid w:val="0"/>
                    <w:jc w:val="center"/>
                    <w:rPr>
                      <w:szCs w:val="21"/>
                    </w:rPr>
                  </w:pPr>
                  <w:r>
                    <w:rPr>
                      <w:szCs w:val="21"/>
                    </w:rPr>
                    <w:t>设计说明</w:t>
                  </w:r>
                </w:p>
              </w:tc>
            </w:tr>
            <w:tr w14:paraId="1BD4CB0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5000" w:type="pct"/>
                  <w:gridSpan w:val="6"/>
                  <w:vAlign w:val="center"/>
                </w:tcPr>
                <w:p w14:paraId="4FCDA217">
                  <w:pPr>
                    <w:adjustRightInd w:val="0"/>
                    <w:snapToGrid w:val="0"/>
                    <w:jc w:val="center"/>
                    <w:rPr>
                      <w:szCs w:val="21"/>
                    </w:rPr>
                  </w:pPr>
                  <w:r>
                    <w:rPr>
                      <w:rFonts w:hint="eastAsia"/>
                      <w:szCs w:val="21"/>
                    </w:rPr>
                    <w:t>1号井</w:t>
                  </w:r>
                </w:p>
              </w:tc>
            </w:tr>
            <w:tr w14:paraId="5059943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33" w:type="pct"/>
                  <w:vAlign w:val="center"/>
                </w:tcPr>
                <w:p w14:paraId="7FB640D5">
                  <w:pPr>
                    <w:jc w:val="center"/>
                    <w:rPr>
                      <w:szCs w:val="21"/>
                    </w:rPr>
                  </w:pPr>
                  <w:r>
                    <w:rPr>
                      <w:szCs w:val="21"/>
                    </w:rPr>
                    <w:t>一开</w:t>
                  </w:r>
                </w:p>
              </w:tc>
              <w:tc>
                <w:tcPr>
                  <w:tcW w:w="635" w:type="pct"/>
                  <w:vAlign w:val="center"/>
                </w:tcPr>
                <w:p w14:paraId="6CFF9D9D">
                  <w:pPr>
                    <w:adjustRightInd w:val="0"/>
                    <w:snapToGrid w:val="0"/>
                    <w:jc w:val="center"/>
                    <w:rPr>
                      <w:szCs w:val="21"/>
                    </w:rPr>
                  </w:pPr>
                  <w:r>
                    <w:rPr>
                      <w:rFonts w:hint="eastAsia"/>
                      <w:szCs w:val="21"/>
                    </w:rPr>
                    <w:t>501</w:t>
                  </w:r>
                </w:p>
              </w:tc>
              <w:tc>
                <w:tcPr>
                  <w:tcW w:w="773" w:type="pct"/>
                  <w:vAlign w:val="center"/>
                </w:tcPr>
                <w:p w14:paraId="1FFDF145">
                  <w:pPr>
                    <w:jc w:val="center"/>
                    <w:rPr>
                      <w:szCs w:val="21"/>
                    </w:rPr>
                  </w:pPr>
                  <w:r>
                    <w:rPr>
                      <w:szCs w:val="21"/>
                    </w:rPr>
                    <w:t>D</w:t>
                  </w:r>
                  <w:r>
                    <w:rPr>
                      <w:rFonts w:hint="eastAsia"/>
                      <w:szCs w:val="21"/>
                    </w:rPr>
                    <w:t>311.2</w:t>
                  </w:r>
                </w:p>
              </w:tc>
              <w:tc>
                <w:tcPr>
                  <w:tcW w:w="860" w:type="pct"/>
                  <w:tcBorders>
                    <w:right w:val="single" w:color="auto" w:sz="4" w:space="0"/>
                  </w:tcBorders>
                  <w:vAlign w:val="center"/>
                </w:tcPr>
                <w:p w14:paraId="3AD18DCD">
                  <w:pPr>
                    <w:jc w:val="center"/>
                    <w:rPr>
                      <w:szCs w:val="21"/>
                    </w:rPr>
                  </w:pPr>
                  <w:r>
                    <w:rPr>
                      <w:szCs w:val="21"/>
                    </w:rPr>
                    <w:t>D</w:t>
                  </w:r>
                  <w:r>
                    <w:rPr>
                      <w:rFonts w:hint="eastAsia"/>
                      <w:szCs w:val="21"/>
                    </w:rPr>
                    <w:t>244.5</w:t>
                  </w:r>
                </w:p>
              </w:tc>
              <w:tc>
                <w:tcPr>
                  <w:tcW w:w="1065" w:type="pct"/>
                  <w:tcBorders>
                    <w:left w:val="single" w:color="auto" w:sz="4" w:space="0"/>
                  </w:tcBorders>
                  <w:vAlign w:val="center"/>
                </w:tcPr>
                <w:p w14:paraId="073084A8">
                  <w:pPr>
                    <w:jc w:val="center"/>
                    <w:rPr>
                      <w:szCs w:val="21"/>
                    </w:rPr>
                  </w:pPr>
                  <w:r>
                    <w:rPr>
                      <w:rFonts w:hint="eastAsia"/>
                      <w:szCs w:val="21"/>
                    </w:rPr>
                    <w:t>500</w:t>
                  </w:r>
                </w:p>
              </w:tc>
              <w:tc>
                <w:tcPr>
                  <w:tcW w:w="834" w:type="pct"/>
                  <w:vMerge w:val="restart"/>
                  <w:vAlign w:val="center"/>
                </w:tcPr>
                <w:p w14:paraId="1B99EB9A">
                  <w:pPr>
                    <w:adjustRightInd w:val="0"/>
                    <w:snapToGrid w:val="0"/>
                    <w:jc w:val="center"/>
                    <w:rPr>
                      <w:szCs w:val="21"/>
                    </w:rPr>
                  </w:pPr>
                  <w:r>
                    <w:rPr>
                      <w:szCs w:val="21"/>
                    </w:rPr>
                    <w:t>固井水泥返</w:t>
                  </w:r>
                  <w:r>
                    <w:rPr>
                      <w:rFonts w:hint="eastAsia"/>
                      <w:szCs w:val="21"/>
                    </w:rPr>
                    <w:t>至</w:t>
                  </w:r>
                  <w:r>
                    <w:rPr>
                      <w:szCs w:val="21"/>
                    </w:rPr>
                    <w:t>井口处，不会外流至地面</w:t>
                  </w:r>
                </w:p>
              </w:tc>
            </w:tr>
            <w:tr w14:paraId="466640E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33" w:type="pct"/>
                  <w:vAlign w:val="center"/>
                </w:tcPr>
                <w:p w14:paraId="04123328">
                  <w:pPr>
                    <w:jc w:val="center"/>
                    <w:rPr>
                      <w:szCs w:val="21"/>
                    </w:rPr>
                  </w:pPr>
                  <w:r>
                    <w:rPr>
                      <w:szCs w:val="21"/>
                    </w:rPr>
                    <w:t>二开</w:t>
                  </w:r>
                </w:p>
              </w:tc>
              <w:tc>
                <w:tcPr>
                  <w:tcW w:w="635" w:type="pct"/>
                  <w:vAlign w:val="center"/>
                </w:tcPr>
                <w:p w14:paraId="199345F8">
                  <w:pPr>
                    <w:adjustRightInd w:val="0"/>
                    <w:snapToGrid w:val="0"/>
                    <w:jc w:val="center"/>
                    <w:rPr>
                      <w:szCs w:val="21"/>
                    </w:rPr>
                  </w:pPr>
                  <w:r>
                    <w:rPr>
                      <w:rFonts w:hint="eastAsia"/>
                      <w:szCs w:val="21"/>
                    </w:rPr>
                    <w:t>4000</w:t>
                  </w:r>
                </w:p>
              </w:tc>
              <w:tc>
                <w:tcPr>
                  <w:tcW w:w="773" w:type="pct"/>
                  <w:vAlign w:val="center"/>
                </w:tcPr>
                <w:p w14:paraId="33847C4E">
                  <w:pPr>
                    <w:jc w:val="center"/>
                    <w:rPr>
                      <w:szCs w:val="21"/>
                    </w:rPr>
                  </w:pPr>
                  <w:r>
                    <w:rPr>
                      <w:szCs w:val="21"/>
                    </w:rPr>
                    <w:t>D</w:t>
                  </w:r>
                  <w:r>
                    <w:rPr>
                      <w:rFonts w:hint="eastAsia"/>
                      <w:szCs w:val="21"/>
                    </w:rPr>
                    <w:t>215.9</w:t>
                  </w:r>
                </w:p>
              </w:tc>
              <w:tc>
                <w:tcPr>
                  <w:tcW w:w="860" w:type="pct"/>
                  <w:tcBorders>
                    <w:right w:val="single" w:color="auto" w:sz="4" w:space="0"/>
                  </w:tcBorders>
                  <w:vAlign w:val="center"/>
                </w:tcPr>
                <w:p w14:paraId="403B8531">
                  <w:pPr>
                    <w:jc w:val="center"/>
                    <w:rPr>
                      <w:szCs w:val="21"/>
                    </w:rPr>
                  </w:pPr>
                  <w:r>
                    <w:rPr>
                      <w:szCs w:val="21"/>
                    </w:rPr>
                    <w:t>D</w:t>
                  </w:r>
                  <w:r>
                    <w:rPr>
                      <w:rFonts w:hint="eastAsia"/>
                      <w:szCs w:val="21"/>
                    </w:rPr>
                    <w:t>139.7</w:t>
                  </w:r>
                </w:p>
              </w:tc>
              <w:tc>
                <w:tcPr>
                  <w:tcW w:w="1065" w:type="pct"/>
                  <w:tcBorders>
                    <w:left w:val="single" w:color="auto" w:sz="4" w:space="0"/>
                  </w:tcBorders>
                  <w:vAlign w:val="center"/>
                </w:tcPr>
                <w:p w14:paraId="6399C452">
                  <w:pPr>
                    <w:jc w:val="center"/>
                    <w:rPr>
                      <w:szCs w:val="21"/>
                    </w:rPr>
                  </w:pPr>
                  <w:r>
                    <w:rPr>
                      <w:rFonts w:hint="eastAsia"/>
                      <w:szCs w:val="21"/>
                    </w:rPr>
                    <w:t>3998</w:t>
                  </w:r>
                </w:p>
              </w:tc>
              <w:tc>
                <w:tcPr>
                  <w:tcW w:w="834" w:type="pct"/>
                  <w:vMerge w:val="continue"/>
                  <w:vAlign w:val="center"/>
                </w:tcPr>
                <w:p w14:paraId="40AA5399">
                  <w:pPr>
                    <w:adjustRightInd w:val="0"/>
                    <w:snapToGrid w:val="0"/>
                    <w:jc w:val="center"/>
                    <w:rPr>
                      <w:szCs w:val="21"/>
                    </w:rPr>
                  </w:pPr>
                </w:p>
              </w:tc>
            </w:tr>
            <w:tr w14:paraId="5483863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5000" w:type="pct"/>
                  <w:gridSpan w:val="6"/>
                  <w:vAlign w:val="center"/>
                </w:tcPr>
                <w:p w14:paraId="1CE42BF8">
                  <w:pPr>
                    <w:adjustRightInd w:val="0"/>
                    <w:snapToGrid w:val="0"/>
                    <w:jc w:val="center"/>
                    <w:rPr>
                      <w:szCs w:val="21"/>
                    </w:rPr>
                  </w:pPr>
                  <w:r>
                    <w:rPr>
                      <w:rFonts w:hint="eastAsia"/>
                      <w:szCs w:val="21"/>
                    </w:rPr>
                    <w:t>2号井/3号井</w:t>
                  </w:r>
                </w:p>
              </w:tc>
            </w:tr>
            <w:tr w14:paraId="3EC6902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33" w:type="pct"/>
                  <w:vAlign w:val="center"/>
                </w:tcPr>
                <w:p w14:paraId="69B1E342">
                  <w:pPr>
                    <w:jc w:val="center"/>
                    <w:rPr>
                      <w:szCs w:val="21"/>
                    </w:rPr>
                  </w:pPr>
                  <w:r>
                    <w:rPr>
                      <w:szCs w:val="21"/>
                    </w:rPr>
                    <w:t>一开</w:t>
                  </w:r>
                </w:p>
              </w:tc>
              <w:tc>
                <w:tcPr>
                  <w:tcW w:w="635" w:type="pct"/>
                  <w:vAlign w:val="center"/>
                </w:tcPr>
                <w:p w14:paraId="5B016EC9">
                  <w:pPr>
                    <w:adjustRightInd w:val="0"/>
                    <w:snapToGrid w:val="0"/>
                    <w:jc w:val="center"/>
                    <w:rPr>
                      <w:szCs w:val="21"/>
                    </w:rPr>
                  </w:pPr>
                  <w:r>
                    <w:rPr>
                      <w:rFonts w:hint="eastAsia"/>
                      <w:szCs w:val="21"/>
                    </w:rPr>
                    <w:t>501</w:t>
                  </w:r>
                </w:p>
              </w:tc>
              <w:tc>
                <w:tcPr>
                  <w:tcW w:w="773" w:type="pct"/>
                  <w:vAlign w:val="center"/>
                </w:tcPr>
                <w:p w14:paraId="28B9F75D">
                  <w:pPr>
                    <w:jc w:val="center"/>
                    <w:rPr>
                      <w:szCs w:val="21"/>
                    </w:rPr>
                  </w:pPr>
                  <w:r>
                    <w:rPr>
                      <w:szCs w:val="21"/>
                    </w:rPr>
                    <w:t>D</w:t>
                  </w:r>
                  <w:r>
                    <w:rPr>
                      <w:rFonts w:hint="eastAsia"/>
                      <w:szCs w:val="21"/>
                    </w:rPr>
                    <w:t>311.2</w:t>
                  </w:r>
                </w:p>
              </w:tc>
              <w:tc>
                <w:tcPr>
                  <w:tcW w:w="860" w:type="pct"/>
                  <w:tcBorders>
                    <w:right w:val="single" w:color="auto" w:sz="4" w:space="0"/>
                  </w:tcBorders>
                  <w:vAlign w:val="center"/>
                </w:tcPr>
                <w:p w14:paraId="5AA36B95">
                  <w:pPr>
                    <w:jc w:val="center"/>
                    <w:rPr>
                      <w:szCs w:val="21"/>
                    </w:rPr>
                  </w:pPr>
                  <w:r>
                    <w:rPr>
                      <w:szCs w:val="21"/>
                    </w:rPr>
                    <w:t>D</w:t>
                  </w:r>
                  <w:r>
                    <w:rPr>
                      <w:rFonts w:hint="eastAsia"/>
                      <w:szCs w:val="21"/>
                    </w:rPr>
                    <w:t>244.5</w:t>
                  </w:r>
                </w:p>
              </w:tc>
              <w:tc>
                <w:tcPr>
                  <w:tcW w:w="1065" w:type="pct"/>
                  <w:tcBorders>
                    <w:left w:val="single" w:color="auto" w:sz="4" w:space="0"/>
                  </w:tcBorders>
                  <w:vAlign w:val="center"/>
                </w:tcPr>
                <w:p w14:paraId="14461B21">
                  <w:pPr>
                    <w:jc w:val="center"/>
                    <w:rPr>
                      <w:szCs w:val="21"/>
                    </w:rPr>
                  </w:pPr>
                  <w:r>
                    <w:rPr>
                      <w:rFonts w:hint="eastAsia"/>
                      <w:szCs w:val="21"/>
                    </w:rPr>
                    <w:t>500</w:t>
                  </w:r>
                </w:p>
              </w:tc>
              <w:tc>
                <w:tcPr>
                  <w:tcW w:w="834" w:type="pct"/>
                  <w:vMerge w:val="restart"/>
                  <w:vAlign w:val="center"/>
                </w:tcPr>
                <w:p w14:paraId="49F11322">
                  <w:pPr>
                    <w:adjustRightInd w:val="0"/>
                    <w:snapToGrid w:val="0"/>
                    <w:jc w:val="center"/>
                    <w:rPr>
                      <w:szCs w:val="21"/>
                    </w:rPr>
                  </w:pPr>
                  <w:r>
                    <w:rPr>
                      <w:szCs w:val="21"/>
                    </w:rPr>
                    <w:t>固井水泥返至井口处，不会外流至地面</w:t>
                  </w:r>
                </w:p>
              </w:tc>
            </w:tr>
            <w:tr w14:paraId="478CEC9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33" w:type="pct"/>
                  <w:vAlign w:val="center"/>
                </w:tcPr>
                <w:p w14:paraId="432B12BD">
                  <w:pPr>
                    <w:jc w:val="center"/>
                    <w:rPr>
                      <w:szCs w:val="21"/>
                    </w:rPr>
                  </w:pPr>
                  <w:r>
                    <w:rPr>
                      <w:szCs w:val="21"/>
                    </w:rPr>
                    <w:t>二开</w:t>
                  </w:r>
                </w:p>
              </w:tc>
              <w:tc>
                <w:tcPr>
                  <w:tcW w:w="635" w:type="pct"/>
                  <w:vAlign w:val="center"/>
                </w:tcPr>
                <w:p w14:paraId="2A794581">
                  <w:pPr>
                    <w:adjustRightInd w:val="0"/>
                    <w:snapToGrid w:val="0"/>
                    <w:jc w:val="center"/>
                    <w:rPr>
                      <w:szCs w:val="21"/>
                    </w:rPr>
                  </w:pPr>
                  <w:r>
                    <w:rPr>
                      <w:rFonts w:hint="eastAsia"/>
                      <w:szCs w:val="21"/>
                    </w:rPr>
                    <w:t>4100</w:t>
                  </w:r>
                </w:p>
              </w:tc>
              <w:tc>
                <w:tcPr>
                  <w:tcW w:w="773" w:type="pct"/>
                  <w:vAlign w:val="center"/>
                </w:tcPr>
                <w:p w14:paraId="38EF5441">
                  <w:pPr>
                    <w:jc w:val="center"/>
                    <w:rPr>
                      <w:szCs w:val="21"/>
                    </w:rPr>
                  </w:pPr>
                  <w:r>
                    <w:rPr>
                      <w:szCs w:val="21"/>
                    </w:rPr>
                    <w:t>D</w:t>
                  </w:r>
                  <w:r>
                    <w:rPr>
                      <w:rFonts w:hint="eastAsia"/>
                      <w:szCs w:val="21"/>
                    </w:rPr>
                    <w:t>215.9</w:t>
                  </w:r>
                </w:p>
              </w:tc>
              <w:tc>
                <w:tcPr>
                  <w:tcW w:w="860" w:type="pct"/>
                  <w:tcBorders>
                    <w:right w:val="single" w:color="auto" w:sz="4" w:space="0"/>
                  </w:tcBorders>
                  <w:vAlign w:val="center"/>
                </w:tcPr>
                <w:p w14:paraId="440B5507">
                  <w:pPr>
                    <w:jc w:val="center"/>
                    <w:rPr>
                      <w:szCs w:val="21"/>
                    </w:rPr>
                  </w:pPr>
                  <w:r>
                    <w:rPr>
                      <w:szCs w:val="21"/>
                    </w:rPr>
                    <w:t>D</w:t>
                  </w:r>
                  <w:r>
                    <w:rPr>
                      <w:rFonts w:hint="eastAsia"/>
                      <w:szCs w:val="21"/>
                    </w:rPr>
                    <w:t>139.7</w:t>
                  </w:r>
                </w:p>
              </w:tc>
              <w:tc>
                <w:tcPr>
                  <w:tcW w:w="1065" w:type="pct"/>
                  <w:tcBorders>
                    <w:left w:val="single" w:color="auto" w:sz="4" w:space="0"/>
                  </w:tcBorders>
                  <w:vAlign w:val="center"/>
                </w:tcPr>
                <w:p w14:paraId="06989200">
                  <w:pPr>
                    <w:jc w:val="center"/>
                    <w:rPr>
                      <w:szCs w:val="21"/>
                    </w:rPr>
                  </w:pPr>
                  <w:r>
                    <w:rPr>
                      <w:rFonts w:hint="eastAsia"/>
                      <w:szCs w:val="21"/>
                    </w:rPr>
                    <w:t>4098</w:t>
                  </w:r>
                </w:p>
              </w:tc>
              <w:tc>
                <w:tcPr>
                  <w:tcW w:w="834" w:type="pct"/>
                  <w:vMerge w:val="continue"/>
                  <w:vAlign w:val="center"/>
                </w:tcPr>
                <w:p w14:paraId="6C2E43F4">
                  <w:pPr>
                    <w:adjustRightInd w:val="0"/>
                    <w:snapToGrid w:val="0"/>
                    <w:jc w:val="center"/>
                    <w:rPr>
                      <w:szCs w:val="21"/>
                    </w:rPr>
                  </w:pPr>
                </w:p>
              </w:tc>
            </w:tr>
          </w:tbl>
          <w:p w14:paraId="6BC43EF5">
            <w:pPr>
              <w:jc w:val="center"/>
            </w:pPr>
          </w:p>
          <w:p w14:paraId="6025BBF9">
            <w:pPr>
              <w:jc w:val="center"/>
            </w:pPr>
            <w:r>
              <mc:AlternateContent>
                <mc:Choice Requires="wps">
                  <w:drawing>
                    <wp:anchor distT="0" distB="0" distL="114300" distR="114300" simplePos="0" relativeHeight="251667456" behindDoc="0" locked="0" layoutInCell="1" allowOverlap="1">
                      <wp:simplePos x="0" y="0"/>
                      <wp:positionH relativeFrom="column">
                        <wp:posOffset>1594485</wp:posOffset>
                      </wp:positionH>
                      <wp:positionV relativeFrom="paragraph">
                        <wp:posOffset>2973070</wp:posOffset>
                      </wp:positionV>
                      <wp:extent cx="900430" cy="441325"/>
                      <wp:effectExtent l="3810" t="1270" r="635" b="0"/>
                      <wp:wrapNone/>
                      <wp:docPr id="31" name="Rectangle 2442"/>
                      <wp:cNvGraphicFramePr/>
                      <a:graphic xmlns:a="http://schemas.openxmlformats.org/drawingml/2006/main">
                        <a:graphicData uri="http://schemas.microsoft.com/office/word/2010/wordprocessingShape">
                          <wps:wsp>
                            <wps:cNvSpPr>
                              <a:spLocks noChangeArrowheads="1"/>
                            </wps:cNvSpPr>
                            <wps:spPr bwMode="auto">
                              <a:xfrm>
                                <a:off x="0" y="0"/>
                                <a:ext cx="900430" cy="441325"/>
                              </a:xfrm>
                              <a:prstGeom prst="rect">
                                <a:avLst/>
                              </a:prstGeom>
                              <a:solidFill>
                                <a:srgbClr val="FFFFFF"/>
                              </a:solidFill>
                              <a:ln>
                                <a:noFill/>
                              </a:ln>
                            </wps:spPr>
                            <wps:txbx>
                              <w:txbxContent>
                                <w:p w14:paraId="3BC8ED9E">
                                  <w:pPr>
                                    <w:rPr>
                                      <w:sz w:val="13"/>
                                    </w:rPr>
                                  </w:pPr>
                                  <w:r>
                                    <w:rPr>
                                      <w:sz w:val="13"/>
                                    </w:rPr>
                                    <w:t>二开：</w:t>
                                  </w:r>
                                </w:p>
                                <w:p w14:paraId="130EB4FB">
                                  <w:pPr>
                                    <w:rPr>
                                      <w:sz w:val="13"/>
                                    </w:rPr>
                                  </w:pPr>
                                  <w:r>
                                    <w:rPr>
                                      <w:sz w:val="13"/>
                                    </w:rPr>
                                    <w:t>φ215.9mm井眼×4000m</w:t>
                                  </w:r>
                                </w:p>
                                <w:p w14:paraId="249017A3">
                                  <w:pPr>
                                    <w:rPr>
                                      <w:sz w:val="13"/>
                                    </w:rPr>
                                  </w:pPr>
                                  <w:r>
                                    <w:rPr>
                                      <w:sz w:val="13"/>
                                    </w:rPr>
                                    <w:t>φ139.7mm套管×3998m</w:t>
                                  </w:r>
                                </w:p>
                                <w:p w14:paraId="7EA9A1CF">
                                  <w:pPr>
                                    <w:rPr>
                                      <w:sz w:val="13"/>
                                    </w:rPr>
                                  </w:pPr>
                                  <w:r>
                                    <w:rPr>
                                      <w:sz w:val="13"/>
                                    </w:rPr>
                                    <w:t>水泥返深：地面</w:t>
                                  </w:r>
                                </w:p>
                              </w:txbxContent>
                            </wps:txbx>
                            <wps:bodyPr rot="0" vert="horz" wrap="square" lIns="0" tIns="0" rIns="0" bIns="0" anchor="t" anchorCtr="0" upright="1">
                              <a:noAutofit/>
                            </wps:bodyPr>
                          </wps:wsp>
                        </a:graphicData>
                      </a:graphic>
                    </wp:anchor>
                  </w:drawing>
                </mc:Choice>
                <mc:Fallback>
                  <w:pict>
                    <v:rect id="Rectangle 2442" o:spid="_x0000_s1026" o:spt="1" style="position:absolute;left:0pt;margin-left:125.55pt;margin-top:234.1pt;height:34.75pt;width:70.9pt;z-index:251667456;mso-width-relative:page;mso-height-relative:page;" fillcolor="#FFFFFF" filled="t" stroked="f" coordsize="21600,21600" o:gfxdata="UEsDBAoAAAAAAIdO4kAAAAAAAAAAAAAAAAAEAAAAZHJzL1BLAwQUAAAACACHTuJAkf1Z0tgAAAAL&#10;AQAADwAAAGRycy9kb3ducmV2LnhtbE2Py07DMBBF90j8gzVI7KjjlL5CJl3wUNcEULduPI0DfkSx&#10;0wa+HrMqy9E9uvdMuZ2sYScaQucdgphlwMg1XnWuRXh/e7lbAwtROiWNd4TwTQG21fVVKQvlz+6V&#10;TnVsWSpxoZAIOsa+4Dw0mqwMM9+TS9nRD1bGdA4tV4M8p3JreJ5lS25l59KClj09amq+6tEi7MTT&#10;c//Jf2q5M5HGDz01Zj8h3t6I7AFYpCleYPjTT+pQJaeDH50KzCDkCyESinC/XOfAEjHf5BtgB4TF&#10;fLUCXpX8/w/VL1BLAwQUAAAACACHTuJAvK1lag8CAAAnBAAADgAAAGRycy9lMm9Eb2MueG1srVPB&#10;jtMwEL0j8Q+W7zRJWxBETVerVkVIC6x24QNcx0ksHI8Zu03K1zN22rIslz2QQzRjzzy/9zxe3Yy9&#10;YUeFXoOteDHLOVNWQq1tW/Hv33Zv3nPmg7C1MGBVxU/K85v161erwZVqDh2YWiEjEOvLwVW8C8GV&#10;WeZlp3rhZ+CUpc0GsBeBUmyzGsVA6L3J5nn+LhsAa4cglfe0up02+RkRXwIITaOl2oI89MqGCRWV&#10;EYEk+U47z9eJbdMoGb42jVeBmYqT0pD+dAjF+/jP1itRtihcp+WZgngJhWeaeqEtHXqF2oog2AH1&#10;P1C9lggemjCT0GeTkOQIqSjyZ948dsKppIWs9u5quv9/sPLL8R6Zriu+KDizoqcbfyDXhG2NYvPl&#10;ch4tGpwvqfLR3WMU6d0dyB+eWdh0VKhuEWHolKiJWBHrs78aYuKple2Hz1DTAeIQILk1NthHQPKB&#10;jelSTtdLUWNgkhY/5PlyQdclaWu5LBbzt+kEUV6aHfrwUUHPYlBxJPYJXBzvfIhkRHkpSeTB6Hqn&#10;jUkJtvuNQXYUNB+79J3R/dMyY2Oxhdg2IcaVpDIKmwwK4348e7WH+kR6EaZ5o9dGQQf4i7OBZq3i&#10;/udBoOLMfLLkWRzMS4CXYH8JhJXUWvHA2RRuwjTAB4e67Qi5SHot3JKvjU6ao+cTizNPmp9kxXnW&#10;44A+zVPVn/e9/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VnS2AAAAAsBAAAPAAAAAAAAAAEA&#10;IAAAACIAAABkcnMvZG93bnJldi54bWxQSwECFAAUAAAACACHTuJAvK1lag8CAAAnBAAADgAAAAAA&#10;AAABACAAAAAnAQAAZHJzL2Uyb0RvYy54bWxQSwUGAAAAAAYABgBZAQAAqAUAAAAA&#10;">
                      <v:fill on="t" focussize="0,0"/>
                      <v:stroke on="f"/>
                      <v:imagedata o:title=""/>
                      <o:lock v:ext="edit" aspectratio="f"/>
                      <v:textbox inset="0mm,0mm,0mm,0mm">
                        <w:txbxContent>
                          <w:p w14:paraId="3BC8ED9E">
                            <w:pPr>
                              <w:rPr>
                                <w:sz w:val="13"/>
                              </w:rPr>
                            </w:pPr>
                            <w:r>
                              <w:rPr>
                                <w:sz w:val="13"/>
                              </w:rPr>
                              <w:t>二开：</w:t>
                            </w:r>
                          </w:p>
                          <w:p w14:paraId="130EB4FB">
                            <w:pPr>
                              <w:rPr>
                                <w:sz w:val="13"/>
                              </w:rPr>
                            </w:pPr>
                            <w:r>
                              <w:rPr>
                                <w:sz w:val="13"/>
                              </w:rPr>
                              <w:t>φ215.9mm井眼×4000m</w:t>
                            </w:r>
                          </w:p>
                          <w:p w14:paraId="249017A3">
                            <w:pPr>
                              <w:rPr>
                                <w:sz w:val="13"/>
                              </w:rPr>
                            </w:pPr>
                            <w:r>
                              <w:rPr>
                                <w:sz w:val="13"/>
                              </w:rPr>
                              <w:t>φ139.7mm套管×3998m</w:t>
                            </w:r>
                          </w:p>
                          <w:p w14:paraId="7EA9A1CF">
                            <w:pPr>
                              <w:rPr>
                                <w:sz w:val="13"/>
                              </w:rPr>
                            </w:pPr>
                            <w:r>
                              <w:rPr>
                                <w:sz w:val="13"/>
                              </w:rPr>
                              <w:t>水泥返深：地面</w:t>
                            </w:r>
                          </w:p>
                        </w:txbxContent>
                      </v:textbox>
                    </v:rect>
                  </w:pict>
                </mc:Fallback>
              </mc:AlternateContent>
            </w:r>
            <w:r>
              <w:rPr>
                <w:rFonts w:hint="eastAsia"/>
                <w:b/>
                <w:kern w:val="0"/>
                <w:sz w:val="24"/>
              </w:rPr>
              <mc:AlternateContent>
                <mc:Choice Requires="wps">
                  <w:drawing>
                    <wp:anchor distT="0" distB="0" distL="114300" distR="114300" simplePos="0" relativeHeight="251668480" behindDoc="0" locked="0" layoutInCell="1" allowOverlap="1">
                      <wp:simplePos x="0" y="0"/>
                      <wp:positionH relativeFrom="column">
                        <wp:posOffset>2677795</wp:posOffset>
                      </wp:positionH>
                      <wp:positionV relativeFrom="paragraph">
                        <wp:posOffset>2993390</wp:posOffset>
                      </wp:positionV>
                      <wp:extent cx="932815" cy="421005"/>
                      <wp:effectExtent l="1270" t="2540" r="0" b="0"/>
                      <wp:wrapNone/>
                      <wp:docPr id="30" name="Rectangle 2443"/>
                      <wp:cNvGraphicFramePr/>
                      <a:graphic xmlns:a="http://schemas.openxmlformats.org/drawingml/2006/main">
                        <a:graphicData uri="http://schemas.microsoft.com/office/word/2010/wordprocessingShape">
                          <wps:wsp>
                            <wps:cNvSpPr>
                              <a:spLocks noChangeArrowheads="1"/>
                            </wps:cNvSpPr>
                            <wps:spPr bwMode="auto">
                              <a:xfrm>
                                <a:off x="0" y="0"/>
                                <a:ext cx="932815" cy="421005"/>
                              </a:xfrm>
                              <a:prstGeom prst="rect">
                                <a:avLst/>
                              </a:prstGeom>
                              <a:solidFill>
                                <a:srgbClr val="FFFFFF"/>
                              </a:solidFill>
                              <a:ln>
                                <a:noFill/>
                              </a:ln>
                            </wps:spPr>
                            <wps:txbx>
                              <w:txbxContent>
                                <w:p w14:paraId="5F585021">
                                  <w:pPr>
                                    <w:rPr>
                                      <w:sz w:val="13"/>
                                    </w:rPr>
                                  </w:pPr>
                                  <w:r>
                                    <w:rPr>
                                      <w:sz w:val="13"/>
                                    </w:rPr>
                                    <w:t>二开：</w:t>
                                  </w:r>
                                </w:p>
                                <w:p w14:paraId="0A9C4B42">
                                  <w:pPr>
                                    <w:rPr>
                                      <w:sz w:val="13"/>
                                    </w:rPr>
                                  </w:pPr>
                                  <w:r>
                                    <w:rPr>
                                      <w:sz w:val="13"/>
                                    </w:rPr>
                                    <w:t>φ215.9mm井眼×4</w:t>
                                  </w:r>
                                  <w:r>
                                    <w:rPr>
                                      <w:rFonts w:hint="eastAsia"/>
                                      <w:sz w:val="13"/>
                                    </w:rPr>
                                    <w:t>1</w:t>
                                  </w:r>
                                  <w:r>
                                    <w:rPr>
                                      <w:sz w:val="13"/>
                                    </w:rPr>
                                    <w:t>00m</w:t>
                                  </w:r>
                                </w:p>
                                <w:p w14:paraId="77D68214">
                                  <w:pPr>
                                    <w:rPr>
                                      <w:sz w:val="13"/>
                                    </w:rPr>
                                  </w:pPr>
                                  <w:r>
                                    <w:rPr>
                                      <w:sz w:val="13"/>
                                    </w:rPr>
                                    <w:t>φ139.7mm套管×</w:t>
                                  </w:r>
                                  <w:r>
                                    <w:rPr>
                                      <w:rFonts w:hint="eastAsia"/>
                                      <w:sz w:val="13"/>
                                    </w:rPr>
                                    <w:t>40</w:t>
                                  </w:r>
                                  <w:r>
                                    <w:rPr>
                                      <w:sz w:val="13"/>
                                    </w:rPr>
                                    <w:t>98m</w:t>
                                  </w:r>
                                </w:p>
                                <w:p w14:paraId="63BCAA3B">
                                  <w:pPr>
                                    <w:rPr>
                                      <w:sz w:val="13"/>
                                    </w:rPr>
                                  </w:pPr>
                                  <w:r>
                                    <w:rPr>
                                      <w:sz w:val="13"/>
                                    </w:rPr>
                                    <w:t>水泥返深：地面</w:t>
                                  </w:r>
                                </w:p>
                              </w:txbxContent>
                            </wps:txbx>
                            <wps:bodyPr rot="0" vert="horz" wrap="square" lIns="0" tIns="0" rIns="0" bIns="0" anchor="t" anchorCtr="0" upright="1">
                              <a:noAutofit/>
                            </wps:bodyPr>
                          </wps:wsp>
                        </a:graphicData>
                      </a:graphic>
                    </wp:anchor>
                  </w:drawing>
                </mc:Choice>
                <mc:Fallback>
                  <w:pict>
                    <v:rect id="Rectangle 2443" o:spid="_x0000_s1026" o:spt="1" style="position:absolute;left:0pt;margin-left:210.85pt;margin-top:235.7pt;height:33.15pt;width:73.45pt;z-index:251668480;mso-width-relative:page;mso-height-relative:page;" fillcolor="#FFFFFF" filled="t" stroked="f" coordsize="21600,21600" o:gfxdata="UEsDBAoAAAAAAIdO4kAAAAAAAAAAAAAAAAAEAAAAZHJzL1BLAwQUAAAACACHTuJA1RFpJtcAAAAL&#10;AQAADwAAAGRycy9kb3ducmV2LnhtbE2PTU/DMAyG70j8h8hI3FjaMdqpNN2BD+1MAXHNGtMUEqdq&#10;0q3w6zEnuL2WH71+XO8W78QRpzgEUpCvMhBIXTAD9Qpenh+vtiBi0mS0C4QKvjDCrjk/q3Vlwome&#10;8NimXnAJxUorsCmNlZSxs+h1XIURiXfvYfI68Tj10kz6xOXeyXWWFdLrgfiC1SPeWew+29kr2Of3&#10;D+OH/G713iWcX+3SubdFqcuLPLsFkXBJfzD86rM6NOx0CDOZKJyCzTovGeVQ5hsQTNwU2wLEgcN1&#10;WYJsavn/h+YHUEsDBBQAAAAIAIdO4kA04ajFEAIAACcEAAAOAAAAZHJzL2Uyb0RvYy54bWytU8Fu&#10;2zAMvQ/YPwi6L7aTdOiMOEWRIMOAbiva7QMUWbaFyaJGKbG7rx8lJ1nXXXqYDwYpkU/vPVGrm7E3&#10;7KjQa7AVL2Y5Z8pKqLVtK/792+7dNWc+CFsLA1ZV/El5frN++2Y1uFLNoQNTK2QEYn05uIp3Ibgy&#10;y7zsVC/8DJyytNkA9iJQim1WoxgIvTfZPM/fZwNg7RCk8p5Wt9MmPyHiawChabRUW5CHXtkwoaIy&#10;IpAk32nn+TqxbRolw9em8SowU3FSGtKfDqF4H//ZeiXKFoXrtDxREK+h8EJTL7SlQy9QWxEEO6D+&#10;B6rXEsFDE2YS+mwSkhwhFUX+wpvHTjiVtJDV3l1M9/8PVn453iPTdcUXZIkVPd34A7kmbGsUmy+X&#10;i2jR4HxJlY/uHqNI7+5A/vDMwqajQnWLCEOnRE3Eilif/dUQE0+tbD98hpoOEIcAya2xwT4Ckg9s&#10;TJfydLkUNQYmafHDYn5dXHEmaWs5L/L8Kp0gynOzQx8+KuhZDCqOxD6Bi+OdD5GMKM8liTwYXe+0&#10;MSnBdr8xyI6C5mOXvhO6f15mbCy2ENsmxLiSVEZhk0Fh3I8nr/ZQP5FehGne6LVR0AH+4mygWau4&#10;/3kQqDgznyx5FgfzHOA52J8DYSW1VjxwNoWbMA3wwaFuO0Iukl4Lt+Rro5Pm6PnE4sST5idZcZr1&#10;OKDP81T1532v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VEWkm1wAAAAsBAAAPAAAAAAAAAAEA&#10;IAAAACIAAABkcnMvZG93bnJldi54bWxQSwECFAAUAAAACACHTuJANOGoxRACAAAnBAAADgAAAAAA&#10;AAABACAAAAAmAQAAZHJzL2Uyb0RvYy54bWxQSwUGAAAAAAYABgBZAQAAqAUAAAAA&#10;">
                      <v:fill on="t" focussize="0,0"/>
                      <v:stroke on="f"/>
                      <v:imagedata o:title=""/>
                      <o:lock v:ext="edit" aspectratio="f"/>
                      <v:textbox inset="0mm,0mm,0mm,0mm">
                        <w:txbxContent>
                          <w:p w14:paraId="5F585021">
                            <w:pPr>
                              <w:rPr>
                                <w:sz w:val="13"/>
                              </w:rPr>
                            </w:pPr>
                            <w:r>
                              <w:rPr>
                                <w:sz w:val="13"/>
                              </w:rPr>
                              <w:t>二开：</w:t>
                            </w:r>
                          </w:p>
                          <w:p w14:paraId="0A9C4B42">
                            <w:pPr>
                              <w:rPr>
                                <w:sz w:val="13"/>
                              </w:rPr>
                            </w:pPr>
                            <w:r>
                              <w:rPr>
                                <w:sz w:val="13"/>
                              </w:rPr>
                              <w:t>φ215.9mm井眼×4</w:t>
                            </w:r>
                            <w:r>
                              <w:rPr>
                                <w:rFonts w:hint="eastAsia"/>
                                <w:sz w:val="13"/>
                              </w:rPr>
                              <w:t>1</w:t>
                            </w:r>
                            <w:r>
                              <w:rPr>
                                <w:sz w:val="13"/>
                              </w:rPr>
                              <w:t>00m</w:t>
                            </w:r>
                          </w:p>
                          <w:p w14:paraId="77D68214">
                            <w:pPr>
                              <w:rPr>
                                <w:sz w:val="13"/>
                              </w:rPr>
                            </w:pPr>
                            <w:r>
                              <w:rPr>
                                <w:sz w:val="13"/>
                              </w:rPr>
                              <w:t>φ139.7mm套管×</w:t>
                            </w:r>
                            <w:r>
                              <w:rPr>
                                <w:rFonts w:hint="eastAsia"/>
                                <w:sz w:val="13"/>
                              </w:rPr>
                              <w:t>40</w:t>
                            </w:r>
                            <w:r>
                              <w:rPr>
                                <w:sz w:val="13"/>
                              </w:rPr>
                              <w:t>98m</w:t>
                            </w:r>
                          </w:p>
                          <w:p w14:paraId="63BCAA3B">
                            <w:pPr>
                              <w:rPr>
                                <w:sz w:val="13"/>
                              </w:rPr>
                            </w:pPr>
                            <w:r>
                              <w:rPr>
                                <w:sz w:val="13"/>
                              </w:rPr>
                              <w:t>水泥返深：地面</w:t>
                            </w:r>
                          </w:p>
                        </w:txbxContent>
                      </v:textbox>
                    </v:rect>
                  </w:pict>
                </mc:Fallback>
              </mc:AlternateContent>
            </w:r>
            <w:r>
              <w:drawing>
                <wp:inline distT="0" distB="0" distL="0" distR="0">
                  <wp:extent cx="1839595" cy="3487420"/>
                  <wp:effectExtent l="0" t="0" r="825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839595" cy="3487420"/>
                          </a:xfrm>
                          <a:prstGeom prst="rect">
                            <a:avLst/>
                          </a:prstGeom>
                          <a:noFill/>
                          <a:ln>
                            <a:noFill/>
                          </a:ln>
                        </pic:spPr>
                      </pic:pic>
                    </a:graphicData>
                  </a:graphic>
                </wp:inline>
              </w:drawing>
            </w:r>
            <w:r>
              <w:drawing>
                <wp:inline distT="0" distB="0" distL="0" distR="0">
                  <wp:extent cx="1860550" cy="3487420"/>
                  <wp:effectExtent l="0" t="0" r="635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860550" cy="3487420"/>
                          </a:xfrm>
                          <a:prstGeom prst="rect">
                            <a:avLst/>
                          </a:prstGeom>
                          <a:noFill/>
                          <a:ln>
                            <a:noFill/>
                          </a:ln>
                        </pic:spPr>
                      </pic:pic>
                    </a:graphicData>
                  </a:graphic>
                </wp:inline>
              </w:drawing>
            </w:r>
          </w:p>
          <w:p w14:paraId="0B054294">
            <w:pPr>
              <w:spacing w:line="360" w:lineRule="auto"/>
              <w:jc w:val="center"/>
              <w:rPr>
                <w:rFonts w:eastAsia="黑体"/>
                <w:sz w:val="24"/>
              </w:rPr>
            </w:pPr>
            <w:r>
              <w:rPr>
                <w:rFonts w:eastAsia="黑体"/>
                <w:sz w:val="24"/>
              </w:rPr>
              <w:t>图2-3 直井及斜井井身结构示意图</w:t>
            </w:r>
          </w:p>
          <w:p w14:paraId="520CD843">
            <w:pPr>
              <w:spacing w:line="360" w:lineRule="auto"/>
              <w:ind w:firstLine="482" w:firstLineChars="200"/>
              <w:rPr>
                <w:b/>
                <w:sz w:val="24"/>
              </w:rPr>
            </w:pPr>
            <w:r>
              <w:rPr>
                <w:rFonts w:hint="eastAsia"/>
                <w:b/>
                <w:sz w:val="24"/>
              </w:rPr>
              <w:t>四、依托工程</w:t>
            </w:r>
          </w:p>
          <w:p w14:paraId="5EF11A05">
            <w:pPr>
              <w:adjustRightInd w:val="0"/>
              <w:snapToGrid w:val="0"/>
              <w:spacing w:line="360" w:lineRule="auto"/>
              <w:ind w:firstLine="480" w:firstLineChars="200"/>
              <w:rPr>
                <w:sz w:val="24"/>
              </w:rPr>
            </w:pPr>
            <w:r>
              <w:rPr>
                <w:rFonts w:hint="eastAsia"/>
                <w:sz w:val="24"/>
              </w:rPr>
              <w:t>1、临河联合站</w:t>
            </w:r>
          </w:p>
          <w:p w14:paraId="743BFD55">
            <w:pPr>
              <w:adjustRightInd w:val="0"/>
              <w:snapToGrid w:val="0"/>
              <w:spacing w:line="360" w:lineRule="auto"/>
              <w:ind w:firstLine="480" w:firstLineChars="200"/>
              <w:rPr>
                <w:sz w:val="24"/>
              </w:rPr>
            </w:pPr>
            <w:r>
              <w:rPr>
                <w:rFonts w:hint="eastAsia"/>
                <w:sz w:val="24"/>
              </w:rPr>
              <w:t>（1）基本情况</w:t>
            </w:r>
          </w:p>
          <w:p w14:paraId="6F5AD20C">
            <w:pPr>
              <w:adjustRightInd w:val="0"/>
              <w:snapToGrid w:val="0"/>
              <w:spacing w:line="360" w:lineRule="auto"/>
              <w:ind w:firstLine="480" w:firstLineChars="200"/>
              <w:rPr>
                <w:sz w:val="24"/>
              </w:rPr>
            </w:pPr>
            <w:r>
              <w:rPr>
                <w:sz w:val="24"/>
              </w:rPr>
              <w:t>项目采出液拉运至</w:t>
            </w:r>
            <w:r>
              <w:rPr>
                <w:rFonts w:hint="eastAsia"/>
                <w:sz w:val="24"/>
              </w:rPr>
              <w:t>临河</w:t>
            </w:r>
            <w:r>
              <w:rPr>
                <w:sz w:val="24"/>
              </w:rPr>
              <w:t>联合站，</w:t>
            </w:r>
            <w:r>
              <w:rPr>
                <w:rFonts w:hint="eastAsia"/>
                <w:sz w:val="24"/>
              </w:rPr>
              <w:t>进入站内采出液</w:t>
            </w:r>
            <w:r>
              <w:rPr>
                <w:sz w:val="24"/>
              </w:rPr>
              <w:t>处理系统</w:t>
            </w:r>
            <w:r>
              <w:rPr>
                <w:rFonts w:hint="eastAsia"/>
                <w:sz w:val="24"/>
              </w:rPr>
              <w:t>。临河</w:t>
            </w:r>
            <w:r>
              <w:rPr>
                <w:sz w:val="24"/>
              </w:rPr>
              <w:t>联合站属于</w:t>
            </w:r>
            <w:r>
              <w:rPr>
                <w:rFonts w:hint="eastAsia"/>
                <w:sz w:val="24"/>
              </w:rPr>
              <w:t>巴彦油田兴华区块（兴华1）产能建设项目</w:t>
            </w:r>
            <w:r>
              <w:rPr>
                <w:sz w:val="24"/>
              </w:rPr>
              <w:t>，为华北油田</w:t>
            </w:r>
            <w:r>
              <w:rPr>
                <w:rFonts w:hint="eastAsia"/>
                <w:sz w:val="24"/>
              </w:rPr>
              <w:t>巴彦</w:t>
            </w:r>
            <w:r>
              <w:rPr>
                <w:sz w:val="24"/>
              </w:rPr>
              <w:t>勘探开发分公司内部站场</w:t>
            </w:r>
            <w:r>
              <w:rPr>
                <w:rFonts w:hint="eastAsia"/>
                <w:sz w:val="24"/>
              </w:rPr>
              <w:t>，</w:t>
            </w:r>
            <w:r>
              <w:rPr>
                <w:sz w:val="24"/>
              </w:rPr>
              <w:t>位于内蒙古自治区巴彦淖尔市</w:t>
            </w:r>
            <w:r>
              <w:rPr>
                <w:rFonts w:hint="eastAsia"/>
                <w:sz w:val="24"/>
              </w:rPr>
              <w:t>临河区狼山镇</w:t>
            </w:r>
            <w:r>
              <w:rPr>
                <w:sz w:val="24"/>
              </w:rPr>
              <w:t>。</w:t>
            </w:r>
          </w:p>
          <w:p w14:paraId="2261D4F4">
            <w:pPr>
              <w:adjustRightInd w:val="0"/>
              <w:snapToGrid w:val="0"/>
              <w:spacing w:line="360" w:lineRule="auto"/>
              <w:ind w:firstLine="480" w:firstLineChars="200"/>
              <w:rPr>
                <w:sz w:val="24"/>
              </w:rPr>
            </w:pPr>
            <w:r>
              <w:rPr>
                <w:sz w:val="24"/>
              </w:rPr>
              <w:t>202</w:t>
            </w:r>
            <w:r>
              <w:rPr>
                <w:rFonts w:hint="eastAsia"/>
                <w:sz w:val="24"/>
              </w:rPr>
              <w:t>3年2月巴彦淖尔市生态环境局对巴彦油田兴华区块（兴华1）产能建设项目批复，批复文号：巴环审〔</w:t>
            </w:r>
            <w:r>
              <w:rPr>
                <w:sz w:val="24"/>
              </w:rPr>
              <w:t>202</w:t>
            </w:r>
            <w:r>
              <w:rPr>
                <w:rFonts w:hint="eastAsia"/>
                <w:sz w:val="24"/>
              </w:rPr>
              <w:t>3〕</w:t>
            </w:r>
            <w:r>
              <w:rPr>
                <w:sz w:val="24"/>
              </w:rPr>
              <w:t>2</w:t>
            </w:r>
            <w:r>
              <w:rPr>
                <w:rFonts w:hint="eastAsia"/>
                <w:sz w:val="24"/>
              </w:rPr>
              <w:t>号；</w:t>
            </w:r>
            <w:r>
              <w:rPr>
                <w:sz w:val="24"/>
              </w:rPr>
              <w:t>202</w:t>
            </w:r>
            <w:r>
              <w:rPr>
                <w:rFonts w:hint="eastAsia"/>
                <w:sz w:val="24"/>
              </w:rPr>
              <w:t>4年</w:t>
            </w:r>
            <w:r>
              <w:rPr>
                <w:sz w:val="24"/>
              </w:rPr>
              <w:t>1</w:t>
            </w:r>
            <w:r>
              <w:rPr>
                <w:rFonts w:hint="eastAsia"/>
                <w:sz w:val="24"/>
              </w:rPr>
              <w:t>1月通过了竣工环境保护自主验收。华北油田巴彦勘探开发分公司已进行了固定污染源排污登记，登记编号为</w:t>
            </w:r>
            <w:r>
              <w:rPr>
                <w:sz w:val="24"/>
              </w:rPr>
              <w:t>91150800MA0Q4TL99T001Y</w:t>
            </w:r>
            <w:r>
              <w:rPr>
                <w:rFonts w:hint="eastAsia"/>
                <w:sz w:val="24"/>
              </w:rPr>
              <w:t>。项目批复、验收意见及固定污染源排污登记回执见附件。目前，临河联合站正常稳定运行。</w:t>
            </w:r>
          </w:p>
          <w:p w14:paraId="5B0AFCC5">
            <w:pPr>
              <w:adjustRightInd w:val="0"/>
              <w:snapToGrid w:val="0"/>
              <w:spacing w:line="360" w:lineRule="auto"/>
              <w:ind w:firstLine="480" w:firstLineChars="200"/>
              <w:rPr>
                <w:sz w:val="24"/>
              </w:rPr>
            </w:pPr>
            <w:r>
              <w:rPr>
                <w:rFonts w:hint="eastAsia"/>
                <w:sz w:val="24"/>
              </w:rPr>
              <w:t>临河</w:t>
            </w:r>
            <w:r>
              <w:rPr>
                <w:sz w:val="24"/>
              </w:rPr>
              <w:t>联合站</w:t>
            </w:r>
            <w:r>
              <w:rPr>
                <w:rFonts w:hint="eastAsia"/>
                <w:sz w:val="24"/>
              </w:rPr>
              <w:t>建设有储罐区、油工艺区、水工艺区、气工艺区、办公及辅助生产区、35kV变电站、装卸油区、候车区、火炬区共计10个功能区。</w:t>
            </w:r>
          </w:p>
          <w:p w14:paraId="0AE500C6">
            <w:pPr>
              <w:adjustRightInd w:val="0"/>
              <w:snapToGrid w:val="0"/>
              <w:spacing w:line="360" w:lineRule="auto"/>
              <w:ind w:firstLine="480" w:firstLineChars="200"/>
              <w:rPr>
                <w:sz w:val="24"/>
              </w:rPr>
            </w:pPr>
            <w:r>
              <w:rPr>
                <w:rFonts w:hint="eastAsia"/>
                <w:sz w:val="24"/>
              </w:rPr>
              <w:t>（2）原油处理工艺</w:t>
            </w:r>
          </w:p>
          <w:p w14:paraId="4B19F54A">
            <w:pPr>
              <w:adjustRightInd w:val="0"/>
              <w:snapToGrid w:val="0"/>
              <w:spacing w:line="360" w:lineRule="auto"/>
              <w:ind w:firstLine="480" w:firstLineChars="200"/>
              <w:rPr>
                <w:sz w:val="24"/>
              </w:rPr>
            </w:pPr>
            <w:r>
              <w:rPr>
                <w:rFonts w:hint="eastAsia"/>
                <w:sz w:val="24"/>
              </w:rPr>
              <w:t>站外各井场采出液进入原油处理系统。原油处理系统设置三相分离器，三相分离器分离出的伴生气去气处理系统，分离出的采出水去采出水处理系统，分离出的含水油进入板式换热器，经升温后加入破乳剂进入电脱水器，脱水至含水0.5%。脱水合格的原油掺入油量10%~15%的水和破乳剂后进入电脱盐装置，经脱盐处理合格的原油进入储油罐，分批次输送至原油转运站后外输。</w:t>
            </w:r>
          </w:p>
          <w:p w14:paraId="5C3E4AD3">
            <w:pPr>
              <w:adjustRightInd w:val="0"/>
              <w:snapToGrid w:val="0"/>
              <w:spacing w:line="360" w:lineRule="auto"/>
              <w:jc w:val="center"/>
            </w:pPr>
            <w:r>
              <w:drawing>
                <wp:inline distT="0" distB="0" distL="0" distR="0">
                  <wp:extent cx="4418330" cy="2051685"/>
                  <wp:effectExtent l="19050" t="19050" r="20320" b="2476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426179" cy="2055593"/>
                          </a:xfrm>
                          <a:prstGeom prst="rect">
                            <a:avLst/>
                          </a:prstGeom>
                          <a:noFill/>
                          <a:ln w="9525" cmpd="sng">
                            <a:solidFill>
                              <a:srgbClr val="000000"/>
                            </a:solidFill>
                            <a:miter lim="800000"/>
                            <a:headEnd/>
                            <a:tailEnd/>
                          </a:ln>
                          <a:effectLst/>
                        </pic:spPr>
                      </pic:pic>
                    </a:graphicData>
                  </a:graphic>
                </wp:inline>
              </w:drawing>
            </w:r>
          </w:p>
          <w:p w14:paraId="30E901E2">
            <w:pPr>
              <w:adjustRightInd w:val="0"/>
              <w:snapToGrid w:val="0"/>
              <w:spacing w:line="360" w:lineRule="auto"/>
              <w:jc w:val="center"/>
              <w:rPr>
                <w:rFonts w:eastAsia="黑体"/>
                <w:sz w:val="24"/>
              </w:rPr>
            </w:pPr>
            <w:r>
              <w:rPr>
                <w:rFonts w:eastAsia="黑体"/>
                <w:sz w:val="24"/>
              </w:rPr>
              <w:t>图2-4 临河联合站油处理工艺流程图</w:t>
            </w:r>
          </w:p>
          <w:p w14:paraId="193BBF4C">
            <w:pPr>
              <w:adjustRightInd w:val="0"/>
              <w:snapToGrid w:val="0"/>
              <w:spacing w:line="360" w:lineRule="auto"/>
              <w:ind w:firstLine="480" w:firstLineChars="200"/>
              <w:rPr>
                <w:sz w:val="24"/>
              </w:rPr>
            </w:pPr>
            <w:r>
              <w:rPr>
                <w:rFonts w:hint="eastAsia"/>
                <w:sz w:val="24"/>
              </w:rPr>
              <w:t>（3）依托可行性</w:t>
            </w:r>
          </w:p>
          <w:p w14:paraId="2A6045BF">
            <w:pPr>
              <w:adjustRightInd w:val="0"/>
              <w:snapToGrid w:val="0"/>
              <w:spacing w:line="360" w:lineRule="auto"/>
              <w:ind w:firstLine="480" w:firstLineChars="200"/>
              <w:rPr>
                <w:sz w:val="24"/>
              </w:rPr>
            </w:pPr>
            <w:r>
              <w:rPr>
                <w:rFonts w:hint="eastAsia"/>
                <w:sz w:val="24"/>
              </w:rPr>
              <w:t>临河联合站</w:t>
            </w:r>
            <w:r>
              <w:rPr>
                <w:sz w:val="24"/>
              </w:rPr>
              <w:t>原油处理</w:t>
            </w:r>
            <w:r>
              <w:rPr>
                <w:rFonts w:hint="eastAsia"/>
                <w:sz w:val="24"/>
              </w:rPr>
              <w:t>规模120</w:t>
            </w:r>
            <w:r>
              <w:rPr>
                <w:sz w:val="24"/>
              </w:rPr>
              <w:t>×10</w:t>
            </w:r>
            <w:r>
              <w:rPr>
                <w:sz w:val="24"/>
                <w:vertAlign w:val="superscript"/>
              </w:rPr>
              <w:t>4</w:t>
            </w:r>
            <w:r>
              <w:rPr>
                <w:sz w:val="24"/>
              </w:rPr>
              <w:t>t/a，</w:t>
            </w:r>
            <w:r>
              <w:rPr>
                <w:rFonts w:hint="eastAsia"/>
                <w:sz w:val="24"/>
              </w:rPr>
              <w:t>日常</w:t>
            </w:r>
            <w:r>
              <w:rPr>
                <w:sz w:val="24"/>
              </w:rPr>
              <w:t>生产</w:t>
            </w:r>
            <w:r>
              <w:rPr>
                <w:rFonts w:hint="eastAsia"/>
                <w:sz w:val="24"/>
              </w:rPr>
              <w:t>运行规模约110.5</w:t>
            </w:r>
            <w:r>
              <w:rPr>
                <w:sz w:val="24"/>
              </w:rPr>
              <w:t>×10</w:t>
            </w:r>
            <w:r>
              <w:rPr>
                <w:sz w:val="24"/>
                <w:vertAlign w:val="superscript"/>
              </w:rPr>
              <w:t>4</w:t>
            </w:r>
            <w:r>
              <w:rPr>
                <w:sz w:val="24"/>
              </w:rPr>
              <w:t>t/a</w:t>
            </w:r>
            <w:r>
              <w:rPr>
                <w:rFonts w:hint="eastAsia"/>
                <w:sz w:val="24"/>
              </w:rPr>
              <w:t>，</w:t>
            </w:r>
            <w:r>
              <w:rPr>
                <w:sz w:val="24"/>
              </w:rPr>
              <w:t>剩余处理规模</w:t>
            </w:r>
            <w:r>
              <w:rPr>
                <w:rFonts w:hint="eastAsia"/>
                <w:sz w:val="24"/>
              </w:rPr>
              <w:t>9.5</w:t>
            </w:r>
            <w:r>
              <w:rPr>
                <w:sz w:val="24"/>
              </w:rPr>
              <w:t>×10</w:t>
            </w:r>
            <w:r>
              <w:rPr>
                <w:sz w:val="24"/>
                <w:vertAlign w:val="superscript"/>
              </w:rPr>
              <w:t>4</w:t>
            </w:r>
            <w:r>
              <w:rPr>
                <w:sz w:val="24"/>
              </w:rPr>
              <w:t>t/a</w:t>
            </w:r>
            <w:r>
              <w:rPr>
                <w:rFonts w:hint="eastAsia"/>
                <w:sz w:val="24"/>
              </w:rPr>
              <w:t>（约260</w:t>
            </w:r>
            <w:r>
              <w:rPr>
                <w:sz w:val="24"/>
              </w:rPr>
              <w:t>t/d</w:t>
            </w:r>
            <w:r>
              <w:rPr>
                <w:rFonts w:hint="eastAsia"/>
                <w:sz w:val="24"/>
              </w:rPr>
              <w:t>）。项目单井试油阶段为7天，原油（采出液）按照10t/d计算，则单井采出液为70t，平均2-3天采用罐车拉运一次，则单次</w:t>
            </w:r>
            <w:r>
              <w:rPr>
                <w:sz w:val="24"/>
              </w:rPr>
              <w:t>拉运的采出液量占</w:t>
            </w:r>
            <w:r>
              <w:rPr>
                <w:rFonts w:hint="eastAsia"/>
                <w:sz w:val="24"/>
              </w:rPr>
              <w:t>临河</w:t>
            </w:r>
            <w:r>
              <w:rPr>
                <w:sz w:val="24"/>
              </w:rPr>
              <w:t>联合站原油处理系统日处理剩余量约</w:t>
            </w:r>
            <w:r>
              <w:rPr>
                <w:rFonts w:hint="eastAsia"/>
                <w:sz w:val="24"/>
              </w:rPr>
              <w:t>11.54</w:t>
            </w:r>
            <w:r>
              <w:rPr>
                <w:sz w:val="24"/>
              </w:rPr>
              <w:t>%</w:t>
            </w:r>
            <w:r>
              <w:rPr>
                <w:rFonts w:hint="eastAsia"/>
                <w:sz w:val="24"/>
              </w:rPr>
              <w:t>。</w:t>
            </w:r>
          </w:p>
          <w:p w14:paraId="78EDE60B">
            <w:pPr>
              <w:adjustRightInd w:val="0"/>
              <w:snapToGrid w:val="0"/>
              <w:spacing w:line="360" w:lineRule="auto"/>
              <w:ind w:firstLine="480" w:firstLineChars="200"/>
              <w:rPr>
                <w:sz w:val="24"/>
              </w:rPr>
            </w:pPr>
            <w:r>
              <w:rPr>
                <w:rFonts w:hint="eastAsia"/>
                <w:sz w:val="24"/>
              </w:rPr>
              <w:t>巴彦勘探开发分公司部署的探井分批次建设，同批次开工建设的探井约5-8口，每口井施工进度不同，试油期也不会集中到同一时期，井场设置2座储液罐（一用一备），因此根据各个井场采出液产生情况，具体安排调度拉运工作。同期按8口井采出液同时拉运，最大量约240t/d，占临河联合站原油处理系统日处理剩余量约92.31%。因此，临河</w:t>
            </w:r>
            <w:r>
              <w:rPr>
                <w:sz w:val="24"/>
              </w:rPr>
              <w:t>联合站原油处理规模满足项目需求</w:t>
            </w:r>
            <w:r>
              <w:rPr>
                <w:rFonts w:hint="eastAsia"/>
                <w:sz w:val="24"/>
              </w:rPr>
              <w:t>。</w:t>
            </w:r>
          </w:p>
          <w:p w14:paraId="67B4A661">
            <w:pPr>
              <w:adjustRightInd w:val="0"/>
              <w:snapToGrid w:val="0"/>
              <w:spacing w:line="360" w:lineRule="auto"/>
              <w:ind w:firstLine="480" w:firstLineChars="200"/>
              <w:rPr>
                <w:sz w:val="24"/>
                <w:highlight w:val="yellow"/>
              </w:rPr>
            </w:pPr>
            <w:r>
              <w:rPr>
                <w:rFonts w:hint="eastAsia"/>
                <w:sz w:val="24"/>
              </w:rPr>
              <w:t>此外，此次勘探井采出液成分与原油处理系统处理的采出液相同，可进入临河联合站原油处理系统处理。</w:t>
            </w:r>
          </w:p>
          <w:p w14:paraId="267101BB">
            <w:pPr>
              <w:adjustRightInd w:val="0"/>
              <w:snapToGrid w:val="0"/>
              <w:spacing w:line="360" w:lineRule="auto"/>
              <w:ind w:firstLine="480" w:firstLineChars="200"/>
              <w:rPr>
                <w:sz w:val="24"/>
              </w:rPr>
            </w:pPr>
            <w:r>
              <w:rPr>
                <w:rFonts w:hint="eastAsia"/>
                <w:sz w:val="24"/>
              </w:rPr>
              <w:t>2、内蒙古众宁环保科技有限公司油气田废弃物集中处理厂</w:t>
            </w:r>
          </w:p>
          <w:p w14:paraId="0BE38628">
            <w:pPr>
              <w:adjustRightInd w:val="0"/>
              <w:snapToGrid w:val="0"/>
              <w:spacing w:line="360" w:lineRule="auto"/>
              <w:ind w:firstLine="480" w:firstLineChars="200"/>
              <w:rPr>
                <w:sz w:val="24"/>
              </w:rPr>
            </w:pPr>
            <w:r>
              <w:rPr>
                <w:rFonts w:hint="eastAsia"/>
                <w:sz w:val="24"/>
              </w:rPr>
              <w:t>项目钻井过程产生的废弃泥浆、钻井岩屑收集至泥浆不落地循环系统装置旁的可移动废水罐临时贮存，定期拉运至内蒙古众宁环保科技有限公司油气田废弃物集中处理厂，经絮凝、压滤处理后，固相废弃泥浆、钻井岩屑（泥饼）运至有资质的填埋场填埋，废水由密闭罐车拉运至有资质单位处理。</w:t>
            </w:r>
          </w:p>
          <w:p w14:paraId="6B24CD76">
            <w:pPr>
              <w:adjustRightInd w:val="0"/>
              <w:snapToGrid w:val="0"/>
              <w:spacing w:line="360" w:lineRule="auto"/>
              <w:ind w:firstLine="480" w:firstLineChars="200"/>
              <w:rPr>
                <w:sz w:val="24"/>
                <w:highlight w:val="yellow"/>
              </w:rPr>
            </w:pPr>
            <w:r>
              <w:rPr>
                <w:rFonts w:hint="eastAsia"/>
                <w:sz w:val="24"/>
              </w:rPr>
              <w:t>（1）基本情况</w:t>
            </w:r>
          </w:p>
          <w:p w14:paraId="00D0718A">
            <w:pPr>
              <w:adjustRightInd w:val="0"/>
              <w:snapToGrid w:val="0"/>
              <w:spacing w:line="360" w:lineRule="auto"/>
              <w:ind w:firstLine="480" w:firstLineChars="200"/>
              <w:rPr>
                <w:sz w:val="24"/>
              </w:rPr>
            </w:pPr>
            <w:r>
              <w:rPr>
                <w:rFonts w:hint="eastAsia"/>
                <w:sz w:val="24"/>
              </w:rPr>
              <w:t>2022年3月7日巴彦淖尔市生态环境局对内蒙古众宁环保科技有限公司油气田废弃物集中处理厂项目批复，批复文号：巴环审〔</w:t>
            </w:r>
            <w:r>
              <w:rPr>
                <w:sz w:val="24"/>
              </w:rPr>
              <w:t>20</w:t>
            </w:r>
            <w:r>
              <w:rPr>
                <w:rFonts w:hint="eastAsia"/>
                <w:sz w:val="24"/>
              </w:rPr>
              <w:t>22〕9号。</w:t>
            </w:r>
            <w:r>
              <w:rPr>
                <w:sz w:val="24"/>
              </w:rPr>
              <w:t>202</w:t>
            </w:r>
            <w:r>
              <w:rPr>
                <w:rFonts w:hint="eastAsia"/>
                <w:sz w:val="24"/>
              </w:rPr>
              <w:t>5年1月通过了竣工环境保护自主验收。目前，企业已申领排污许可证，证书编号为</w:t>
            </w:r>
            <w:r>
              <w:rPr>
                <w:sz w:val="24"/>
              </w:rPr>
              <w:t>91150802MA13T8TJIJ001V</w:t>
            </w:r>
            <w:r>
              <w:rPr>
                <w:rFonts w:hint="eastAsia"/>
                <w:sz w:val="24"/>
              </w:rPr>
              <w:t>。项目批复、验收意见及排污许可证见附件。</w:t>
            </w:r>
          </w:p>
          <w:p w14:paraId="2F861A01">
            <w:pPr>
              <w:adjustRightInd w:val="0"/>
              <w:snapToGrid w:val="0"/>
              <w:spacing w:line="360" w:lineRule="auto"/>
              <w:ind w:firstLine="480" w:firstLineChars="200"/>
              <w:rPr>
                <w:sz w:val="24"/>
                <w:highlight w:val="yellow"/>
              </w:rPr>
            </w:pPr>
            <w:r>
              <w:rPr>
                <w:rFonts w:hint="eastAsia"/>
                <w:sz w:val="24"/>
              </w:rPr>
              <w:t>内蒙古众宁环保科技有限公司油气田废弃物集中处理厂位于巴彦淖尔经济技术开发区建材东路，为中国石油华北油田公司在兴隆勘探区的配套工程，主要处理中国石油华北油田在巴彦淖尔钻井产生的废弃水基泥浆，规模为年处理6万吨泥浆，处理工艺为“絮凝+压滤”，采用高效压滤设备。项目距离内蒙古众宁环保科技有限公司油气田废弃物集中处理厂约120km。</w:t>
            </w:r>
          </w:p>
          <w:p w14:paraId="703B181A">
            <w:pPr>
              <w:spacing w:line="360" w:lineRule="auto"/>
              <w:ind w:firstLine="480"/>
              <w:rPr>
                <w:sz w:val="24"/>
              </w:rPr>
            </w:pPr>
            <w:r>
              <w:rPr>
                <w:rFonts w:hint="eastAsia"/>
                <w:sz w:val="24"/>
              </w:rPr>
              <w:t>（2）工艺流程</w:t>
            </w:r>
          </w:p>
          <w:p w14:paraId="2B1BA604">
            <w:pPr>
              <w:spacing w:line="360" w:lineRule="auto"/>
              <w:ind w:firstLine="480"/>
              <w:rPr>
                <w:b/>
                <w:kern w:val="0"/>
                <w:sz w:val="24"/>
              </w:rPr>
            </w:pPr>
            <w:r>
              <w:rPr>
                <w:rFonts w:hint="eastAsia"/>
                <w:sz w:val="24"/>
              </w:rPr>
              <w:t>泥浆不落地集中处理系统对</w:t>
            </w:r>
            <w:r>
              <w:rPr>
                <w:bCs/>
                <w:sz w:val="24"/>
              </w:rPr>
              <w:t>钻井过程中产生的</w:t>
            </w:r>
            <w:r>
              <w:rPr>
                <w:rFonts w:hint="eastAsia"/>
                <w:bCs/>
                <w:sz w:val="24"/>
              </w:rPr>
              <w:t>废弃</w:t>
            </w:r>
            <w:r>
              <w:rPr>
                <w:bCs/>
                <w:sz w:val="24"/>
              </w:rPr>
              <w:t>泥浆</w:t>
            </w:r>
            <w:r>
              <w:rPr>
                <w:rFonts w:hint="eastAsia"/>
                <w:bCs/>
                <w:sz w:val="24"/>
              </w:rPr>
              <w:t>、</w:t>
            </w:r>
            <w:r>
              <w:rPr>
                <w:bCs/>
                <w:sz w:val="24"/>
              </w:rPr>
              <w:t>钻井岩屑进行处理</w:t>
            </w:r>
            <w:r>
              <w:rPr>
                <w:rFonts w:hint="eastAsia"/>
                <w:bCs/>
                <w:sz w:val="24"/>
              </w:rPr>
              <w:t>，</w:t>
            </w:r>
            <w:r>
              <w:rPr>
                <w:bCs/>
                <w:sz w:val="24"/>
              </w:rPr>
              <w:t>这部分废弃物经过滤、稀释、絮凝、压滤等工艺，分离成固相和液相两部分。</w:t>
            </w:r>
            <w:r>
              <w:rPr>
                <w:rFonts w:hint="eastAsia"/>
                <w:sz w:val="24"/>
              </w:rPr>
              <w:t>泥浆不落地集中处理系统</w:t>
            </w:r>
            <w:r>
              <w:rPr>
                <w:rFonts w:hint="eastAsia"/>
                <w:bCs/>
                <w:sz w:val="24"/>
              </w:rPr>
              <w:t>为</w:t>
            </w:r>
            <w:r>
              <w:rPr>
                <w:bCs/>
                <w:sz w:val="24"/>
              </w:rPr>
              <w:t>终端处理，钻井现场不需修建泥浆池，既有效减小了钻井废物的环境污染隐患，也减少了钻前施工及占地成本</w:t>
            </w:r>
            <w:r>
              <w:rPr>
                <w:rFonts w:hint="eastAsia"/>
                <w:bCs/>
                <w:sz w:val="24"/>
              </w:rPr>
              <w:t>。工艺流程如下：</w:t>
            </w:r>
          </w:p>
          <w:p w14:paraId="542E285A">
            <w:pPr>
              <w:spacing w:line="360" w:lineRule="auto"/>
              <w:ind w:firstLine="480"/>
              <w:rPr>
                <w:sz w:val="24"/>
              </w:rPr>
            </w:pPr>
            <w:r>
              <w:rPr>
                <w:rFonts w:hint="eastAsia" w:ascii="宋体" w:hAnsi="宋体"/>
                <w:sz w:val="24"/>
              </w:rPr>
              <w:t>①</w:t>
            </w:r>
            <w:r>
              <w:rPr>
                <w:rFonts w:hint="eastAsia"/>
                <w:sz w:val="24"/>
              </w:rPr>
              <w:t>废弃物收集单元。将贮存在钻井现场可移动废水罐的废弃泥浆、钻井岩屑拉运至泥浆不落地集中处理系统废弃物储备罐，实现了不落地，井场无污染清洁钻井。</w:t>
            </w:r>
          </w:p>
          <w:p w14:paraId="3C1B8C06">
            <w:pPr>
              <w:spacing w:line="360" w:lineRule="auto"/>
              <w:ind w:firstLine="480"/>
              <w:rPr>
                <w:sz w:val="24"/>
              </w:rPr>
            </w:pPr>
            <w:r>
              <w:rPr>
                <w:rFonts w:hint="eastAsia" w:ascii="宋体" w:hAnsi="宋体"/>
                <w:sz w:val="24"/>
              </w:rPr>
              <w:t>②</w:t>
            </w:r>
            <w:r>
              <w:rPr>
                <w:rFonts w:hint="eastAsia"/>
                <w:sz w:val="24"/>
              </w:rPr>
              <w:t>格栅过滤。水基泥浆卸入泥浆储存池后通过污泥提升泵外部安装的一级格栅过滤掉大颗粒物，通过泥浆泵进入压滤车间二级格栅过滤，下一步加药絮凝处理。</w:t>
            </w:r>
          </w:p>
          <w:p w14:paraId="4E6BAD83">
            <w:pPr>
              <w:spacing w:line="360" w:lineRule="auto"/>
              <w:ind w:firstLine="480"/>
              <w:rPr>
                <w:sz w:val="24"/>
              </w:rPr>
            </w:pPr>
            <w:r>
              <w:rPr>
                <w:rFonts w:hint="eastAsia" w:ascii="宋体" w:hAnsi="宋体" w:cs="宋体"/>
                <w:sz w:val="24"/>
              </w:rPr>
              <w:t>③</w:t>
            </w:r>
            <w:r>
              <w:rPr>
                <w:sz w:val="24"/>
              </w:rPr>
              <w:t>泥浆絮凝。泥浆储存池泥浆通过泥浆泵打入配药罐进行加药处理。项目使用药剂主要为PAC和石灰，石灰由石灰储罐通过管道打入配药罐，目的是破胶絮凝，搅拌使之分布均匀，即完成絮凝过程。絮凝后的泥浆由泥浆泵注入压滤车间高压隔膜压滤机进行压滤处理。泥浆在絮凝过程中要控制生石灰投加量，严防压滤液pH大于12。</w:t>
            </w:r>
          </w:p>
          <w:p w14:paraId="43A36C4F">
            <w:pPr>
              <w:spacing w:line="360" w:lineRule="auto"/>
              <w:jc w:val="center"/>
              <w:rPr>
                <w:sz w:val="24"/>
              </w:rPr>
            </w:pPr>
            <w:r>
              <w:drawing>
                <wp:inline distT="0" distB="0" distL="0" distR="0">
                  <wp:extent cx="3923030" cy="1837055"/>
                  <wp:effectExtent l="19050" t="19050" r="20320"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929931" cy="1840532"/>
                          </a:xfrm>
                          <a:prstGeom prst="rect">
                            <a:avLst/>
                          </a:prstGeom>
                          <a:noFill/>
                          <a:ln w="9525" cmpd="sng">
                            <a:solidFill>
                              <a:srgbClr val="000000"/>
                            </a:solidFill>
                            <a:miter lim="800000"/>
                            <a:headEnd/>
                            <a:tailEnd/>
                          </a:ln>
                          <a:effectLst/>
                        </pic:spPr>
                      </pic:pic>
                    </a:graphicData>
                  </a:graphic>
                </wp:inline>
              </w:drawing>
            </w:r>
          </w:p>
          <w:p w14:paraId="72BCECD0">
            <w:pPr>
              <w:autoSpaceDE w:val="0"/>
              <w:autoSpaceDN w:val="0"/>
              <w:adjustRightInd w:val="0"/>
              <w:spacing w:line="360" w:lineRule="auto"/>
              <w:ind w:firstLine="480" w:firstLineChars="200"/>
              <w:jc w:val="center"/>
              <w:rPr>
                <w:rFonts w:eastAsia="黑体"/>
                <w:kern w:val="0"/>
                <w:sz w:val="24"/>
              </w:rPr>
            </w:pPr>
            <w:r>
              <w:rPr>
                <w:rFonts w:eastAsia="黑体"/>
                <w:kern w:val="0"/>
                <w:sz w:val="24"/>
              </w:rPr>
              <w:t>图2-5 泥浆不落地集中处理系统流程图</w:t>
            </w:r>
          </w:p>
          <w:p w14:paraId="61D0EEC2">
            <w:pPr>
              <w:spacing w:line="360" w:lineRule="auto"/>
              <w:ind w:firstLine="480"/>
              <w:rPr>
                <w:b/>
                <w:kern w:val="0"/>
                <w:sz w:val="24"/>
              </w:rPr>
            </w:pPr>
            <w:r>
              <w:rPr>
                <w:rFonts w:hint="eastAsia" w:ascii="宋体" w:hAnsi="宋体" w:cs="宋体"/>
                <w:sz w:val="24"/>
              </w:rPr>
              <w:t>④</w:t>
            </w:r>
            <w:r>
              <w:rPr>
                <w:sz w:val="24"/>
              </w:rPr>
              <w:t>隔膜压滤。废弃物集中处理厂共设置2套（4台）高压隔膜压滤机，混合液流经过滤介质(滤布)，固体停留在滤布上，并逐渐在滤布上堆积形成过滤泥饼，直至充满滤室。而滤液部分则渗透过滤布，沿滤板沟槽流至板框边角通道，成为不含固体的清液由水泵打至钢制储水箱。过滤完毕，打开高压隔膜压滤机卸除滤渣，重新压紧板框，开始下一工作循环。最后形成的泥饼排至泥饼堆放间。确保压滤后的泥饼含水率在60%以下，与栅渣一同暂存于泥饼堆放间，定期拉运至填埋场填埋；压滤产生的压滤废水由水泵打至钢制储水箱，由罐车运输至</w:t>
            </w:r>
            <w:r>
              <w:rPr>
                <w:rFonts w:hint="eastAsia"/>
                <w:sz w:val="24"/>
              </w:rPr>
              <w:t>内蒙古正水威禾生物科技有限公司污水处理站</w:t>
            </w:r>
            <w:r>
              <w:rPr>
                <w:sz w:val="24"/>
              </w:rPr>
              <w:t>进行进一步处理。</w:t>
            </w:r>
          </w:p>
          <w:p w14:paraId="7206BDE0">
            <w:pPr>
              <w:adjustRightInd w:val="0"/>
              <w:snapToGrid w:val="0"/>
              <w:spacing w:line="360" w:lineRule="auto"/>
              <w:ind w:firstLine="480" w:firstLineChars="200"/>
              <w:rPr>
                <w:sz w:val="24"/>
              </w:rPr>
            </w:pPr>
            <w:r>
              <w:rPr>
                <w:rFonts w:hint="eastAsia"/>
                <w:sz w:val="24"/>
              </w:rPr>
              <w:t>（3）依托分析</w:t>
            </w:r>
          </w:p>
          <w:p w14:paraId="239C2BD9">
            <w:pPr>
              <w:adjustRightInd w:val="0"/>
              <w:snapToGrid w:val="0"/>
              <w:spacing w:line="360" w:lineRule="auto"/>
              <w:ind w:firstLine="480" w:firstLineChars="200"/>
              <w:rPr>
                <w:sz w:val="24"/>
                <w:highlight w:val="yellow"/>
              </w:rPr>
            </w:pPr>
            <w:r>
              <w:rPr>
                <w:sz w:val="24"/>
              </w:rPr>
              <w:t>内蒙古众宁环保科技有限公司油气田废弃物集中处理厂建有1座泥浆储存池，容积2400m</w:t>
            </w:r>
            <w:r>
              <w:rPr>
                <w:sz w:val="24"/>
                <w:vertAlign w:val="superscript"/>
              </w:rPr>
              <w:t>3</w:t>
            </w:r>
            <w:r>
              <w:rPr>
                <w:sz w:val="24"/>
              </w:rPr>
              <w:t>（50×12×4m），中间设有隔断，分为1#、2#、3#存储池；压滤装置区内设置2条泥浆压滤处理线，共布设4台高压隔膜压滤机，用于泥浆的压滤</w:t>
            </w:r>
            <w:r>
              <w:rPr>
                <w:rFonts w:hint="eastAsia"/>
                <w:sz w:val="24"/>
              </w:rPr>
              <w:t>。</w:t>
            </w:r>
            <w:r>
              <w:rPr>
                <w:sz w:val="24"/>
              </w:rPr>
              <w:t>压滤废水由水泵打入钢制水箱（</w:t>
            </w:r>
            <w:r>
              <w:rPr>
                <w:rFonts w:hint="eastAsia"/>
                <w:sz w:val="24"/>
              </w:rPr>
              <w:t>5</w:t>
            </w:r>
            <w:r>
              <w:rPr>
                <w:sz w:val="24"/>
              </w:rPr>
              <w:t>×21.6m</w:t>
            </w:r>
            <w:r>
              <w:rPr>
                <w:sz w:val="24"/>
                <w:vertAlign w:val="superscript"/>
              </w:rPr>
              <w:t>3</w:t>
            </w:r>
            <w:r>
              <w:rPr>
                <w:sz w:val="24"/>
              </w:rPr>
              <w:t>）暂存，由罐车运输至</w:t>
            </w:r>
            <w:r>
              <w:rPr>
                <w:rFonts w:hint="eastAsia"/>
                <w:sz w:val="24"/>
              </w:rPr>
              <w:t>污水处理站</w:t>
            </w:r>
            <w:r>
              <w:rPr>
                <w:sz w:val="24"/>
              </w:rPr>
              <w:t>进行处理；泥饼经皮带输送至全封闭综合车间泥饼堆放区（占地面积3</w:t>
            </w:r>
            <w:r>
              <w:rPr>
                <w:rFonts w:hint="eastAsia"/>
                <w:sz w:val="24"/>
              </w:rPr>
              <w:t>5</w:t>
            </w:r>
            <w:r>
              <w:rPr>
                <w:sz w:val="24"/>
              </w:rPr>
              <w:t>00m</w:t>
            </w:r>
            <w:r>
              <w:rPr>
                <w:sz w:val="24"/>
                <w:vertAlign w:val="superscript"/>
              </w:rPr>
              <w:t>2</w:t>
            </w:r>
            <w:r>
              <w:rPr>
                <w:sz w:val="24"/>
              </w:rPr>
              <w:t>）暂存，</w:t>
            </w:r>
            <w:r>
              <w:rPr>
                <w:rFonts w:hint="eastAsia"/>
                <w:sz w:val="24"/>
              </w:rPr>
              <w:t>定期拉运至乌海市科兆恒升环保建材有限责任公司填埋场填埋。</w:t>
            </w:r>
          </w:p>
          <w:p w14:paraId="538E9749">
            <w:pPr>
              <w:adjustRightInd w:val="0"/>
              <w:snapToGrid w:val="0"/>
              <w:spacing w:line="360" w:lineRule="auto"/>
              <w:ind w:firstLine="480" w:firstLineChars="200"/>
              <w:rPr>
                <w:sz w:val="24"/>
              </w:rPr>
            </w:pPr>
            <w:r>
              <w:rPr>
                <w:sz w:val="24"/>
              </w:rPr>
              <w:t>内蒙古众宁环保科技有限公司油气田废弃物集中处理厂处理规模为</w:t>
            </w:r>
            <w:r>
              <w:rPr>
                <w:rFonts w:hint="eastAsia"/>
                <w:sz w:val="24"/>
              </w:rPr>
              <w:t>6万吨/年（250t/d）。项目钻井期累计为144天，废弃泥浆、钻井岩屑累计产生量为</w:t>
            </w:r>
            <w:r>
              <w:rPr>
                <w:rFonts w:hint="eastAsia"/>
                <w:bCs/>
                <w:sz w:val="24"/>
              </w:rPr>
              <w:t>2400.88m</w:t>
            </w:r>
            <w:r>
              <w:rPr>
                <w:rFonts w:hint="eastAsia"/>
                <w:bCs/>
                <w:sz w:val="24"/>
                <w:vertAlign w:val="superscript"/>
              </w:rPr>
              <w:t>3</w:t>
            </w:r>
            <w:r>
              <w:rPr>
                <w:rFonts w:hint="eastAsia"/>
                <w:bCs/>
                <w:sz w:val="24"/>
              </w:rPr>
              <w:t>（16.67m</w:t>
            </w:r>
            <w:r>
              <w:rPr>
                <w:rFonts w:hint="eastAsia"/>
                <w:bCs/>
                <w:sz w:val="24"/>
                <w:vertAlign w:val="superscript"/>
              </w:rPr>
              <w:t>3</w:t>
            </w:r>
            <w:r>
              <w:rPr>
                <w:rFonts w:hint="eastAsia"/>
                <w:bCs/>
                <w:sz w:val="24"/>
              </w:rPr>
              <w:t>/d），密度按1.5t/m</w:t>
            </w:r>
            <w:r>
              <w:rPr>
                <w:rFonts w:hint="eastAsia"/>
                <w:bCs/>
                <w:sz w:val="24"/>
                <w:vertAlign w:val="superscript"/>
              </w:rPr>
              <w:t>3</w:t>
            </w:r>
            <w:r>
              <w:rPr>
                <w:rFonts w:hint="eastAsia"/>
                <w:bCs/>
                <w:sz w:val="24"/>
              </w:rPr>
              <w:t>计算，则</w:t>
            </w:r>
            <w:r>
              <w:rPr>
                <w:rFonts w:hint="eastAsia"/>
                <w:sz w:val="24"/>
              </w:rPr>
              <w:t>废弃泥浆、钻井岩屑日产生量为25.01t/d，</w:t>
            </w:r>
            <w:r>
              <w:rPr>
                <w:sz w:val="24"/>
              </w:rPr>
              <w:t>占油气田废弃物集中处理厂日处理量的</w:t>
            </w:r>
            <w:r>
              <w:rPr>
                <w:rFonts w:hint="eastAsia"/>
                <w:sz w:val="24"/>
              </w:rPr>
              <w:t>10.0</w:t>
            </w:r>
            <w:r>
              <w:rPr>
                <w:sz w:val="24"/>
              </w:rPr>
              <w:t>%</w:t>
            </w:r>
            <w:r>
              <w:rPr>
                <w:rFonts w:hint="eastAsia"/>
                <w:sz w:val="24"/>
              </w:rPr>
              <w:t>。目前巴彦勘探开发分公司部署的探井分批次建设，同批次开工建设的探井约为5-8口，每口井井深不同，施工进度不同，因此根据各个井场废弃泥浆、钻井岩屑产生情况，具体调度安排拉运工作，同时</w:t>
            </w:r>
            <w:r>
              <w:rPr>
                <w:sz w:val="24"/>
              </w:rPr>
              <w:t>油气田废弃物集中处理厂有一座</w:t>
            </w:r>
            <w:r>
              <w:rPr>
                <w:rFonts w:hint="eastAsia"/>
                <w:sz w:val="24"/>
              </w:rPr>
              <w:t>2400</w:t>
            </w:r>
            <w:r>
              <w:rPr>
                <w:sz w:val="24"/>
              </w:rPr>
              <w:t>m</w:t>
            </w:r>
            <w:r>
              <w:rPr>
                <w:sz w:val="24"/>
                <w:vertAlign w:val="superscript"/>
              </w:rPr>
              <w:t>3</w:t>
            </w:r>
            <w:r>
              <w:rPr>
                <w:sz w:val="24"/>
              </w:rPr>
              <w:t>泥浆储存池，可以</w:t>
            </w:r>
            <w:r>
              <w:rPr>
                <w:rFonts w:hint="eastAsia"/>
                <w:sz w:val="24"/>
              </w:rPr>
              <w:t>确保不影响钻井现场及</w:t>
            </w:r>
            <w:r>
              <w:rPr>
                <w:sz w:val="24"/>
              </w:rPr>
              <w:t>油气田废弃物集中处理厂</w:t>
            </w:r>
            <w:r>
              <w:rPr>
                <w:rFonts w:hint="eastAsia"/>
                <w:sz w:val="24"/>
              </w:rPr>
              <w:t>的正常运行。</w:t>
            </w:r>
          </w:p>
          <w:p w14:paraId="49A54B84">
            <w:pPr>
              <w:adjustRightInd w:val="0"/>
              <w:snapToGrid w:val="0"/>
              <w:spacing w:line="360" w:lineRule="auto"/>
              <w:ind w:firstLine="480" w:firstLineChars="200"/>
              <w:rPr>
                <w:sz w:val="24"/>
              </w:rPr>
            </w:pPr>
            <w:r>
              <w:rPr>
                <w:rFonts w:hint="eastAsia"/>
                <w:sz w:val="24"/>
              </w:rPr>
              <w:t>综上，</w:t>
            </w:r>
            <w:r>
              <w:rPr>
                <w:sz w:val="24"/>
              </w:rPr>
              <w:t>内蒙古众宁环保科技有限公司油气田废弃物集中处理厂的</w:t>
            </w:r>
            <w:r>
              <w:rPr>
                <w:rFonts w:hint="eastAsia"/>
                <w:sz w:val="24"/>
              </w:rPr>
              <w:t>处理能力及处理工艺均满足项目要求，依托可行</w:t>
            </w:r>
            <w:r>
              <w:rPr>
                <w:sz w:val="24"/>
              </w:rPr>
              <w:t>。</w:t>
            </w:r>
          </w:p>
        </w:tc>
      </w:tr>
      <w:tr w14:paraId="57601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457" w:type="dxa"/>
            <w:vAlign w:val="center"/>
          </w:tcPr>
          <w:p w14:paraId="2CB1BA6D">
            <w:pPr>
              <w:adjustRightInd w:val="0"/>
              <w:snapToGrid w:val="0"/>
              <w:jc w:val="center"/>
              <w:rPr>
                <w:b/>
                <w:kern w:val="0"/>
                <w:sz w:val="24"/>
              </w:rPr>
            </w:pPr>
            <w:r>
              <w:rPr>
                <w:b/>
                <w:kern w:val="0"/>
                <w:sz w:val="24"/>
              </w:rPr>
              <w:t>总平面及现场布置</w:t>
            </w:r>
          </w:p>
        </w:tc>
        <w:tc>
          <w:tcPr>
            <w:tcW w:w="8454" w:type="dxa"/>
            <w:vAlign w:val="center"/>
          </w:tcPr>
          <w:p w14:paraId="0E8E0AE1">
            <w:pPr>
              <w:adjustRightInd w:val="0"/>
              <w:snapToGrid w:val="0"/>
              <w:spacing w:line="360" w:lineRule="auto"/>
              <w:ind w:firstLine="480" w:firstLineChars="200"/>
              <w:rPr>
                <w:sz w:val="24"/>
              </w:rPr>
            </w:pPr>
            <w:r>
              <w:rPr>
                <w:sz w:val="24"/>
              </w:rPr>
              <w:t>项目分钻井</w:t>
            </w:r>
            <w:r>
              <w:rPr>
                <w:rFonts w:hint="eastAsia"/>
                <w:sz w:val="24"/>
              </w:rPr>
              <w:t>阶段</w:t>
            </w:r>
            <w:r>
              <w:rPr>
                <w:sz w:val="24"/>
              </w:rPr>
              <w:t>和试油</w:t>
            </w:r>
            <w:r>
              <w:rPr>
                <w:rFonts w:hint="eastAsia"/>
                <w:sz w:val="24"/>
              </w:rPr>
              <w:t>阶段</w:t>
            </w:r>
            <w:r>
              <w:rPr>
                <w:sz w:val="24"/>
              </w:rPr>
              <w:t>两个阶段进行平面布置。</w:t>
            </w:r>
          </w:p>
          <w:p w14:paraId="32C8E88D">
            <w:pPr>
              <w:adjustRightInd w:val="0"/>
              <w:snapToGrid w:val="0"/>
              <w:spacing w:line="360" w:lineRule="auto"/>
              <w:ind w:firstLine="480" w:firstLineChars="200"/>
              <w:rPr>
                <w:sz w:val="24"/>
              </w:rPr>
            </w:pPr>
            <w:r>
              <w:rPr>
                <w:sz w:val="24"/>
              </w:rPr>
              <w:t>钻井</w:t>
            </w:r>
            <w:r>
              <w:rPr>
                <w:rFonts w:hint="eastAsia"/>
                <w:sz w:val="24"/>
              </w:rPr>
              <w:t>阶段</w:t>
            </w:r>
            <w:r>
              <w:rPr>
                <w:sz w:val="24"/>
              </w:rPr>
              <w:t>井场布置钻井平台、泥浆不落地循环系统装置区、钻具区、材料区、值班室、仪器室、录井室、井控房等设备及办公生活区。</w:t>
            </w:r>
          </w:p>
          <w:p w14:paraId="11F50823">
            <w:pPr>
              <w:adjustRightInd w:val="0"/>
              <w:snapToGrid w:val="0"/>
              <w:spacing w:line="360" w:lineRule="auto"/>
              <w:jc w:val="center"/>
            </w:pPr>
            <w:r>
              <w:rPr>
                <w:sz w:val="24"/>
              </w:rPr>
              <mc:AlternateContent>
                <mc:Choice Requires="wps">
                  <w:drawing>
                    <wp:anchor distT="0" distB="0" distL="114300" distR="114300" simplePos="0" relativeHeight="251676672" behindDoc="0" locked="0" layoutInCell="1" allowOverlap="1">
                      <wp:simplePos x="0" y="0"/>
                      <wp:positionH relativeFrom="column">
                        <wp:posOffset>3531870</wp:posOffset>
                      </wp:positionH>
                      <wp:positionV relativeFrom="paragraph">
                        <wp:posOffset>1078865</wp:posOffset>
                      </wp:positionV>
                      <wp:extent cx="89535" cy="89535"/>
                      <wp:effectExtent l="0" t="0" r="24765" b="24765"/>
                      <wp:wrapNone/>
                      <wp:docPr id="2085" name="椭圆 2085"/>
                      <wp:cNvGraphicFramePr/>
                      <a:graphic xmlns:a="http://schemas.openxmlformats.org/drawingml/2006/main">
                        <a:graphicData uri="http://schemas.microsoft.com/office/word/2010/wordprocessingShape">
                          <wps:wsp>
                            <wps:cNvSpPr/>
                            <wps:spPr>
                              <a:xfrm>
                                <a:off x="0" y="0"/>
                                <a:ext cx="89535" cy="89535"/>
                              </a:xfrm>
                              <a:prstGeom prst="ellipse">
                                <a:avLst/>
                              </a:prstGeom>
                              <a:no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8.1pt;margin-top:84.95pt;height:7.05pt;width:7.05pt;z-index:251676672;v-text-anchor:middle;mso-width-relative:page;mso-height-relative:page;" filled="f" stroked="t" coordsize="21600,21600" o:gfxdata="UEsDBAoAAAAAAIdO4kAAAAAAAAAAAAAAAAAEAAAAZHJzL1BLAwQUAAAACACHTuJASOppA9cAAAAL&#10;AQAADwAAAGRycy9kb3ducmV2LnhtbE2PwU7DMAyG70i8Q2QkbizpWLutazoJBA/A2GHHtPHajsYp&#10;TdZtb485wdH+P/3+XGyvrhcTjqHzpCGZKRBItbcdNRr2n+9PKxAhGrKm94QabhhgW97fFSa3/kIf&#10;OO1iI7iEQm40tDEOuZShbtGZMPMDEmdHPzoTeRwbaUdz4XLXy7lSmXSmI77QmgFfW6y/dmenYVqc&#10;Dt9Dmrwsqzfrb9IfVVJLrR8fErUBEfEa/2D41Wd1KNmp8meyQfQa0jSbM8pBtl6DYCJdqmcQFW9W&#10;CwWyLOT/H8ofUEsDBBQAAAAIAIdO4kAO299/YQIAALwEAAAOAAAAZHJzL2Uyb0RvYy54bWytVM1u&#10;EzEQviPxDpbvdDehpe2qmypqFIRU0UoFcXa8dtaS/7CdbMID8BQcufJY8Bx83t2mpXDogRycGc/4&#10;88znb/bicmc02YoQlbM1nRyVlAjLXaPsuqYfPyxfnVESE7MN086Kmu5FpJezly8uOl+JqWudbkQg&#10;ALGx6nxN25R8VRSRt8KweOS8sAhKFwxLcMO6aALrgG50MS3LN0XnQuOD4yJG7C6GIB0Rw3MAnZSK&#10;i4XjGyNsGlCD0CyhpdgqH+msr1ZKwdONlFEkomuKTlO/4hLYq7wWswtWrQPzreJjCew5JTzpyTBl&#10;cekBasESI5ug/oIyigcXnUxH3JliaKRnBF1Myifc3LXMi74XUB39gfT4/2D5++1tIKqp6bQ8O6HE&#10;MoM3//X9x89vX0m/BYY6Hysk3vnbMHoRZm53J4PJ/2iE7HpW9wdWxS4Rjs2z85PXQOaIDCYwioej&#10;PsT0VjhDslFToTUeMHfNKra9jmnIvs/K29YtldbYZ5W2pIOIp6clHpQzyFFCBjCNR0vRrilheg2d&#10;8xR6yOi0avLxfDqG9epKB7JlUMdyWeKXBYHi/kjLdy9YbIe8uI/ZGRO1RX7mZ2AkWyvX7MFpcIPY&#10;oudLBYRrFtMtC1AXSsX8pRssUjvU70aLktaFL//az/l4dEQp6aBW9PZ5w4KgRL+zkMP55Pg4y7t3&#10;jk9Op3DC48jqccRuzJVDyxNMuue9mfOTvjdlcOYTxnSeb0WIWY67BxZH5yoNU4RB52I+79Mgac/S&#10;tb3zPIMPbzXfJCdV/4wP7IykQdQ93eMA5ql57PdZDx+d2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I6mkD1wAAAAsBAAAPAAAAAAAAAAEAIAAAACIAAABkcnMvZG93bnJldi54bWxQSwECFAAUAAAA&#10;CACHTuJADtvff2ECAAC8BAAADgAAAAAAAAABACAAAAAmAQAAZHJzL2Uyb0RvYy54bWxQSwUGAAAA&#10;AAYABgBZAQAA+QUAAAAA&#10;">
                      <v:fill on="f" focussize="0,0"/>
                      <v:stroke weight="1pt" color="#FF0000 [3204]" joinstyle="round" dashstyle="3 1"/>
                      <v:imagedata o:title=""/>
                      <o:lock v:ext="edit" aspectratio="f"/>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3180715</wp:posOffset>
                      </wp:positionH>
                      <wp:positionV relativeFrom="paragraph">
                        <wp:posOffset>1082675</wp:posOffset>
                      </wp:positionV>
                      <wp:extent cx="89535" cy="89535"/>
                      <wp:effectExtent l="0" t="0" r="24765" b="24765"/>
                      <wp:wrapNone/>
                      <wp:docPr id="2084" name="椭圆 2084"/>
                      <wp:cNvGraphicFramePr/>
                      <a:graphic xmlns:a="http://schemas.openxmlformats.org/drawingml/2006/main">
                        <a:graphicData uri="http://schemas.microsoft.com/office/word/2010/wordprocessingShape">
                          <wps:wsp>
                            <wps:cNvSpPr/>
                            <wps:spPr>
                              <a:xfrm>
                                <a:off x="0" y="0"/>
                                <a:ext cx="89535" cy="89535"/>
                              </a:xfrm>
                              <a:prstGeom prst="ellipse">
                                <a:avLst/>
                              </a:prstGeom>
                              <a:no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50.45pt;margin-top:85.25pt;height:7.05pt;width:7.05pt;z-index:251675648;v-text-anchor:middle;mso-width-relative:page;mso-height-relative:page;" filled="f" stroked="t" coordsize="21600,21600" o:gfxdata="UEsDBAoAAAAAAIdO4kAAAAAAAAAAAAAAAAAEAAAAZHJzL1BLAwQUAAAACACHTuJAuf4wSNYAAAAL&#10;AQAADwAAAGRycy9kb3ducmV2LnhtbE2PwU7DMBBE70j8g7VI3KhtVLclxKkEgg+g9MDRibdJIF6H&#10;2E3bv2c5wXFnnmZnyu05DGLGKfWRLOiFAoHURN9Ta2H//nq3AZGyI++GSGjhggm21fVV6QofT/SG&#10;8y63gkMoFc5Cl/NYSJmaDoNLizgisXeIU3CZz6mVfnInDg+DvFdqJYPriT90bsTnDpuv3TFYmJef&#10;H9+j0U/r+sXHi4wHpRtp7e2NVo8gMp7zHwy/9bk6VNypjkfySQwWjFIPjLKxVgYEE0YbXlezslmu&#10;QFal/L+h+gFQSwMEFAAAAAgAh07iQAqIrmFhAgAAvAQAAA4AAABkcnMvZTJvRG9jLnhtbK1Uy24T&#10;MRTdI/EPlvd0JiGl7aiTKmoUhFTRSgWxdjx2xpJf2E4m4QP4CpZs+Sz4Do5npg8Kiy7IwrkvX997&#10;7rlzfrE3muxEiMrZmk6OSkqE5a5RdlPTjx9Wr04piYnZhmlnRU0PItKL+csX552vxNS1TjciECSx&#10;sep8TduUfFUUkbfCsHjkvLBwShcMS1DDpmgC65Dd6GJalm+KzoXGB8dFjLAuBycdM4bnJHRSKi6W&#10;jm+NsGnIGoRmCS3FVvlI5321UgqerqWMIhFdU3Sa+hOPQF7ns5ifs2oTmG8VH0tgzynhSU+GKYtH&#10;71MtWWJkG9RfqYziwUUn0xF3phga6RFBF5PyCTa3LfOi7wVQR38Pevx/afn73U0gqqnptDydUWKZ&#10;wcx/ff/x89tX0puAUOdjhcBbfxNGLULM7e5lMPkfjZB9j+rhHlWxT4TDeHp2/PqYEg7PICJH8XDV&#10;h5jeCmdIFmoqtMYAc9esYrurmIbou6hstm6ltIadVdqSDiSenpQYKGegowQNIBqPlqLdUML0Bjzn&#10;KfQpo9Oqydfz7Rg260sdyI6BHatViV8mBIr7Iyy/vWSxHeLiIWZlDNQW8RmfAZEsrV1zAKbBDWSL&#10;nq8UMlyxmG5YALtQKvYvXeOQ2qF+N0qUtC58+Zc9x2Po8FLSga3o7fOWBUGJfmdBh7PJbJbp3Suz&#10;45MplPDYs37ssVtz6dDyBJvueS/m+KTvRBmc+YQ1XeRX4WKW4+0BxVG5TMMWYdG5WCz6MFDas3Rl&#10;bz3PyYdZLbbJSdWP8QGdETSQuod7XMC8NY/1PurhozP/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MEjWAAAACwEAAA8AAAAAAAAAAQAgAAAAIgAAAGRycy9kb3ducmV2LnhtbFBLAQIUABQAAAAI&#10;AIdO4kAKiK5hYQIAALwEAAAOAAAAAAAAAAEAIAAAACUBAABkcnMvZTJvRG9jLnhtbFBLBQYAAAAA&#10;BgAGAFkBAAD4BQAAAAA=&#10;">
                      <v:fill on="f" focussize="0,0"/>
                      <v:stroke weight="1pt" color="#FF0000 [3204]" joinstyle="round" dashstyle="3 1"/>
                      <v:imagedata o:title=""/>
                      <o:lock v:ext="edit" aspectratio="f"/>
                    </v:shape>
                  </w:pict>
                </mc:Fallback>
              </mc:AlternateContent>
            </w:r>
            <w:r>
              <w:rPr>
                <w:sz w:val="24"/>
              </w:rPr>
              <w:drawing>
                <wp:anchor distT="0" distB="0" distL="114300" distR="114300" simplePos="0" relativeHeight="251663360" behindDoc="0" locked="0" layoutInCell="1" allowOverlap="1">
                  <wp:simplePos x="0" y="0"/>
                  <wp:positionH relativeFrom="column">
                    <wp:posOffset>4443730</wp:posOffset>
                  </wp:positionH>
                  <wp:positionV relativeFrom="paragraph">
                    <wp:posOffset>24130</wp:posOffset>
                  </wp:positionV>
                  <wp:extent cx="215900" cy="382905"/>
                  <wp:effectExtent l="0" t="0" r="0" b="0"/>
                  <wp:wrapNone/>
                  <wp:docPr id="2422" name="Picture 21" descr="zhibeizhen-3251537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 name="Picture 21" descr="zhibeizhen-32515377_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15900" cy="382905"/>
                          </a:xfrm>
                          <a:prstGeom prst="rect">
                            <a:avLst/>
                          </a:prstGeom>
                          <a:noFill/>
                          <a:ln>
                            <a:noFill/>
                          </a:ln>
                        </pic:spPr>
                      </pic:pic>
                    </a:graphicData>
                  </a:graphic>
                </wp:anchor>
              </w:drawing>
            </w:r>
            <w:r>
              <w:drawing>
                <wp:inline distT="0" distB="0" distL="0" distR="0">
                  <wp:extent cx="4157345" cy="2296795"/>
                  <wp:effectExtent l="19050" t="19050" r="14605" b="2730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157345" cy="2296795"/>
                          </a:xfrm>
                          <a:prstGeom prst="rect">
                            <a:avLst/>
                          </a:prstGeom>
                          <a:noFill/>
                          <a:ln w="9525" cmpd="sng">
                            <a:solidFill>
                              <a:srgbClr val="000000"/>
                            </a:solidFill>
                            <a:miter lim="800000"/>
                            <a:headEnd/>
                            <a:tailEnd/>
                          </a:ln>
                          <a:effectLst/>
                        </pic:spPr>
                      </pic:pic>
                    </a:graphicData>
                  </a:graphic>
                </wp:inline>
              </w:drawing>
            </w:r>
          </w:p>
          <w:p w14:paraId="46287AA8">
            <w:pPr>
              <w:adjustRightInd w:val="0"/>
              <w:snapToGrid w:val="0"/>
              <w:spacing w:line="360" w:lineRule="auto"/>
              <w:jc w:val="center"/>
              <w:rPr>
                <w:rFonts w:eastAsia="黑体"/>
                <w:sz w:val="24"/>
              </w:rPr>
            </w:pPr>
            <w:r>
              <w:rPr>
                <w:rFonts w:eastAsia="黑体"/>
                <w:kern w:val="0"/>
                <w:sz w:val="24"/>
                <w:szCs w:val="21"/>
              </w:rPr>
              <w:t>图2-6 钻井阶段井场平面布置示意图</w:t>
            </w:r>
          </w:p>
          <w:p w14:paraId="69DBC5F9">
            <w:pPr>
              <w:adjustRightInd w:val="0"/>
              <w:snapToGrid w:val="0"/>
              <w:spacing w:line="360" w:lineRule="auto"/>
              <w:ind w:firstLine="480" w:firstLineChars="200"/>
              <w:rPr>
                <w:sz w:val="24"/>
              </w:rPr>
            </w:pPr>
            <w:r>
              <w:rPr>
                <w:sz w:val="24"/>
              </w:rPr>
              <w:t>钻井完成后进入试油</w:t>
            </w:r>
            <w:r>
              <w:rPr>
                <w:rFonts w:hint="eastAsia"/>
                <w:sz w:val="24"/>
              </w:rPr>
              <w:t>阶段</w:t>
            </w:r>
            <w:r>
              <w:rPr>
                <w:sz w:val="24"/>
              </w:rPr>
              <w:t>，试油前拆除井架，撤离钻井平台、泥浆不落地循环系统装置等设施，试油</w:t>
            </w:r>
            <w:r>
              <w:rPr>
                <w:rFonts w:hint="eastAsia"/>
                <w:sz w:val="24"/>
              </w:rPr>
              <w:t>阶段</w:t>
            </w:r>
            <w:r>
              <w:rPr>
                <w:sz w:val="24"/>
              </w:rPr>
              <w:t>平面布置主要为井口采油机、集油管线、储液罐、值班室、发配电室等。</w:t>
            </w:r>
          </w:p>
          <w:p w14:paraId="7D7056CB">
            <w:pPr>
              <w:adjustRightInd w:val="0"/>
              <w:snapToGrid w:val="0"/>
              <w:spacing w:line="360" w:lineRule="auto"/>
              <w:jc w:val="center"/>
            </w:pPr>
            <w:r>
              <w:rPr>
                <w:sz w:val="24"/>
              </w:rPr>
              <mc:AlternateContent>
                <mc:Choice Requires="wps">
                  <w:drawing>
                    <wp:anchor distT="0" distB="0" distL="114300" distR="114300" simplePos="0" relativeHeight="251678720" behindDoc="0" locked="0" layoutInCell="1" allowOverlap="1">
                      <wp:simplePos x="0" y="0"/>
                      <wp:positionH relativeFrom="column">
                        <wp:posOffset>3498215</wp:posOffset>
                      </wp:positionH>
                      <wp:positionV relativeFrom="paragraph">
                        <wp:posOffset>863600</wp:posOffset>
                      </wp:positionV>
                      <wp:extent cx="89535" cy="89535"/>
                      <wp:effectExtent l="0" t="0" r="24765" b="24765"/>
                      <wp:wrapNone/>
                      <wp:docPr id="2087" name="椭圆 2087"/>
                      <wp:cNvGraphicFramePr/>
                      <a:graphic xmlns:a="http://schemas.openxmlformats.org/drawingml/2006/main">
                        <a:graphicData uri="http://schemas.microsoft.com/office/word/2010/wordprocessingShape">
                          <wps:wsp>
                            <wps:cNvSpPr/>
                            <wps:spPr>
                              <a:xfrm>
                                <a:off x="0" y="0"/>
                                <a:ext cx="89535" cy="89535"/>
                              </a:xfrm>
                              <a:prstGeom prst="ellipse">
                                <a:avLst/>
                              </a:prstGeom>
                              <a:no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5.45pt;margin-top:68pt;height:7.05pt;width:7.05pt;z-index:251678720;v-text-anchor:middle;mso-width-relative:page;mso-height-relative:page;" filled="f" stroked="t" coordsize="21600,21600" o:gfxdata="UEsDBAoAAAAAAIdO4kAAAAAAAAAAAAAAAAAEAAAAZHJzL1BLAwQUAAAACACHTuJA549ADtUAAAAL&#10;AQAADwAAAGRycy9kb3ducmV2LnhtbE2PwU7DMBBE70j8g7VI3KhtwAFCnEog+ABaDhydeJsE4nWI&#10;3bT9e5YT3HZ3RrNvqvUxjGLBOQ2RLOiVAoHURj9QZ+F9+3p1DyJlR96NkdDCCROs6/OzypU+HugN&#10;l03uBIdQKp2FPueplDK1PQaXVnFCYm0X5+Ayr3Mn/ewOHB5Gea1UIYMbiD/0bsLnHtuvzT5YWG4/&#10;P74no5/umhcfTzLulG6ltZcXWj2CyHjMf2b4xWd0qJmpiXvySYwWjFEPbGXhpuBS7DCF4aHhi1Ea&#10;ZF3J/x3qH1BLAwQUAAAACACHTuJABn09Q2ECAAC8BAAADgAAAGRycy9lMm9Eb2MueG1srVTNbhMx&#10;EL4j8Q6W73Q3oaXtqpsqahSEVNFKBXF2vHbWkv+wnWzCA/AUHLnyWPAcfN7dpqVw6IEcnPnzeOab&#10;b/bicmc02YoQlbM1nRyVlAjLXaPsuqYfPyxfnVESE7MN086Kmu5FpJezly8uOl+JqWudbkQgSGJj&#10;1fmatin5qigib4Vh8ch5YeGULhiWoIZ10QTWIbvRxbQs3xSdC40PjosYYV0MTjpmDM9J6KRUXCwc&#10;3xhh05A1CM0SWoqt8pHO+mqlFDzdSBlFIrqm6DT1Jx6BvMpnMbtg1Tow3yo+lsCeU8KTngxTFo8e&#10;Ui1YYmQT1F+pjOLBRSfTEXemGBrpEUEXk/IJNnct86LvBVBHfwA9/r+0/P32NhDV1HRanp1SYpnB&#10;zH99//Hz21fSm4BQ52OFwDt/G0YtQszt7mQw+R+NkF2P6v6AqtglwmE8Oz95fUIJh2cQkaN4uOpD&#10;TG+FMyQLNRVaY4C5a1ax7XVMQ/R9VDZbt1Raw84qbUkHEk9PSwyUM9BRggYQjUdL0a4pYXoNnvMU&#10;+pTRadXk6/l2DOvVlQ5ky8CO5bLELxMCxf0Rlt9esNgOcXEfszIGaov4jM+ASJZWrtkD0+AGskXP&#10;lwoZrllMtyyAXSgV+5ducEjtUL8bJUpaF778y57jMXR4KenAVvT2ecOCoES/s6DD+eT4ONO7V45P&#10;TqdQwmPP6rHHbsyVQ8sTbLrnvZjjk74XZXDmE9Z0nl+Fi1mOtwcUR+UqDVuERediPu/DQGnP0rW9&#10;8zwnH2Y13yQnVT/GB3RG0EDqHu5xAfPWPNb7qIePzu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549ADtUAAAALAQAADwAAAAAAAAABACAAAAAiAAAAZHJzL2Rvd25yZXYueG1sUEsBAhQAFAAAAAgA&#10;h07iQAZ9PUNhAgAAvAQAAA4AAAAAAAAAAQAgAAAAJAEAAGRycy9lMm9Eb2MueG1sUEsFBgAAAAAG&#10;AAYAWQEAAPcFAAAAAA==&#10;">
                      <v:fill on="f" focussize="0,0"/>
                      <v:stroke weight="1pt" color="#FF0000 [3204]" joinstyle="round" dashstyle="3 1"/>
                      <v:imagedata o:title=""/>
                      <o:lock v:ext="edit" aspectratio="f"/>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3230245</wp:posOffset>
                      </wp:positionH>
                      <wp:positionV relativeFrom="paragraph">
                        <wp:posOffset>863600</wp:posOffset>
                      </wp:positionV>
                      <wp:extent cx="89535" cy="89535"/>
                      <wp:effectExtent l="0" t="0" r="24765" b="24765"/>
                      <wp:wrapNone/>
                      <wp:docPr id="2086" name="椭圆 2086"/>
                      <wp:cNvGraphicFramePr/>
                      <a:graphic xmlns:a="http://schemas.openxmlformats.org/drawingml/2006/main">
                        <a:graphicData uri="http://schemas.microsoft.com/office/word/2010/wordprocessingShape">
                          <wps:wsp>
                            <wps:cNvSpPr/>
                            <wps:spPr>
                              <a:xfrm>
                                <a:off x="0" y="0"/>
                                <a:ext cx="89535" cy="89535"/>
                              </a:xfrm>
                              <a:prstGeom prst="ellipse">
                                <a:avLst/>
                              </a:prstGeom>
                              <a:no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54.35pt;margin-top:68pt;height:7.05pt;width:7.05pt;z-index:251677696;v-text-anchor:middle;mso-width-relative:page;mso-height-relative:page;" filled="f" stroked="t" coordsize="21600,21600" o:gfxdata="UEsDBAoAAAAAAIdO4kAAAAAAAAAAAAAAAAAEAAAAZHJzL1BLAwQUAAAACACHTuJApWU8pdYAAAAL&#10;AQAADwAAAGRycy9kb3ducmV2LnhtbE2PwU7DMBBE70j8g7VI3KjtQNoqxKkEgg+g9MDRibdJ2ngd&#10;Yjdt/57lBMedeZqdKTcXP4gZp9gHMqAXCgRSE1xPrYHd5/vDGkRMlpwdAqGBK0bYVLc3pS1cONMH&#10;ztvUCg6hWFgDXUpjIWVsOvQ2LsKIxN4+TN4mPqdWusmeOdwPMlNqKb3tiT90dsTXDpvj9uQNzE+H&#10;r+8x1y+r+s2Fqwx7pRtpzP2dVs8gEl7SHwy/9bk6VNypDidyUQwGcrVeMcrG45JHMZFnGY+pWcmV&#10;BlmV8v+G6gdQSwMEFAAAAAgAh07iQAIuTF1gAgAAvAQAAA4AAABkcnMvZTJvRG9jLnhtbK1US27b&#10;MBDdF+gdCO4byW6+QuTAiOGiQNAESIuuaYq0CPBXkrbsHqCn6LLbHKs9Rx8l5dO0iyzqBT0/Dmfe&#10;vNH5xc5oshUhKmdrOjkoKRGWu0bZdU0/fVy+OaUkJmYbpp0VNd2LSC9mr1+dd74SU9c63YhAkMTG&#10;qvM1bVPyVVFE3grD4oHzwsIpXTAsQQ3rogmsQ3aji2lZHhedC40PjosYYV0MTjpmDC9J6KRUXCwc&#10;3xhh05A1CM0SWoqt8pHO+mqlFDxdSxlFIrqm6DT1Jx6BvMpnMTtn1Tow3yo+lsBeUsKzngxTFo8+&#10;pFqwxMgmqL9SGcWDi06mA+5MMTTSI4IuJuUzbG5b5kXfC6CO/gH0+P/S8g/bm0BUU9NpeXpMiWUG&#10;M//14+7n92+kNwGhzscKgbf+JoxahJjb3clg8j8aIbse1f0DqmKXCIfx9Ozo7RElHJ5BRI7i8aoP&#10;Mb0TzpAs1FRojQHmrlnFtlcxDdH3Udls3VJpDTurtCUdSDw9KTFQzkBHCRpANB4tRbumhOk1eM5T&#10;6FNGp1WTr+fbMaxXlzqQLQM7lssSv0wIFPdHWH57wWI7xMV9zMoYqC3iMz4DIllauWYPTIMbyBY9&#10;XypkuGIx3bAAdqFU7F+6xiG1Q/1ulChpXfj6L3uOx9DhpaQDW9Hblw0LghL93oIOZ5PDw0zvXjk8&#10;OplCCU89q6ceuzGXDi1PsOme92KOT/pelMGZz1jTeX4VLmY53h5QHJXLNGwRFp2L+bwPA6U9S1f2&#10;1vOcfJjVfJOcVP0YH9EZQQOpe7jHBcxb81Tvox4/Or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pWU8pdYAAAALAQAADwAAAAAAAAABACAAAAAiAAAAZHJzL2Rvd25yZXYueG1sUEsBAhQAFAAAAAgA&#10;h07iQAIuTF1gAgAAvAQAAA4AAAAAAAAAAQAgAAAAJQEAAGRycy9lMm9Eb2MueG1sUEsFBgAAAAAG&#10;AAYAWQEAAPcFAAAAAA==&#10;">
                      <v:fill on="f" focussize="0,0"/>
                      <v:stroke weight="1pt" color="#FF0000 [3204]" joinstyle="round" dashstyle="3 1"/>
                      <v:imagedata o:title=""/>
                      <o:lock v:ext="edit" aspectratio="f"/>
                    </v:shape>
                  </w:pict>
                </mc:Fallback>
              </mc:AlternateContent>
            </w:r>
            <w:r>
              <w:rPr>
                <w:sz w:val="24"/>
              </w:rPr>
              <w:drawing>
                <wp:anchor distT="0" distB="0" distL="114300" distR="114300" simplePos="0" relativeHeight="251660288" behindDoc="0" locked="0" layoutInCell="1" allowOverlap="1">
                  <wp:simplePos x="0" y="0"/>
                  <wp:positionH relativeFrom="column">
                    <wp:posOffset>3904615</wp:posOffset>
                  </wp:positionH>
                  <wp:positionV relativeFrom="paragraph">
                    <wp:posOffset>1435735</wp:posOffset>
                  </wp:positionV>
                  <wp:extent cx="215900" cy="360045"/>
                  <wp:effectExtent l="0" t="0" r="0" b="1905"/>
                  <wp:wrapNone/>
                  <wp:docPr id="1968" name="Picture 21" descr="zhibeizhen-32515377_3"/>
                  <wp:cNvGraphicFramePr/>
                  <a:graphic xmlns:a="http://schemas.openxmlformats.org/drawingml/2006/main">
                    <a:graphicData uri="http://schemas.openxmlformats.org/drawingml/2006/picture">
                      <pic:pic xmlns:pic="http://schemas.openxmlformats.org/drawingml/2006/picture">
                        <pic:nvPicPr>
                          <pic:cNvPr id="1968" name="Picture 21" descr="zhibeizhen-32515377_3"/>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5900" cy="360045"/>
                          </a:xfrm>
                          <a:prstGeom prst="rect">
                            <a:avLst/>
                          </a:prstGeom>
                          <a:noFill/>
                          <a:ln>
                            <a:noFill/>
                          </a:ln>
                        </pic:spPr>
                      </pic:pic>
                    </a:graphicData>
                  </a:graphic>
                </wp:anchor>
              </w:drawing>
            </w:r>
            <w:r>
              <w:t xml:space="preserve"> </w:t>
            </w:r>
            <w:r>
              <w:drawing>
                <wp:inline distT="0" distB="0" distL="0" distR="0">
                  <wp:extent cx="3041015" cy="1828800"/>
                  <wp:effectExtent l="19050" t="19050" r="26035" b="1905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041015" cy="1828800"/>
                          </a:xfrm>
                          <a:prstGeom prst="rect">
                            <a:avLst/>
                          </a:prstGeom>
                          <a:noFill/>
                          <a:ln w="9525" cmpd="sng">
                            <a:solidFill>
                              <a:srgbClr val="000000"/>
                            </a:solidFill>
                            <a:miter lim="800000"/>
                            <a:headEnd/>
                            <a:tailEnd/>
                          </a:ln>
                          <a:effectLst/>
                        </pic:spPr>
                      </pic:pic>
                    </a:graphicData>
                  </a:graphic>
                </wp:inline>
              </w:drawing>
            </w:r>
          </w:p>
          <w:p w14:paraId="09E34A9D">
            <w:pPr>
              <w:adjustRightInd w:val="0"/>
              <w:snapToGrid w:val="0"/>
              <w:spacing w:line="360" w:lineRule="auto"/>
              <w:jc w:val="center"/>
              <w:rPr>
                <w:rFonts w:eastAsia="黑体"/>
                <w:sz w:val="24"/>
              </w:rPr>
            </w:pPr>
            <w:r>
              <w:rPr>
                <w:rFonts w:eastAsia="黑体"/>
                <w:kern w:val="0"/>
                <w:sz w:val="24"/>
                <w:szCs w:val="21"/>
              </w:rPr>
              <w:t>图2-7 试油阶段井场平面布置示意图</w:t>
            </w:r>
          </w:p>
        </w:tc>
      </w:tr>
      <w:tr w14:paraId="34B6C5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7" w:type="dxa"/>
            <w:vAlign w:val="center"/>
          </w:tcPr>
          <w:p w14:paraId="084B3A5F">
            <w:pPr>
              <w:adjustRightInd w:val="0"/>
              <w:snapToGrid w:val="0"/>
              <w:jc w:val="center"/>
              <w:rPr>
                <w:b/>
                <w:kern w:val="0"/>
                <w:sz w:val="24"/>
              </w:rPr>
            </w:pPr>
            <w:r>
              <w:rPr>
                <w:b/>
                <w:kern w:val="0"/>
                <w:sz w:val="24"/>
              </w:rPr>
              <w:t>施工方案</w:t>
            </w:r>
          </w:p>
        </w:tc>
        <w:tc>
          <w:tcPr>
            <w:tcW w:w="8454" w:type="dxa"/>
            <w:vAlign w:val="center"/>
          </w:tcPr>
          <w:p w14:paraId="589CF09F">
            <w:pPr>
              <w:spacing w:line="360" w:lineRule="auto"/>
              <w:ind w:firstLine="480"/>
              <w:rPr>
                <w:b/>
                <w:sz w:val="24"/>
              </w:rPr>
            </w:pPr>
            <w:r>
              <w:rPr>
                <w:rFonts w:hint="eastAsia"/>
                <w:b/>
                <w:sz w:val="24"/>
              </w:rPr>
              <w:t>一、施工工艺</w:t>
            </w:r>
          </w:p>
          <w:p w14:paraId="27188326">
            <w:pPr>
              <w:spacing w:line="360" w:lineRule="auto"/>
              <w:ind w:firstLine="480" w:firstLineChars="200"/>
              <w:rPr>
                <w:sz w:val="24"/>
              </w:rPr>
            </w:pPr>
            <w:r>
              <w:rPr>
                <w:rFonts w:hint="eastAsia"/>
                <w:sz w:val="24"/>
              </w:rPr>
              <w:t>项目主要包括钻前工程、钻井工程、试油工程及封井工程，均为施工期，不涉及运营期。项目工艺流程及产污环节如下图所示。</w:t>
            </w:r>
          </w:p>
          <w:p w14:paraId="2BE4673A">
            <w:pPr>
              <w:autoSpaceDE w:val="0"/>
              <w:autoSpaceDN w:val="0"/>
              <w:adjustRightInd w:val="0"/>
              <w:spacing w:line="360" w:lineRule="auto"/>
              <w:jc w:val="center"/>
              <w:rPr>
                <w:b/>
                <w:kern w:val="0"/>
                <w:sz w:val="24"/>
                <w:szCs w:val="21"/>
              </w:rPr>
            </w:pPr>
            <w:r>
              <w:object>
                <v:shape id="_x0000_i1025" o:spt="75" type="#_x0000_t75" style="height:359.25pt;width:302.25pt;" o:ole="t" filled="f" coordsize="21600,21600">
                  <v:path/>
                  <v:fill on="f" focussize="0,0"/>
                  <v:stroke/>
                  <v:imagedata r:id="rId28" o:title=""/>
                  <o:lock v:ext="edit" aspectratio="t"/>
                  <w10:wrap type="none"/>
                  <w10:anchorlock/>
                </v:shape>
                <o:OLEObject Type="Embed" ProgID="Visio.Drawing.15" ShapeID="_x0000_i1025" DrawAspect="Content" ObjectID="_1468075725" r:id="rId27">
                  <o:LockedField>false</o:LockedField>
                </o:OLEObject>
              </w:object>
            </w:r>
          </w:p>
          <w:p w14:paraId="438D4129">
            <w:pPr>
              <w:autoSpaceDE w:val="0"/>
              <w:autoSpaceDN w:val="0"/>
              <w:adjustRightInd w:val="0"/>
              <w:spacing w:line="360" w:lineRule="auto"/>
              <w:jc w:val="center"/>
              <w:rPr>
                <w:rFonts w:eastAsia="黑体"/>
                <w:kern w:val="0"/>
                <w:sz w:val="24"/>
                <w:szCs w:val="21"/>
              </w:rPr>
            </w:pPr>
            <w:r>
              <w:rPr>
                <w:rFonts w:eastAsia="黑体"/>
                <w:kern w:val="0"/>
                <w:sz w:val="24"/>
                <w:szCs w:val="21"/>
              </w:rPr>
              <w:t>图2-8 工艺流程及产排污节点图</w:t>
            </w:r>
          </w:p>
          <w:p w14:paraId="5DADF381">
            <w:pPr>
              <w:spacing w:line="360" w:lineRule="auto"/>
              <w:ind w:firstLine="480" w:firstLineChars="200"/>
              <w:rPr>
                <w:sz w:val="24"/>
              </w:rPr>
            </w:pPr>
            <w:r>
              <w:rPr>
                <w:rFonts w:hint="eastAsia"/>
                <w:sz w:val="24"/>
              </w:rPr>
              <w:t>钻前工程包括场地平整及钻井设备安装等，钻井工程包括钻井及固井、测井、录井等，试油工程包括射孔、试油等，封井工程包括临时封井或永久封井。</w:t>
            </w:r>
          </w:p>
          <w:p w14:paraId="7DA24AFC">
            <w:pPr>
              <w:spacing w:line="360" w:lineRule="auto"/>
              <w:ind w:firstLine="480" w:firstLineChars="200"/>
              <w:rPr>
                <w:sz w:val="24"/>
              </w:rPr>
            </w:pPr>
            <w:r>
              <w:rPr>
                <w:sz w:val="24"/>
              </w:rPr>
              <w:t>1、钻前工程</w:t>
            </w:r>
          </w:p>
          <w:p w14:paraId="0B71181A">
            <w:pPr>
              <w:spacing w:line="360" w:lineRule="auto"/>
              <w:ind w:firstLine="480" w:firstLineChars="200"/>
              <w:rPr>
                <w:sz w:val="24"/>
              </w:rPr>
            </w:pPr>
            <w:r>
              <w:rPr>
                <w:sz w:val="24"/>
              </w:rPr>
              <w:t>钻前工程主要包括：表土剥离和平整井场、钻井设备安装等以及配套设施布置与建设。</w:t>
            </w:r>
          </w:p>
          <w:p w14:paraId="3BF58A4C">
            <w:pPr>
              <w:spacing w:line="360" w:lineRule="auto"/>
              <w:ind w:firstLine="480" w:firstLineChars="200"/>
              <w:rPr>
                <w:sz w:val="24"/>
              </w:rPr>
            </w:pPr>
            <w:r>
              <w:rPr>
                <w:rFonts w:hint="eastAsia"/>
                <w:sz w:val="24"/>
              </w:rPr>
              <w:t>项目无需新建进场道路</w:t>
            </w:r>
            <w:r>
              <w:rPr>
                <w:sz w:val="24"/>
              </w:rPr>
              <w:t>。项目实施表土剥离，剥离厚度为0.</w:t>
            </w:r>
            <w:r>
              <w:rPr>
                <w:rFonts w:hint="eastAsia"/>
                <w:sz w:val="24"/>
              </w:rPr>
              <w:t>20</w:t>
            </w:r>
            <w:r>
              <w:rPr>
                <w:sz w:val="24"/>
              </w:rPr>
              <w:t>m</w:t>
            </w:r>
            <w:r>
              <w:rPr>
                <w:rFonts w:hint="eastAsia"/>
                <w:sz w:val="24"/>
              </w:rPr>
              <w:t>，在井场临时占地范围内设置表土堆存区，</w:t>
            </w:r>
            <w:r>
              <w:rPr>
                <w:sz w:val="24"/>
              </w:rPr>
              <w:t>面积</w:t>
            </w:r>
            <w:r>
              <w:rPr>
                <w:rFonts w:hint="eastAsia"/>
                <w:sz w:val="24"/>
              </w:rPr>
              <w:t>600</w:t>
            </w:r>
            <w:r>
              <w:rPr>
                <w:sz w:val="24"/>
              </w:rPr>
              <w:t>平方米（</w:t>
            </w:r>
            <w:r>
              <w:rPr>
                <w:rFonts w:hint="eastAsia"/>
                <w:sz w:val="24"/>
              </w:rPr>
              <w:t>20</w:t>
            </w:r>
            <w:r>
              <w:rPr>
                <w:kern w:val="0"/>
                <w:sz w:val="24"/>
              </w:rPr>
              <w:t>×</w:t>
            </w:r>
            <w:r>
              <w:rPr>
                <w:rFonts w:hint="eastAsia"/>
                <w:sz w:val="24"/>
              </w:rPr>
              <w:t>30</w:t>
            </w:r>
            <w:r>
              <w:rPr>
                <w:sz w:val="24"/>
              </w:rPr>
              <w:t>m），表土堆放采用台体形，边坡为1:1。在土壤堆存期间，为了防止水力与风力的侵蚀，用</w:t>
            </w:r>
            <w:r>
              <w:rPr>
                <w:rFonts w:hint="eastAsia"/>
                <w:sz w:val="24"/>
              </w:rPr>
              <w:t>密目网遮盖</w:t>
            </w:r>
            <w:r>
              <w:rPr>
                <w:sz w:val="24"/>
              </w:rPr>
              <w:t>，对施工场地临时堆表土进行拦挡防护。</w:t>
            </w:r>
            <w:r>
              <w:rPr>
                <w:rFonts w:hint="eastAsia"/>
                <w:sz w:val="24"/>
              </w:rPr>
              <w:t>勘探施工结束后对临时用地进行翻耕，将剥离的表层土壤铺在最上层</w:t>
            </w:r>
            <w:r>
              <w:rPr>
                <w:sz w:val="24"/>
              </w:rPr>
              <w:t>。</w:t>
            </w:r>
          </w:p>
          <w:p w14:paraId="056BA6B8">
            <w:pPr>
              <w:spacing w:line="360" w:lineRule="auto"/>
              <w:ind w:firstLine="480"/>
              <w:rPr>
                <w:bCs/>
                <w:sz w:val="24"/>
              </w:rPr>
            </w:pPr>
            <w:r>
              <w:rPr>
                <w:bCs/>
                <w:sz w:val="24"/>
              </w:rPr>
              <w:t>2、钻井工程</w:t>
            </w:r>
          </w:p>
          <w:p w14:paraId="3419C1F5">
            <w:pPr>
              <w:spacing w:line="360" w:lineRule="auto"/>
              <w:ind w:firstLine="480" w:firstLineChars="200"/>
              <w:rPr>
                <w:sz w:val="24"/>
              </w:rPr>
            </w:pPr>
            <w:r>
              <w:rPr>
                <w:rFonts w:hint="eastAsia"/>
                <w:sz w:val="24"/>
              </w:rPr>
              <w:t>钻井工序主要包含钻井、录井、测井、固井等。</w:t>
            </w:r>
          </w:p>
          <w:p w14:paraId="03907978">
            <w:pPr>
              <w:spacing w:line="360" w:lineRule="auto"/>
              <w:ind w:firstLine="480" w:firstLineChars="200"/>
              <w:rPr>
                <w:sz w:val="24"/>
              </w:rPr>
            </w:pPr>
            <w:r>
              <w:rPr>
                <w:rFonts w:hint="eastAsia"/>
                <w:sz w:val="24"/>
              </w:rPr>
              <w:t>根据项目所在区域石油埋藏的地理、地质特征及油井产能大小和开发井网设计，</w:t>
            </w:r>
            <w:r>
              <w:rPr>
                <w:sz w:val="24"/>
              </w:rPr>
              <w:t>采用分段钻探方式（一开、二开</w:t>
            </w:r>
            <w:r>
              <w:rPr>
                <w:rFonts w:hint="eastAsia"/>
                <w:sz w:val="24"/>
              </w:rPr>
              <w:t>、三开等</w:t>
            </w:r>
            <w:r>
              <w:rPr>
                <w:sz w:val="24"/>
              </w:rPr>
              <w:t>）</w:t>
            </w:r>
            <w:r>
              <w:rPr>
                <w:rFonts w:hint="eastAsia"/>
                <w:sz w:val="24"/>
              </w:rPr>
              <w:t>，项目采用二开钻井。</w:t>
            </w:r>
          </w:p>
          <w:tbl>
            <w:tblPr>
              <w:tblStyle w:val="30"/>
              <w:tblW w:w="0" w:type="auto"/>
              <w:tblInd w:w="0" w:type="dxa"/>
              <w:tblLayout w:type="autofit"/>
              <w:tblCellMar>
                <w:top w:w="0" w:type="dxa"/>
                <w:left w:w="108" w:type="dxa"/>
                <w:bottom w:w="0" w:type="dxa"/>
                <w:right w:w="108" w:type="dxa"/>
              </w:tblCellMar>
            </w:tblPr>
            <w:tblGrid>
              <w:gridCol w:w="4111"/>
              <w:gridCol w:w="4112"/>
            </w:tblGrid>
            <w:tr w14:paraId="747D6221">
              <w:tblPrEx>
                <w:tblCellMar>
                  <w:top w:w="0" w:type="dxa"/>
                  <w:left w:w="108" w:type="dxa"/>
                  <w:bottom w:w="0" w:type="dxa"/>
                  <w:right w:w="108" w:type="dxa"/>
                </w:tblCellMar>
              </w:tblPrEx>
              <w:tc>
                <w:tcPr>
                  <w:tcW w:w="4111" w:type="dxa"/>
                  <w:shd w:val="clear" w:color="auto" w:fill="auto"/>
                  <w:vAlign w:val="center"/>
                </w:tcPr>
                <w:p w14:paraId="594929B2">
                  <w:pPr>
                    <w:pStyle w:val="222"/>
                    <w:spacing w:after="120"/>
                    <w:jc w:val="center"/>
                    <w:rPr>
                      <w:rFonts w:ascii="Times New Roman" w:hAnsi="Times New Roman" w:cs="Times New Roman"/>
                      <w:color w:val="auto"/>
                    </w:rPr>
                  </w:pPr>
                  <w:r>
                    <w:rPr>
                      <w:rFonts w:ascii="Times New Roman" w:hAnsi="Times New Roman" w:cs="Times New Roman"/>
                      <w:color w:val="auto"/>
                    </w:rPr>
                    <w:drawing>
                      <wp:inline distT="0" distB="0" distL="0" distR="0">
                        <wp:extent cx="2371090" cy="2339340"/>
                        <wp:effectExtent l="0" t="0" r="0" b="381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371090" cy="2339340"/>
                                </a:xfrm>
                                <a:prstGeom prst="rect">
                                  <a:avLst/>
                                </a:prstGeom>
                                <a:noFill/>
                                <a:ln>
                                  <a:noFill/>
                                </a:ln>
                              </pic:spPr>
                            </pic:pic>
                          </a:graphicData>
                        </a:graphic>
                      </wp:inline>
                    </w:drawing>
                  </w:r>
                </w:p>
              </w:tc>
              <w:tc>
                <w:tcPr>
                  <w:tcW w:w="4112" w:type="dxa"/>
                  <w:shd w:val="clear" w:color="auto" w:fill="auto"/>
                  <w:vAlign w:val="center"/>
                </w:tcPr>
                <w:p w14:paraId="2EBDAA75">
                  <w:pPr>
                    <w:pStyle w:val="222"/>
                    <w:spacing w:after="120"/>
                    <w:jc w:val="center"/>
                    <w:rPr>
                      <w:rFonts w:ascii="Times New Roman" w:hAnsi="Times New Roman" w:cs="Times New Roman"/>
                      <w:color w:val="auto"/>
                    </w:rPr>
                  </w:pPr>
                  <w:r>
                    <w:rPr>
                      <w:rFonts w:ascii="Times New Roman" w:hAnsi="Times New Roman" w:cs="Times New Roman"/>
                      <w:color w:val="auto"/>
                    </w:rPr>
                    <w:drawing>
                      <wp:inline distT="0" distB="0" distL="0" distR="0">
                        <wp:extent cx="2392045" cy="2339340"/>
                        <wp:effectExtent l="0" t="0" r="8255" b="381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392045" cy="2339340"/>
                                </a:xfrm>
                                <a:prstGeom prst="rect">
                                  <a:avLst/>
                                </a:prstGeom>
                                <a:noFill/>
                                <a:ln>
                                  <a:noFill/>
                                </a:ln>
                              </pic:spPr>
                            </pic:pic>
                          </a:graphicData>
                        </a:graphic>
                      </wp:inline>
                    </w:drawing>
                  </w:r>
                </w:p>
              </w:tc>
            </w:tr>
          </w:tbl>
          <w:p w14:paraId="6B427004">
            <w:pPr>
              <w:pStyle w:val="222"/>
              <w:spacing w:after="120"/>
              <w:jc w:val="center"/>
              <w:rPr>
                <w:rFonts w:ascii="Times New Roman" w:hAnsi="Times New Roman" w:eastAsia="黑体" w:cs="Times New Roman"/>
                <w:color w:val="auto"/>
              </w:rPr>
            </w:pPr>
            <w:r>
              <w:rPr>
                <w:rFonts w:ascii="Times New Roman" w:hAnsi="Times New Roman" w:eastAsia="黑体" w:cs="Times New Roman"/>
                <w:color w:val="auto"/>
                <w:szCs w:val="21"/>
              </w:rPr>
              <w:t>图2-9 钻井泥浆循环示意图</w:t>
            </w:r>
          </w:p>
          <w:p w14:paraId="54C2EAAE">
            <w:pPr>
              <w:spacing w:line="360" w:lineRule="auto"/>
              <w:ind w:firstLine="480" w:firstLineChars="200"/>
              <w:rPr>
                <w:sz w:val="24"/>
              </w:rPr>
            </w:pPr>
            <w:r>
              <w:rPr>
                <w:sz w:val="24"/>
              </w:rPr>
              <w:t>钻井工艺</w:t>
            </w:r>
            <w:r>
              <w:rPr>
                <w:rFonts w:hint="eastAsia"/>
                <w:sz w:val="24"/>
              </w:rPr>
              <w:t>采用过平衡或近平衡</w:t>
            </w:r>
            <w:r>
              <w:rPr>
                <w:sz w:val="24"/>
              </w:rPr>
              <w:t>钻井技术，作用于井底的</w:t>
            </w:r>
            <w:r>
              <w:rPr>
                <w:rFonts w:hint="eastAsia"/>
                <w:sz w:val="24"/>
              </w:rPr>
              <w:t>液柱</w:t>
            </w:r>
            <w:r>
              <w:rPr>
                <w:sz w:val="24"/>
              </w:rPr>
              <w:t>压力大于该处地层孔隙压力情况下的钻井作业。钻井作业时，依靠钻机的动力带动钻杆和钻头旋转，钻头逐次向下破碎遇到的岩层，并形成一个井筒（井眼）。钻头在破碎岩层的同时，通过空心的钻杆向地下注入钻井泥浆，将钻头在破碎地层而产生的大量钻井岩屑由循环的钻井</w:t>
            </w:r>
            <w:r>
              <w:rPr>
                <w:rFonts w:hint="eastAsia"/>
                <w:sz w:val="24"/>
              </w:rPr>
              <w:t>泥浆</w:t>
            </w:r>
            <w:r>
              <w:rPr>
                <w:sz w:val="24"/>
              </w:rPr>
              <w:t>带到地面。地面</w:t>
            </w:r>
            <w:r>
              <w:rPr>
                <w:rFonts w:hint="eastAsia"/>
                <w:sz w:val="24"/>
              </w:rPr>
              <w:t>钻井泥浆</w:t>
            </w:r>
            <w:r>
              <w:rPr>
                <w:sz w:val="24"/>
              </w:rPr>
              <w:t>固控装置包括高性能振动筛和离心机等，将钻井</w:t>
            </w:r>
            <w:r>
              <w:rPr>
                <w:rFonts w:hint="eastAsia"/>
                <w:sz w:val="24"/>
              </w:rPr>
              <w:t>泥浆</w:t>
            </w:r>
            <w:r>
              <w:rPr>
                <w:sz w:val="24"/>
              </w:rPr>
              <w:t>中的钻井岩屑清除后，通过钻井泥浆泵再次将钻井</w:t>
            </w:r>
            <w:r>
              <w:rPr>
                <w:rFonts w:hint="eastAsia"/>
                <w:sz w:val="24"/>
              </w:rPr>
              <w:t>泥浆</w:t>
            </w:r>
            <w:r>
              <w:rPr>
                <w:sz w:val="24"/>
              </w:rPr>
              <w:t>打入井内。钻井</w:t>
            </w:r>
            <w:r>
              <w:rPr>
                <w:rFonts w:hint="eastAsia"/>
                <w:sz w:val="24"/>
              </w:rPr>
              <w:t>泥浆</w:t>
            </w:r>
            <w:r>
              <w:rPr>
                <w:sz w:val="24"/>
              </w:rPr>
              <w:t>经过钻杆内孔到达钻头水眼处，再从井壁与钻柱</w:t>
            </w:r>
            <w:r>
              <w:rPr>
                <w:rFonts w:hint="eastAsia"/>
                <w:sz w:val="24"/>
              </w:rPr>
              <w:t>形成</w:t>
            </w:r>
            <w:r>
              <w:rPr>
                <w:sz w:val="24"/>
              </w:rPr>
              <w:t>的环形空间返回流至地面。整个过程循环进行，使井</w:t>
            </w:r>
            <w:r>
              <w:rPr>
                <w:rFonts w:hint="eastAsia"/>
                <w:sz w:val="24"/>
              </w:rPr>
              <w:t>深</w:t>
            </w:r>
            <w:r>
              <w:rPr>
                <w:sz w:val="24"/>
              </w:rPr>
              <w:t>不断</w:t>
            </w:r>
            <w:r>
              <w:rPr>
                <w:rFonts w:hint="eastAsia"/>
                <w:sz w:val="24"/>
              </w:rPr>
              <w:t>增加</w:t>
            </w:r>
            <w:r>
              <w:rPr>
                <w:sz w:val="24"/>
              </w:rPr>
              <w:t>，直至目的井深。钻井中途会停钻，以便起下钻具更换钻头、下套管、测井和后续井身固井作业。项目全井段采用水基环保钻井泥浆，钻井作业为24h连续进行。</w:t>
            </w:r>
          </w:p>
          <w:p w14:paraId="7AB5E813">
            <w:pPr>
              <w:spacing w:line="360" w:lineRule="auto"/>
              <w:ind w:firstLine="480" w:firstLineChars="200"/>
              <w:rPr>
                <w:sz w:val="24"/>
              </w:rPr>
            </w:pPr>
            <w:r>
              <w:rPr>
                <w:sz w:val="24"/>
              </w:rPr>
              <w:t>主要过程：</w:t>
            </w:r>
          </w:p>
          <w:p w14:paraId="5F095291">
            <w:pPr>
              <w:spacing w:line="360" w:lineRule="auto"/>
              <w:ind w:firstLine="480" w:firstLineChars="200"/>
              <w:rPr>
                <w:sz w:val="24"/>
              </w:rPr>
            </w:pPr>
            <w:r>
              <w:rPr>
                <w:rFonts w:hint="eastAsia"/>
                <w:sz w:val="24"/>
              </w:rPr>
              <w:t>（1）</w:t>
            </w:r>
            <w:r>
              <w:rPr>
                <w:sz w:val="24"/>
              </w:rPr>
              <w:t>一开作业：钻井开孔后钻到表土层以下的基岩或钻达一定深度，下入表层套管后固井。主要作用：隔离上部含水层，不使地面水和表层地下水渗入井筒；保护井口，加固表土层井段的井壁；对于继续钻下去会遇到高压油气层的，在表层套管上安装防喷器预防井喷。</w:t>
            </w:r>
          </w:p>
          <w:p w14:paraId="75D4276A">
            <w:pPr>
              <w:spacing w:line="360" w:lineRule="auto"/>
              <w:ind w:firstLine="480" w:firstLineChars="200"/>
              <w:rPr>
                <w:sz w:val="24"/>
              </w:rPr>
            </w:pPr>
            <w:r>
              <w:rPr>
                <w:rFonts w:hint="eastAsia"/>
                <w:sz w:val="24"/>
              </w:rPr>
              <w:t>（2）</w:t>
            </w:r>
            <w:r>
              <w:rPr>
                <w:sz w:val="24"/>
              </w:rPr>
              <w:t>表层固井（一开固井）：表层固井是在井眼内下入套管柱后，在地面上利用专业设备将水泥浆通过套管柱注入井眼与套管柱之间的环形空间中的过程。表层固井采用低密度水泥浆体系，封固表层，为下步钻进创造条件。表层固井目的是封隔疏松、易塌、易漏等地层；保护地下潜水层。</w:t>
            </w:r>
          </w:p>
          <w:p w14:paraId="0278225A">
            <w:pPr>
              <w:spacing w:line="360" w:lineRule="auto"/>
              <w:ind w:firstLine="480" w:firstLineChars="200"/>
              <w:rPr>
                <w:sz w:val="24"/>
              </w:rPr>
            </w:pPr>
            <w:r>
              <w:rPr>
                <w:rFonts w:hint="eastAsia"/>
                <w:sz w:val="24"/>
              </w:rPr>
              <w:t>（3）</w:t>
            </w:r>
            <w:r>
              <w:rPr>
                <w:sz w:val="24"/>
              </w:rPr>
              <w:t>钻进：根据需要进行二开作业，钻进至目的层。</w:t>
            </w:r>
          </w:p>
          <w:p w14:paraId="5FC0751B">
            <w:pPr>
              <w:spacing w:line="360" w:lineRule="auto"/>
              <w:ind w:firstLine="480" w:firstLineChars="200"/>
              <w:rPr>
                <w:sz w:val="24"/>
              </w:rPr>
            </w:pPr>
            <w:r>
              <w:rPr>
                <w:rFonts w:hint="eastAsia"/>
                <w:sz w:val="24"/>
              </w:rPr>
              <w:t>（4）</w:t>
            </w:r>
            <w:r>
              <w:rPr>
                <w:sz w:val="24"/>
              </w:rPr>
              <w:t>录井：在钻进过程中，利用肉眼、综合录井仪，观察、采集、收集、记录、分析随钻过程中由井筒返出的固体、液体、气体等井筒返出物信息，以此建立录井地质剖面、发现油气显示、评价油气层，并为钻井提供信息服务。录井主要设备：综合录井仪。</w:t>
            </w:r>
          </w:p>
          <w:p w14:paraId="444020E1">
            <w:pPr>
              <w:spacing w:line="360" w:lineRule="auto"/>
              <w:ind w:firstLine="480" w:firstLineChars="200"/>
              <w:rPr>
                <w:sz w:val="24"/>
              </w:rPr>
            </w:pPr>
            <w:r>
              <w:rPr>
                <w:rFonts w:hint="eastAsia"/>
                <w:sz w:val="24"/>
              </w:rPr>
              <w:t>（5）</w:t>
            </w:r>
            <w:r>
              <w:rPr>
                <w:sz w:val="24"/>
              </w:rPr>
              <w:t>测井：根据地质需要，选用适合的测井项目对钻开地层进行电测，最终根据电测曲线了解地层的特征及地层含油、气情况。</w:t>
            </w:r>
            <w:r>
              <w:rPr>
                <w:rFonts w:hint="eastAsia"/>
                <w:sz w:val="24"/>
              </w:rPr>
              <w:t>测井由中国石油天然气股份有限公司相关测井公司负责，不在项目评价范围内</w:t>
            </w:r>
            <w:r>
              <w:rPr>
                <w:sz w:val="24"/>
              </w:rPr>
              <w:t>。</w:t>
            </w:r>
          </w:p>
          <w:p w14:paraId="70E7687A">
            <w:pPr>
              <w:spacing w:line="360" w:lineRule="auto"/>
              <w:ind w:firstLine="480" w:firstLineChars="200"/>
              <w:rPr>
                <w:sz w:val="24"/>
              </w:rPr>
            </w:pPr>
            <w:r>
              <w:rPr>
                <w:rFonts w:hint="eastAsia"/>
                <w:sz w:val="24"/>
              </w:rPr>
              <w:t>（6）</w:t>
            </w:r>
            <w:r>
              <w:rPr>
                <w:sz w:val="24"/>
              </w:rPr>
              <w:t>完钻固井</w:t>
            </w:r>
          </w:p>
          <w:p w14:paraId="0E2F7EED">
            <w:pPr>
              <w:spacing w:line="360" w:lineRule="auto"/>
              <w:ind w:firstLine="480" w:firstLineChars="200"/>
              <w:rPr>
                <w:sz w:val="24"/>
              </w:rPr>
            </w:pPr>
            <w:r>
              <w:rPr>
                <w:sz w:val="24"/>
              </w:rPr>
              <w:t>固井工程包括下套管和注水泥两个过程。下套管就是在已经钻成的井眼中按规定深度下入一定规格的套管柱。固井作业的主要设备有水泥搅拌机、下灰罐车、混合漏斗和其他附属安全放喷设备等。循环处理钻井泥浆（降低钻井泥浆密度至固井需要密度）；注入前置液；注入所需用量及合适密度的水泥；注入顶替液至碰压；碰压合格后，适当憋压核对数据后固井完成。固井过程中不产生污染物。</w:t>
            </w:r>
          </w:p>
          <w:p w14:paraId="03792989">
            <w:pPr>
              <w:spacing w:line="360" w:lineRule="auto"/>
              <w:ind w:firstLine="480" w:firstLineChars="200"/>
              <w:rPr>
                <w:sz w:val="24"/>
              </w:rPr>
            </w:pPr>
            <w:r>
              <w:rPr>
                <w:sz w:val="24"/>
              </w:rPr>
              <w:t>完钻固井需根据地质要求确定水泥返高，确保盖层等重点井段固井质量。完钻固井采用双密双凝韧性防窜水泥体系，目的是封隔疏松、易塌、易漏地层；封隔油、气、水层，防止互相窜漏；安装井口设备，形成油气通道，以利于后续生产。</w:t>
            </w:r>
          </w:p>
          <w:p w14:paraId="2F88A0F7">
            <w:pPr>
              <w:spacing w:line="360" w:lineRule="auto"/>
              <w:ind w:firstLine="480" w:firstLineChars="200"/>
              <w:rPr>
                <w:bCs/>
                <w:sz w:val="24"/>
              </w:rPr>
            </w:pPr>
            <w:r>
              <w:rPr>
                <w:rFonts w:hint="eastAsia"/>
                <w:bCs/>
                <w:sz w:val="24"/>
              </w:rPr>
              <w:t>3、试油工程</w:t>
            </w:r>
          </w:p>
          <w:p w14:paraId="18BA8DF5">
            <w:pPr>
              <w:spacing w:line="360" w:lineRule="auto"/>
              <w:ind w:firstLine="480" w:firstLineChars="200"/>
              <w:rPr>
                <w:sz w:val="24"/>
              </w:rPr>
            </w:pPr>
            <w:r>
              <w:rPr>
                <w:rFonts w:hint="eastAsia"/>
                <w:sz w:val="24"/>
              </w:rPr>
              <w:t>勘探井的试油试采是进行生产前的重要手段之一，主要包括射孔、下泵、试油、试采等。</w:t>
            </w:r>
          </w:p>
          <w:p w14:paraId="58DDB725">
            <w:pPr>
              <w:spacing w:line="360" w:lineRule="auto"/>
              <w:ind w:firstLine="480" w:firstLineChars="200"/>
              <w:rPr>
                <w:sz w:val="24"/>
              </w:rPr>
            </w:pPr>
            <w:r>
              <w:rPr>
                <w:rFonts w:hint="eastAsia"/>
                <w:sz w:val="24"/>
              </w:rPr>
              <w:t>勘探井完井后，为取得油气储层压力、产量、流体性质等所有特性参数，满足储量计算和提交要求的整套资料录取和分析处理解释的过程。侧重将地层流体采出地面、计算产量、分析性质/化验成分。</w:t>
            </w:r>
          </w:p>
          <w:p w14:paraId="241CDFB4">
            <w:pPr>
              <w:spacing w:line="360" w:lineRule="auto"/>
              <w:ind w:firstLine="480" w:firstLineChars="200"/>
              <w:rPr>
                <w:sz w:val="24"/>
              </w:rPr>
            </w:pPr>
            <w:r>
              <w:rPr>
                <w:rFonts w:hint="eastAsia"/>
                <w:sz w:val="24"/>
              </w:rPr>
              <w:t>试油队在地面安装试油架，打开井口，射孔管柱至预定位置，利用射孔枪对目的层进行射孔，射孔的目的是建立地层和井筒的连通。射孔弹可以穿油层套管、水泥环并穿透油层一定深度，从而建立起油（气）流的通道。射孔后从下往上试油（两目的层之间安装封隔器），如果油井自喷，则安装油嘴，将出油（水、气）输送至地面；如果油井不能自喷，在井下安装抽吸泵，将井筒内的流体输送地面。</w:t>
            </w:r>
          </w:p>
          <w:p w14:paraId="6E960F22">
            <w:pPr>
              <w:spacing w:line="360" w:lineRule="auto"/>
              <w:ind w:firstLine="480" w:firstLineChars="200"/>
              <w:rPr>
                <w:sz w:val="24"/>
              </w:rPr>
            </w:pPr>
            <w:r>
              <w:rPr>
                <w:rFonts w:hint="eastAsia"/>
                <w:sz w:val="24"/>
              </w:rPr>
              <w:t>油井采出液经集油管道进入储液罐内暂存，由罐车拉运至临河联合站处理。根据一段时间内的采出量计算油气产量，据此判断是否达到具备试采转为开发井的石油地质储量的要求。</w:t>
            </w:r>
          </w:p>
          <w:p w14:paraId="79A47784">
            <w:pPr>
              <w:spacing w:line="360" w:lineRule="auto"/>
              <w:ind w:firstLine="480" w:firstLineChars="200"/>
              <w:rPr>
                <w:sz w:val="24"/>
              </w:rPr>
            </w:pPr>
            <w:r>
              <w:rPr>
                <w:rFonts w:hint="eastAsia"/>
                <w:sz w:val="24"/>
              </w:rPr>
              <w:t>试油结束后，具有工业油流的，保留井口采油设备，进入试采阶段。试采是在试油之后，开发方案确定之前，为进一步评价储量的经济性和探索油气开采主体工艺及确定开发方案，对单井通过一定的技术方法在较长时间内获取储层产量、压力、液性等储层动态参数所做的全部工作过程，主要是获取油气井在生产过程中的储层动态参数。具有开采价值的井口保留采油树试采结束后，按照要求办理探井转产能井手续。试油试采过程中，采出液通过密闭的集油管道进入储液罐。整个过程中，严禁井筒出来的流体散落到地面。</w:t>
            </w:r>
          </w:p>
          <w:p w14:paraId="3C45E23A">
            <w:pPr>
              <w:spacing w:line="360" w:lineRule="auto"/>
              <w:ind w:firstLine="480" w:firstLineChars="200"/>
              <w:rPr>
                <w:sz w:val="24"/>
              </w:rPr>
            </w:pPr>
            <w:r>
              <w:rPr>
                <w:rFonts w:hint="eastAsia"/>
                <w:sz w:val="24"/>
              </w:rPr>
              <w:t>项目是石油勘探阶段，只进行试油试采，不涉及注水开采工序，采出液由油田专用罐车拉运至临河联合站处理。</w:t>
            </w:r>
          </w:p>
          <w:p w14:paraId="15AB8A63">
            <w:pPr>
              <w:spacing w:line="360" w:lineRule="auto"/>
              <w:ind w:firstLine="480" w:firstLineChars="200"/>
              <w:rPr>
                <w:sz w:val="24"/>
              </w:rPr>
            </w:pPr>
            <w:r>
              <w:rPr>
                <w:rFonts w:hint="eastAsia"/>
                <w:sz w:val="24"/>
              </w:rPr>
              <w:t>4</w:t>
            </w:r>
            <w:r>
              <w:rPr>
                <w:sz w:val="24"/>
              </w:rPr>
              <w:t>、封井作业</w:t>
            </w:r>
          </w:p>
          <w:p w14:paraId="513E2545">
            <w:pPr>
              <w:spacing w:line="360" w:lineRule="auto"/>
              <w:ind w:firstLine="480" w:firstLineChars="200"/>
              <w:rPr>
                <w:sz w:val="24"/>
              </w:rPr>
            </w:pPr>
            <w:r>
              <w:rPr>
                <w:rFonts w:hint="eastAsia"/>
                <w:sz w:val="24"/>
              </w:rPr>
              <w:t>项目完成测井、试油等井下资料收集后，经过经济评估，如果勘探井有经济利用价值，则作为储备井待后续开发，实施临时封井，移交勘探井所属的部门进行管理，后期若利用勘探井从事生产等活动，需另行履行环保手续；勘探井不具备开采价值，则进行永久封井，并进行井场恢复</w:t>
            </w:r>
            <w:r>
              <w:rPr>
                <w:sz w:val="24"/>
              </w:rPr>
              <w:t>。</w:t>
            </w:r>
          </w:p>
          <w:p w14:paraId="0032E425">
            <w:pPr>
              <w:spacing w:line="360" w:lineRule="auto"/>
              <w:ind w:firstLine="480" w:firstLineChars="200"/>
              <w:rPr>
                <w:sz w:val="24"/>
              </w:rPr>
            </w:pPr>
            <w:r>
              <w:rPr>
                <w:rFonts w:hint="eastAsia"/>
                <w:sz w:val="24"/>
              </w:rPr>
              <w:t>（1）</w:t>
            </w:r>
            <w:r>
              <w:rPr>
                <w:sz w:val="24"/>
              </w:rPr>
              <w:t>临时封井工艺</w:t>
            </w:r>
          </w:p>
          <w:p w14:paraId="253B17E2">
            <w:pPr>
              <w:spacing w:line="360" w:lineRule="auto"/>
              <w:ind w:firstLine="480" w:firstLineChars="200"/>
              <w:rPr>
                <w:sz w:val="24"/>
              </w:rPr>
            </w:pPr>
            <w:r>
              <w:rPr>
                <w:sz w:val="24"/>
              </w:rPr>
              <w:t>1）</w:t>
            </w:r>
            <w:r>
              <w:rPr>
                <w:rFonts w:hint="eastAsia"/>
                <w:sz w:val="24"/>
              </w:rPr>
              <w:t>处理井口，刮削井筒。</w:t>
            </w:r>
          </w:p>
          <w:p w14:paraId="21DB3319">
            <w:pPr>
              <w:spacing w:line="360" w:lineRule="auto"/>
              <w:ind w:firstLine="480" w:firstLineChars="200"/>
              <w:rPr>
                <w:sz w:val="24"/>
              </w:rPr>
            </w:pPr>
            <w:r>
              <w:rPr>
                <w:sz w:val="24"/>
              </w:rPr>
              <w:t>2）</w:t>
            </w:r>
            <w:r>
              <w:rPr>
                <w:rFonts w:hint="eastAsia"/>
                <w:sz w:val="24"/>
              </w:rPr>
              <w:t>井下采用封井器封井</w:t>
            </w:r>
            <w:r>
              <w:rPr>
                <w:sz w:val="24"/>
              </w:rPr>
              <w:t>。</w:t>
            </w:r>
          </w:p>
          <w:p w14:paraId="6CD8E9AB">
            <w:pPr>
              <w:spacing w:line="360" w:lineRule="auto"/>
              <w:ind w:firstLine="480" w:firstLineChars="200"/>
              <w:rPr>
                <w:sz w:val="24"/>
              </w:rPr>
            </w:pPr>
            <w:r>
              <w:rPr>
                <w:sz w:val="24"/>
              </w:rPr>
              <w:t>3）</w:t>
            </w:r>
            <w:r>
              <w:rPr>
                <w:rFonts w:hint="eastAsia"/>
                <w:sz w:val="24"/>
              </w:rPr>
              <w:t>检查封井气密性，所封油井必须达到井口各部紧固、不渗不漏、套管、总阀门、螺栓齐全</w:t>
            </w:r>
            <w:r>
              <w:rPr>
                <w:sz w:val="24"/>
              </w:rPr>
              <w:t>。</w:t>
            </w:r>
          </w:p>
          <w:p w14:paraId="54E48DBF">
            <w:pPr>
              <w:spacing w:line="360" w:lineRule="auto"/>
              <w:ind w:firstLine="480" w:firstLineChars="200"/>
              <w:rPr>
                <w:sz w:val="24"/>
              </w:rPr>
            </w:pPr>
            <w:r>
              <w:rPr>
                <w:rFonts w:hint="eastAsia"/>
                <w:sz w:val="24"/>
              </w:rPr>
              <w:t>4）封井结束后，拆除井口，安装单流凡尔，单流凡尔外安装5-8mm钢板焊成的护罩，护罩内壁和单流凡尔之间要有一定的间隙，护罩形状为方形或圆形，护罩外壁和顶面要点焊井号。</w:t>
            </w:r>
          </w:p>
          <w:p w14:paraId="322FD18F">
            <w:pPr>
              <w:spacing w:line="360" w:lineRule="auto"/>
              <w:ind w:firstLine="480" w:firstLineChars="200"/>
              <w:rPr>
                <w:sz w:val="24"/>
              </w:rPr>
            </w:pPr>
            <w:r>
              <w:rPr>
                <w:sz w:val="24"/>
              </w:rPr>
              <w:t>5）护罩外灌注钢筋水泥井口护墩，护墩钢筋骨架网直径58cm，用直径5mm的钢条编制，密度为5cm×5cm×5cm。</w:t>
            </w:r>
          </w:p>
          <w:p w14:paraId="10AE74D8">
            <w:pPr>
              <w:spacing w:line="360" w:lineRule="auto"/>
              <w:ind w:firstLine="480" w:firstLineChars="200"/>
              <w:rPr>
                <w:sz w:val="24"/>
              </w:rPr>
            </w:pPr>
            <w:r>
              <w:rPr>
                <w:sz w:val="24"/>
              </w:rPr>
              <w:t>6）护墩外表应为光滑水泥面的圆柱体，自地面以下80cm起到地面以上80cm止，直径60cm，顶面有清晰的刻印刷漆的红色井号</w:t>
            </w:r>
            <w:r>
              <w:rPr>
                <w:rFonts w:hint="eastAsia"/>
                <w:sz w:val="24"/>
              </w:rPr>
              <w:t>标识</w:t>
            </w:r>
            <w:r>
              <w:rPr>
                <w:sz w:val="24"/>
              </w:rPr>
              <w:t>，四周应标明</w:t>
            </w:r>
            <w:r>
              <w:rPr>
                <w:rFonts w:hint="eastAsia"/>
                <w:sz w:val="24"/>
              </w:rPr>
              <w:t>“</w:t>
            </w:r>
            <w:r>
              <w:rPr>
                <w:sz w:val="24"/>
              </w:rPr>
              <w:t>危险勿动！</w:t>
            </w:r>
            <w:r>
              <w:rPr>
                <w:rFonts w:hint="eastAsia"/>
                <w:sz w:val="24"/>
              </w:rPr>
              <w:t>”</w:t>
            </w:r>
            <w:r>
              <w:rPr>
                <w:sz w:val="24"/>
              </w:rPr>
              <w:t>的字样。移交勘探井所在井场归属的</w:t>
            </w:r>
            <w:r>
              <w:rPr>
                <w:rFonts w:hint="eastAsia"/>
                <w:sz w:val="24"/>
              </w:rPr>
              <w:t>采油部门</w:t>
            </w:r>
            <w:r>
              <w:rPr>
                <w:sz w:val="24"/>
              </w:rPr>
              <w:t>管理，对勘探井定期巡视。若后续利用该勘探井从事生产活动，需另行履行环保手续。</w:t>
            </w:r>
          </w:p>
          <w:p w14:paraId="102CCC87">
            <w:pPr>
              <w:spacing w:line="360" w:lineRule="auto"/>
              <w:jc w:val="center"/>
              <w:rPr>
                <w:sz w:val="24"/>
              </w:rPr>
            </w:pPr>
            <w:r>
              <w:rPr>
                <w:szCs w:val="20"/>
              </w:rPr>
              <w:drawing>
                <wp:inline distT="0" distB="0" distL="0" distR="0">
                  <wp:extent cx="3274060" cy="2087880"/>
                  <wp:effectExtent l="0" t="0" r="2540" b="7620"/>
                  <wp:docPr id="1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8"/>
                          <pic:cNvPicPr>
                            <a:picLocks noChangeAspect="1" noChangeArrowheads="1"/>
                          </pic:cNvPicPr>
                        </pic:nvPicPr>
                        <pic:blipFill>
                          <a:blip r:embed="rId31">
                            <a:extLst>
                              <a:ext uri="{28A0092B-C50C-407E-A947-70E740481C1C}">
                                <a14:useLocalDpi xmlns:a14="http://schemas.microsoft.com/office/drawing/2010/main" val="0"/>
                              </a:ext>
                            </a:extLst>
                          </a:blip>
                          <a:srcRect t="8279"/>
                          <a:stretch>
                            <a:fillRect/>
                          </a:stretch>
                        </pic:blipFill>
                        <pic:spPr>
                          <a:xfrm>
                            <a:off x="0" y="0"/>
                            <a:ext cx="3274259" cy="2088000"/>
                          </a:xfrm>
                          <a:prstGeom prst="rect">
                            <a:avLst/>
                          </a:prstGeom>
                          <a:noFill/>
                          <a:ln>
                            <a:noFill/>
                          </a:ln>
                        </pic:spPr>
                      </pic:pic>
                    </a:graphicData>
                  </a:graphic>
                </wp:inline>
              </w:drawing>
            </w:r>
          </w:p>
          <w:p w14:paraId="29C1DFAC">
            <w:pPr>
              <w:spacing w:line="360" w:lineRule="auto"/>
              <w:jc w:val="center"/>
              <w:rPr>
                <w:rFonts w:eastAsia="黑体"/>
                <w:sz w:val="24"/>
              </w:rPr>
            </w:pPr>
            <w:r>
              <w:rPr>
                <w:rFonts w:eastAsia="黑体"/>
                <w:sz w:val="24"/>
              </w:rPr>
              <w:t>图2-10 临时封井示意图</w:t>
            </w:r>
          </w:p>
          <w:p w14:paraId="6E2AD93E">
            <w:pPr>
              <w:spacing w:line="360" w:lineRule="auto"/>
              <w:ind w:firstLine="480" w:firstLineChars="200"/>
              <w:rPr>
                <w:sz w:val="24"/>
              </w:rPr>
            </w:pPr>
            <w:r>
              <w:rPr>
                <w:rFonts w:hint="eastAsia"/>
                <w:sz w:val="24"/>
              </w:rPr>
              <w:t>（2）</w:t>
            </w:r>
            <w:r>
              <w:rPr>
                <w:sz w:val="24"/>
              </w:rPr>
              <w:t>永久封井工艺</w:t>
            </w:r>
          </w:p>
          <w:p w14:paraId="43C69EF4">
            <w:pPr>
              <w:spacing w:line="360" w:lineRule="auto"/>
              <w:ind w:firstLine="480" w:firstLineChars="200"/>
              <w:rPr>
                <w:sz w:val="24"/>
              </w:rPr>
            </w:pPr>
            <w:r>
              <w:rPr>
                <w:sz w:val="24"/>
              </w:rPr>
              <w:t>1）隔离各个油气层和处理废水的层段，并在最下部淡水层的底部打一个水泥塞；</w:t>
            </w:r>
          </w:p>
          <w:p w14:paraId="2BBFB426">
            <w:pPr>
              <w:spacing w:line="360" w:lineRule="auto"/>
              <w:ind w:firstLine="480" w:firstLineChars="200"/>
              <w:rPr>
                <w:sz w:val="24"/>
              </w:rPr>
            </w:pPr>
            <w:r>
              <w:rPr>
                <w:sz w:val="24"/>
              </w:rPr>
              <w:t>2）打地表水泥塞，阻止地面水渗入井内，并流入淡水层，同时限制井内流体流出地表，从而保护土壤；</w:t>
            </w:r>
          </w:p>
          <w:p w14:paraId="03B8D4AC">
            <w:pPr>
              <w:spacing w:line="360" w:lineRule="auto"/>
              <w:ind w:firstLine="480" w:firstLineChars="200"/>
              <w:rPr>
                <w:sz w:val="24"/>
              </w:rPr>
            </w:pPr>
            <w:r>
              <w:rPr>
                <w:sz w:val="24"/>
              </w:rPr>
              <w:t>3）为防止层间窜流干扰邻近井的开发，在废弃井井内选择水泥塞或桥塞的位置，确保隔离开油气层，使井内所有</w:t>
            </w:r>
            <w:r>
              <w:rPr>
                <w:rFonts w:hint="eastAsia"/>
                <w:sz w:val="24"/>
              </w:rPr>
              <w:t>油层、水层等</w:t>
            </w:r>
            <w:r>
              <w:rPr>
                <w:sz w:val="24"/>
              </w:rPr>
              <w:t>井段都被隔离开，将油气限制在各自的层段内，阻止各层之间的井内窜流；</w:t>
            </w:r>
          </w:p>
          <w:p w14:paraId="76214F81">
            <w:pPr>
              <w:spacing w:line="360" w:lineRule="auto"/>
              <w:ind w:firstLine="480" w:firstLineChars="200"/>
              <w:rPr>
                <w:sz w:val="24"/>
              </w:rPr>
            </w:pPr>
            <w:r>
              <w:rPr>
                <w:sz w:val="24"/>
              </w:rPr>
              <w:t>4）</w:t>
            </w:r>
            <w:r>
              <w:rPr>
                <w:rFonts w:hint="eastAsia"/>
                <w:sz w:val="24"/>
              </w:rPr>
              <w:t>提出所有井下油管和井下工具，</w:t>
            </w:r>
            <w:r>
              <w:rPr>
                <w:sz w:val="24"/>
              </w:rPr>
              <w:t>去掉井口装置，井口下挖2m，割掉井口套管后用电焊封死井口，然后用表层土覆盖，恢复地貌。在井口位置处</w:t>
            </w:r>
            <w:r>
              <w:rPr>
                <w:rFonts w:hint="eastAsia"/>
                <w:sz w:val="24"/>
              </w:rPr>
              <w:t>设置</w:t>
            </w:r>
            <w:r>
              <w:rPr>
                <w:sz w:val="24"/>
              </w:rPr>
              <w:t>可供识别的标志，加以保护，防止人为破坏。</w:t>
            </w:r>
          </w:p>
          <w:p w14:paraId="7EAD9743">
            <w:pPr>
              <w:spacing w:line="360" w:lineRule="auto"/>
              <w:ind w:firstLine="2" w:firstLineChars="1"/>
              <w:jc w:val="center"/>
              <w:rPr>
                <w:sz w:val="24"/>
              </w:rPr>
            </w:pPr>
            <w:r>
              <w:rPr>
                <w:szCs w:val="20"/>
              </w:rPr>
              <w:drawing>
                <wp:inline distT="0" distB="0" distL="0" distR="0">
                  <wp:extent cx="3369310" cy="2087880"/>
                  <wp:effectExtent l="0" t="0" r="2540" b="762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noChangeArrowheads="1"/>
                          </pic:cNvPicPr>
                        </pic:nvPicPr>
                        <pic:blipFill>
                          <a:blip r:embed="rId32">
                            <a:extLst>
                              <a:ext uri="{28A0092B-C50C-407E-A947-70E740481C1C}">
                                <a14:useLocalDpi xmlns:a14="http://schemas.microsoft.com/office/drawing/2010/main" val="0"/>
                              </a:ext>
                            </a:extLst>
                          </a:blip>
                          <a:srcRect l="8954" r="6198"/>
                          <a:stretch>
                            <a:fillRect/>
                          </a:stretch>
                        </pic:blipFill>
                        <pic:spPr>
                          <a:xfrm>
                            <a:off x="0" y="0"/>
                            <a:ext cx="3369600" cy="2088000"/>
                          </a:xfrm>
                          <a:prstGeom prst="rect">
                            <a:avLst/>
                          </a:prstGeom>
                          <a:noFill/>
                          <a:ln>
                            <a:noFill/>
                          </a:ln>
                        </pic:spPr>
                      </pic:pic>
                    </a:graphicData>
                  </a:graphic>
                </wp:inline>
              </w:drawing>
            </w:r>
          </w:p>
          <w:p w14:paraId="76A6A615">
            <w:pPr>
              <w:spacing w:line="360" w:lineRule="auto"/>
              <w:jc w:val="center"/>
              <w:rPr>
                <w:rFonts w:eastAsia="黑体"/>
                <w:sz w:val="24"/>
              </w:rPr>
            </w:pPr>
            <w:r>
              <w:rPr>
                <w:rFonts w:eastAsia="黑体"/>
                <w:sz w:val="24"/>
              </w:rPr>
              <w:t>图2-11 永久封井剖面示意图</w:t>
            </w:r>
          </w:p>
          <w:p w14:paraId="30561E5F">
            <w:pPr>
              <w:spacing w:line="360" w:lineRule="auto"/>
              <w:ind w:firstLine="480" w:firstLineChars="200"/>
              <w:rPr>
                <w:sz w:val="24"/>
              </w:rPr>
            </w:pPr>
            <w:r>
              <w:rPr>
                <w:sz w:val="24"/>
              </w:rPr>
              <w:t>项目勘探结束后，对钻井井场能重复利用的设施搬迁利用，不能利用的统一收集交回收单位处置；对构筑的设备基础拆除后作业场地进行平整，清除场内固体废物，对钻井场地等临时占地实施复垦、生态恢复。</w:t>
            </w:r>
          </w:p>
          <w:p w14:paraId="1EA1CABD">
            <w:pPr>
              <w:adjustRightInd w:val="0"/>
              <w:snapToGrid w:val="0"/>
              <w:spacing w:line="360" w:lineRule="auto"/>
              <w:ind w:firstLine="482" w:firstLineChars="200"/>
              <w:rPr>
                <w:b/>
                <w:sz w:val="24"/>
              </w:rPr>
            </w:pPr>
            <w:r>
              <w:rPr>
                <w:rFonts w:hint="eastAsia"/>
                <w:b/>
                <w:sz w:val="24"/>
              </w:rPr>
              <w:t>二、施工时序</w:t>
            </w:r>
          </w:p>
          <w:p w14:paraId="79098BE1">
            <w:pPr>
              <w:adjustRightInd w:val="0"/>
              <w:snapToGrid w:val="0"/>
              <w:spacing w:line="360" w:lineRule="auto"/>
              <w:ind w:firstLine="480" w:firstLineChars="200"/>
              <w:rPr>
                <w:b/>
                <w:sz w:val="24"/>
              </w:rPr>
            </w:pPr>
            <w:r>
              <w:rPr>
                <w:rFonts w:hint="eastAsia"/>
                <w:sz w:val="24"/>
              </w:rPr>
              <w:t>项目3口勘探井依次施工</w:t>
            </w:r>
            <w:r>
              <w:rPr>
                <w:sz w:val="24"/>
              </w:rPr>
              <w:t>。</w:t>
            </w:r>
            <w:r>
              <w:rPr>
                <w:rFonts w:hint="eastAsia"/>
                <w:sz w:val="24"/>
              </w:rPr>
              <w:t>1号井先勘探施工，完井试油结束后，为了不影响下一口井勘探施工，井口安装临时关井设备，然后进行2号井勘探施工。2号井完井试油结束后，井口安装临时关井设备，然后进行3号井勘探施工</w:t>
            </w:r>
            <w:r>
              <w:rPr>
                <w:sz w:val="24"/>
              </w:rPr>
              <w:t>。项目单井施工时序为：钻前准备</w:t>
            </w:r>
            <w:r>
              <w:rPr>
                <w:rFonts w:hint="eastAsia"/>
                <w:sz w:val="24"/>
              </w:rPr>
              <w:t>2</w:t>
            </w:r>
            <w:r>
              <w:rPr>
                <w:sz w:val="24"/>
              </w:rPr>
              <w:t>天，钻井期</w:t>
            </w:r>
            <w:r>
              <w:rPr>
                <w:rFonts w:hint="eastAsia"/>
                <w:sz w:val="24"/>
              </w:rPr>
              <w:t>48</w:t>
            </w:r>
            <w:r>
              <w:rPr>
                <w:sz w:val="24"/>
              </w:rPr>
              <w:t>天，试油期为</w:t>
            </w:r>
            <w:r>
              <w:rPr>
                <w:rFonts w:hint="eastAsia"/>
                <w:sz w:val="24"/>
              </w:rPr>
              <w:t>7</w:t>
            </w:r>
            <w:r>
              <w:rPr>
                <w:sz w:val="24"/>
              </w:rPr>
              <w:t>天，封井</w:t>
            </w:r>
            <w:r>
              <w:rPr>
                <w:rFonts w:hint="eastAsia"/>
                <w:sz w:val="24"/>
              </w:rPr>
              <w:t>3</w:t>
            </w:r>
            <w:r>
              <w:rPr>
                <w:sz w:val="24"/>
              </w:rPr>
              <w:t>天，单井</w:t>
            </w:r>
            <w:r>
              <w:rPr>
                <w:rFonts w:hint="eastAsia"/>
                <w:sz w:val="24"/>
              </w:rPr>
              <w:t>勘探期</w:t>
            </w:r>
            <w:r>
              <w:rPr>
                <w:sz w:val="24"/>
              </w:rPr>
              <w:t>为</w:t>
            </w:r>
            <w:r>
              <w:rPr>
                <w:rFonts w:hint="eastAsia"/>
                <w:sz w:val="24"/>
              </w:rPr>
              <w:t>60天，</w:t>
            </w:r>
            <w:r>
              <w:rPr>
                <w:sz w:val="24"/>
              </w:rPr>
              <w:t>勘探过程为24小时连续作业。</w:t>
            </w:r>
          </w:p>
          <w:p w14:paraId="5770B259">
            <w:pPr>
              <w:adjustRightInd w:val="0"/>
              <w:snapToGrid w:val="0"/>
              <w:spacing w:line="360" w:lineRule="auto"/>
              <w:ind w:firstLine="482" w:firstLineChars="200"/>
              <w:rPr>
                <w:b/>
                <w:sz w:val="24"/>
              </w:rPr>
            </w:pPr>
            <w:r>
              <w:rPr>
                <w:b/>
                <w:sz w:val="24"/>
              </w:rPr>
              <w:t>三</w:t>
            </w:r>
            <w:r>
              <w:rPr>
                <w:rFonts w:hint="eastAsia"/>
                <w:b/>
                <w:sz w:val="24"/>
              </w:rPr>
              <w:t>、</w:t>
            </w:r>
            <w:r>
              <w:rPr>
                <w:b/>
                <w:sz w:val="24"/>
              </w:rPr>
              <w:t>建设周期</w:t>
            </w:r>
          </w:p>
          <w:p w14:paraId="158BB124">
            <w:pPr>
              <w:adjustRightInd w:val="0"/>
              <w:snapToGrid w:val="0"/>
              <w:spacing w:line="360" w:lineRule="auto"/>
              <w:ind w:firstLine="480" w:firstLineChars="200"/>
              <w:rPr>
                <w:b/>
                <w:sz w:val="24"/>
              </w:rPr>
            </w:pPr>
            <w:r>
              <w:rPr>
                <w:sz w:val="24"/>
              </w:rPr>
              <w:t>项目单井</w:t>
            </w:r>
            <w:r>
              <w:rPr>
                <w:rFonts w:hint="eastAsia"/>
                <w:sz w:val="24"/>
              </w:rPr>
              <w:t>勘探期</w:t>
            </w:r>
            <w:r>
              <w:rPr>
                <w:sz w:val="24"/>
              </w:rPr>
              <w:t>为</w:t>
            </w:r>
            <w:r>
              <w:rPr>
                <w:rFonts w:hint="eastAsia"/>
                <w:sz w:val="24"/>
              </w:rPr>
              <w:t>60天，建设周期共180天。</w:t>
            </w:r>
          </w:p>
        </w:tc>
      </w:tr>
      <w:tr w14:paraId="2DB6C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457" w:type="dxa"/>
            <w:vAlign w:val="center"/>
          </w:tcPr>
          <w:p w14:paraId="209F09B6">
            <w:pPr>
              <w:adjustRightInd w:val="0"/>
              <w:snapToGrid w:val="0"/>
              <w:jc w:val="center"/>
              <w:rPr>
                <w:b/>
                <w:kern w:val="0"/>
                <w:sz w:val="24"/>
              </w:rPr>
            </w:pPr>
            <w:r>
              <w:rPr>
                <w:b/>
                <w:kern w:val="0"/>
                <w:sz w:val="24"/>
              </w:rPr>
              <w:t>其他</w:t>
            </w:r>
          </w:p>
        </w:tc>
        <w:tc>
          <w:tcPr>
            <w:tcW w:w="8454" w:type="dxa"/>
            <w:vAlign w:val="center"/>
          </w:tcPr>
          <w:p w14:paraId="1F90350B">
            <w:pPr>
              <w:tabs>
                <w:tab w:val="left" w:pos="1150"/>
              </w:tabs>
              <w:adjustRightInd w:val="0"/>
              <w:snapToGrid w:val="0"/>
              <w:spacing w:line="360" w:lineRule="auto"/>
              <w:ind w:firstLine="240" w:firstLineChars="100"/>
              <w:rPr>
                <w:kern w:val="0"/>
                <w:sz w:val="24"/>
                <w:szCs w:val="21"/>
              </w:rPr>
            </w:pPr>
            <w:r>
              <w:rPr>
                <w:rFonts w:hint="eastAsia"/>
                <w:kern w:val="0"/>
                <w:sz w:val="24"/>
                <w:szCs w:val="21"/>
              </w:rPr>
              <w:t>无</w:t>
            </w:r>
          </w:p>
        </w:tc>
      </w:tr>
    </w:tbl>
    <w:p w14:paraId="73D19A87">
      <w:pPr>
        <w:pStyle w:val="25"/>
        <w:spacing w:before="0" w:beforeAutospacing="0" w:after="0" w:afterAutospacing="0"/>
        <w:jc w:val="center"/>
        <w:outlineLvl w:val="0"/>
        <w:rPr>
          <w:rFonts w:ascii="黑体" w:hAnsi="黑体" w:eastAsia="黑体"/>
          <w:b/>
          <w:snapToGrid w:val="0"/>
          <w:kern w:val="2"/>
          <w:sz w:val="30"/>
          <w:szCs w:val="30"/>
        </w:rPr>
      </w:pPr>
      <w:r>
        <w:rPr>
          <w:rFonts w:ascii="Times New Roman" w:hAnsi="Times New Roman" w:eastAsia="仿宋_GB2312"/>
          <w:b/>
          <w:bCs/>
        </w:rPr>
        <w:br w:type="page"/>
      </w:r>
      <w:bookmarkStart w:id="7" w:name="_Toc214007547"/>
      <w:r>
        <w:rPr>
          <w:rFonts w:ascii="黑体" w:hAnsi="黑体" w:eastAsia="黑体"/>
          <w:b/>
          <w:snapToGrid w:val="0"/>
          <w:kern w:val="2"/>
          <w:sz w:val="30"/>
          <w:szCs w:val="30"/>
        </w:rPr>
        <w:t>三、生态环境现状、保护目标及评价标准</w:t>
      </w:r>
      <w:bookmarkEnd w:id="7"/>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450"/>
      </w:tblGrid>
      <w:tr w14:paraId="6E622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457" w:type="dxa"/>
            <w:vAlign w:val="center"/>
          </w:tcPr>
          <w:p w14:paraId="356116AE">
            <w:pPr>
              <w:adjustRightInd w:val="0"/>
              <w:snapToGrid w:val="0"/>
              <w:jc w:val="center"/>
              <w:rPr>
                <w:b/>
                <w:kern w:val="0"/>
                <w:sz w:val="24"/>
              </w:rPr>
            </w:pPr>
            <w:r>
              <w:rPr>
                <w:b/>
                <w:kern w:val="0"/>
                <w:sz w:val="24"/>
              </w:rPr>
              <w:t>生态环境现状</w:t>
            </w:r>
          </w:p>
        </w:tc>
        <w:tc>
          <w:tcPr>
            <w:tcW w:w="8450" w:type="dxa"/>
            <w:vAlign w:val="center"/>
          </w:tcPr>
          <w:p w14:paraId="49ED136A">
            <w:pPr>
              <w:adjustRightInd w:val="0"/>
              <w:spacing w:line="360" w:lineRule="auto"/>
              <w:ind w:firstLine="354" w:firstLineChars="147"/>
              <w:rPr>
                <w:b/>
                <w:sz w:val="24"/>
              </w:rPr>
            </w:pPr>
            <w:r>
              <w:rPr>
                <w:rFonts w:hint="eastAsia"/>
                <w:b/>
                <w:sz w:val="24"/>
              </w:rPr>
              <w:t>一、功能区划</w:t>
            </w:r>
          </w:p>
          <w:p w14:paraId="24943235">
            <w:pPr>
              <w:adjustRightInd w:val="0"/>
              <w:spacing w:line="360" w:lineRule="auto"/>
              <w:ind w:firstLine="480" w:firstLineChars="200"/>
              <w:rPr>
                <w:sz w:val="24"/>
              </w:rPr>
            </w:pPr>
            <w:r>
              <w:rPr>
                <w:rFonts w:hint="eastAsia"/>
                <w:sz w:val="24"/>
              </w:rPr>
              <w:t>1、主体功能区划</w:t>
            </w:r>
          </w:p>
          <w:p w14:paraId="25C01D0E">
            <w:pPr>
              <w:pStyle w:val="171"/>
              <w:spacing w:line="360" w:lineRule="auto"/>
              <w:ind w:firstLine="480" w:firstLineChars="200"/>
              <w:rPr>
                <w:rFonts w:ascii="Times New Roman" w:hAnsi="Times New Roman"/>
                <w:color w:val="auto"/>
              </w:rPr>
            </w:pPr>
            <w:r>
              <w:rPr>
                <w:rFonts w:hint="eastAsia" w:ascii="Times New Roman" w:hAnsi="Times New Roman"/>
                <w:color w:val="auto"/>
              </w:rPr>
              <w:t>项目位于内蒙古自治区巴彦淖尔市磴口县沙漠林业实验中心农场，根据内蒙古自治区主体功能区规划，磴口县属于限制开发区域（自治区级农产品主产区）。</w:t>
            </w:r>
          </w:p>
          <w:p w14:paraId="603B9FD0">
            <w:pPr>
              <w:pStyle w:val="11"/>
              <w:kinsoku w:val="0"/>
              <w:overflowPunct w:val="0"/>
              <w:spacing w:line="0" w:lineRule="atLeast"/>
              <w:ind w:left="105" w:firstLine="18"/>
              <w:jc w:val="center"/>
              <w:rPr>
                <w:position w:val="-260"/>
                <w:sz w:val="20"/>
              </w:rPr>
            </w:pPr>
            <w:r>
              <w:rPr>
                <w:rFonts w:hint="eastAsia"/>
                <w:b/>
                <w:sz w:val="24"/>
              </w:rPr>
              <w:drawing>
                <wp:anchor distT="0" distB="0" distL="114300" distR="114300" simplePos="0" relativeHeight="251671552" behindDoc="0" locked="0" layoutInCell="1" allowOverlap="1">
                  <wp:simplePos x="0" y="0"/>
                  <wp:positionH relativeFrom="column">
                    <wp:posOffset>4603750</wp:posOffset>
                  </wp:positionH>
                  <wp:positionV relativeFrom="paragraph">
                    <wp:posOffset>92075</wp:posOffset>
                  </wp:positionV>
                  <wp:extent cx="431800" cy="441325"/>
                  <wp:effectExtent l="0" t="0" r="6350" b="0"/>
                  <wp:wrapNone/>
                  <wp:docPr id="24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 name="图片 1"/>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31800" cy="441325"/>
                          </a:xfrm>
                          <a:prstGeom prst="rect">
                            <a:avLst/>
                          </a:prstGeom>
                          <a:noFill/>
                          <a:ln>
                            <a:noFill/>
                          </a:ln>
                        </pic:spPr>
                      </pic:pic>
                    </a:graphicData>
                  </a:graphic>
                </wp:anchor>
              </w:drawing>
            </w:r>
            <w:r>
              <mc:AlternateContent>
                <mc:Choice Requires="wpg">
                  <w:drawing>
                    <wp:anchor distT="0" distB="0" distL="114300" distR="114300" simplePos="0" relativeHeight="251659264" behindDoc="0" locked="0" layoutInCell="1" allowOverlap="1">
                      <wp:simplePos x="0" y="0"/>
                      <wp:positionH relativeFrom="column">
                        <wp:posOffset>1838960</wp:posOffset>
                      </wp:positionH>
                      <wp:positionV relativeFrom="paragraph">
                        <wp:posOffset>3061970</wp:posOffset>
                      </wp:positionV>
                      <wp:extent cx="1398270" cy="316230"/>
                      <wp:effectExtent l="0" t="0" r="0" b="7620"/>
                      <wp:wrapNone/>
                      <wp:docPr id="27" name="Group 2429"/>
                      <wp:cNvGraphicFramePr/>
                      <a:graphic xmlns:a="http://schemas.openxmlformats.org/drawingml/2006/main">
                        <a:graphicData uri="http://schemas.microsoft.com/office/word/2010/wordprocessingGroup">
                          <wpg:wgp>
                            <wpg:cNvGrpSpPr/>
                            <wpg:grpSpPr>
                              <a:xfrm>
                                <a:off x="0" y="0"/>
                                <a:ext cx="1398270" cy="316230"/>
                                <a:chOff x="5017" y="12762"/>
                                <a:chExt cx="2202" cy="498"/>
                              </a:xfrm>
                            </wpg:grpSpPr>
                            <wps:wsp>
                              <wps:cNvPr id="28" name="自选图形 325"/>
                              <wps:cNvSpPr>
                                <a:spLocks noChangeArrowheads="1"/>
                              </wps:cNvSpPr>
                              <wps:spPr bwMode="auto">
                                <a:xfrm>
                                  <a:off x="5972" y="12830"/>
                                  <a:ext cx="1247" cy="430"/>
                                </a:xfrm>
                                <a:prstGeom prst="wedgeRoundRectCallout">
                                  <a:avLst>
                                    <a:gd name="adj1" fmla="val -117440"/>
                                    <a:gd name="adj2" fmla="val -50000"/>
                                    <a:gd name="adj3" fmla="val 16667"/>
                                  </a:avLst>
                                </a:prstGeom>
                                <a:gradFill rotWithShape="0">
                                  <a:gsLst>
                                    <a:gs pos="0">
                                      <a:srgbClr val="4F81BD"/>
                                    </a:gs>
                                    <a:gs pos="100000">
                                      <a:srgbClr val="4F81BD">
                                        <a:gamma/>
                                        <a:tint val="20000"/>
                                        <a:invGamma/>
                                      </a:srgbClr>
                                    </a:gs>
                                  </a:gsLst>
                                  <a:lin ang="2700000" scaled="1"/>
                                </a:gradFill>
                                <a:ln>
                                  <a:noFill/>
                                </a:ln>
                                <a:effectLst/>
                              </wps:spPr>
                              <wps:txbx>
                                <w:txbxContent>
                                  <w:p w14:paraId="37683FC6">
                                    <w:pPr>
                                      <w:jc w:val="center"/>
                                      <w:rPr>
                                        <w:b/>
                                        <w:color w:val="FF0000"/>
                                      </w:rPr>
                                    </w:pPr>
                                    <w:r>
                                      <w:rPr>
                                        <w:b/>
                                        <w:color w:val="FF0000"/>
                                      </w:rPr>
                                      <w:t>项目位置</w:t>
                                    </w:r>
                                  </w:p>
                                </w:txbxContent>
                              </wps:txbx>
                              <wps:bodyPr rot="0" vert="horz" wrap="square" lIns="91440" tIns="45720" rIns="91440" bIns="45720" anchor="t" anchorCtr="0" upright="1">
                                <a:noAutofit/>
                              </wps:bodyPr>
                            </wps:wsp>
                            <wps:wsp>
                              <wps:cNvPr id="29" name="自选图形 570"/>
                              <wps:cNvSpPr>
                                <a:spLocks noChangeArrowheads="1"/>
                              </wps:cNvSpPr>
                              <wps:spPr bwMode="auto">
                                <a:xfrm>
                                  <a:off x="5017" y="12762"/>
                                  <a:ext cx="170" cy="170"/>
                                </a:xfrm>
                                <a:prstGeom prst="flowChartConnector">
                                  <a:avLst/>
                                </a:prstGeom>
                                <a:solidFill>
                                  <a:srgbClr val="000000"/>
                                </a:solidFill>
                                <a:ln w="9525">
                                  <a:solidFill>
                                    <a:srgbClr val="FF0000"/>
                                  </a:solidFill>
                                  <a:round/>
                                </a:ln>
                              </wps:spPr>
                              <wps:bodyPr rot="0" vert="horz" wrap="square" lIns="91440" tIns="45720" rIns="91440" bIns="45720" anchor="t" anchorCtr="0" upright="1">
                                <a:noAutofit/>
                              </wps:bodyPr>
                            </wps:wsp>
                          </wpg:wgp>
                        </a:graphicData>
                      </a:graphic>
                    </wp:anchor>
                  </w:drawing>
                </mc:Choice>
                <mc:Fallback>
                  <w:pict>
                    <v:group id="Group 2429" o:spid="_x0000_s1026" o:spt="203" style="position:absolute;left:0pt;margin-left:144.8pt;margin-top:241.1pt;height:24.9pt;width:110.1pt;z-index:251659264;mso-width-relative:page;mso-height-relative:page;" coordorigin="5017,12762" coordsize="2202,498" o:gfxdata="UEsDBAoAAAAAAIdO4kAAAAAAAAAAAAAAAAAEAAAAZHJzL1BLAwQUAAAACACHTuJAZjyR1dsAAAAL&#10;AQAADwAAAGRycy9kb3ducmV2LnhtbE2PwUrDQBCG74LvsIzgze4mtSWN2RQp6qkItoJ422anSWh2&#10;NmS3Sfv2jie9zTAf/3x/sb64Tow4hNaThmSmQCBV3rZUa/jcvz5kIEI0ZE3nCTVcMcC6vL0pTG79&#10;RB847mItOIRCbjQ0Mfa5lKFq0Jkw8z0S345+cCbyOtTSDmbicNfJVKmldKYl/tCYHjcNVqfd2Wl4&#10;m8z0PE9exu3puLl+7xfvX9sEtb6/S9QTiIiX+AfDrz6rQ8lOB38mG0SnIc1WS0Y1PGZpCoKJhVpx&#10;mQMP81SBLAv5v0P5A1BLAwQUAAAACACHTuJABOzLSqsDAABiCQAADgAAAGRycy9lMm9Eb2MueG1s&#10;1VbLjts2FN0H6D8Q3GdkyW9jNEHqiQcB0iZIWnRNU5TEliIZkrY8XXUX5Buy67L/kPxNgPYveklK&#10;Go2bAEGLLDoLjch7eR+H51z58tGpEejIjOVK5ji9mGDEJFUFl1WOf/xh93CFkXVEFkQoyXJ8yyx+&#10;dPXNg8tWb1imaiUKZhAEkXbT6hzXzulNklhas4bYC6WZBGOpTEMcLE2VFIa0EL0RSTaZLJJWmUIb&#10;RZm1sHsdjbiLaL4koCpLTtm1ooeGSRejGiaIg5ZszbXFV6HasmTUPS9LyxwSOYZOXXhCEnjf+2dy&#10;dUk2lSG65rQrgXxJCWc9NYRLSDqEuiaOoIPh/wjVcGqUVaW7oKpJYiMBEeginZxhc2PUQYdeqk1b&#10;6QF0uKgz1P91WPr98YVBvMhxtsRIkgZuPKRF2Sxbe3haXW3A68boV/qF6TaquPIdn0rT+P/QCzoF&#10;YG8HYNnJIQqb6XS9ypaAOQXbNF1k0w55WsP1+GPzSQr5wZpmy0UWr4XWT7rzWTbJ4uHZeuWNSZ83&#10;8eUN1bQaOGnvgLL/DahXNdEs4G89BD1QIJAI1J9v/vjrt7cf3334+P53NM3mEa7g67HyqFj9TNFf&#10;LJJqWxNZscfGqLZmpIDS0tCJrxmCxwN+YeEo2rffqQLughycCsQ6g3m+XgIiAa9VD+aAdjYDLD3U&#10;s2ga0CIbbay7YapB/iXHLSsq9lIdZPESpLIlQqiDC/nI8Zl1gdFF1y0pfk4xKhsBAjkSgR6m6XI2&#10;6yU08oLCRl7zCfzFC61GTtOxU7pYLJbdvXaJoea+1lCFIcWOC4GMcj9xV4er8TwLRtvXapFWgGzc&#10;tqbab4VBUCxAsVul3153OSobj0Xv1Ff4+SPBlTQNCbPCceliRBhmfWNcHm86D6i7yxtY6jPBVtVX&#10;KLhEwAMvN38cJGEpEQz0F9kQJkjo1KcV0j+l8p1H1scdFiYbNO03e854qdqNO+1PsOtf96q4BSoB&#10;YkGWMPPhpVbmV4xamHg5tq8PxDCMxFMJoK1Tf5vIhcVsvsxgYcaW/dhCJIVQOXYY+vGvWxfH6kEb&#10;XtWQKQ13I9VjoHDJh1JjVV3dINZY69dX7fqTqp3DVOrgGkT4FVX7iSk3qLafj2ks6fOiLYVqYZoY&#10;t1VSgmyVuVNsZMlYOVYJPhDqniQCAUP7nrRjNyFRC4SYw0jzBLxnuxditwskjlnvucGnSxZx33P2&#10;jKX/F2qGzwt8eqOI488E/20fr0Nzdz+Nrv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wYAAFtDb250ZW50X1R5cGVzXS54bWxQSwECFAAKAAAA&#10;AACHTuJAAAAAAAAAAAAAAAAABgAAAAAAAAAAABAAAAABBQAAX3JlbHMvUEsBAhQAFAAAAAgAh07i&#10;QIoUZjzRAAAAlAEAAAsAAAAAAAAAAQAgAAAAJQUAAF9yZWxzLy5yZWxzUEsBAhQACgAAAAAAh07i&#10;QAAAAAAAAAAAAAAAAAQAAAAAAAAAAAAQAAAAAAAAAGRycy9QSwECFAAUAAAACACHTuJAZjyR1dsA&#10;AAALAQAADwAAAAAAAAABACAAAAAiAAAAZHJzL2Rvd25yZXYueG1sUEsBAhQAFAAAAAgAh07iQATs&#10;y0qrAwAAYgkAAA4AAAAAAAAAAQAgAAAAKgEAAGRycy9lMm9Eb2MueG1sUEsFBgAAAAAGAAYAWQEA&#10;AEcHAAAAAA==&#10;">
                      <o:lock v:ext="edit" aspectratio="f"/>
                      <v:shape id="自选图形 325" o:spid="_x0000_s1026" o:spt="62" type="#_x0000_t62" style="position:absolute;left:5972;top:12830;height:430;width:1247;" fillcolor="#4F81BD" filled="t" stroked="f" coordsize="21600,21600" o:gfxdata="UEsDBAoAAAAAAIdO4kAAAAAAAAAAAAAAAAAEAAAAZHJzL1BLAwQUAAAACACHTuJAfojb7bQAAADb&#10;AAAADwAAAGRycy9kb3ducmV2LnhtbEVPyQrCMBC9C/5DGMGbJlZQqUYPLuBNtHofmrEtNpPaxO3v&#10;zUHw+Hj7YvW2tXhS6yvHGkZDBYI4d6biQsM52w1mIHxANlg7Jg0f8rBadjsLTI178ZGep1CIGMI+&#10;RQ1lCE0qpc9LsuiHriGO3NW1FkOEbSFNi68YbmuZKDWRFiuODSU2tC4pv50eVoMaT2w2TTaHrbk7&#10;4gtn6jDOtO73RmoOItA7/MU/995oSOLY+CX+ALn8A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iNvttAAAANsAAAAPAAAA&#10;AAAAAAEAIAAAACIAAABkcnMvZG93bnJldi54bWxQSwECFAAUAAAACACHTuJAMy8FnjsAAAA5AAAA&#10;EAAAAAAAAAABACAAAAADAQAAZHJzL3NoYXBleG1sLnhtbFBLBQYAAAAABgAGAFsBAACtAwAAAAA=&#10;" adj="-14567,0,14400">
                        <v:fill type="gradient" on="t" color2="#DCE6F2" angle="45" focus="100%" focussize="0,0"/>
                        <v:stroke on="f"/>
                        <v:imagedata o:title=""/>
                        <o:lock v:ext="edit" aspectratio="f"/>
                        <v:textbox>
                          <w:txbxContent>
                            <w:p w14:paraId="37683FC6">
                              <w:pPr>
                                <w:jc w:val="center"/>
                                <w:rPr>
                                  <w:b/>
                                  <w:color w:val="FF0000"/>
                                </w:rPr>
                              </w:pPr>
                              <w:r>
                                <w:rPr>
                                  <w:b/>
                                  <w:color w:val="FF0000"/>
                                </w:rPr>
                                <w:t>项目位置</w:t>
                              </w:r>
                            </w:p>
                          </w:txbxContent>
                        </v:textbox>
                      </v:shape>
                      <v:shape id="自选图形 570" o:spid="_x0000_s1026" o:spt="120" type="#_x0000_t120" style="position:absolute;left:5017;top:12762;height:170;width:170;" fillcolor="#000000" filled="t" stroked="t" coordsize="21600,21600" o:gfxdata="UEsDBAoAAAAAAIdO4kAAAAAAAAAAAAAAAAAEAAAAZHJzL1BLAwQUAAAACACHTuJAu0rFWb4AAADb&#10;AAAADwAAAGRycy9kb3ducmV2LnhtbEWPQYvCMBSE78L+h/AEL6KpxRWtRg+Lrgt6sXrx9miebbF5&#10;KU2qrr9+Iyx4HGbmG2axephK3KhxpWUFo2EEgjizuuRcwem4GUxBOI+ssbJMCn7JwWr50Vlgou2d&#10;D3RLfS4ChF2CCgrv60RKlxVk0A1tTRy8i20M+iCbXOoG7wFuKhlH0UQaLDksFFjTV0HZNW2NgvbZ&#10;j9P2e3vejjfn/m6dfk5wXyvV646iOQhPD/8O/7d/tIJ4Bq8v4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0rFWb4A&#10;AADbAAAADwAAAAAAAAABACAAAAAiAAAAZHJzL2Rvd25yZXYueG1sUEsBAhQAFAAAAAgAh07iQDMv&#10;BZ47AAAAOQAAABAAAAAAAAAAAQAgAAAADQEAAGRycy9zaGFwZXhtbC54bWxQSwUGAAAAAAYABgBb&#10;AQAAtwMAAAAA&#10;">
                        <v:fill on="t" focussize="0,0"/>
                        <v:stroke color="#FF0000" joinstyle="round"/>
                        <v:imagedata o:title=""/>
                        <o:lock v:ext="edit" aspectratio="f"/>
                      </v:shape>
                    </v:group>
                  </w:pict>
                </mc:Fallback>
              </mc:AlternateContent>
            </w:r>
            <w:r>
              <w:drawing>
                <wp:inline distT="0" distB="0" distL="0" distR="0">
                  <wp:extent cx="4961890" cy="3851910"/>
                  <wp:effectExtent l="19050" t="19050" r="10160" b="1524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962143" cy="3852000"/>
                          </a:xfrm>
                          <a:prstGeom prst="rect">
                            <a:avLst/>
                          </a:prstGeom>
                          <a:noFill/>
                          <a:ln w="12700" cmpd="sng">
                            <a:solidFill>
                              <a:srgbClr val="000000"/>
                            </a:solidFill>
                            <a:miter lim="800000"/>
                            <a:headEnd/>
                            <a:tailEnd/>
                          </a:ln>
                          <a:effectLst/>
                        </pic:spPr>
                      </pic:pic>
                    </a:graphicData>
                  </a:graphic>
                </wp:inline>
              </w:drawing>
            </w:r>
          </w:p>
          <w:p w14:paraId="0093C9AE">
            <w:pPr>
              <w:pStyle w:val="7"/>
              <w:spacing w:line="360" w:lineRule="auto"/>
              <w:ind w:firstLine="470" w:firstLineChars="196"/>
              <w:jc w:val="center"/>
              <w:rPr>
                <w:rFonts w:eastAsia="黑体"/>
                <w:sz w:val="24"/>
              </w:rPr>
            </w:pPr>
            <w:r>
              <w:rPr>
                <w:rFonts w:eastAsia="黑体"/>
                <w:sz w:val="24"/>
              </w:rPr>
              <w:t>图3-1 内蒙古主体功能区规划图</w:t>
            </w:r>
          </w:p>
          <w:p w14:paraId="197D0F9D">
            <w:pPr>
              <w:pStyle w:val="171"/>
              <w:spacing w:line="360" w:lineRule="auto"/>
              <w:ind w:firstLine="480" w:firstLineChars="200"/>
              <w:rPr>
                <w:rFonts w:ascii="Times New Roman" w:hAnsi="Times New Roman"/>
                <w:color w:val="auto"/>
              </w:rPr>
            </w:pPr>
            <w:r>
              <w:rPr>
                <w:rFonts w:hint="eastAsia" w:ascii="Times New Roman" w:hAnsi="Times New Roman"/>
                <w:color w:val="auto"/>
              </w:rPr>
              <w:t>功能定位：国家绿色农产品生产基地，我区建设新农村新牧区的主要区域。</w:t>
            </w:r>
          </w:p>
          <w:p w14:paraId="563F3C38">
            <w:pPr>
              <w:pStyle w:val="171"/>
              <w:spacing w:line="360" w:lineRule="auto"/>
              <w:ind w:firstLine="480" w:firstLineChars="200"/>
              <w:rPr>
                <w:rFonts w:ascii="Times New Roman" w:hAnsi="Times New Roman"/>
                <w:color w:val="auto"/>
              </w:rPr>
            </w:pPr>
            <w:r>
              <w:rPr>
                <w:rFonts w:hint="eastAsia" w:ascii="Times New Roman" w:hAnsi="Times New Roman"/>
                <w:color w:val="auto"/>
              </w:rPr>
              <w:t>发展方向：</w:t>
            </w:r>
            <w:r>
              <w:rPr>
                <w:rFonts w:hint="eastAsia"/>
                <w:color w:val="auto"/>
              </w:rPr>
              <w:t>①</w:t>
            </w:r>
            <w:r>
              <w:rPr>
                <w:rFonts w:hint="eastAsia" w:ascii="Times New Roman" w:hAnsi="Times New Roman"/>
                <w:color w:val="auto"/>
              </w:rPr>
              <w:t>发展现代农业。加强农业基础设施和现代服务体系建设，进一步调整优化农机装备结构布局，提升农业机械化发展质量效益，提高农产品综合生产能力；调整优化农业结构，发展名、优、特、新、专等绿色品牌，提高农业产出效益。</w:t>
            </w:r>
            <w:r>
              <w:rPr>
                <w:rFonts w:hint="eastAsia"/>
                <w:color w:val="auto"/>
              </w:rPr>
              <w:t>②</w:t>
            </w:r>
            <w:r>
              <w:rPr>
                <w:rFonts w:hint="eastAsia" w:ascii="Times New Roman" w:hAnsi="Times New Roman"/>
                <w:color w:val="auto"/>
              </w:rPr>
              <w:t>建设新农村新牧区。合理规划建设新农村新牧区，引导农业在水土条件较好的地区集约发展，引导农村牧区人口向条件较好的地区集中。</w:t>
            </w:r>
            <w:r>
              <w:rPr>
                <w:rFonts w:hint="eastAsia"/>
                <w:color w:val="auto"/>
              </w:rPr>
              <w:t>③</w:t>
            </w:r>
            <w:r>
              <w:rPr>
                <w:rFonts w:hint="eastAsia" w:ascii="Times New Roman" w:hAnsi="Times New Roman"/>
                <w:color w:val="auto"/>
              </w:rPr>
              <w:t>据点式建设小城镇。加强县城和乡镇政府所在地公共服务设施建设，完善小城镇基本公共服务和居住功能。吸纳农村牧区人口有序向城镇转移。</w:t>
            </w:r>
            <w:r>
              <w:rPr>
                <w:rFonts w:hint="eastAsia"/>
                <w:color w:val="auto"/>
              </w:rPr>
              <w:t>④</w:t>
            </w:r>
            <w:r>
              <w:rPr>
                <w:rFonts w:hint="eastAsia" w:ascii="Times New Roman" w:hAnsi="Times New Roman"/>
                <w:color w:val="auto"/>
              </w:rPr>
              <w:t>适度发展特色产业。围绕县城所在地和资源富集地区，在符合主体功能定位的条件下，依托资源环境承载能力，合理发展农产品加工业，适度发展能源、化工、冶金等特色优势产业，鼓励发展生态旅游等服务业。</w:t>
            </w:r>
          </w:p>
          <w:p w14:paraId="62D437B1">
            <w:pPr>
              <w:pStyle w:val="171"/>
              <w:spacing w:line="360" w:lineRule="auto"/>
              <w:ind w:firstLine="480" w:firstLineChars="200"/>
              <w:jc w:val="both"/>
              <w:rPr>
                <w:rFonts w:ascii="Times New Roman" w:hAnsi="Times New Roman"/>
                <w:color w:val="auto"/>
              </w:rPr>
            </w:pPr>
            <w:r>
              <w:rPr>
                <w:rFonts w:hint="eastAsia" w:ascii="Times New Roman" w:hAnsi="Times New Roman"/>
                <w:color w:val="auto"/>
              </w:rPr>
              <w:t>项目属于能源和矿产勘探项目，不属于大规模高强度工业化城镇化项目；在勘探施工前对表层土进行剥离并收集暂存，勘探结束后按照复垦方案要求进行复垦，确保项目完成后恢复到原有状态，不会对当地农业生产、生态环境造成破坏和影响。因此项目符合《内蒙古自治区主体功能区划》。</w:t>
            </w:r>
          </w:p>
          <w:p w14:paraId="077C2800">
            <w:pPr>
              <w:pStyle w:val="171"/>
              <w:spacing w:line="360" w:lineRule="auto"/>
              <w:ind w:firstLine="480" w:firstLineChars="200"/>
              <w:rPr>
                <w:rFonts w:ascii="Times New Roman" w:hAnsi="Times New Roman"/>
                <w:color w:val="auto"/>
              </w:rPr>
            </w:pPr>
            <w:r>
              <w:rPr>
                <w:rFonts w:hint="eastAsia" w:ascii="Times New Roman" w:hAnsi="Times New Roman"/>
                <w:color w:val="auto"/>
              </w:rPr>
              <w:t>2、生态功能区划</w:t>
            </w:r>
          </w:p>
          <w:p w14:paraId="398CF1A9">
            <w:pPr>
              <w:pStyle w:val="171"/>
              <w:spacing w:line="360" w:lineRule="auto"/>
              <w:ind w:firstLine="480" w:firstLineChars="200"/>
              <w:rPr>
                <w:rFonts w:ascii="Times New Roman" w:hAnsi="Times New Roman"/>
                <w:color w:val="auto"/>
                <w:szCs w:val="24"/>
              </w:rPr>
            </w:pPr>
            <w:r>
              <w:rPr>
                <w:rFonts w:hint="eastAsia" w:ascii="Times New Roman" w:hAnsi="Times New Roman"/>
                <w:color w:val="auto"/>
              </w:rPr>
              <w:t>项目位于内蒙古自治区巴彦淖尔市磴口县沙漠林业实验中心农场</w:t>
            </w:r>
            <w:r>
              <w:rPr>
                <w:rFonts w:ascii="Times New Roman" w:hAnsi="Times New Roman"/>
                <w:color w:val="auto"/>
                <w:szCs w:val="24"/>
              </w:rPr>
              <w:t>，根据</w:t>
            </w:r>
            <w:r>
              <w:rPr>
                <w:rFonts w:hint="eastAsia" w:ascii="Times New Roman" w:hAnsi="Times New Roman"/>
                <w:color w:val="auto"/>
                <w:szCs w:val="24"/>
              </w:rPr>
              <w:t>内蒙古自治区生态功能区划，所在区域属于乌兰布和沙漠防风固沙生态屏障与生物多样性保护功能区，</w:t>
            </w:r>
            <w:r>
              <w:rPr>
                <w:rFonts w:ascii="Times New Roman" w:hAnsi="Times New Roman"/>
                <w:color w:val="auto"/>
                <w:szCs w:val="24"/>
              </w:rPr>
              <w:t>区域内</w:t>
            </w:r>
            <w:r>
              <w:rPr>
                <w:rFonts w:hint="eastAsia" w:ascii="Times New Roman" w:hAnsi="Times New Roman"/>
                <w:color w:val="auto"/>
                <w:szCs w:val="24"/>
              </w:rPr>
              <w:t>场退化严重，沙漠活化，生物多样性极敏感。生态服务功能特征为生物多样性保护。生态保护目标与措施为实施退牧还草，保护现有植被，加强畜牧业基础设施建设</w:t>
            </w:r>
            <w:r>
              <w:rPr>
                <w:rFonts w:ascii="Times New Roman" w:hAnsi="Times New Roman"/>
                <w:color w:val="auto"/>
                <w:szCs w:val="24"/>
              </w:rPr>
              <w:t>。</w:t>
            </w:r>
          </w:p>
          <w:p w14:paraId="6228FD6D">
            <w:pPr>
              <w:pStyle w:val="171"/>
              <w:spacing w:line="360" w:lineRule="auto"/>
              <w:jc w:val="center"/>
              <w:rPr>
                <w:rFonts w:ascii="Times New Roman" w:hAnsi="Times New Roman"/>
                <w:color w:val="auto"/>
              </w:rPr>
            </w:pPr>
            <w:r>
              <w:rPr>
                <w:rFonts w:hint="eastAsia"/>
                <w:b/>
                <w:color w:val="auto"/>
              </w:rPr>
              <w:drawing>
                <wp:anchor distT="0" distB="0" distL="114300" distR="114300" simplePos="0" relativeHeight="251672576" behindDoc="0" locked="0" layoutInCell="1" allowOverlap="1">
                  <wp:simplePos x="0" y="0"/>
                  <wp:positionH relativeFrom="column">
                    <wp:posOffset>4636135</wp:posOffset>
                  </wp:positionH>
                  <wp:positionV relativeFrom="paragraph">
                    <wp:posOffset>44450</wp:posOffset>
                  </wp:positionV>
                  <wp:extent cx="431800" cy="441325"/>
                  <wp:effectExtent l="0" t="0" r="6350" b="0"/>
                  <wp:wrapNone/>
                  <wp:docPr id="24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 name="图片 1"/>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31800" cy="441325"/>
                          </a:xfrm>
                          <a:prstGeom prst="rect">
                            <a:avLst/>
                          </a:prstGeom>
                          <a:noFill/>
                          <a:ln>
                            <a:noFill/>
                          </a:ln>
                        </pic:spPr>
                      </pic:pic>
                    </a:graphicData>
                  </a:graphic>
                </wp:anchor>
              </w:drawing>
            </w:r>
            <w:r>
              <w:rPr>
                <w:rFonts w:ascii="Times New Roman" w:hAnsi="Times New Roman"/>
                <w:b/>
                <w:color w:val="auto"/>
              </w:rPr>
              <mc:AlternateContent>
                <mc:Choice Requires="wpg">
                  <w:drawing>
                    <wp:anchor distT="0" distB="0" distL="114300" distR="114300" simplePos="0" relativeHeight="251664384" behindDoc="0" locked="0" layoutInCell="1" allowOverlap="1">
                      <wp:simplePos x="0" y="0"/>
                      <wp:positionH relativeFrom="column">
                        <wp:posOffset>386080</wp:posOffset>
                      </wp:positionH>
                      <wp:positionV relativeFrom="paragraph">
                        <wp:posOffset>58420</wp:posOffset>
                      </wp:positionV>
                      <wp:extent cx="1998345" cy="1721485"/>
                      <wp:effectExtent l="5080" t="1270" r="0" b="1270"/>
                      <wp:wrapNone/>
                      <wp:docPr id="23" name="Group 2428"/>
                      <wp:cNvGraphicFramePr/>
                      <a:graphic xmlns:a="http://schemas.openxmlformats.org/drawingml/2006/main">
                        <a:graphicData uri="http://schemas.microsoft.com/office/word/2010/wordprocessingGroup">
                          <wpg:wgp>
                            <wpg:cNvGrpSpPr/>
                            <wpg:grpSpPr>
                              <a:xfrm>
                                <a:off x="0" y="0"/>
                                <a:ext cx="1998345" cy="1721485"/>
                                <a:chOff x="2671" y="9111"/>
                                <a:chExt cx="3147" cy="2711"/>
                              </a:xfrm>
                            </wpg:grpSpPr>
                            <pic:pic xmlns:pic="http://schemas.openxmlformats.org/drawingml/2006/picture">
                              <pic:nvPicPr>
                                <pic:cNvPr id="24" name="图片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2671" y="9111"/>
                                  <a:ext cx="3147" cy="2711"/>
                                </a:xfrm>
                                <a:prstGeom prst="rect">
                                  <a:avLst/>
                                </a:prstGeom>
                                <a:noFill/>
                                <a:ln>
                                  <a:noFill/>
                                </a:ln>
                              </pic:spPr>
                            </pic:pic>
                            <wps:wsp>
                              <wps:cNvPr id="25" name="自选图形 570"/>
                              <wps:cNvSpPr>
                                <a:spLocks noChangeArrowheads="1"/>
                              </wps:cNvSpPr>
                              <wps:spPr bwMode="auto">
                                <a:xfrm>
                                  <a:off x="3693" y="10803"/>
                                  <a:ext cx="170" cy="170"/>
                                </a:xfrm>
                                <a:prstGeom prst="flowChartConnector">
                                  <a:avLst/>
                                </a:prstGeom>
                                <a:solidFill>
                                  <a:srgbClr val="FF0000"/>
                                </a:solidFill>
                                <a:ln w="9525">
                                  <a:solidFill>
                                    <a:srgbClr val="000000"/>
                                  </a:solidFill>
                                  <a:round/>
                                </a:ln>
                              </wps:spPr>
                              <wps:bodyPr rot="0" vert="horz" wrap="square" lIns="91440" tIns="45720" rIns="91440" bIns="45720" anchor="t" anchorCtr="0" upright="1">
                                <a:noAutofit/>
                              </wps:bodyPr>
                            </wps:wsp>
                            <wps:wsp>
                              <wps:cNvPr id="26" name="自选图形 328"/>
                              <wps:cNvSpPr>
                                <a:spLocks noChangeArrowheads="1"/>
                              </wps:cNvSpPr>
                              <wps:spPr bwMode="auto">
                                <a:xfrm>
                                  <a:off x="3113" y="9889"/>
                                  <a:ext cx="1312" cy="430"/>
                                </a:xfrm>
                                <a:prstGeom prst="wedgeRoundRectCallout">
                                  <a:avLst>
                                    <a:gd name="adj1" fmla="val 1523"/>
                                    <a:gd name="adj2" fmla="val 165815"/>
                                    <a:gd name="adj3" fmla="val 16667"/>
                                  </a:avLst>
                                </a:prstGeom>
                                <a:gradFill rotWithShape="0">
                                  <a:gsLst>
                                    <a:gs pos="0">
                                      <a:srgbClr val="4F81BD"/>
                                    </a:gs>
                                    <a:gs pos="100000">
                                      <a:srgbClr val="4F81BD">
                                        <a:gamma/>
                                        <a:tint val="20000"/>
                                        <a:invGamma/>
                                      </a:srgbClr>
                                    </a:gs>
                                  </a:gsLst>
                                  <a:lin ang="2700000" scaled="1"/>
                                </a:gradFill>
                                <a:ln>
                                  <a:noFill/>
                                </a:ln>
                                <a:effectLst/>
                              </wps:spPr>
                              <wps:txbx>
                                <w:txbxContent>
                                  <w:p w14:paraId="5CB8879F">
                                    <w:pPr>
                                      <w:jc w:val="center"/>
                                      <w:rPr>
                                        <w:b/>
                                        <w:color w:val="FF0000"/>
                                      </w:rPr>
                                    </w:pPr>
                                    <w:r>
                                      <w:rPr>
                                        <w:b/>
                                        <w:color w:val="FF0000"/>
                                      </w:rPr>
                                      <w:t>项目位置</w:t>
                                    </w:r>
                                  </w:p>
                                </w:txbxContent>
                              </wps:txbx>
                              <wps:bodyPr rot="0" vert="horz" wrap="square" lIns="91440" tIns="45720" rIns="91440" bIns="45720" anchor="t" anchorCtr="0" upright="1">
                                <a:noAutofit/>
                              </wps:bodyPr>
                            </wps:wsp>
                          </wpg:wgp>
                        </a:graphicData>
                      </a:graphic>
                    </wp:anchor>
                  </w:drawing>
                </mc:Choice>
                <mc:Fallback>
                  <w:pict>
                    <v:group id="Group 2428" o:spid="_x0000_s1026" o:spt="203" style="position:absolute;left:0pt;margin-left:30.4pt;margin-top:4.6pt;height:135.55pt;width:157.35pt;z-index:251664384;mso-width-relative:page;mso-height-relative:page;" coordorigin="2671,9111" coordsize="3147,2711" o:gfxdata="UEsDBAoAAAAAAIdO4kAAAAAAAAAAAAAAAAAEAAAAZHJzL1BLAwQUAAAACACHTuJAUGgMK9kAAAAI&#10;AQAADwAAAGRycy9kb3ducmV2LnhtbE2PQUvDQBSE74L/YXmCN7ubhNQ2zUuRop6K0FYQb9vkNQnN&#10;vg3ZbdL+e9eTHocZZr7J11fTiZEG11pGiGYKBHFpq5ZrhM/D29MChPOaK91ZJoQbOVgX93e5zio7&#10;8Y7Gva9FKGGXaYTG+z6T0pUNGe1mticO3skORvsgh1pWg55CuelkrNRcGt1yWGh0T5uGyvP+YhDe&#10;Jz29JNHruD2fNrfvQ/rxtY0I8fEhUisQnq7+Lwy/+AEdisB0tBeunOgQ5iqQe4RlDCLYyXOagjgi&#10;xAuVgCxy+f9A8QNQSwMEFAAAAAgAh07iQOq3zRSsBAAAYAwAAA4AAABkcnMvZTJvRG9jLnhtbM1X&#10;zY7bNhC+F+g7ELp7LcqyJRvrDTbeHwRImkXSomdaon5aiVRJ2vK2KJBbkGforce+Q/s2Qdu36Awp&#10;ObLXTRdFW3SBtfkzHM58880Mff5kV1dky5UupVh69Mz3CBeJTEuRL70vPr8ZxR7RhomUVVLwpXfP&#10;tffk4tNPzttmwQNZyCrlioASoRdts/QKY5rFeKyTgtdMn8mGC9jMpKqZganKx6liLWivq3Hg+7Nx&#10;K1XaKJlwrWH1ym16nUb1GIUyy8qEX8lkU3NhnFbFK2bAJV2UjfYurLVZxhPzMss0N6RaeuCpsZ9w&#10;CYzX+Dm+OGeLXLGmKJPOBPYYE458qlkp4NK9qitmGNmo8oGqukyU1DIzZ4msx84Riwh4Qf0jbG6V&#10;3DTWl3zR5s0edAjUEep/W23y2fZOkTJdesHEI4LVEHF7LQnCIEZ42iZfgNStal43d6pbyN0MPd5l&#10;qsZv8IXsLLD3e2D5zpAEFul8Hk/CqUcS2KNRQMN46qBPCogPngtmEfUIbM8ppf3edXd+QsPIHQ4i&#10;tzvuLx6jfXtzmjJZwH+HFIweIPXX/IRTZqM44I7axPauTO6UmwzQCnu03v/wy6/v3hJrMx5AGXeC&#10;oSnPZfK1JkKuCiZyfqkboCRgAKf7JaVkW3CWalwGfMeHWuz0wIp1VTY3ZVUh6jj+Z1OHqAWv1xwY&#10;oZ6l1JIawvhcG7wOA2pp/V0QX/r+PHg6Wk391Sj0o+vR5TyMRpF/HYV+GNMVXX2Pp2m42GgOMLDq&#10;qin7HKPhg8ic5HCXZy47bJaRLbO5jEhZg/pvayIsISRoq1bJKwAb5GBsFDdJgcMMkOvWQXi/YWH+&#10;gCzGQAPf8cQRw08wtef5R3gKZFDa3HJZExwAumCbRZdtwXLnTS+CtwqJMbbWV+JgAczGFWuxs9EO&#10;wWTMVqjKuqcEzB4HM9bkUxXodcEazARUOyA/ZLIrFb+9/en3N+8gBd7//COZRraedrJYLdBs3Ryl&#10;wAO+HxzACTpF1u0LmUI1YhsjLU5HYZjM5lCxsJ74sT9xFaOPAwVLulpjTQLE+tM9xF0Uskq2kJrK&#10;rKQQEBGpPhYTLasy7VNPq3y9qpTj482ND382fcHloVglSAtVbRpMreaDvQMVqOC0CmgDInUMsYHv&#10;MXJxWcv0HvBSEkgFbkNrh0Eh1bceaaGxLT39zYZBPSPVMwF0mNMwxE5oJ+E0CmCihjvr4Q4TCaha&#10;esYjbrgyrntuGlXmBdzkSoSQlxCnrLRERvucVcBSnAAj/ytqzk5Sc9L3Mkvjf52alDpqzuN4fsTM&#10;CQ0cNcNJT5c/oWbL05y/wtBjuVqxqpKbQcXA3MrTLg9Z+hW0lKyu4PEC9ZHQKbRzWzuGInDzQGQ2&#10;jWnXhYdCYPlQaDaLOlbbOmWLbZ9D1gTFbEYg/74sTWErBhLRbuqub+SaNBLI55YPaB/exPTpVXdH&#10;rt0xJ01dRuDSqSNWlNU1s46aUhiXi/DKdHnEFqXY3nYSWOxdxlof8CZYynsLq1IAw+FlFUTuVqKh&#10;Y2EbdE3ZPu32uX+6IkM7sk/Orp4fpqnZrXdg6Ifc+P9nrH1bwcPTIeUeyfiyHc5hPPxhcPEHUEsD&#10;BAoAAAAAAIdO4kAAAAAAAAAAAAAAAAAKAAAAZHJzL21lZGlhL1BLAwQUAAAACACHTuJAKm6TCgyw&#10;AAACsAAAFAAAAGRycy9tZWRpYS9pbWFnZTEucG5nAAKw/U+JUE5HDQoaCgAAAA1JSERSAAABKAAA&#10;AP8IAgAAAM0p3G0AAAABc1JHQgCuzhzpAACvvElEQVR4Xu29CbwlZ1kmfuvs59y99053ek/TSWcP&#10;WUggBMIWUFHwryA6KjrO6DgjAjo4Ki4zjuPyc2HUcQRBR2HYRSCyyZKQkJCl09mT7k56T+/ddz37&#10;8n+f53nrnO/0vZ0ETd9Ep4rLm9N1qr766q067/O9e7T/wHsH+rdUB//OpDK+u962D6f2Hzc6e2rK&#10;aKuGI9KplNHOAGkLx2S4J+Lp4daJ8K22qINjtHWi0498rv/du+4A56ktmI0+ivKAju46nBnvJ2qe&#10;PjfeSKqTDvbjyDZvtjOg/WKILs2rtBtG0ml822zjKmJCO4tzyemBKFUyWhwaNbpkxVKjLTGWT6TF&#10;6dR5biqdxX6O1mjUNZMowxE5DT1K3++fe1Pq8DYzOQzSbGJi7Q4GifwR8oSOKC6RinL42MJZ2RTO&#10;6rR4qSZvuYF/zE7PYLQKRsumC/h2ANNuNzgfXTGDcVrk6NQUjh8fGecccPVUWhMNHopugJfqfTQe&#10;4984LIqwP+pwGnrZwreQk+9wGhqho5vSv/343jjBJexQvt7t3rcaXyOE42jCmkkndfpVwjF9tnN/&#10;eDqoWQPvbCuRTek6ZvD4A48YzQ5gT4pziiLclW4z4mxeeD88/aKCH15XEPiH03944fuqNzh+D8K3&#10;AQO2g99zKvhFd/jDiPiriiK8o/GD4Y+TR6bT/CHxc61dNao3MoryRst1vMeZUtHo0lWrwPb8oNE6&#10;f3npHH6cTbK92uBbnnVBqV9+/MObK/JO/+G12/r16L3BiJlUIE34znWa4h5/fm1cqMafVq2CaQ80&#10;eBa/lQi2u8KRZE6bTPAfWwO/tlYLX6coR755621Gb7j+eh7Dnyiv+LRb+MvkgRIA4j9vQS+3pFpb&#10;P1cXqTyQYrQdcRoD+LW3U/zMgdu8kXQHT0G3HG4dXqvvJ5fG+GleV8xvtzFmh2NGAxQwvbfPzw12&#10;nHaF5J8JBxIOnDUORGdCvBSXN5QO+CmnahQnpDse3mG0lBsyWq/gx53LQKinJWaedutbAjzz4c80&#10;3NN+3y85eyImgKYQzXRAuDjU6JRYwWrZlx+cfCvqLSPTXOronlJaEWp5o6UOlx8minEWpWbDcY+A&#10;QFBscbnYEZBlIHHrBJ9qC1dZuhK4N770HKOzXJU2ebVcEahY4zqNV9DyQ0vN+RFPU/LjuWbL8Ea0&#10;BGtUOTgxrVknOHCh2ObEtMgULKW13iGH9G2ed5LhMdV6BZ/zYEJd4/CsShk4ue2+e42+/OUvw5hc&#10;XjrWOTSJsX2viDAqXvbztQyWwzGsnA6YXHzEW8R1XFQz0kmBRhEmqQVkxEu3SaMWuDrQwY34GttV&#10;o4ClujyRrUMlotkp43byuNlKY8JotXKCn7GiFk4K2BPEC55K8jHhwEJx4IyI151AWgqxtPkGfqjH&#10;Dx4zOnHslNEcFRhJOy2sz/RTjvVAypFACJ09E8uzRryA2ZJ24Zwco8PBCA48ifxweEkLBIQ3RDOp&#10;wYIXaYMtjabVBOVlow3pGBED09yd5tiNNkEgDa2vQThqcm6DYzC3LFoO9OvkYL2oNTlCxhkvJUSw&#10;ECur0r179p4+xKPGJVtaq4YHMzsJRKqXuV9P3xcC1Pc4vjDNjRS8YJqav9tiyEBfMxHM63WMuXfv&#10;QaPDQyNGR8ewYspw2hlONFacfNGA07g50MU35WsQ/1IcxqUFj7rJUNHtEOU6A8C3gRSmceLUPqO1&#10;9hQm1pg12mpRT86An6XiIk5yCT7nRnFuW1cBi/oNM7hikyPXiWk1otzJiQOYQwp7BoioqTT1Pf5A&#10;pHMmiMcHlWwJBxaWA2dEvLYsU5CUVHuoVAzmYUybPjJp9Mi+w0YzlKMtCt1UFHsg4nsIf9YLj3h9&#10;JunAqtlV2GIJpOn20Mns9/ZvyTa3j1GQyhyXE87UZbkSglGSUdXJ0bifojbS7hCLzAwMWzkY6IY7&#10;jtwih6VLd2S25n5Jx7aQkBazBq/bzkDriGjPPGfdZuzXWbRnNt2y19XxeogXCZ77EK+nQXVoFE1z&#10;5TJ9HMK7XcO32RZgJMfptRsQ29kMcYkCvsGzcllMRqqs3BkyycpiKeWqQ7PhnXfdYfSKK67AOFlc&#10;SxiYz+Oz3p80Ed8t9aYC22gp7O9Err52An1bepd0sBaNrtqjtUabF43SoK0UkG169pDRyZn9HBBY&#10;1PZhw7UMH7OUTK19+Eo3CZbDQ+NGx0YXG83xKdT5DkzPThidLZ802mhN40ayxFjqkAPSKgOLt9Y+&#10;CeKRLcmWcGBhOXBmHa/rzKKyIVNbnuv4PJfUO+jTk9M3LawLUSW4DZeuUn4kfBdExwvFTAxonEts&#10;ooxlnXaCfvPWu4zeesv9Rq+88gKjN9z4SqO5HG75Ix/9v0a/943fb/RLX/qC0e/67tcZlSP7z//X&#10;h4z+/M//vNFf/41fM/qm73ut0TVr1hndvxd6xf33P2i0VAJmrtuw1uhFF12CK956j9H1G88zess3&#10;/9FoNgeUe9MbMb5cbe00wCQqQjVavnqD0SbZ3qaVrOVapyOeLLfyKcebnoOAvSdwFQgRNfFIqpM4&#10;vjpJDGzRUk1DZJqOdXvY+Ewwl9e+VsPnLMV/h+CjqIBsHuw6dQpWgG9963ajr77pRqM5YlqzRXNi&#10;imZAfhbuNZrAwA6dYFEGI7faMBJWa1SWYg97hoMXMuCDfG5DhTGjMxXAssyq9TY+D6Sgvx08AiN8&#10;awCT6URAv1SGqxUPiggZIsQL0UjopNeb2qprerhNeWvbxDSBs25KVtPYBhs8gmDkBPH0TJMt4cCC&#10;cuCZdTwpIbJb5rSknsEP+tATMN1EjFpI0+wThnEI09yGxzuKdTyu4x3xaCXrc9U8lzc/V94rwK27&#10;xUqIbE2Qah/+yKeM/tBb/43Rz37uH4x+75vfhFsmdPzF//6A0SXLVho9sG+v0fXrVhu97lo4o97/&#10;/g8bPXUKq/wSxPHAdS+9yqhcVXdQ8FemIcLFi2YLn1970xuNvu+P/o/RRUvgo8sWMZ8D+x8z+gs/&#10;96NGU5TNLXr2iiOLjI4ux3VbNC029YBil1fKoU9OxdOdWkI88UFPpNEEOJSyCItJt3CJE09BXcnb&#10;/+DNAzgUsuQb1z6iHQXlMNSmQ29eXUFnXE1kcgQKTuyRhx83uuk8QLQF5HCqdHblcFPNNtjVibCn&#10;Vp8wWq0AmmaqsCM0GnK1udfRP3BtklKgTOB3TTESaLBEM8QsTs/mMZmZynGj+SI+C0JTNEC3ffVF&#10;86w7++iWdHc09W3esWylOkY3ri0MEJOtteOWERmWyXzp4XNe8gTxumxMPiQcWDgOzIt4lA2xeuCG&#10;OCJehgvck/uPGJ09huVylrYyj10I8OTZIF4YPH027vhMGo5LsZ7ZTYgH4f1Xf/0Roxdf/GKjpyah&#10;IYwvBsKct+VFRv/wj95n9BWveJXRq6++2uj9937b6KWXXm70Hz7/NaPTs/TbZCD+xxcB+K6+Eqa8&#10;u+/GkatWAtNmZiHmlyyFO2vVKkDBH//R3xq9YOtlRnfvfdLoCBxIAz/y/bhWJiurJmTzKPG2OLbc&#10;aIsyviZNI0a8OH6IJtl5EA/DdjmAwamttZsU0qQFqo4Hn9xjdLgEJIwY0Ry1cKTsnykGQJerCuvh&#10;O0CUUxhHrQ6t7PCRp3CtNr5duw433qbrbGoGBsbp2aO4YBtH5oh+lTphiiZBjSP9U9GeHEqWxh58&#10;yM6sPWlq2gpArzUYRCr84dspHUxR4HYPHE7jEJH02cOPtVrrLRY6DcK7QrEJgvrcmidUmqdqhh4u&#10;T7aEkU/dq/JDsiUcSDiwcBw4I+KdNgXFHqb40y8fg2Q6eQDxKznKszQXwc9GxwsdGM8b4vWsmlJ4&#10;ejre4zt2255Dh6EVzFK9ecl1LzVaGobm8Bfv/0ujP/kT/97o7/3+7xh99zt+Ft9Sr/i/H/m00Wuu&#10;usbozp3Q0F52/UvANMrXr30NtsqTJ6E+vfn7odd96Ss3G33jG6FD/o/f/gujoyPLwMwsmJmlF+hH&#10;3gKrZpYuKyHe4nPOxTFDY0abRLwm83TiRCTXrHBCV68mwoXcFuK5XiNUoIqSo+NrgCj06AMw8NYr&#10;wKgc1culiwCzIyWEzjQb9N+2GcLv/ltp7Bi73aF9klbQJ56EjpcpEpoGAPUKZdS3HfrrlA+hENam&#10;9DqqYWnl13C2GJbqpQdICQxp73V/LA2wCviUq9CDP2lKjVMipFsRzebJO4mv1PsvOJzhakibJqzw&#10;nab8tArYSjFlh6zQtXzru0pvd6LjzeV1sifhwFnnwBkRrxuTFgaYUUgNTDJWc+YocM8RT8FslFta&#10;GodmHA9fdMHV+6mfbcTTXOI81DNeV0At3Gs1JXqx5+u33Gr0KupyhUFg2uc+9zmjFSo2Bw4i7LAI&#10;TWfgJ3/yJ4zeeRt8cTfd9Aajd9x+m9FLLr2IzMA0br0Vo1UqEOfXXHul0bvu+SY/A1EbNQw0NQWg&#10;UJLbzDSYfNWV5xvNMLdVEZtLVgHxUgx3bFLKthWS0g0bkqLCC8e5ID0sivNEZdbDMfk0AmKaTaBc&#10;amACF2oC8B/cfovRbBo3m+KhmQiTbDXoy81hAsuWImS0zpwVgUCa0S1Hj0GLq9Nees/2u41eedXF&#10;uBgda3JzEa1Nt+QrpXBWglU+DxSt1aikES6yXAJ0t2aYciFtSqAdZL54+IsyQtx7Jl1OR4o9+gfV&#10;VMXE9G16YchMKre+SWMMsu+0X1qiaF8IV4J4czib7Eg48Lxx4IyIF8lp0zX9yXnCoDghnls1KbAc&#10;VZ4W8TTaQubj9TF1vljNGJ51IG4tTQypM65SXqMm86wUaF8oAPdmiVpx1CXDLCR2GcQTpuQXCoCI&#10;6WmI+XwBwNJmFGizBXGezUNQd3iyy3f65RpMYxsdHcbxCuZgCL+CR5asXoOrDwJwGkI5VWTo5koH&#10;+WcqtaDblPbllQvc3cT9hAu3JUbAut1PbMO0Z+inZQiIO81kwqR/L6OLBlkIcmE1aU6UBy8ibfCY&#10;u+7BmC99GczF1Ro0PQUxyr7ox5MVCoAUe4WfSh3A4PyQ4nORTiXfmpsYVKBBed+yQJI2GQhqhubu&#10;hcIk93gh1LNhhmYIXTeSHy8oGOH7+0oVCPZDg7GOml+bS3Q8cSfZEg4sKAfmQTylLXfrbkj8698d&#10;ljkapA9n90M7jbaolhSZyNQhKs7V8ebGr+gWz17MisbvE2JnRrw+EKaykaFNrKLYP6oc1RojTrjl&#10;GS0pwaxSObGrk+qQ4icpfVNkmrITYnCgDulR9syDJlDIQ6VxhJ+q/KOtzXHqHHnJ6rVG08Nj2NPG&#10;yFGKISYx0KV5OfkwPYBQQRVKlA5q9YhDrr50gEJTs7uMPvEEtLKBDnT4jBLJOD0ViWkyP135B0og&#10;FCKlyMeUEjWYWpFiMmGL2JhisOt9991ndOuWLfxWpkUCbqe3rPCFhvJddBeMkeQmVCGDZFB1Lxyd&#10;zEqiFz+9Mgo+x7UUaNukXieEfIZNL0zArjjdlOqo24W1iKCt1f173NOHewG2BWMmiPdMDyD5PuHA&#10;WeBAdHD/r8w7bBx15pF4njarmnbU9GqnAAJHdu03WuSCW2Yyhc9Rl3HM0Y9bwKLCJNrONuLNVeHi&#10;C8fiZk48wekHdJ1d/oVUpt7WoWB2pOJu+XDSXqOOSwD62XzJQM+PVhMdivk464/hIO6bkq5I2Umv&#10;kXS5+gBzGs6/3GiFnqVGBOz9zd/6A6Nf/xoS3nBp0htvvM7oe3/5HZhSBxbLmdlTRgfpkFQ0iYS0&#10;pZ3jrNSE0cd2fBWD1xBxEjHvTsWzhHiRqhD4CoE8PGOqvrRKKrTERjkbpxmqOnlyyujmTZswJh9B&#10;rYa5ed6D4mC8Yh8uovB/DOh+M95iGzfirmPBprL+zxCsoxG0zU2RCb/V5zhrjs8iMMjH51KJ5X4P&#10;evGhcbznv88Z1CsScH+CeHN5nuxJOHDWOXAa4ul3qMW3Q5N0hxY9dRlVUK0T2coQ3vsehlaQV/yK&#10;koK5NVVewhGCq3/uz8ypmng2ce8Mpqp58wbnoF98ciib5ke8NP1sMu3G6g3VKq71261ehKHi7IVj&#10;iipUzRVtQjlpd/GRmEWDulwru8joms2XGS1T3v/Qj/+M0aeegi6qLGzwWSsLJoatXwvT6Pv/8o+M&#10;FgdpY2RcSJNPM6WokQEYXU8cR6jNwcPQwVrtk0ZztJh2GKUpvVHPsD8Clgf1bWKbEA+fWkoX1GqI&#10;N3Ls8Akeg/2LWHklTwNvhlqoNMbYLClzYhwIolRAVXZrw0qsKTkkzqnhG84r1OTD/Wd6/cLaZNJG&#10;n34TvIeLLOFeiHLxCGJ+siUcSDiw4Bxwq6b/7oOcgq5gk7Kn8AghntdrquAHvedh2DZzVOkyNK9p&#10;k17j9ifueeEi3jya3jNDpefyBaXdXS5LzqVpppMOQCRM00fXolewQ0XXa67QVWURQEamy1B1WhEM&#10;xbMVqEOqfz6QGjEyOLLB6Lmb4AqrDwDKXvddP4zPTYZ6MOXatmKuF4kyNAi8uvlmJAp2OGyKkSgy&#10;uqZZcqs6s8fo3ifvxecGMgZSLIyleBFlLajSXIx4epKni+w4Dkms64n/RhsYm2Kgaa1O8O9AWZ1k&#10;8sfisVHsUYwoIzw9iZujDJBpwdbTuATCvqYInmCfay0485+DeCGOhamkPmag6s3FMa2D+r17CeL1&#10;P9XkXwkHFowD0f79v4ZfpFwjMr/p96mS+t1NLim1BGCOgiJXlJsnxPPKK7JqBogXDhPqeGdTu9M1&#10;nxm4cFQf4j39cv50idYOCkK69yZDu9YADInS5cyuB+ZQo/N2JbSFVhnk0WBoyKlZpnoMUqWheqYk&#10;tHoDcj2XRULA+RfegNEy+FxjZf87vv2o0V/55d/DHrf8DWTp9opoCfzt3/rPRq+99mIOiAvJL9di&#10;ga0MCz8e2A1z6LFjyCHIs9CLpq2oFy9+LA+tnJN9TjCK83nCEXuIp6JpTeWt0/mmUs1yXR47AX1v&#10;ZAgq6+gYaKOFWXng5WmlLL3es3QnMCMOviQ46+3tBxcehO2fh3i81Nz3JBg0HD+eg34Dc94Z/5V1&#10;p5Z8SDiQcGChOBDtO/jeea/V0/HkhpfvicimrPMDO/ZCzEwzcJHiNuOdkPC5TRkpb14ocuLqVxIh&#10;C3WX8wmeYGY9lOsz2c3V/fp6jFHYKwdZMYEK3cgCTGZbcIWpwkctbqCFPWyX4wkf8un1wi0HKgzn&#10;jxgP0qAtNJMeN7p8KUI9li2/iNeCGVDhIANpQMQTTyBP4otfgAsO+/jVq155vdGNG5A9MECsy2Ux&#10;SeWGp6jdZTJYszyw/Us4pI0oTVXO9CWAm0npu/PinzJ3KzyXn88gzkMdT9nrcnVqf511elKs19Lm&#10;CBOsa6YVyvAo9kcpaqH9XbX0dNxTRy+ob16U5exZCgn4vet1V0m9ffN4NMPj/XPP2Hv25jrPZZNd&#10;CQcSDogD8yKe5Ersg1OiEX/bCnLLEdl2PgCtIEd9r8MUtZziV7gJ8WLTH68k4PQcOXz+l4d4urcg&#10;v8tFOxGvSmtvOwNj3ak6lgMtJlw3VLCEx2QZ7thW+wHmHFQqTFEjHKl5YoplKqsVurkWwZK5ft2l&#10;2J9ahDFZCEyVPGtq4sOHkmHVTRygPhbksxLZsrxQtQKsy7FeZSYPDDxy6BGje/ch0zyX5eR5C/7o&#10;qY9JMMuTppaRCrjxGEtP3teVtUnrA9UTz3hkBzU9Krc5ugjVRqLeILDnoLh++y5YVi+5bDNGoblY&#10;bSSUVcehZdUU8AptiCHBUiuexkL/t68nkV/8TPYC/b6SLeFAwoEF50C056n5YzW73nqhXJP+HFnM&#10;2qwfvH/HHsgdxqq7jhd4XTxqIbBthjkKC36b82gj3Tn0l+J6eqtmLHnjk93ERzNWlW6oSgood7L6&#10;JBiVUekRbLJntr0ah0J5WHRE8pwqdDozYnRqCiBw9Utew3OBforSiCL47mpkeC4LV5hrg9Qbu/0M&#10;Y32MQTOKEyKVjtdhPZV8EcrnHXfczKnBrpimauqBpnziciEK/ZotIKQCdPqTtXvWS37lWKf2Pd4Q&#10;l/ZMRy3vPsslgPdFwI1MTOM2K7y10XFel4iXk301Rrw+DZw8b5/mIdMknsuNawr5Zv1aNOx7Hyjd&#10;/unoFfr6NJfQ5umdpJ7LSSZjJRxIOPDsOJAsNZ8dn5KjEg48pxw4LRE2MI+qITAUdCwvm3WAfo6p&#10;jbMnYQ84egAFbcwEbqSgDkl91nZ8GYaMabTn7Yd+hoYqmPY8iSRnWnDOWVS0aPWmUanOdVE1jaXm&#10;8fIeo1pqyhXuRVc5QFuBY1pH0VJfYdx5Pg8bw4UXv5rHwG0wwK5XkRovsn5+pNU+oxsUzadSdop+&#10;xtZdmcVxag02xMox+ioyGxAWdQh7ePRRuM47LHCkhZ9SXcMaFln1CWMppLSqKoQu6vCJ0wHglidv&#10;CUYXgieN4jZlaFFV2SgFqlDEag1r7K99Y7vRV7/2YhzJmLuMOpnFQdKx84bX6fNFPRsFAWd959vT&#10;LTXPtOCcr4oXzULB5Z+3H8J3zoLkjIQD/3o4EB3c/asQLe4hlb2Y9ui4ULaEa45itVmDXDz6FEJp&#10;y0xnzDDBJMu0oG4WUFcgPd+IFwrCQMQ8TVpQUDJVDznkRrd7BveTL7QBdJiu0qSlvtqaNDpRh1O7&#10;RkuGSovHmZ1U02mXV8mjDn0wVVrVr7nm9UZnq3Ca5wtAP1lHGg0iG4FVtnTFo8s6L/naNa6o9r7H&#10;T7ntQw4AIIxQSxj44P1wJHQY3RbRSZDhJeL8JoV446xcAd+2iHsqUqTLtdjcyy/NaQh41dVMk5dj&#10;KTXAWk9NWonE5DQMPIrLaNRw+3ffDXfCNddegG9VAtCNEt3nyPtR+pXDh8we/1zEC8vCz1ewCJed&#10;u4VLvPBbD4wOAC7EQM01Qbz5eZrsTThwVjkQ3fWVH7MLzDInf5BNhktDEEsr16zWhTNUDuoVyLlj&#10;R4F1UycmIJOYwKnwMQuO4o9YZQd6W7gQfz5+6N8J4kkOzS2K6oVrKLZVtU4+YlYQUuSxtbfCZypX&#10;5TYQb6YJBbjWhjIcUXHyot9UlfMFZsfwWvQFmPwG5y+89HrsaSzGtbJQe7SlpWjVCD4Ek1Yd50ol&#10;83ZT8cEqMSQRW61hAjm2E8lkcKU9e/YZfd8ffMDo1Ckc8/Ib1hnduWuP0ZN4vAM3vPxSo/dv3250&#10;miA3Dtf9wHe/EfsjLoEE49MsdfXNb8IR/5Jr1xodHsHLo5JH7ilh3YrDh7E++uLNuMowtdfrX4E4&#10;uMWLB43e+U1g3atuvMZorXESX7OCvffB6kJHsFTpC0r+ZyMerjj/pkiAEJ/AtKevxdx/vN4WbHJL&#10;6EeRIN6ZeZ58k3DgrHEg+tYnfsgGV32+FBffDdrcGrEHPU8A7LBriSreZYhyaYUFUdPJqvgfP4fb&#10;ggaFzcOjZ4d4QTC01JJ4xd873cvUUu/1BoXsGJxhHk2TuZ4qwtdIAwRmGkC8chNi3kOmyB0vFlgN&#10;/dGYd5nKc5QCFgyNrDS6fgNVHcYk1Kk4lYpUs1X3jqr1rl1PGl22bJnRwWFHyEhF9eipP3YKsdqT&#10;k3CRz6hXIzNoO/UVRn/tV//G6K/+BoyoqgP7337ja0Z//dd+xOjxo7iF2771j0bf8kMvN5pjUNr0&#10;BBNqI7wVGRa3/eznEGZ99Us2GV28BLeguoaKHa/UMfLEJOgHPvAAjgGiD/zkv8V177nrq0YvuxBh&#10;YoMFmn9l7aSVVclloZ2W/8am/LLYwnq28EPYlQlKuLdUJVHT84qJmI8v6Piw1ae1v3dAb4auk3fv&#10;JPmQcCDhwIJxINr+6Z/EL5jhtgI55fLUWSMAP1yFGlGL87BXJnS0qK4oBqrARlJzEU8jPH+490yI&#10;NyfxJ7Zh9tl1cePCukDf8x4dMhI2FR7N1Tz7Kk434SibrgFq2nRGqdp6WMnHDYNkYCbIkWlTvnbo&#10;r1ONIOl19QaThlT2TwuNLOOYqXnWGceHTYmwzC1KU69rNKHpdSiU8+nlRk8dBe794R98zuh7/+ur&#10;jDZ5C488iGnfc9cOo/sPYLD/8sv4tjAEVe+zn7vT6CxQfOA64tumdecb/T9/g3Fe/11bjY6MYul0&#10;553Q2djZcuCKK4CumzdfbrTeGDU6XcZ8/u9HP2v0x3/0EqOLhwnsLPKXckUIs20yzq77/khTUpVb&#10;1Yk8+4iHK6aZsyumt+iulLbWkm7PWcWaG20B6hujWpjBZx7o29nC6PAayeeEAwkHTuNA9MCnfgq/&#10;WtZpF3xlJV/VtDY24Gix7YAQWC/P9MP9TjPtn8cH47CosgKObD1tdZ5WFWr8KyaoDbIcVsI0pgVN&#10;NaBczTRhoGuzlEPEkhDSn70ArhdO7I3mzRNp8ZLZUFUVdaCK5KpcksrCy7+n8Gsvi4SHhHmo14pU&#10;0BSFdKOBPVlWkbj5M9C1tm+HKfsHf3iN0dXnAgnbTQQrv/8vbjF62WVwJ15wwTqjY4tljmMxIl66&#10;1aSplu7Hj3z4HqMbAIED178cCOadGTkTjXnv3SgfuHMXGPIUYHXg9W+AKnvhxUjVbVcnjBYKvFmG&#10;43u3UJpzPYQK1+ZKRIgXNtaaEzKFC/Rv86Xt4IinLxURVrwPy9R6twL/VXCl46ZXolwQo6LxPUMg&#10;6KCWIN7cZ5TsSThw1jkQ3ffxn+heRKVCZTdLqyEF5E1PrGqPN6qnr0YKhpva1MyK278kxJtTq6dX&#10;QTW+k34dT3zB7atXo2Rhmyv+ShOKyjQRr84UoQ4Bp66+HFSjfTSGfWSkkqmKlPM3wFvvcU2vHRHV&#10;dQqCiZ5X3GTYv1ZPKUVUKp1HamFLcZJNTDgdncOheNEMrJ1qjNwigqncrXd7zGIyuRyDTulb0xKA&#10;yb1mXIVtM5cFpmkaqudbZtLt0kXAtMYsrvKFm28zeslFVxldcQ5Qt5MGozI5oO5AhGWCNz9hOpJ3&#10;xup68DhdbXFsrfvGMFSgqz+bArXBYM+qOJL6F0hnS6v6PZc3KTmxA7yVBtjhU5ZhNsZJLj00f048&#10;QbzwKSSfEw4sEAei7Z98O36XvJyEmUAsHf+Ow07qLqpp4ZR3Rc0HvQOgqvcEP+u5N7GgFs4zZCSc&#10;3lOiD/ForaLY9mLsvMGUirR7/GpPWmkoKVRNJsJWmwCQausYRlCdVvn3CAipLDgsnVDtprKql0GQ&#10;SwUaZhwMSRbygt723pUS6hXCSZ3lvSYNQnFwjd0tS+yGqcclxFSl93abF1UIDiev4BgtWepexBZQ&#10;rLilWo2oSGU1Syu3zm3W6dFNEfGYPNGRC4vVh+65426ja5cB99at2oD55BYZ9Z5nLC7YymBR0M5g&#10;tjL/KgkjRU0yy5nPGxIplIttjMz2COJCOMO+7Z+m40WcTKaBZUKWhYPzdYI8P2dI9UtpEd+aTKqo&#10;s7JGLduj2h+3fcbHBPHmPqNkT8KBs86B6N5P/uhpF/H2trEtSS0ItTBVpr2XOqXga6u+nSiFcfhT&#10;nqvpnRHxzoBOWtA/+7PC48Pq2fOOE0OfLkEvDUPvFeJY86ro+FaeNFG3SXJ5X20B02YrU0YbLagr&#10;CrxoRfisZhppZhJ4ogbjXdTQUTGcSv5QumOeKSAR7XVes0h4yOOFeFKE5PerVoGxpRIAp5uPl/Ea&#10;u1IUeSFqTQ3lxZHPWQbE+FMLe614zSVqa/LnMmIpk8HdeoVHtvUSfrap6uSyiFZRN+mH7of1Mstc&#10;hEvOuwjTozqaY7uSDku4e4PlDBEvC0bNDgBRvUgfa/UKTHKs7CS1ih/IB+pRihppUO1s0l3ZzPAz&#10;sUX4o5VcXA7QdWCMELxPcWsRHB1qcfLdZRu4kXwDBt58A3zON4h7pNkmnkLclgRXrLMISi2H96dK&#10;Wi7g3ajmgH4NzrDNmSeIxweUbAkHFpYD0X2f+PFnc8WwB1/4+dmce+ZjpHxQKsdSrbtH4ipSZ92+&#10;EBMJC+k9p5u9ImKyjpcAkxxtEyh8f5xq6KDOA+pKze5APpWroC3qbFJ7FNOj0kEKutewTWKa0FKZ&#10;DU0CgnRCoVCeYT2Ke5A+Vm9yxc8+HpH6NsqSTFmel6LFtIU2kU0wpV6XZyq523V2ad0RB4j29LGI&#10;cBEP0hO4HRWzkt+PiCflVpuX5VcJWuKk5u7wx0J9R44dNzrK7tDpGkZeFCEcc7DB0NM69LoWbZs5&#10;hnt2CFOzA7Bqtgtgcp241yDUZ9pSqBBbU6xhTClX+EDodgNsGhhSz+DECj/XBjHsqRwm08xjf4pJ&#10;fSmlU3DYFOFX/GxoscGxvcpTA9weGhjBpatImyhUMY1sHdPIEf0yKjQsZlJxzAReO7Vl1lvRKoKe&#10;ykDbn8qdwGwHMasq6xIkiAe+J1vCgQXmwLNFvLMzLSEeN5qPHP1cesukJV1Fn6mMOdZpyS4HSzA7&#10;Px574q7IlPpusNWRLm5ajM7psG55LYLKcWIW/rfYBkWwJVIpTsVbjtB4q5YjKmgoVJTki1PI8Nkn&#10;oOhKwohCXrPMe6wHUS/SGztEyw71wJzMiUEZOYGVKptIbwktdd3PLcd8HBYmVgvxfLWgz4JFKpBt&#10;16VlpKVqpL7QxLpcG+I/RWHfYczKgacOGq10IMI3bFiPm6IdMj0DRi3pLDFaqAAucmUASL5D+6pb&#10;b6nEZmkETkMRarpVUzcoHQ9XLDWZmkiFipfGs2AijWV+ADDtCCOKK57KYc/xInIK60WsWQpFcLJW&#10;xyTzTKfoUHGV/81VXLniuL9YhxZXIsoVZkCHWoDrTAO3kKXCObcus/Z4JBPnqUfQYsXEag7vVaUI&#10;4+1kBrhXY23FBPHIqmRLOLCwHHi+EE8CO0Q8eZawuacqcK+F5sdYu9Px9D4paWDO8WFpVzXTlH9J&#10;tdMxAfrZ6iy0Pts6aXSmDalZYcCHF5llJKTHZErhZG0VmfgUxKMJt2gATLltTrPDHmluLl8JTFKW&#10;OlRrda70QylXbeb2K8BSBUu0yaYnqi2sO9IL4Xe1tweJsYYsrZh6L22MMYRSoyP3airPniHCeMYd&#10;QKB8AtN77P6dRreuf5HR0RHs71C5yhAz84yJyVWxf1ENGQnpMo3AXMt4sjzVKg9/pXHPnyx1aN+v&#10;xjgpAFSTGmNaiq79k0hSpvX4JJt43nMfEiYWM8Nv38Qeo6uvxKWXbAZGtbN4ss0UFUhWuFFFtqzq&#10;tTFyKK1GaHVMfrQN62WpSnwrE/06Yziy1nN7YhbY5eq+JoYdwXPXR62J0lksEGrs9VljmE49DzRO&#10;EK/LuuRDwoGF48ALB/F6bpa4aFQPD0PRPhfxoPdh6zltJEcbDGNXAbVMq4eopqyIwZKFsy3Izsk6&#10;7U7MH2/RJtlmsdAWIaLDKqMyGLYZvtimpldimp0cm8okcIVTFWloKlQ1ckWWpBiZ6dl0tNFlFG/Z&#10;BPYqqFL23ZbCgNT6y+2ZoZQUfDFmpd+yK5OtN9DuC8rh9Jjsp4AMgWeOCo+CZhTjosaRM9TWnngM&#10;utyGc7caXbt0jdHaBGBkZAioWKtMYBzOJVXHmMUWzYAT0NCGs2NG68z0y+TpS1SIJzf5h8UK3WCb&#10;TFZlAwX3FAYBO4dPwDBo25e+8TWjr3rta4zmR2EyrVbxBHO0M8+0gCSH28h92HHkYaPrtywzungl&#10;JnOqjBVNvsBIFGJdronPBUaiZKugg02MmSNN1+lCpF6X9UAfTlJGBC9eyndD4OdPgU+QqxVvU8O3&#10;SM236wPEPQbrJIgHriVbwoEF5sDziXhuq+QdR3KwaBNcBJubLcOFNeMbYsFBIeS+O4gWBV2oCIo0&#10;BzniVFlEZVFsq7Du5QyjK2fZErlO6V1XylkK6/4GAaHGPmTy/DQpn1XycYi+OEUvyuap0Mc89cAW&#10;a67kclRgaKuUXU5CnblysWNNpkjOqkHEE/pp2loCKC5Rt9x20660xF5oEQ/QrfKizDlQyrYCLDwg&#10;g/ifbkHMRzW5pyDmMy3czt4nYNpdNAJ8Gy7CrDdxDLbHVYy6LJCrTQb3ZHitYh6MqpVpjGXp61KG&#10;cFSmxsgaZ4/sfNzoIGHq0BEYHg+xOusKjinnmNxiTYbjKI1j1Xp8O74Uc8DGS+cKQLAO+8M5MOax&#10;/9gUBqwW6C8dBPcaHTzfJ/cimOb8SzYbrSvWR8E01O6GWgDVHI2uSi/UGqetYm18Rjmadj0m01ME&#10;ZU4Po2H4BBVBSj1Q74Oii4pyYMpcTCt6gnjgbLIlHFhgDjxfiIfb7AvCCO97jmYiKIhX0VJven4/&#10;+friaBVKekIK5ZSFTdKQSEtmnTETM2xvjw8N2jNZG7OTh0w6eBJ7dj8FpeKpI8Ar1sjy6iZyITYJ&#10;IALSErXBDjMPlB0nxBsfwfSGS5B5K1fCVjZYxLdjw5CsKUZ/ZImBecERsVT9h+UFkix3B1aAeCq8&#10;FctaglhQAwsToLh1YykHz/IAxX9kPS6EWXn0zpVSy41WJnHRO792u9HX3vB6o4ogaRN/nzoIxWn7&#10;ffcZfc2NNxot5KnR5XA7DQXZcMIC83u+/W2jS5cuNbpqzbn4lkBhfTFxgz3HqiNwivAV1THOYBFj&#10;1upA1A7V6W7cUooadYPVZYqsO+rp6nwBylyz7Dy8z+iGF63FiR3GRpLPj+x80OiLzgPuDakjhRqe&#10;UTXNqq0nEUyvTYdKqby4GSqfwqiWKg/IqB1klPNL32TV1Lktb53J58tz4zoD4RnJ54QDCQcWhAPP&#10;J+KFOl7/zfa0lLBQfl9JKUc8nUeIUAsBhXS4CsTgD8rXSg7HTNGdN9UAlNl2aBKWrh37Dhg9cGzC&#10;aCMNJaRBidhxFZHCmMNmtEe4x+hKRxaG6rvFkkiotX+rifV9Tmt6Rn42G6eMblg5ZvT8NQjvWDbC&#10;CPcGrHNRjTEWvM8i2yi3VGiaezy72REPc4hhDYd4h2SMQjWStlGFF+brAIdCFZpStg6rY5pxIQMt&#10;4l4Hn/ft3mt0y4aNHID8V+E5gowKwOiWs3lM+Ml9+43OVnGt226/w+j69Th36SLA++WXXGC0zSqs&#10;Kc2EnTRnm7jBDlcfKTlIqfTmyTD5FZsNAJR8rYretLUEaDyNDhEzxVRAZXjUaTFuMNfx77/0WaMv&#10;v/F6o2Ml6WkYsM3RH3sM+t7m9ecZLRGuzXeJcZS0oefOaXgXcV2YFmZtbVm5A0ty3BUD33oxda6S&#10;6vTjZYcww1n6Hpt8EzJstZ3oeF2WJh8SDiwcB55fxHMh0hUw/fctI5426XU9MREnQVEIufjpHe9F&#10;oKjb1BissKcGlLt716P4fBi+KdtiGyZkUpWWzDrDNZr0vag8toqXyCapVm8qsyU5pwTFjpK71WXJ&#10;q49JjtJ3p2wGNuvJUJ8cpFk1VZ8wumIMo122Zb3RZcNEzhl4FPOMcHc1WP7DQMrq9h3xBAvehs53&#10;ZtiXp1ADyhUqQKF8GQCbYjjiAKMfO7QlHjoA/W39ubBh5qhTpSngBe9yS6qcWYZlPBsE/6YKgRIJ&#10;a8TGL978RaNvfMMbOIJuEGeVaByWYhPkBtike7poWgWYeS336QnYaWSu1Bh2hDrctD2yIp7Msyok&#10;02F0yDRjMu99BIro5ZddbLSoqmR0HkY8Ro7EnTufMLphwwaM6WoquF2Qpsf3yJtBuY+ST9l1eyKe&#10;19jk+Ko6R8VOEZuyuCo3ZXIWq6qd+3cZfXDnI0avfulLjSaIBy4nW8KBBebA84l4Dhq0hgkuvNOa&#10;PEUM5tAeSV8FQ3p3Nc+z5h7KXZkZBUEarU0n255JuOk+ee89ED8auZudQBNclm6o6RpzqBj6rqpS&#10;kknSL5QVrs3Bdo5FS8a3vrBS9+rIz4Yp5ZRkyF4LWZkcWawyy2zAC9aOGb1sFeR6roNpR0GmX+iv&#10;U1Uyr6nM2SokEjsZdphnJlupDItlsUGsY4LZ7bcguHHl6nOMbt4IVSfPbAO1IlCmXIoXDUtBSmlt&#10;K3OPfCnz6bSZVPHIYzuMXnLhRRiNgr81C+Nw0euiUZfjFrfLIbR5oR986iu8FbS/U3XNp63TQ/xp&#10;EmeITg/tRMzK+Vs2YTKKnlVHEC+SIM0QdNfe3UaPThw3OjwC3f7cc2GALVEd1QJDEUtKqnj0USyX&#10;8nyppO42yajztiB49fgJrFMOH4YvscS36OLzzzeaI4uEfhEV1yYt2AnigcnJlnBggTnwvCIeJahX&#10;OGYQXZPL9xZFlAeCyEpJ21dW1V8IQarbUePqP6f0Np6rTYv+MqX4Pz7wgNFtjDCcZNy9giqxccAa&#10;jW/FQQBC1Q2k/NIlrfSr3uBxNXwd070mgIz/6NG4VLT0MVBV/FdVSm+xpMrQHbitRtNAuTe/FLrH&#10;IFuTpxh6IptqmuEmXpFfyCmliFa+LJMDcCNlaHTjA6txyhR0vJ3bYYG8+PwrjEpb63h3WEypxGEF&#10;nqojpsihvuLHVM6EP1U6IQuMQTkyAQXm4IFDRl+0CYI/rWLkMgLLsRkYCTVDWaHnqyqgLwNd9vQd&#10;Ibs1FPWrAb0AmNi9D28zeunFFxotKp9DGR6q9Sb+U+uuE3lkK27KXxfUlc1Rz9eiTBFLhQL2NPyV&#10;42ciqhZZYRJjkw13h4tQp9v0OmalARJp9cIniKfnl2wJBxaUA88n4oUVqWWe8jYAgQOtycWx0qhM&#10;ycMxlBWNJmBK1SBdfCjwn6KFViVzyuHzXXv2GP3yLizoT7pXCtLaNuV9DzDv2xMalGcgEal6iQqW&#10;54CxvNVFqV46vgnTpHdRtvFQ2b5kYlXxmAxz3hXkkaJqqk1BlWNEvO9hRtniNMyw8FH1cFKAL7WH&#10;iwL1EmLsRYEqnG2jFeh1+Vng3i3/AM32+97wg7wGDvY1gnLmpTPL1Oi6bA+uI0WiBE15ZOCtEa7V&#10;/vbr37jN6Ktf/TqMwMlk6X6ssuyaV171OA58q4o4WhR4VZhYlY4H6C4iqJ45x3250YcSbuLGsKqF&#10;o4lNVrG0WbJkMU5n7TZp125zVn03rRRUMVXeROpsGb4e3v+QZ9U5pgywWS3K2MmwlMcrJLOw2mYp&#10;3iiT423y8TeU3EjjgGyeKfWBUp4KdidbwoGEAwvLgecJ8SiuqlzsqvJ+mwKwUhe+YQFdq0PYD5VG&#10;sZ/dTAdLEDnVMkRanlF/EqYqMjlbwbn5AiIzyhRCacZYnCI+ve+zn8eYJXw7kCXFYTglTWHvVcOo&#10;OgrflP2tOJV+xOPJrtHJ2kk5ymIhcRKArhBsVJwyjB5Mq6MddTMhWIt2zhEW3rrpYoDV2jHCEfen&#10;vXhpOBrOytCXpYyyYap2+DCNJLTOCfAqx4JZQ8Uxow0Ce4argDxFb4rT9tBEQXqgXsUmU+wX7slu&#10;PEsFRhr1waeg3W2kdVQlZ7zsJ9MFPOk+SKKfG50b4x6OF5M9+dAXFD1fn30VF9chWqhvATe5+6Yr&#10;8ONNVqEtj4+PGc2pChgPF0R7ewbBe9DyUaioMJ2wbYPsmVqalFk5VPVytExolPHtIMt1e3Vwpr/U&#10;+NTCl1NeQQXAyESfIJ6eXbIlHFhQDjw/iCeP0P6DEPAf+dinjZ6agMj5wbe+0ejXvv6PEDCzEDA/&#10;/VM/Z/Tmz/2d0T10vNz4ysuMvuza6yBC5P2j7HtsB8IRPvUpxE+84x04K8+ldputww9RtH7oc8C9&#10;MrPFbNt7DFkIgsdzN6432lAhEJ2og4IccO1zn55XnsYhavYdMZxfkjhOoscOb+RNEZ6mDTOnrL86&#10;RsvRL6QaZIXqYaNvvnaN0aXZGXwrlxoVBUVOaBMs5JhQp8KVQxWkAthWmoLX7gg70a09BwZSmf46&#10;lLd5dYoFa+PYFE6+qYKQksPEqLTXs+HleA8t7lGW4+13Ij7zqpdcg6+pCBVZFk3BOm3pge4648JB&#10;SilvIcQ9jzEiAPQFQEq3DJvgcSKcXw/xFJSrpgvTs+DYXdvuM/rKG15hNMPQGWVOyssnS6bSxz3i&#10;JKgNp/6QYrO+TcmIwLglGRQaKr7GW5MRXlbTrPRDRS9pFSOAU3MRvaj+IPQ52RIOJBxYcA48P4jX&#10;Uoo3K+zf+i2IqA//7a1Gf/8P32O0TMPU7/7Onxr9zV/7DaNf+dLNRpcthVC54nJEvg9RW5MxSoUT&#10;C0XoM//ll/7Q6K/+yruMFlnYsMP88CkKpGOU3L/6vv8lPs8yy3jZmrVGB8ehTDZYc7+lHkBBLztp&#10;We6F85B5inapRt7FDqNJbqdVj4xXaQbhF2nFrEiVorzMCnB4CxsWY5KvvQTYNci6kWlV9VSdD3VC&#10;ZbC/Wgso7WCoBogrMTzFttwsOHNgFyIwN60D4qkxQ4HI32aATpaTzCnElCAso19LYlu6FoWyBx8q&#10;N5w3UiGa7Tt4wOg556zEVDlyRI3dHglGptbt7SJcb5SYDxGvJ/RDRVp34QuOvgrirj976om4qkkS&#10;i5TyN1vDQy/QTJAn21I03irEVPijejlhz8PYpsunTDW4TWdymwjpz4vTqnBtokrhYRk7xcfIvppR&#10;9rpYKqelR+1K3eQIHC3ZEg4kHFhQDjxfiAehUmFK1R33PGT04x+93egf/PF7IR4YmP+hD/0fo8Us&#10;HDL33v2A0T/+45+FqGDUxe/9zl9Q5IBZP/0zbzM6ODRm9Fd+GTj53ve+22iWDcr+6m/+yujENM56&#10;89v/ndFf+L0/EY+3XHOt0ScPIb5uho7BNeeda7SpHq60cErhyagCsZczoSDl5m0kKL9aNGN5lAl9&#10;ONI9BCPahHh5jp9VQRTm7KV5U5dugkFyK5W1Mdb8VI0WeQjVcKdQgxG4WAE+K/kgR5phq3Hbvvwl&#10;rB1ufMWNRgfTUDsLVCOrMwBVutkGGJVhds5eNGzcg45TpdhWuRfpQ031/SUU7D7ylNEak83WrQLi&#10;ZSnOB4lyTRanyWYwGalAKh7jWBf48ST0tShoe2m00zW9rqLNo+ISBH6SEA9bRwkTfBnuvm+b0Usu&#10;uQRT4sJK5laZYYVmskjHyKanyRG8F7LspdTN+PSV+V6nmT1PDkrfbtMr66W4Hdj5JjDCM0O2axNy&#10;xpbwePTu18mHhAMJBxaGA8894rmgfNrpy6p55Dh0ub/80MeMTsMiNfDuX/w5o9kiRVQNI/3qe95n&#10;9Bfe+WNGz13LdCkG8mfZfFz5Clri1+iQ+r3fBxLe9F2IpbjoovU8ngt682mZjM8gvONDn4fV1LYn&#10;Tk4ZfeQQ1KE1WxiqP4SJMdjdAl8wAeWhq65JvC7vSa+wWak0PazqIWVpN6QuIaksJMxyMnl2scmx&#10;xtkSZqCfvxl65pISrjDWAVsyhJRIWMf0uSKb7xRr1OuYXJetAfesGL+RNguE2Xb4KAB8+XLErwiF&#10;IsZnCvfkyLJKL0bqRDyVQI4DUKWEgEg1EuK1GDnUzOLbbQ9h9bH1QoTet9WWgMcwlc+UUk5DreEV&#10;oEMGxGZeMeP0zRFPu8/QKRHfBCpf3BaKZ+ido/PwH2gSv/ZarGWGGZqblQbOtYM3k3DbI05S9W6F&#10;RjXJEDng5HkTarEWjHtfY5cmnyxv3GelpYGMsVrj0E+oUNU0barS94R7iY4HViRbwoEF5oAh3o92&#10;L9nX4/tMTaP7JxgKIckd2bLm9oLVeS5ZfenMLGavCEbTkzIMKDwyLIAxwNj5NpsZpBjKmMkqmkFh&#10;daApyteKrGqMaJEJSzWkFRoXcZE9Q9dZahBKkW1TWQDgX37xK0aPK8GMyo/cZMq20pZmGrXbqdrU&#10;ytQ0nLYsRfdlmIXVZDRMnh1hc+rPxpCRNPu5ZqjLXbARqtGWdVBf03XgW54TLsorxREKzJxIsXlA&#10;sY55DtehAZYamHw0DSWqVYE8/vrXoNRdffVLNNUlS2je5MSyxBxlMAp641BP/NtdVR5cz28J714v&#10;jBZgPdMyLZ8TzLIbHATAZmkRzZHD7vGT40uKWBBWEjdnnx/rNOdw8zqo8iJ6ZqbCg6AKd490k6lg&#10;WfoYC589/tQ+oyvXnINJUteSCVdPStq2V3BTV4M4vR3HsPGt8uVy5L93RORF4jZVtDMzylfOTyXX&#10;56Q9Bg2Sxbx5el3w9U4Qr/sokw8JBxaOA9G2j/8bSIu4kBOvrIV+T7pITHQnFR4cRxtwOcvFsdKT&#10;wi1EP6VOa+g+N7+HLPY0xJQSoqgztAgauRJES51tX9pcRrflD6R6k6LAa6oDmyptqp2aLiZ9RpY0&#10;2txsO0E74YfvvMfoAUbiyekXt0fVLHHKbIXWRcq5fIEmvgZAOCtzH8/V6r/IFfxoHhCxdcNqo2tW&#10;jOP6LL3MAHfDQHweZLfuNHU5r1XM+WQiTE+tCHJ1MCFdBsgsjlYZ3f8oom0Gqvj2/E1QtJrUJCXF&#10;cYpSLpTT6IuQ0xHP4yEVcENaYzJbuohVRl0N2V3kYwianwceYGbjJVsv5CR75/qLooI0wj2VQpF+&#10;w619piVQ/H33yLAugfdX6I4jhTO+U947MYcKfI2c33n0oNFTU6eMXr5lq9EhgnOa2Fgvg/PKIvf2&#10;B2RRhi9PzcGfCKZfAfU0t4VyitLihIqqtSNWq3+DWYoxssqoye8qTZlUmS7SDBPEIzuTLeHAwnIg&#10;2v7xH5//in3J1X3Sa67wCjuw6QcdbmFFMO9LrrY4dIPEhiYKAyW/8WR9VsVoxVWoMV2ZmDYp/avA&#10;1GMPHKGMV4cgHpNXihSVt2E1NqAAa7BZDD4MAYs+8yBqady7fz/2CB+9oEvPKpVJwaIo41tL3cyZ&#10;rJ2i8jlawIVS1RNGL918rtHN54xhD0ub8UvXLpyphJcSgxvbFaqdxLfhFOYzUIFGl6Ved/et9xld&#10;u2SD0Qs3XYbjaewdVMGvCuS3AhrjzEAT5K6nYqhA1xJfZQyUGNaeluInqfDos3Ij4yNw6I4ndhk9&#10;fzMMv95FPVgiObIJ8XxkiXyNEb4PfO7BjnDFpKNdx+N86kx+S/GzbaoRFlETy7Ibwbe33W/0Y5+7&#10;2eilCt8dwivxpS/8g9Gf+WGs5l7EAmp/+Wd/bvTircDAV73s5ZwqbjZPy+e9D283+vghoOUMOxB1&#10;KnhtfuStb8EEiG+1Gp718Cie0ac/83dGd+zaafSd7/h5HE9dMevdFPlM9dz5NvsSDx8TxCMXki3h&#10;wPPCgei+j/8kfpGBAAsbrOEHqjTqYL0+D+LJckitQJsHMSooO/DMxOdSDqR7ZkMhYRizpww9q/uF&#10;0RQYTpVllkJl54lJo1+589tGa5oxkVbxh2mhHCHl9a+83ugIc/NMahkpFgEmtp1gQcivPAK59dBB&#10;pJYpOEP+FiVca+uohSqv47kCTaBNLgUNbXERkvjGK6FxZRuYWIHNwQfFD637aSTMsclRmoW9OjWi&#10;HJvIRTVaRCdxzAFqcRdsuMRovgOkHcwNG61XcJWCqlZRYxwqEqZYnllmRvzTWxPwEu5a1Dc9xAuT&#10;J/To6wzakNNSCCOeV8mxk0cxpWVLYYaV7qfRfFXCz6mgVa0rMCrE1p90wFnxfDIztoFrNM2T++Vq&#10;k57Z3a9aKcI9TrVKXek9//13jH7PW3/I6LrzNxv9sz95n9FL1m00+ioi4ft+/w+M/rf3vteoUCin&#10;YgU0hrfpopxhrJIaGx3aDevo6298lVGVXVOvQk1pYmLC6F984P1G3/3udxttlvEmaBUTN6jigkvr&#10;N259lVF7u5NPCQcSDiwUB6K7PvrT+C2qrKJ7IagmZf2nGtfJwIwkHZXSG5aMD4uLKBTAQYPHe0lm&#10;FQsJHB3eADUwUsVJ3xi/o+IlDMZXwluNatUURf77P/8lo9N0xLVYDFix8202G8h61jGlOH1QFkRo&#10;JE/5k44ttGlmE08wKqXOvuRtOg8lu+XHUzioJ5KxhU2BWeTjbG936RZYGs9dhAkU2HtohFU3KtUZ&#10;TEM2Ui4HcqyEpcooyiooNZfiWjOA4gfvfsToqjH49zatWIcjORPFuTeo6uRY5zhmO26kTstqTi14&#10;6E3iAbgR4UyM2cQYlf3kMSG2ZKl+egoZ+VxmnZs22+V86Uvg8xtfcxP2MLNBvjuNJjOdRs2EKeGa&#10;yhzbplTA3kIiBoEQgRXyrxdSiQgyIdom75lbBYl4Zd7PL/7W/zD63W/5AaOXXHmF0du/eavRr7O4&#10;9Vvf9CajJxif9LpXvtLorgfB7fu3Q39WLc1Lr3qx0S/f8U2j0iRfdR0WSi2WNbj9tm8YFYu++7u/&#10;2+ixE8eN/gn1xne+8x1GR1Tlmi9/bNrF3DJxhW/7LBuBbj+xapINyZZwYGE5ED3y+V+wK8o7Ia+F&#10;OnrVWVqDP1AKfglN/mRV58s3P4W6nMtCHBN6YyS9tFB3ge3oF6x/NZwHvwkbsSPHtABJ1llaNU/x&#10;8h/8CoTTKUrrVhbCpqpeNqr4H3iZ5EFq0PtXoAtugMBlmyaWLQB/ZmnFytAkKH9dQ/VRqIgW5B6s&#10;nDSybjGQ55qt63E8u8mOsU9Nls2+pQGmudafrQqROCajTEqsjDLWArLlqlCZbvki1NRXvOwGXIUm&#10;3CwD/D20klxTJGG1ymQCRbd4pUdqhuqfHut4QZ66F2sJg+KFTnFKGwZPkcOK2KxLW2MByd3sMDEy&#10;AuYsLtCoywlkPXykZ58MBbzrZmesjdlDu34/Ma+L6XiKQIFGy7p6NsgzaU9E3jPypE74/TKR7SQ/&#10;58dGjb7seiDV7d/C67GZDYw+/YlPGP1PP/MfjA6Sk4po8Sx+Pp17Hrrf6GO7n8Bt8q3I8TJvIr5J&#10;DyzQhK5JPr4TdoE77oEH+Lu+6/VGx9xw0Fs5KohHmZzaEsTrsiL5kHDg+eFAtO2TsGqGAZZqoWpC&#10;WzOK9TpIRAnvAnUqyaEwjXdyEm6rSLjHramy9TIceXg4NTdeoUGIUPleFXWWIbEtTURNUomodSLh&#10;CRbq2jkNvPrCdizTJ8OMaV63RPSbncUxcSd07E8rW0wZaHGPde/5wpgGj2ZgVKD8Rt7RrnLKPi9i&#10;P9fLXoQIwPOWQ/xHNaBfkdEnHVa2UtazcvDacWkr+5yhj268BY1u+BQQb4hY96XP3m70da9+I0ag&#10;8qmEgEHGYShMUBZKGXgVuKgaVW0Gl8gt6UpRrDopfsg9qzLEhSEUQQRSnAdA456KLjNyZZrP5a8+&#10;9hGj11/3UqNbVq8zmpWl0UU4kZPT89WN9gd2bN/v3djxpTZ/2c4Q4aQ1i1LjwrcLZyo3PKhrUudL&#10;ZQYJ7A9MslMzWInk2OVXCzRl5ckjJz7L3yw8kklCsZeagCJdFPrjd8YTlJKvutGyBSiuRWn+OWbr&#10;NdUhWN8Gq7q4XgFnwusmW8KBhAMLyoHonk/8m+4F3eSofGqGQXKjDkDJ4L17gpRqGdMaUpY8qann&#10;95PiIReT90KIo8ptT4H4KeTMMFda5ZwV0dKicUnjVyBHBk5Qdn34G183ureCCc1oGe05ztQMmX+g&#10;MYV4qs+ZZgsY9QdPM/Ubt0Po0+kRE9UUuJKmWW/FGCyQG88FUp0zitNLzDYoDMB6mWGOQsRMc9kV&#10;JfMkNVXFMce6Y/kqYi/Haxin/AiOWZmHJW2kgGyDjFrMsWeQQD7XIeJRlOsWtIhQDSyFm+bJUq9/&#10;LHtsDCAqBemKReBylWFWAjhOIxRggbm60CyZUCba3E2155orrzJaJPLmA6iRrqhNbtq4uAg+e0IA&#10;p612BXOUvt4ceVOaFahUL3eFya0aG2w7HFCxml4H2k2g2J/l6zRZxrJLoTYXXLDFqLikENaU1ghu&#10;AuCTklGdz8vVTh6j7AR1C9KWJs+1fNMCTc1xy8F6Ry+tl9AObkcj+PhJrGaXp8mHhAMLzIEzZ6D3&#10;3DI9xNPkumGBEAnBfBXpFxo9pa2p8GDowUsrS0D6gGILadBz742KfAk6KKhmKNh2TJ0w+oV7txlt&#10;jQEuyhzHPUvUJ19z42uNqoJ/g+UQCzkcc/Pf/T0+E8VTHTjZeCOI+WjU8E99ddnFiD4ZppI3Qk00&#10;quDbohIIaRpNs5G6OyGJNqpIXWKfPVnepJwMZWASnNpDJISNcODi8cuMjg8swjjUIlps+d0f4CA1&#10;mBJXICM1Rbl/rmJxboHxtgsL0h5c8VBLAO8uSEFO1V1FQST4hV3SCaukJ6YB6V/5+teMft/3fo/R&#10;YfVX0GhKRZO2rKKUnF5DCweqQEK8jitChOs+/y3P4jzDOE99ls4fevO6YVUeKxs4foUtKa7OmnwZ&#10;9x05YPTUqVNGL9qMpxkuiObJExVXpUtL7ZMuJ0QPQD422HK/BxX3Xv/Y7M+TxFcP6Okd48bkBPHE&#10;nmRLOLDwHHDE0887tLR0q4nMjcwM8xZCb0yaAW+KM4hLyVOy8jfv3jx+ljYoyVVnRYscrZF1ih95&#10;kyK1F2MvhK/cdbfRe/Zi4V4rYf9Min4eyhbv1k1NQFI8w3TvJoMYh+i7ixhy3q7B2HXBeQg3sW3z&#10;JnwYLlGDZMpfidGPlmBnZJDSbpAr+/HBUeynW0ndPRvUBKZmMflyhZpekWoq72rq1ITRe5hbcNGq&#10;q3HRZZdgMjPAwNEB3FRE0GgRliPPGsRFIkbSSKMQJoUmPi9kourZ1DSEdd3IUhXA6kcMri8YA6Rm&#10;t+4Z4+2Yew6Tl+ORcbknpjD5sbExjENYLkiNI+JpRaNYE2nvgpoyb0dIWyJcN1nIOaXqnTwmXB+F&#10;4KN3zAE8DPWQBzgOJOZ0bcCeq7bDF0D6rbrV7WU+XoVm7UuIeKpf6vWkBbyeQNN7OTW9uGcGL8Mt&#10;Tt7nZ11d/5XDWbU93ZDbu7mwLIMy37XFBmeNk2wJBxIOLDgHons/8RP8LfI37T9OiszYbBVmWM2d&#10;XmitUh6XxI/EgHStFuMn5QPsUDwrLMbLlshUJeHBY2aImV/5NsICtu1C0kB20QqjFWprJyo4t8mI&#10;xOIwXGpNGpoybHugYpXFFGi+zQQqxrtcsGmN0eWLgauDORqm7H4JiQV5Zjgl9QfNEH9UP1g+vyyL&#10;sUQs3ejOJRn6Ilg+VYWqSfPgww8ju+/Fl70Yl46Ak+MtTD41AcG/sgiMLal5Q6xG2EdphpUZTLg8&#10;AxVLOKYUAaFci4EjUtKURuAlajhRLx8GWQzOq6yVyiEroF5dgbwBN3kuv9wQh6qwLW6D2PKFr3zZ&#10;6OteA21ZATRpgkZGpr8wW0Xj61p0Xbr4J9ZlyBAFRcUteLS0wuZ6ED8TvvtKgHnzVHLWuyPGPNEt&#10;KNTGjMK4tBCPFzp84pjRlSsRG5TmNKRw6iV0c7emJKU0yMsJe0LFVmIyU6qsjldvdGW+Bzp2GKGi&#10;t8hvM0B575SoJP3uEcmHhAMJBxaMA8kPb8FYnVwo4UCPA77U7GdJ31Kz/6vTf6g9TO13kvpSQR0k&#10;uICscYnoCjTXsSoDfvAQ7L8np2D2GFu13Og9OxEOVqNZZc8krjjJPFQFQyv+WCuxp3juuau5lmth&#10;3ZiPpoyuWgwDzMUb4adeMgQzTLN80mgujfVGil4EDEV3Zz7I4OxwbewGDC4S0gz4SrNorBaWWfr6&#10;myzZkGtzSrT0/D3LDbz2tcigyTDsK9MALdVxI1p2dsoYVBk0bTX6knsgqKsnN7pb7RUhQHPCeImR&#10;ylp2qqwdF1oqyz447BWctDBrKc6bw/7VRz9u9JFdME0pWO/H3/YWTAwfra+lTCwYdoZR3Xv27TV6&#10;4ZYLMWHFFWjCynlRElAcuIyrKNRBK3MZt+iPjwtMYP/cEg+8eGyr8NC23ghK71LzE3dTxfeeodt6&#10;eopheiXw/5Edj+PSXPFuetFmnMJghqzK73NZ11d0KHiLtYDUFnq8wtvxdjE+Sa6oebzcG+7KD/wl&#10;8oTJxBKsOj1vWOcmiNdle/Ih4cDCceCMxY7mi/GBUn/a1BTkFQoM9UDKUxjLuN9g9Tvh3tSJU0Z3&#10;UfrKuiqBPUML/qk6cG/95ZtwJIHl5juRfzHJDozNCNQFjErcktZmjhi97gqIuvNWA5RyHYjDkrrF&#10;M6Inw9gutezo0NmA04UndZqShSREhDQdsnkWTi8Qrwari3B6nUaRBpiQZ/mjVgXHT00CQlVJVjYk&#10;RWkXCNGtKuUiQUDQ4QG7FMKeS8X5KLhWpm2FRJu5CcdTcjdruEqGphQForckgxl0NitHvM2O/5yk&#10;weKPP/YJo/fuBLerfFBjJXB1mB6RP/qN9xpdPYQbGea0dz75hNE1a2CIKjDvVqXM0xxTiCdLwySj&#10;kKuMHNAWFgdRnQsZvUJIkU853NQHW1lOivnW+B5gSGDvoqubNFRgj/YeDXfsOF6AxYsXGx0bHjFa&#10;r2Jibkny8OjesP6sfa0hwwm/DQwhMeIRuzg9r9urtKzA/aDbkeNBNyI7U1+2FJcDfe6H0xiR/DPh&#10;QMKBBeDAmcv7xavQQArMM58+xFONAzpMa3RYD3I5rujh44cPGz20D1pZnvkaNXUMpO3+zgcfMnrt&#10;ay41WlwG+XqSqsdDByG6HtkHnGzThSBXc4m10M9bC6txeeYEPp8LUFpcBLpmGXMsWZum/z5DBFeg&#10;U7c2u0q7sR+WA7JH9NboBW6MYahpQGhxEtJ0JIVLtGsYMJ8Bmj3+yG6j52++AONI/FIeu6Klghqq&#10;JE8ztNd9Eoy4UZsnKbLZjdT0UPNm5SCWGsKeHHYLlOXUD1UKwbOuGLyGU5iRedujWCn80af/zuhJ&#10;+R6oL2Wpsy1mfcGrN60z+jM/9INGn2KlurVr1mNYuXaYcZPVJeg6FzjLm59isIRDLuFCUcWytheZ&#10;Mzo+Ps7pKcKOj03haUEcVpxSxNvnFY+xP7ZuWe6QLuLVOe0cB1f0xbZt24xedNFWTEkHh/UmVLhW&#10;/ir5nJTLJgeSCgEHrgKvXqGIRfd38GkqyUux2ryua4OBWiumKeLBm2AGlRTj2+ydm+h44EWyJRxY&#10;YA6cMUh6bqRYd2bevUH/nqPjqS2T8lZmp2FjTHE5vpeZGvUydTNqgHVeY98puMg3XH6e0fQY9uSK&#10;EC1TFFG7j2HPvazA16Yze925QLkVo5Dr565AZmqjDjFzy9e/YfSmV19ptNNCZHOWLvU2xaREjqK6&#10;ylSWcDnKwrw6GjJ+ijJtINeE2lOqLzU6VAUtzoAe33Pc6Al2ZtxKKZtnXJt0wqiM6RXZukTxwdLZ&#10;1NI5pe7EtKAKFhRJpzbLbZaZ8MgpWkTDynkeOKYq9J65pDgs2j8F5ur3Yh+Ibw+zts973/8ho7WR&#10;MaMzlMhZSuzhMvjzk2/8HqMrS4D9C9euNZrTmkJlo4R4tJF6DDF1PG2qKqvgPmGg/NQqneTHqDeV&#10;ItqCTByHC7rjw1RXWS/jcMLe55oycSwdeQnWHXlaMlUVwss0ENk8Q5f7FZfvedjUuxTXdvLkSY6k&#10;iWFYJRnL2hB5K0lqj2SnyrCrvJ+eqdYsQtGwvonWO4pm17W0uT7PHYow0TwTxOuyKPmQcGDhOGB+&#10;vB8/7Wr6Lc6LePObOrvnSxgoLZVSsEzv3J4dOygHIDbyTEiV4U7a3UP7HjZ6xWsvw/4cLZAs41eV&#10;1MgCak6xylpxCMe36K8bUr49nWlRetTol796h9EXX7bO6NLFMG3l5ChjYb+IFiu5vxSQbZs66aaY&#10;O1tSpUDJ9AoOGK7DPXjoYaiX9cM45vLzLzc6SsegCnrTv+jG3gJ7p2Rpt1RXMAXj1tR4nhChvmJK&#10;8FHQk4ojRdQ3tEUEDZe4KiYvDVDApwaI8hRRdkrWdq2jEuHTRK1t+wHOv/tB4F6DuU4K+7rxxVcY&#10;vYzWy2tYATZDPVxo5YnLXlUJo4chzopi20H7Z3EUnF+z+lxMuIzn0maN4Cxr3ZXpFZR9UteV+Jel&#10;tCOTrDJZqXTFedhkV1+RPwcQ2dQ7hJU6H+UXv4zotu96/esxSZY8KqawXhD3WsqjVcEI8lBOYOlj&#10;3kSSBtssjb3ZEt6BDI9RvxSZCWZmuXDjoBo/q6fAxVR5BsuHShkvkxo+d5RQphLxQQh1ipUmI70P&#10;mGCyJRxIOLCwHIju+9RPQCooJJdyQkV7Ovw1Y1M5Bi9dql2uTvCzpJAWvhQwPFF19HbvQMRwXX2W&#10;JQyoDtV51u6jjDu5EDrb4DkUBnnISIGtwKFl3Rrteho5BZmaYsXYNmu8ttg0uc0IZqlnRw7uN7px&#10;/TrsYVXtYgnj1DvAXnUJLLXGeaw3u8p2cIkMW08e3A8tbv9jR42eN47QjSs2Ity5xfSfAiffoWR1&#10;kUzEU1HxPEvQUqRjfr1j6MFzv5z8P8Q3KWW5AvGTYT3KoAllrTxI8topQCTc5DN0j5a3aPQH0iKc&#10;lqlM1gkRFT7dSh0cHi1ANe3woktoJMyq9bCvc7iOcJ9tTx1Vs66/++pXjU6ztPsEy1u9+DKsVq69&#10;AihaZbD1//4AMHaQLjWpUte9GLq3NMkCwV9pyrKLptKAmrgjJMFE/T3JkK7zuEEtV16yBpXPm7/w&#10;JaOvufE1RuXtLPHlqZPn5RyGbXg5SsKscE+9UMlPeT87bAJTV1F3oTIN7wcPYcmg1K31qwDsGTZs&#10;y3FBl0/xicjjWsBLNcUwoCma9EcHcfVlrJW4ehGsBp0yDLY5Hp4gHhmfbAkHFpYDVt7v7XbF2OhE&#10;UxWrA3mjvXg2/dpdgHgsCuAZhN6hD+eUTwI09j8JS6YKoZaKw0arDV6Cwz30JPDwgishBZdvhgCr&#10;WsQF7GmUglxM20RwvPpU5KmzES5SSiVRIAjVs8kJ4GqTIQtjI9A9hmhynJ2FkpbJM+qCgZelKYSY&#10;2DYSQYFMdSDy9+6Gm3HlslVGBxlXWapCYKsKUZaCOU99oFmlN0n5nQzFE3Zlac90NFNgDaEqY/3C&#10;oMAQOrxPC8+iDqDy5FmWjWhpUUCJK6NiWq0YCRpprkTkiWpU3DCLGaoQY5ze0qTtUQCbZlmNGrnX&#10;pOdNJsHZaZzepA42ymKNMq5K79LW12xEOjlVl79nDdmdBw8afcNrvgvjz4Lzm9fjOc5ydfOHf/Ln&#10;RkcWwQh56cVwcq4YHzN61XnQJ9NcEzW5KEgTaipUs7N0q7ZYn1eoKGW4FVtTlWktnblKv+UXCL+v&#10;uP7lRjPcoxtvkFdHiZXHWP4oxdemyLr0Hrki2yMn8MV/xDiZPF6YCi+3iMbzG268weg0w3Tuuf0u&#10;o4MNjHDlhbBp12YmMDJ1wm+x3mSTdXhTNBRXWYfyonXrjG5dvxrfTgPx8sxuSxAPzE+2hAMLzIHo&#10;/k/9OH6djPRzF4qjW99v0sMsXCD2EK/VV1IWk48YdfkEO/21uOL3/FEV8GP9n7vvw7dXXv4iXHSU&#10;y+XVGLORAb7IGFh3rQMCxkUd7ZOePkspLhuaSgNmGFt4560QPC95ySUYTf2rtKbmajwzA2xc0cB1&#10;bcvNAtmOHgQk5ulnW8JOVIYRRkptrMvlmOpQFxDyZNR8kIGFklxpytq60i4ZICq/nGc5UPfT4dqf&#10;oZaiyMC4nBHOktE1jN7UaeqbVWfAvqoW6HHo6hG1HVUxxOCsNdjgP7NMm2hSJ2+wB1WFD/qB7Q8a&#10;vfIK6GZ5KjbK44xbnWBYXSAujItbk674ya9+3ejO/dDPVy6BH7U+i6f8xte8wuiyZcuMfuueB4w+&#10;9CiexTkrsaw4n1EyW87B8WnOIaeOLnyCaYYBaeGgJUNKSbdqQcMbxGQ4SWm6ZS55pmhKVd2K0mJo&#10;WUfZuPMIn9S9R3YbveENN2JAuXMZsutdCRTRwuWV1hEqarziHNxCdQB4pULDqpqR4eLu8G4s5SJm&#10;6ObVzZOrmDTtovlRYGaKmFbhW7TzYczhXrb7njjJN40m3wTxjAnJlnBgoTkQPfgp6HiKglPgpaqd&#10;N2Jbkpb9Wbnwg44Yil/xfuoSw1R4OnUIoR0PbMPxFGKyj6ayAJADR6EDqJBOLgWhki4Bx8Y3A3wa&#10;BQBCiz1AmnR6eKd5N0xxepyQyhYovaBNW2WbNYLuuQta5eWXAfFSzL5T/Hu6DVE00oAwG5uEecq2&#10;x771pNGLN+NghRdWWQ1Jdt18i5YuIYlKrNPx6NGAMgFTu80S8Zh76ADbYESlMsQiqqkqHdeh060t&#10;kS8sVXdoxb8r1VAuNUUV8iKKgMlQf/AUgQAJq7JnKvMCOA9+SnhnyBOvjEDBfP/DDxlduWy50aXj&#10;izANVZtTCXeKdolj72+p0hcRpiTE+8jnv2D0wNGTRn/0R/Dy3PLVfzT68qsvNzo8DE1+32F8O0q9&#10;bhFB4IlHHzZ64aaNuCKv0SK/8mS1oN79eLyKK7p8yl5zFo8S02tKvS9g8fI5dhG78XWvMnqCT2o/&#10;zd1feRgI8zO/+Q4MxYZqrTJetkHqeK4GE6/E4Q6hNU+et5t4RWVQSJOrdZW1pQk9byX2wSAtCqiC&#10;cjUU4fWxsCEwSnU0CjRqDDSpvSuhlLzU7ytBPPAi2RIOLDAHovs/8WP4vTJCwouiypsR9x5RcFpG&#10;uViu42GSqs4p/55DpRQhOjF2PYhVvtShNtspG7QZueNu7L/k0ouMZiMcGRUBDuObsUCvpCGWmuxv&#10;3JEBMKhF40qRhD0hQjEWDcJOrQl64iTmuXgcuoQaSuWkYtEJNdqBpD++DWYu2zYv3WJUsZoZjh6x&#10;SpJ0gMiL2FM2SQwre2AW0ytQbsm22abrJ01PoFc3ZJioZNtsFZ8feAQm3DXnrcHIvIXV45hMtYrR&#10;vnLbLUZvfBUk94MPbDe6ZTMU0SKlu/x18qseOADlagVzz/IMPd1/AvAi7QITK1Ar5lojJ58UbYMH&#10;jsEOOToGMTzKZHbxUzGW8nBG3gYUnxtcv7R5Iyr5pFeiydijx5/YY7RKG/Ii9sdatnwMB/J5VWtC&#10;UYwwqJghubZG8JQ7nJvs0lpPSWWV9VKBjh2dRWW4Gbso07TftrlSmOa64Kt33Gn0Ja98tdFTHOSz&#10;d4CT/+5X/iMGGZaST0WRSOglvKgGy66h1p9KP5DvWkuHpvoIyPLM55immb1DK3eKpg2tE/nYrSwV&#10;j1dsCpFtkF7EVp1vDtmr+/CEUnxMtoQDCQcWlgPRto/+CH/NvTWngv28nHU8m4zreJIMQjn+0El9&#10;pdyAgDn21CGjJ4/ALRZHP0BU7Nn3lNFhRvcNDUEYFFl4b7YzgT0bsCcDgTgQ5SAZGsy407pYQkIN&#10;SQoMKYjiYHz7XKXLK5WHLN/5JKLyi/kRoxPHTxg9uB/4tmIJhj53dK3RkVnoNrY9fucOo6+9DvJS&#10;IabZAujBw5hqk8OqkF6ZzSJVpH358JjRpSMYREXjlJvXJLw4TlJq1llSr8WQ/z//4AcxDp1USxcv&#10;MXrleRcb3bgRas9HP/cpo6focbrh+pcZPXYIDHz1y24w+omPfsLoViquV16JEJAaNZYKpf7v/sn7&#10;jKbYYQunvOaVOGASyuorXnwdLnoKnyfoz1y2FNNWMzNp4MK9tJe26+lXDamjnjGB25Q+X3WvJVih&#10;cP4JOhUPTGDC//gNAI6ijr731TcZ3bgIzyIrXyIxUCCjLHWF/Cuq1gN0yHAVk69ych3692xrMB6F&#10;C4iBh5jssn4r/Gm7D8PS+MCenUZ/+pd+zujswITR/CjjhzqYXoZZlCqDMMNS/Fk24tZT1rpKjZSV&#10;XqMjKwzQsaWLEW9jSuO5EjJU80ZWzQ7tpSppk1OJGtXzZW+CKCj5rpjbRMcDp5It4cACcyDa9rG3&#10;4/fnv0JCmYIpvMy1B1nHP1GC4Zy4zUjJtnSePPIAfERp2q5qtFxpjb5v716jW+jP4RrbYxTqOQiV&#10;0hoIic4oDVDEOvXJkMB115a0O+6Rb1BL8I6qnVMu1iRHVU6DC+6c0pAV41KHkCvMAl1tG+1AU2pN&#10;45Rtd99ndM/+PUbXbVhndHwpHFDS2fJcr+cojLMUuYrYPHfVKqPDpTEcWcOUshnoWopT6VDalSk0&#10;P0NjYIuxF8vGYVy96RpAkyxgf/CXf2J09UZogGWi2eggxvn+73mT0b/+4F8bvYjBkMo3v3gLtNMM&#10;Ue5/MvlgzXkbcBmsCHCJEWpi111wmdEdD9GieMn5OEUWQepyXl28rycy+Umx3Qor9XtjE+xXiZcZ&#10;dcZkJbjP3Hab0Y/c8hWj02S8XF4livz3vO2HjV62CWuNNMcp0pyouJmsl9zXc8fMa4y2AQsM3Ag7&#10;1biiWVQEeE7y0p//xteMTjSnjd70PYDWK14Cw0EjwrCdCJbJwRKGbdLMrlRDxbWqbnJNnj1iT0aV&#10;l5UjotwRrlZKjGtRPoFK9ahRud5CJXLKEyg8lDE5LTzk66pcB/fiMuNBXXoSxAOLki3hwAJzINr2&#10;iX/H3zQlFbc4D5q4F28qkOReuzDLWFUWKSrKrCC2d/ceo23KvBal6UOPPGZ0w1pYGpcOQQC0uchW&#10;ilqzQH8OI1eiMVxPqVMdL3TBKYX5y5QeWaVpa9qUiGXW9lCpDIWGZJTMJjWM0S0pdrgsslOkbScP&#10;MDqhBqkmtaROPFGi+uGjUBdPHMdNLV+OyD1FsQxTRZEs1NaidBwsjOFCOQyuai5ji2C3vI0xfgfp&#10;2lKcYYHl0t76qjcbrRIQf+vP/sDo+i3Q9556Chrm2nPPNfq2/+8HjX6apVOO0nq5aiXYeMO11xpV&#10;Vt6ug5jn4eNQsWybmoRme9XFUAhftAI4c/DJPUbXbcKAEt5Z1SFXVXPCuPvNnqbugEYHaMhthSXA&#10;Kcr8n/2t/2b0yCCYNqt2NIzOXURbAEB8YOC33/VOo4P00AoQ5IP1WgRUkOoEhGoazCnz3ThSnjB6&#10;J828tp1giOml173EaH4xwPaql12FQeipa7eAftksda0UXwaWGsjpRSLG6PVQsou8cFkaVxtKk+dK&#10;TKVfCoRfFYGP44SIdbg/Cx4GrqaZKCNfQJErnSYTR+Ua9S49esm5blJaoyrqJ4jHh5JsCQcWlgPR&#10;598HLUIhdr7RoJSJ2/9JJjnWqYKYghIVlkHppey7HQ88YHTiJGxohWFYEWeZlnvgKQjjzeugDuVl&#10;YmIkRCMN8VDLYs/QOmpiwz2R4M4bymblKXsylfp40GunBbpi6iVOXAXknXSo7wmmlB7emsR1q0ep&#10;ddkgsxoWIrbDw7x3ijK7FZfgBRaBYHufhJoqA+AkW4uMMz5wJVEoR5Tz8EJFY9LbIybcu207jqED&#10;rTkNDm8d32z0JVe93Oif/83fGL3oKlgs777z20blx3vJNdgzeQog9g9f/LLRDWsAYq+5AfqhbGuf&#10;+QfsVxEU2ypVTOyV173U6MYVQLl9Tz5pdA3ranuLS6UUUpeTt9P9b3JkCcwZRem4pKG5SclpM+Jk&#10;gpEx7/rd3zV6hErpBFcr0t/GOP5Vy8Gcd//YvzFaJMa6145usQqBZVqONaaubXsCs314P+imi9Yb&#10;fc3rb9ClR1ktu1bHOiVTxMENi6mE5VmrMwEpbgF4ho0Ixk/qNR0DO5dXfI5pKWpcoKntTIqmVHW8&#10;GWKkS32WCi2Pz9CoXqlOGS2xOFCDDC/SUNxkwzatwwaZj6fSoy1mEuZKGKFG/2GCeHwsyZZwYGE5&#10;ED3+hf9sV/wmIycm2YPX0MTIkjHIcv588fud5cr+yNHjRjO0mEm0q2vxDIs3DdGAcw7VoUd3ARw2&#10;X3CB0Xu332/0asbCpymuogGIk1oatJzBRc/ZCgNjnSYp1S2Or95bLqcYXy8jnIcQUvdzKxxlrfsj&#10;lfTN+Mx8iyask3R8HcW10jUaTIFd+KqlvHJetC8zQNnflIUp5trNzjBmhVGdilqIePsTUxj2sYce&#10;MUpNc+AlV0PFKlAqy0h88CDcm6vPXWd0WWmF0VVpLAHSDYw2xdFGlmDdMcuuACpSkuYt66ZkKa0x&#10;FUBJdL4oYVzFPdvvw0GW37gV1kv5P/O0Xh45gkuvYg1SPc2cMhK8cAgFMMNQ41UGJbYEPPW0dFAT&#10;RSU9m5xTlSug41Ryfv73gHtV6niqhFbgnf/OO99t9By1GZ3B6kaJhadUVXUQN/LoCayJvnH/vUbf&#10;8JYfMLrufAD74CjGb7C+OAakazGSdVHpfAVpUMQZ9SoQwHmksRBPLwn1QG9lgCNVKjvFuuB1evl+&#10;83/8kdGvf2O70d/+9bcZfeA+TOn+e2CkeM8v/orRbffi2498+PNGf+SHLjf6w2/9XozPp9zm+mhi&#10;Anj4B3/4PoxMG/if/hlGrtTw89FsE8QDv5It4cACcyC65+M/YZcMKwSql6+iELub0qXVc91rddE0&#10;dJAr8lNHIbEGqdiUmSKVZUX+CrXBGrHxKEMxXrRhg9E2PXUVaneL1o4aTY/xSPY8UPtfWVcVCmAu&#10;QiMu2CgrZIzStKXqSPzHURGEshlI39opCsgpCkhGbOaafmvubVN+nVuiBJu4hnLApeSEFb4yaoao&#10;rtF02GQVuaKccY5WZzmTo7SLrl+PWy4rwrMAtqhz0PnjgKaI8FvV7KmBpeVZ0hxU7dhtztRIadRV&#10;Ep3m2ZAfKfa7KorI0/zIJZlJV66GiTXuPMFT1LxapbgUO0LGx5We8Q9P62bdAA/G5yNpUhFSQGOb&#10;r0qVkzlKuI6IacNEuWEiZ4vmvhSBusE0i8MErs9/+xtG1152ntGbvu/1vBFiB60AWcXrxiXYlOqp&#10;hMyI2FVv0mtH72jsjyRnFHoquPbOmHxUuk1qgw22Is2zPkCKev5jT0CX/pn/+F+MfuHmP+I4OP4H&#10;vvddRj/4/j81umfX40bvvRvTfufPwUXZ7mAOCuIpV8CQNCOc7vo21iB//r6PGf0/H/yfmCdf79wg&#10;11aYTbIlHEg4sLAciLZ/9Mfsimoq4FHw9GVJcnc3Cd1iEYJBdsuDe/fhRNbYUNdi82fhp0xAmKU4&#10;yfGnb7uMTLMExZP0KV14KQIvGoM4ZtmGJUanmtAS0/ke2LYo3rR2VnlD9/t5WACukuUktbxOeXlm&#10;BuBBBg2cOoS5RWUIlxwTolQc321g8T2qUGRDseqE8VjTI9YpcJ40Td1Fpam95zBTH9wmptr9NAl6&#10;nge+G9i9e7fR9WthoEtRnxzPQKE9j4jXmaUqRYOelhWqk6kRZISUUVdRF3pGbVVhEezTr1hTVCFE&#10;L1clqilKnuzdv9/omrWwaqogpHIRFK4kFcg7IvA5ClLkTRXgq0GS2gDOUrlSgGKOaYpeJZWOULXI&#10;bqragOq+aK3Ed2CSZZ4b9Ph95q6vG/3h//R2fDnEa+XoIeT4ObK6ozoDXErYVqQeHtfexlc0G1ux&#10;Aj4RHiPrtKfS64k4JW+JdcKoInne4aKl2cTnXbuhm/37f/9rRv/+s//VaIuNrh57GEuG//HfPmR0&#10;0Tiu8tcf/GOjqegU9v/ObxotsxvTu37xPUbzNPCqh9SJw3gJb2Xa/jkrRoze9q07cC5nm2wJBxIO&#10;LCgHos//d8QBqK6jVxPhBBTDYVuHLpEs1+WTpybwWQUqVCFY2VMUG55DQEXBO8vIYU+RpzD/aSXn&#10;jmK00dWUi4OQc1xje0CAGnmq2pQkdEZJ8TQZpdUyjpT1DgemicC1acZhMG28w3wwVSvLExAiJRFz&#10;64K5dzlTB1ZOT4fFuh8VRSoYYeOhiGJYk7REZVyaSqyCGOu0CStZUVnkCpzYtxuwMza4yOgl58E7&#10;N9wC7hUG6NkjjMctdXC8SkqqDHbW+8Viv/xTsuApOz6fhXzt2mOVyVYlLLeoeOzbh7XJOobC6Hml&#10;FdGqEi/MnVZx5YgLH7XgK9OR5cMyqSxNM6BqYSvFXjn+elE6bJdbZ9blDNlSIaK2iIp1XrdMeu+u&#10;h41eddO1RlduWoqRs4CFTBZjRryurLJtLhCyWlYAu/gfNhJO8dnL6quwUvfRcRUgZTWjMB1pxcwf&#10;T6m0TBaDe+xlA5dr0/T9e7//QaP72RD3Hf8J+tvGDbA8d/hS/fIvA9ne+pYfNHrJpVsxJkvXaZwa&#10;ES9PHf5X3vvrRr/3TW82+pG/+bjRX3z3O4wuZaNiXythgsmWcCDhwMJyIPrUL13EX7yMWlru4xfc&#10;bUqm9jSKVilSZ/P+O+7mwg/dq2IEaUuxmZQoRP+eqjsqk+BkBRrdmgvhtuoMUo5RqNUo4CXYvIE1&#10;DVMNNW2lplEhslUnIfA63K9wcmWaFyh329yvtmYCExkDZZBUaXtejkqpatzTOSn1T1DZIVSqRFdK&#10;5WTogfGUbUJEXZoYAVmp06qMUiEGii0l3n6byYStWRxfn8BVzj/3xdhfBUPUzTTuqUDwkWaigjFU&#10;cYWiwjopYAUWhK5MQJfoPq8GBXCKCkyF7Nm+fbvRi86HSlniVMVhmU9VH8A7sKqtLLX7qvrFk2Np&#10;xf0Ilr0vDhVj6uEpthw4yca3bRYaufMxmP6OV6Yx4QL2V4iQbfZL3HDhRqPXv/6lRsv140YLjGHK&#10;pvH0O6oNRwep2StxVrxayekhyjJJPkTyzvEpuI7nqTN8amQFAzmtvy+G8gfPbPEODadq6W5hmkZq&#10;NVBV0EmnAMI1RqgoZmWYnu0Gn6MCVlV7ToWkZdmuc+mnfPOhIWh0yiapMgFfVVUVKpToeOBasiUc&#10;WGAORJ961wXdSwqm5EHq2uW8vxklpTYJiYhCV0WvFN2nBGFvMuZlJ3kk4aLK/HTlHAwug1ys5SHh&#10;KoxfUQHDEWamD1KXyFB1KJ/CWdMnITtVsCniYl2NfqSYZb0XK+dGu2VLcYZUuoR1WdXwoFiUGmab&#10;yhir5n6d9aHzNJN5P2tpVipDpaAZXxcwloUCVo0c1BZHGc11opw6AQlGIso8RUgojGbTaqwyMnVI&#10;0PIkBppmEwIVX7v//vuNXn311UbjyHpcq8GqITnV7SQGNpnuWGLRD+mBOIys6TDB7BQvfc+2e42+&#10;XANyBaEKX+KeCospRVr14BSyWGVeX5kjDDLlQhpgegDo5MsiQu40mTbDCgAPPQV9cnTNqNErrwek&#10;CxY6fAfUriCVJzayRrfKKrfZeilFVCRUW+YEEZL2TOmltmXVWUleONbz0pNSvTZvuUFQaxMJrfwl&#10;huXZ+aYriji3Tc1ZUS9yAqv5B1s4eBdeTiZHNmqPfgjKXRiki3KKSf1aEsZV4bgO4rtUItPqzB4s&#10;0M7ZUEc+z3PHrJIt4UDCgQXlQPR374J9xmMgKN487aBrBVT5fooE7VN5Ev1Lkkw55rJBhTgjKdyh&#10;8FBxjwbFVXERFsTjq+HBu3/nA0aXrzrH6MgQBEO6jCOnjmD1X5+lFkEvXMT4iSwFvIIZfCbqYi4n&#10;mBbPkuvK+FKko7ovyPzlVTrjGlIEag/RUAEsNSfyDuY0AHZ9f5C4lIKCdFUsUT4yd6i5qDc65QhZ&#10;TilFRaXQxI1vPAc8zzSh10WM1cxRn5RMVW7YDPPQjx05alS64sqVK41KG5xk1f5BYmyJipCMwLw+&#10;LlTjhKu8kdvvvNPoNZdc3j1Fll4pKi0eqT6ybZpYZ3kLk6yIs48xSUsXwxhbYqh+Xq4wYRGT0GbI&#10;z9t3Qq9rjeCY7/vhN+AYYlqauqLWRx1P5SZ0c40TEQRyHhfKI+nHU8ln6flyvuF0WiA9NIemV2FR&#10;mq+f1j0qQ95hLK+emhcyo2VSOl6LaKmn5o06aHpo0tgrE7pqn2rN0lCX2cCMHxvtuZaRl5VvpIzD&#10;cpMqlEY/B3lo5Q2WCp3oeHwUyZZwYGE5EH363YGOJ/HNGYR9Y+yfwriwPIfcJsqF8xJVsdGo/3Qv&#10;26T7ksqkJju5YQohBto9susJo+ppnvGqjJSplLIN1m+U3VITVPRiWuUuqXWolVyGbiZflCvhV4qr&#10;ejxQjioOENOQUysFsS3Q7ovM7PZlwynSGVyo6vTT9ng8p3/hDMNJVInTnFihgWstHV5ldDwLmm0B&#10;ZCzKA5NkaH9dPds47baggP5Ajb97126jy5YsxwiDUKtSVNh6obUFiN5pJl+38xjw3nvuM/rSq2BF&#10;VKU2tSVK03IoK2gtBSieGoDa+QRzTb6w7WtGv/dt348RmPrw1AHob0XyfKyES2faNOFyhGgxrvW2&#10;fws3V4cVU9Pud5NFgPZttw4QHFihMqsS2jQXZ/h01DY17W1TcctueIy1NT0FJYj6Rk3Pa2Zyly8+&#10;grIxKg/bPQHH8AXWIbIYxxtXKGETyL43QWM/3dafx99bKvo5yqJ4pkGS7xMOJBx47jnQj3jBr7wn&#10;IYLWePMhXiBGzlCxo69clYpeuGOKS3C1wqEceXA7Yxq2wugn8GnI2SLLG5f6Uq4krWUgalF/UNym&#10;2zwpxtQ3R+EdaS3i1fovtm9Jd2rK3sgwVBnr4juWRsBLu8bL/wj3tAVtU3s7+QXHkbDvIV62RY2O&#10;uLd26YuMlqIRo+rRp7QPCWHpKpFCTGRndj0Be772pa8a/Z7XQ5VSrYAaa2nhMBbDTpfkO8VXp9g5&#10;cLQ0ajTPxEKJczVs0JqlnAPwHhkYM/qZb33T6H/6jf9gtMr+TVJRsjLxUflps9DocBbH11hBpzFI&#10;BYy+uIxULAaXqAKdEgIcx6gOZdU4SeUo5yCeLJlzXqgeTqh1hzaVJtAWRv90d74APySI9wJ8KMmU&#10;/vVz4IyIF0oUiZJAAgXCJhT/0gSVD+asw5GOk0HbPUFBS/F4xJWIke8qzHyUeQ8bN603qnAQVdVX&#10;0UIF5suqpnY8bkfVYp3lnKUU1RTUpxgIbnLaKMCfB1P0SrOiK0mhLdq8NRwla9ge1Suy+W26Rsxj&#10;dJafjf8EzImUEMAwkQx9SqM5hCmuXb4JB9Y5SboolUWm1gIZwb4SMhQAFMSCPvroo7bnyosvNqrW&#10;89iIYxERvsKhZlnITE5LhdFkGHGSYQiFFN1pVg17qILjd7Jx6Zt/9JX4NgO09BZFdFiJhzICd8jt&#10;HBPty+1p7JE1kqCtvIQQ5YS0jnIyAyrkUp9dr8NnD6rUHXW38BUKtaS+l/C0c16g/0wQ7wX6YJJp&#10;/evmwDyI5+bK+ewuEvzxyls/2tDIE+NcLPhDZSk+jkYeGXZcdaHcpafO4Y/+pZkZyNrBUahAgo6I&#10;snyQ3XAadQCUYKTNHLCUlyvEaHVK9GyB8TSU0NJSMiwFVSu7SiBgTLPQi0JbFC3pgB1Ad9wEQrcf&#10;3ub8eqDcm30bwUeBNWnGr2QYALlkZIXRFSOwcFrFEsykw0wN1upUBrRAW2VOylRTC2xlXqPf9TAT&#10;zNex+lj3RC1YGnwAp5gzKVwqEe2z3toW31b4eYaBhbcenTQ6vBkOw8uvhoU5Sk8Z9danPFLddLzB&#10;Bq2jWiY0qbOFtedUXnKAymeaalicDK7PQrke1imxMrZ8+t30/ScwN3Rk1ZSOnSDefNxK9iUcSDhw&#10;Ogf6EC+UHCon2d1iy+RchWf+xaowLZBQcd+ZYEzlPtcbEOclCv7ZMuRfnVGdo+wrtGPHDqNLliwy&#10;WmRwXYqxiBnSImt4VGYldxWwB70u8mgM7JmhmyvLvIp0Dt6nigr8Q1EBzWahnGQY1+dNc/S1fHdq&#10;G+CaXnj7hG4dqcNlW5sjfWNtWW4jqknsjl1kPsQAtbuV9OytGFmDAWYB1FnGo2QZn1GhU858mviW&#10;wN72CBtZO/Hl4+yeY9uGDVAaPVFd6RfUWz/y0Y8Y/f/eDL+cVEevtsKiaYcIIH96yzeMvvO//5LR&#10;4cEJo00WxlLAfkPFvIh4DcZtCgkVwirlWDZPNZorcldW5cDk61PPKZl5lRoXePYimme9jUfQ5J0D&#10;Y2sHjuLQExa+Zt2DX+AfEh3vBf6Akun96+TAPIgnKd7fEqiv+3ms8IgjoZJzOgiE4l+FDcM9bQZJ&#10;pnNAtgNHICk//bn7jH73m67Bfvrlvvi5241ec80Goxs2QutoEw9LxLejhxDKeOe39xi98AJoJps3&#10;LDOqpOC2esFyHDWm+8YtDxjN58Y09bWrcMrG9fCqqT1tSgkWsk96fGYPunXjapvaJ3E1HG+wG2ah&#10;IUCCprZtCngpnKrj1mFyd74B6D5vBaKIhtrjmA9rfqpjm6oBZItwtcnXp0JsqmuWImSZ/qpZ3HbH&#10;t4xecw14GLHyjdIIVdK4zGD58SW4cWXrzXJ6R3n2zTseMfr2d77d6EhuAoO3oR9K4UwzxqjaAqMy&#10;LB7eod1YVuO42x5XH0pNVGlnevlCfOPhfeinpUP8JhH3fC3RBwwJ4ol1yZZwIOHAP5ED6R+8Ft4k&#10;bZTN/hchWDD4w3cWFYDlNKDANBmLTjAZb+ggrcabDFFxw2e553pKkDXa5DeIlLC1vn3IGHZYLHrN&#10;0pRqhcElpWJh1549potFuezk1GwnSldqjdrsyVIpfflll4yNjT/08ANHjx4r5Au1ejNXsMJU6cLw&#10;4sLw2ImpqeJwsTg00k5lhwZTjXZ7cMgKUllpGMPFXBPdDyILSLfUhJnK7OBQ7v7t08dPVO1v0Xip&#10;Um2cswIurBQjJE0wW6QFp9pBpjogi38eg2K3Y/MX4gVKMLgR3ylur/sdraAKu9ThZCLcgvbPTKdj&#10;2e/tlq0FrKe2GULr1fp0ZWq4MNyyiB0YRg1/7dJWRixvt9NqWak3O9GUIGzow53LMYIHjC1XKs2G&#10;lbeuH3jqKTts8dhoo1YbLZUsoCcDrLJcdksuy6dKo8a6cmlRPVM8kSmU7W9wuJYvHWnXy1FqykrW&#10;DJUuu2KrBcG266csW8IiTmy0TMqSNFONRtmcqOlMNWXdCVszUauabUynW5Vcu5JpV0YyUcGAuDyR&#10;blaKUTnbqWRalXS7aj3xzKRpProUbsfM0P5nHI7//J3TS8gbNMADj0CDv/53POT/P/Htf9an2RuO&#10;R/8c/iU63rNmfnJgwoHnjgN9Ol7odpOLrLf1aWhSe0JXVeBUmRPqEa/gdXy4gse/W0wOKLM5a8WK&#10;bg0MfOCvbzY6DkPmwE3XQ1dZNAQ9YmIGERVHjh7CKOxTs2XrFUZvv2Ob0SVLoAJd8iJYRydPwrXV&#10;qFJ9KkB9yo4yyYopxu3GEt3XX3/w80Z/+t9eaTTTgsNK9VS0tZV3xx2uoHJ/ynU87dexgLuQIQ5v&#10;zsPemAJLBZe2VRyFSYyqJ13s4BbGM1iDrBpfjVkxxiWihTPFxPy43iaOV0CPSp6mGH9jmy0HjKp6&#10;9LoVMJYqNKfBgNcJqoJ/ewuiMatsZ9MuEo+H8O1bfwq5BXTpDWQbsGcaZBnN06qJxAmkHU5gT4ZB&#10;P6p9qmJn7P4jT51BIvbLsj1HJeZQZ9zUAUqb9z+c/9jgsH4L/NOP/0/6do5X9p80SnhSgnj/bBYm&#10;AyQc+M45EH3ynVsgopSm3a2/b5/jH7kCNbxqmLu2dJ3TEU852fIgKSdAW1zKRREPkIVK4m5RFka0&#10;arbTMOVtuOASo1+9FZbMmUng2/mrgYQpwlGKtajUXHNiErTB6ppTs4zkpJ1t+WLGZ2QZ6cJaY00G&#10;gx5n64Kv37oTE4qlzStvuNz+NT6E0wsqnNwLc3fHY4x4PaHqrcN5a454feGp/MJhH5/64jw5jCqC&#10;NFTTnwpgtkNkY2uHEmFZHYXGsgDnwgD2dJj8Juen9zQlM0134rc+QwH1w48+ZnTrFuR5tFVvm8/l&#10;EC2NH77zNqM//d5fMJrO0wKcmsVnmnYzKVLaM5Uvp1ZyyjAYUEcnwrVKVirtTkyVp25uWoGm/ey2&#10;FyAYJIj37B5dclTCgRc4B6zK2PmQUEGjOc9o8qhFL/iRDhJ+5WET8ii4UaGJwjGVZ9bqXNGSTELw&#10;AoP5PIMM2Y6sOAKf25r1gNzRxVBpqkQQNd3cfjdwr3Zir9HcAOVxCqilYpj5PJBwYhq4aiZQoytW&#10;ISk7pY6zjGtRKQ5L+DNSYZu7bJ7Q4U30LD0PJ+YjFvlQ+GKQa+xJg5K/bsnkeEQY+eviuFYewy3O&#10;a+75A72OP+eiMb3JUbBkkG9QTSDMCGl0ODVmdPXwOqNDEZYDaUc8AFeLiQXeIjdoD2Q7UwxwOcDG&#10;6CcmEZSzgc1lp1k4ZJZZ/x/81peNvuu3f5VTmjSaHQC+5TtEOTa1EaalGZWSUb9BTrjNfD9lD2SC&#10;Zg+xA1NsmYtaAg3tDz9zxwt9SxDvhf6EkvklHHhWHIj+7he2QgSpP1ug46lljG1qUiOxHddjptCl&#10;LFRvA+GEBLBAwHx8OEZ4qMYIrHqSYh+ZNZtw0fGl67Gb5QcdPpV9R3mZYdfYp5683+jR/Ug8a7cg&#10;v4tMIG9QHUozcLFWVTUrXCTFWlOSzXkhMEercLbq29bxuEJL/1NIoU6hjbHnd3SrZhzB0xPVkZds&#10;6UnBMHdRx6smd+za7A0aF20Rb3Fk3PuOO7QR+HIsIrpuHMuBsRQ0vVybbFRNMV5FrM6oBXzcRK7B&#10;xYvKez6680mjF10GVbbK53icIakfvg9WzX//yz9nNJujztYBb0vkcJbdC9K0YSq9PSvE4314M3HO&#10;VEW4ze2Jf3BkbW1bo8jUGy8N+lHun4h4fXVQuhf7l/nhBajI/stkZDLrhAPfCQf6IlesD1u3ZIXF&#10;Uxhc2R/d9VEmbTUO04htQbM2Q5LI8scRSGH/t2qJFoAB0LQ2qdYcIWfH1Cx+xMI5MoNWbLnRMSNj&#10;OldYnMqULr78ZcvP2TA0ek5paHEnMzqQLlZqnUYzijIZC1VhmILNwdA2hctFFomSHxpdNFuu5Eqj&#10;lklt4Zc5y0iwTmoNUysxDUsMs3B5UztPHDtcKc+OjI2hKibSxUymMO7BZmcGwULGWilY4EXUaTEm&#10;wrStdsE8XGmLqaih2j3Rg4qKh90Au4hb5KfYgAgVgr+CU+z/1NkUm8Ir8js/y9cM3cM1SmzeU/Fm&#10;U4w5VezGHVusStruwFAEVW9GsouNvYXUoJ2YtTJrNryWHn6uaZToDmT32bI1g+lddqvEwiYvempy&#10;2uzVxaFhi/a0OBfbVbXG51F6256d7Vb7/MsvrNdqxUHcha0v7N5zTClPd+oM37ExOtmOVaRpW9sd&#10;s51aAAotqPYC6D6w0OF1MA1rYxDfmX2tTBEE6fRY0jNsxkz6Tt5U8ipYkHyH577QDk8Q74X2RJL5&#10;/D/BgehT74bJS5tyvZRg3YrteLJVpmX2pIFS6l9sUsNnWTgly5X13GGdxhqLiFx0yXVGFy1eiyO5&#10;+q9TUZBqpDw6FUK2iEKOhv1qb12QR46GR9XksJB4EBZmrpYnjT50LzQW9hSwGHyMo5YDsm12qN1J&#10;fbWIR+yJXV4qH5JmmIW3QZX2EWQVhLEpUlT6kjOedcWxONqT1kvpRKqtomvx1lR0VOiZbYGBq4fw&#10;dMYzMP+qW3fEkB1XtGRaJA6okjEGIT+rhJfHn9xvdPnqDUaLQ+NGjzPY5c+++hmj//HXoOONL+Eg&#10;0QSOacOemSPNsG1qTnnlPEvevA6foBRU6XjSZVU5U81xO3RLtt1Ujm+9BQXP1NZXe+47TyEP7Yz/&#10;EtHjX+Kcg6eXfEw48C+TA9En37UZ4keuLYbzuTxmDCH/CTmnOlMu8hVtr9LzhBM1MEuxokmHJy4/&#10;Z6PR1WsxeJQdMSr0G1D/UZWnV3MCjpxRajatoBEjA5uqOcXK+5bEgD3MKPMGLmqSRvvbY9tvNXri&#10;KKS7bK0F1p/OqJs2s8i0xVjnyoick2pmpEYCKtwiKO7Pa+5J2LD+iut4rnp0dZz4coQCjROLfF5R&#10;lY/pu1OvIrk93bZMXM124HJcPQIv62hqEW6EilMmsGrqMo54skvH+YdV3siRGdh7Z3ji0DhMo994&#10;8F6jxY3wgt70lpt4xklOAx68QouOTfpCs4xcyRDx5KMTOEesjuNlV4MkfV3dPXXqa+dsxLnh7btx&#10;MiiXEhZo6y/WFo86578J4p2RNckXCQcSDpyJA8lSM3k3Eg48DxzwpaaiwBTlLDO3rXvC6WgtpKbK&#10;DdaBNTM+j6Lh2NwGcRGHSy65GieyM20mjzyXcoW+aQbpqgSt+tNqzab2iDKx1FXJ3V3tDExTiy8a&#10;VHK8YpOlBDJFhoCl8O2j279m9OTRvUYffxzBwVtehIVuliHPXlZVxVvZsLIb/+V2HdZU1WJbVev6&#10;Mp5k8AhCyeKEqdMXlrGZJLAlkJFuCOE4WkymdYPeXIpWH++polU9jsmlwNJVY5uMDqVGjRaaYKCW&#10;muZ6AVWEnaIO4sfVZOLPBJd5E+T/48cRbn7XY/cbffX3vcroeZcxXaiovCTylsvygowrLO6Qo3HF&#10;24/6vfJyrE3oeb8q1a5bC/gR1/8PHeW9zx5IHYSPeecQjhB+xr+DLYxES5aapzEn+WfCgYQDz8yB&#10;6JPvhvpuuf1GG3VaLFhSTmYD/IdYV6f9JF+gmYS4UaJ5emQU2StLViDEeXSUJXSYjJNmSfYGB1EZ&#10;OQVPa5ObXmK+yfI76l0s20aLwlN9IbNs1as5pFhyJ8PplesIbspnIZXvv+uLmFUZRoKdrHK3YR1c&#10;F4Psk6ysGcVheXgAQaM77NyGJHNDn7szx4BBemsYLBamC+l470mGe/Kblw9G9c+tRB7nRcYyi1QZ&#10;WLJXZYl469jYpDAAtueatGpoiaGoNx4pSFeMHj4Q8aYZWLevigE/dTvcLT/1az+PYUcZ6Fc4hRMZ&#10;em4FKLCHK4siixflabLKMAVWlqeGd3vEyGn6yd0ZQMTTbYasiAOm+dT6jVSaJEaWQa73UnS/wYcQ&#10;P4MvekavvvXYaUf0jdR3ufCbM8xrvpO/g32nz2s+WxE9Md/BmMmhCQcSDjxHHDAd70IbKsdckjqr&#10;BkgNa8bdG5uqOp4eM/qi868wOr4YZfaqRDavLk4BLP/73B9zv1CjqPZ65jRP65zgIIUeSTVqBa5V&#10;T05RDDFTV9rNE0bvu+crRhstmL+PnYJ+MsZiuKMsvdpsYH8q3fNQt1UuHsjDWF6CuWqMp1QPVxxo&#10;w/PRou7XyQCWm6yWV6B3OEOIbtHjX6cjPs9yfd5NpUn1VSqx0lUJ1PKR+MagYivJhP8w14ms8XDi&#10;HJNfN51zCa5SwRVzEaLJIyKefNgRFbscleS6gNI+8EKzvLUpOnL+/tt3GH3zu38Cl1sslwDKOmTT&#10;TP+hOyfLcIXBBnCvRBdCimUdrAiT0TIDJzIsCqw7CEvTCs77dbyewheK/P5jNA5oX2z66bqzbqt3&#10;mHdB1Usy52BV4p+7qT3y3MmoR6o2NXPWFuLhnG5h818Ce+c2FuN84s6tOlELsWRLOJBwYME5EH38&#10;3UA8aQt59pKvUXYq1dK2bBHe24suehk+58eMNtTumFBQZ/6ojKKeYOpdpnT2nKU4Q4q06QKxzOuJ&#10;gCbdso57gUhThmiegWC55qTRo4dgw9yx4y7MjTFjVSpCe/fCmb5lHTRPJXQ2lCDLUDLlx9qWopnU&#10;ygCBKhqOuS0qHXtiGvsrQpUhnJOjZM4hAHmgXiE2FlhpYgjoNHUS8DuUHzaqIkCyT2bpzW+yX3Sk&#10;LlZe+ZxGQhVYlwpK77+K6i4qIa/3nBFYNVMNjJ+jodi7cXlkHF3qEaPwGABgWyOLSdY4bJmId9uu&#10;HUY3vA6Be+deDJ4MtJEmmxqAnpwlf0oM+MpXadUksOe9DAZG63jzUIFqDzriPJ25KDM/bIUAFa50&#10;QqgJAe00/AgNnkIkDajPOtjbP3Oi/ahFzSqYqS70nSLe02uGc8O4++Yc1L9IEI+PKNkSDiwsB6KP&#10;/QIQT20QpXq1CUqlEZgobbvkxdcbrdcZ5EXh6pV2VAEhA6qa5AqQlZcs5cgmuSY5E6Cfa26SoFzy&#10;EkUlTb3hCf8tTU/CTIDTqU4YrU8eMPrw/bcbHSzhoDLTYa0HsZEnd+8zumH9GoyoZs4WNoyTATt5&#10;lpbAKTNQbLLsTpxJEzeISFEOQHHHfQeNPr4XF9Ly/6bXotbgEIXescP4Np3HWdUq4HTDephSNeOb&#10;/wETKxIPU0TR6196pdGC6ibw9hvEtyZNxFoy5FnATwi8iG0r142yMIdVhQV0Y79aNHsvTrKrUeUe&#10;aps4mGHls9TW7Cka2c2eJ59+9H6j/+5X/gOO6TyFyWQZGsb1RZY2zBxvZJDsVstIDaqEZm8hGqui&#10;uKguqZIQIcgFbs9QtPchnrQ7H4Ez556ngZQ+DY0nOtYFNSNDxFNjM100BE9dVK9jeLlQP+xbqs0T&#10;Ch/MO/g4N1VXHmC/in5fnE+CePNzMNmbcOCsciD9Ay9fbjWza2bQbLcsL9SiVjZu3rpoydJNL7ps&#10;5Tnn2l+llrLeGFFmyIRqG2iWsgRYSECU2YYAZh6mBIR9az9nUOWheqokfuL2f/1RrEHKWsSyBYqg&#10;KLnJAzimmDV5unTiOUzKtKJ4NTMaVmeONRuVnY/ddeLEYSttlDL3WctMeo2UhUtEnaYJ53ZzeGRk&#10;dAS6FrJ0Ia879WrZWnwUrQZgKmOew5bdbbOdyxYymazFrNhWsWga5MmiPP0TB06cmJhevvbisSXL&#10;v3XX47OVzur1KwqDQ+euWmVoaBm7Vjzi0YcfnZic2bh5S7E0NDE51e6khodHzQNZaXTqrc6BoxMW&#10;qbNxy9axpcuPHDna7KTWrllld5vuNGxCzVq11WxabXW732wubwE0zC9OGQQikxhMjkrZEds3nF5s&#10;iwkrc2T8yWcjq6xumVnGM8scRj13FMLvtOVYsyeH3NSo2UEOMlT0VDTDqu65pUsKpdK39zxpyu0F&#10;V1xsj3rRcCdn7SSbU5bXI66itUi7OQR+pK0GlBWSsKHperWTLL+HzbNUOt6fMv/dLe8QV/tXBX8K&#10;dOXB4onbKPrrvgRddAxh0r8O3nd7q7rn4oNqvscrqO5bFXcH4MsXzwAX5nR1XWUvdy+h0QKdq4dC&#10;eKFjjIqPCV9dvqRz/nQjKjjffwR/CPyz1Opul4QE8c6qXEsGTzgwPweiJz/zdvvmwfsfNLp27Xqj&#10;Y3TTNQdGdUaTNXbSafyzTvUjxdgIlIDAYdAEZL7zcApPkXSnVHDZQNPz6L6ejpeWjuepIp7TiR2C&#10;QJWai2Bz+9Y3Pmc0b9GIiLpgVCGjQFnLxyJa6HFigtKRw4hRPHcN4hLbNYyghozd8hZKhJXWZCUr&#10;jFplCKOHT0BB+tptCILJFICctdopo695OcJQlzAgZtvdMKW++DoYe/c/BSPqOSsX83gomR/9zNeN&#10;Xrj1AqO7Hn3E6KtfernR5RjM1aeOAnc4B9m+FHspT51K2a5ffDH2z4DVBQXxsDWXlG3pD0XmYVmH&#10;EwxhSUB0OdaL2HmCw45ftNXoA2VocXuO4qbecB3U0bEsPJwRYzJb9SmjGcXEUhp7jKsemutsZJRM&#10;wdyePu4kVp966pJbsLvnz/chVK6eUd+bqyL2WTU5fhwr27tYv3aHMWRWlY6nSYZuZI9k0qsY2EXD&#10;6YfRvGdiS6jZJYj3tG9B8mXCgbPDgah8z3+xkRX2kJZRkRX4jh6HILStRs9Yp8NsgywkdrlCd5P6&#10;KlIapBR+EURlPP1s3QJGyRD78RSCKGFEK1kY28mhsylM6chTjxs9dgAwUpmd6M5BWbyFIeVDALI0&#10;tyNsXrl2NSycTQajeqgk/GmM+WC6Q4vuwRpNeSdncdgjj50EfRTWy1FYBwd+6E2vwcSmgX7333uP&#10;0YuvBAbu2b/H6HkbzjVaJfhPNMC0O+/aZvTqy2A3XjEOrqZm4esboWfP1EJMiUitnsYN+gybLZyb&#10;i7DEWLsUiDcY4aYy/DbS8ayJaFWiMC2CvKmM+GxRmszbmGb670wGO4c3YyHzp5/5mNF3vednjJYq&#10;e4wOpYF4rQ6wTmsKuRmVOpwhFLeqoEWuIFq8kOJpYwzUNXtb6IVzbPD0Dhzz9IjXZ0jkkCHUnHYh&#10;BZzMRbxnE/zZH+9CxONcQ3dijHiaxumgffptx//2+QQ5vmdiVIJ4Z+Jhsj/hwFnkQFTZ9isQZozm&#10;yErPoX+pw2A/22qUD50WBPbUFAChwcSwNhuGZJmJZ+0debqfwvMojFX7wOePcdpx497u/risAA8P&#10;6qLHokKCHGO0W0C8WhmA89TenUaXLV1kdMUKuByVkFZhAIeCJFVefmoKcv3kcURpbFy3EWPFqYaN&#10;BgYslTCxJlPRHnjo20b3HwDKnToJPjyxa4/R4ydw5KtfjlyBVYvGjR7ct9fo6o2ILDl5Esrk8nEs&#10;B9pUfT/xRYwzNEYPIR2JV18CfW84izHTmqscntLWmK5R41NosYtLuYpnsWrJZqMjOVwxx5jSITI5&#10;RTjSDSqytMZAStuOsO3ZLH2Vuw7sNvrA3geM/uwv/5TRbB7cKDUA5p0GONnOYXo7dj+KiRHMRgcx&#10;wsbl1I2nsXYYThGumR2iPBJtoQ7maxVK8v4IFXwTKlHd0zE+FadQbwqdaWFgSvdgnd4/YA8/Qv0t&#10;BNhQN+tTHRU2HIypb1kwuWe0xTGc5dPXaJqbahij8ulwniBe+BoknxMOLBAHopl7/jN/8fiBex13&#10;6hvWwdinQBEesbZcg0H39ToOqNZwyvQUdQDGcOqMeGXfs2EqU0vF3qxbFI+RiOHI3spQOgYEgyca&#10;y80f11zC/hbRjCJRaddKBUinlQRAFYix+d5vhCpQmhL64Udgzdu4foPRkWGgNA6rwyiaGoCSk2Jy&#10;2j33fMNorU79luZcVU/KMAAyQ1UzTYVYkq/KCZSKuKnW7KRR5cVFg7BJlhlRmWaUphK9C8r5IFJl&#10;0hyfUfPq69LKMuzmOHTOT3/uXozG+JM6UGrgiq1A1596248aHWNMTL2KeVaZFHecaY223fLYk0Zn&#10;GWr7uptebfTiF0PHa+UAy7UmojTTLGrUoc78pW8im7HJ7A3FjcoCPEzr5U3XvdJovopv84xGkiFA&#10;m4c76mFqD/liRXAxPveH0JQhhFm/ax7be1ItvRvElBQH1Th6Z/Q0MaB4y0eviFnBo6OQXhheWvii&#10;iers0GJ5JsTzGvWcC99037RfNL7XEMHmKqe9c+f5pNt82kOSLxMOJBw4KxyIpu99TzDwM/0Otb6n&#10;WtJoQv7VKkQ/Nj2ulLmap9i2+u44UEoDi7ioTK2CDFsy0KkLsQLt2O7QIyEokVQGXG0WfZOokODp&#10;l1oYk3auMNjcK38QXoSKd93xLaMXXwhVzbbhPL7Ksyfjow/DLzd5Eh65Ni2cKVYitMLoPJYeP4o7&#10;GUXlutRk5PJSfw/JsjoT8AX1QjyZDdVTRZbMtNWih3osVoCltWjE6O996OtGGYBp6ij2SIwPUXEd&#10;yYEt7/1FPLW9+54weteDsK+uvQh4aNvr3/Zm/IcRm0UyL8UbbKdg3a2nAe+P7YNl+PG9yO2wKu38&#10;FrTOJIk87ZZZtVIjjt507cvxmfszdD/q9mUOeOwJ6NsXXLDFqNj1xME9GKeEG1SSZ55vzsoRLATG&#10;2By7SbuAOKhmMmWq3La6wPg0JFaJjacmoZHa9vCDMGVneemXXQZ78lgeL1tJVXT5UtVUe5fLNEXA&#10;qjKAcM8XWorhVB8bvmAZZV0SbL3MMbntja/DCBeyyJoZaErdLQxV9QL7gmvVsNRZSuLxTi+nDZD8&#10;M+FAwoGzz4EzIl7PehNkErj4Vw1WCulWQ+gHAV+rYP/sLBGGtrUmRVFEA6nrA67F4aef9kxweoci&#10;prdpce7V4ynGXD/E7j6DUtApUtXRpQmEGettmv4KrD6iZf9RphR88fOfFGMvu/A8THIWyk/Ebs/F&#10;HAapVqBUFWnck/xrBR3IWl50nZqGJCtn7eY4TqxFWNAWMbhHpV/kJ8yxO2dZxWboNc0SXU/VMdXf&#10;/8A3jdYLXFA06a8jXA+0cfwI9clXX3+d0StefInRF193BcahbRYfiphYrYnbySnPgK2Vax0g3i13&#10;f8XoJNcXFoRrtEUwt8YuRjNUHVUFJ8/1iEypRaqgQ8QiWYbVHnTnLmjOaYJDaQg3dfjoIZw1SPWV&#10;Y0r8q6jMwCzAf8nwqNHzNmAcbXsPHjA6VQEyVxpgUZ3AlecjmJyBRdq2LHXQLBceaToYr70U975m&#10;fAUuRJVe7mWZGiwgFsfzFUIUsn2rXEzZ8KXRcpNVv0P7sHqnNhjoo9pzKvmjCs7qSeadyXSu0E/L&#10;NH8I1DZlwlD1Z5n3NY4qNXevnXxIOJBwYME4EM2GOl5YPbL72REPwsMacXVnpnxzWTvVpKLVAD11&#10;CrKw0aKotsxmfEts5G+8yfqNUtzSbfn9pONxv7qCOBL2QEML6jiuRSYziSsJDtlCqav4bLmHIJPj&#10;wlqGyn27dxg9vA9y2rYTR/YZXbNizKjlDfASELeWpGG0UibulWiGVVMRyra4awenxHoqLuY0Jc+/&#10;6k3Melx1JykFpsq0fWXQqdRavUyFJ7vIyOOHIWv/9vPbMG1amMvk19Aw/IRvfOPrjL7l+xBDMzJC&#10;tGQcTK0GuMCAZJvnNCpykZ66Y7O7jd5671cxgSy43SZGS0G1rmzYw1lLVCv9L8fhWjMYvMjJKB5I&#10;GZh6LlJdPN0+h891ctt6muFblQDlgkew48GQcheTdyGwcMi4zqpqvbDVDC5KBBMdoqLYruDzZeed&#10;b3TmGFTBZYuWGl2+CJxUD9MCJ9BgMFORT8dyM3BpGm99Y+hVk4E+AmpNNTab8xaUgKoW5UpADTdH&#10;PGqPirn1EkQ4yC0CRD8lTiaIdzoDk38nHFgADpwR8boZxfFKWD9xalMS/L6CF/JQl+sA32pViJMT&#10;p2i4Y06D2pXEeetENgq9iF07tClPPEY8aWWhUJgrYISHAhtJXu0Q+vVma+lv3ZELjEKsz7iV7Km9&#10;sArufOxBoyPDBG2qFsWCBDPQr9mEgqTkd9m4PNaE+oDX3AraenkWPyfg+kAw96Y0BIW2MvW7Tc0k&#10;RxWoQtdovbDM6CkGxx5vgu546rDR/BCO+dn/+G+Nji8iEjLyU1qEur5wRuCkpdkZrRHxTpahxD7y&#10;JByDx6afwk1RlTWNB4Qf1UZmpoqnk2VavYBF6JTj4FpxSHgLhWSxtLakGMf5gc954l5s+CWMUInS&#10;jQshLVEQY6rCKvc0anR78oqWGsqzeqjYPV2X82dB/Cly1ZAnqEZ0OQ4VGWpDt2GJKuimtVApxxh0&#10;uoy1hbIsWz7I+gPaZrU2IVKpgpsm5q+9rNa8elrKswBcTki+rkrVj1hJwHvXcVYZ2Vc1c7XH6V41&#10;+ZBwIOHAgnGgD/G0uNcWVI+g3iUPXmDQE+K5RVEnskJzOg1VZOIUvi2XsadJ4a1Olx1GSOhw+eJi&#10;W2UPtaI+/U3TCRFPnwOzYQB4OtqNSxy6yurIapOgdl+R9ExcmjoDS5I8/MgDRh96GHTd2nOMjii+&#10;pUknWA2GtTSPzxAcJOwzDO9gWnHXAMvpBf2rlGqoY9rUdGUjzau/p8x3rGtaVpxKZsTobHbM6IFZ&#10;HPPgk1DPLr4cnro3fB+CUfKsehYx8lPm4rqKrGBKmMD2R7YZPTQFS2aN9WaaLPfSVu1n5U9ySnW1&#10;juBNqU1aigAijqHAAOycGCFLkLfUfVxGRkKCg0S7siIbmoYcm1wsqZK0mj3oyBghA6GvUB4erxao&#10;Uq68Y4cWCPHpch6iAXe8pVm3RgXQhXKatieI+kMntNIWetGq9Uav2ADH4wjd0Smut+TG9LSbbjOK&#10;7mX4QQsL/Tq0olH9bymxVr4Ak9d6ItDxtHCQdidndYJ4/XxN/pVwYEE4MC/iURx2kUjOBy2gPY5k&#10;jvZFoSJjTiqiuakF3Dt0hLEI0biRhoISFe7IJa8biPw+e2PGoXlzhYL0t4AxQWi59oZB6JKs+QIW&#10;8RU2tVTgSEQtCNNQUhf9Y/LGqGHDX//1XxgdymOqq5YC+Ias6AmEN8BB8Ctzn9sBuTeemGStjuR+&#10;1X0WjFOXE4BkOBkZ9MS0KpcMZbpAdx6G/naItrjV50FC54Yxz+I4rjvdIgLTnqnKaFKxbGszvTDF&#10;CbcJiVX2RVDieEooxGfhkTZUqCXfVWwu7BMlB5QBkMbGMS62OQIFvMyA0uLyBCKJdvWE8iwTaYnE&#10;TIG/gEJbSkGYulSAxgoo8XFiXulWG6pEqheJIKyK2l5qgICckwFWmRy0WKoEQZYtJa487wKjFy5e&#10;g/1M1MyqHRWPz9EiWuct6Bm5Oqppk+dii2ctEN9cJyS8l8tYSamknQwC9TJWT1rpJIgHjiRbwoEF&#10;5sC8kSt9iOe+O2kujnhac2uZK7HNf1NWtSi2U0ygPnUSe6p1xuwxi88zD2Q40lrYtzko2scJfYvR&#10;whxnHeLWUQ/6DoQQYy8ktJShhxpiON7hKEsLWhybgs9K6R4sASQnj+01+rEP/6XRjWthaZTlU0v3&#10;NmFEColcYXFONC9Bt6TCblrSA8mWuupSEy0jmltVlrvKTIhqBkx7hFg3QWvqqo3wSmVHcWRpXIZK&#10;0HoOM6zL7ckAFEdvCGD+k6BToT8trR4SyucQnrRwUVkOa8xylDjP0oPqSqx4wbMyxE/pb1lCh1Uv&#10;w1m8EdcPGYCqztIRFxF6ZsqpU4yu1XHrzkEAJX1IhWTUhyN2luriXD642dBKwhDB1B1JySi8zbZ0&#10;bw5V4soiV8OARbb3yMl3quBPYZSqmPL+XnvptUaXMMB4iP49xXY2ZYYli9Q10bMctGTzTuD6VfA1&#10;5pN1U79qn6rjIgNxpHNK/Z44fgR7cE6yJRxIOLCwHIimt/1i74pBYwPBC37EQcEJVld0A46v0aVl&#10;uUJIRKK9UTl7KWp3R49BSFhVS+zJAjTizja6gn78Ut2EgX7pgBUUHoF257MKql/FxiLJaY4o+U3J&#10;2mJygAegMK/PtjRX2y4vmdltBTNB1beV6/iH7r/L6K7HtxvN5bB/8SJ6gdhGJ0XRniZ29SFekM3Q&#10;oo6nkRVX0iQKKOazxSjNGrvhbdu1G8eMjRgZX7MIVxwjrg4TP/PMvuONNFlzpS6mcQ5xWI+7mNrq&#10;AaQGRsFKQVqWOCOcsSouRvLMD2gxVcLt1aolx+NlGS4wMaJN/5t3LOQxapak/I84sIMIpkBHPl9h&#10;nUaT+8u4gGN4C8JJx0NhrKBGof2x0qmDfSOqWP1PHKAoSg44zLdk87JVRhfTUdyYgj5sdUKNHp7A&#10;aqJC/VCtOFaVwOcbLr3GaI4I2SZaZrmmYM69/QR441pKeFyL3hAc2WBk79TkKaPT05PYT0QdYqDp&#10;4sX4CajlxZFDB/CRVvQE8cCWZEs4sMAciGa3vYs/av4CqYdYvVtOogs7WshSjQl8d65ZcVksvGpT&#10;zMdVNGhE60B4Hzsu4xKtnbJfEYUU9RfXVjntos/Ah/6OoThXYQHhpux110JlhuLS/LRqjZ7XTNkm&#10;icpazh6An6IeWKSSs+fJB40+eNctRheP4sbVZl2mP29FRPzxzZu8U5VS7Lx8gMTAcmrM6L6jkJSH&#10;j2Ddv2Yz5HR+OW1iecjFaDFnwtDKjjviKJXl7HK5SRjpocEcTgZxPF643/sTYpphYRJNW1qZGg+I&#10;p8ps9CRuKZYKt1ecUMB56WOanlxbMoPGgfm6AneThlZofX7GWppzD9BCpsD1S5pZBZuXQCdfSRty&#10;SckW5H9eai0XH6eIhAWC/4ZVG4wuGV1iVP2YOkw67chSSrXeynNjfM+mw0FH9+81Wi1PGVXluAaV&#10;6rilMhcUgccvXMoliEfmJFvCgYXlgCHez/OK/AW2e0GScZh/9ycr2UcrUywHsYNZCL7RMeWpazLo&#10;dYaMHj9KxaYJNUbiip0V+mqrPLd3LdAOS3Sk6YKTHujVX3qI0b1/M+v1xLNy6qRFqKFspzFhdIg1&#10;Wu6+42tGp6eAV8Ms4lJngRSZClVXOM4+piSmOjRbA4uyI7BV3v7gLqMji/F5yVLYMwdKGKE5hPHT&#10;SzDCRBp76mRsrGxLDcYWm/sowHuZJXOFaW/NEgpdT8oO+hnqGbeVy6/wfD4vBd/ERUdCxKNQl0tN&#10;89JahuqT/Htn2sJZulapAQjdjpCxPbP/fjnJwNsoNb5Do2uR8yhR7VxJxXXTyJjR0Rl8O0j4ja3B&#10;NE+zdouKIeTyeF0Hh/AsBkeh+8XtsXoKp6KX5Aqu8OmbkmckT6ZNnzpuVLpfWCQ2vEFPyDgTX5L9&#10;CQcSDpw9Dhji/RxH56+fOl7cwKBPxwvX4i7cFIrhIKkxgCpCPAVKNNuAgmOHFPjP2Efud8dI36DP&#10;5T3GeialqkL1PEeB9xeblDzxjHLZg/TlvVFAhlLRqBy205BqhQyk5izbDzx4/524Y4YR7tiB4iXn&#10;bdxs1OteSR+gCbdMpaGdojOTTHhoJ7Fu6bDRpauhV1SasIxlmXPQGMFVyjnQGvs0dLvzzuHRXPMv&#10;p4+bFKKEuBLintQPbHFkLE+SldTPjP8bo1lcDUCIh0OlP8uS6aW4FPui7D4fjdeKkye61w2nHgKC&#10;WOrF3aRnxuAWZ3OTJ4zP9D1SWVWCgIG4eb6EBeYBLK0Bo148Cq1vEWNKZA5QFIuiNCOubhqaPN2J&#10;o8zrGxnH06kyvcZDSWV4pxfX45kVCMX1zvGD+zCaLwECwA9cA74y6DIi+ZBwIOHAgnEg1vG8mSsR&#10;TxvdO71/Bcnp8U6phfQIcYHbYRS8ap+k6BZrNGnVPMyohRYW0CmmKrU9ZkU//nnF9nPAAampc41g&#10;QRJGz1inuilerpMiVgmEKluWzsgtBty7m4UoO2zCrmw9hSYe3ItyIxvWrcP+BnVCYmadVcnqNP8+&#10;ugN2sKExsGLl2sVGy22MkxqmcXgM85lKz+LzMK5eoTtOieF9VfgDQyW/w9fxB5lmhXtcyPg2P+Kp&#10;jptHFPFIVTeV+U5jaWhxUrqfNiW4u7XTZ6kjqeFr7ROUygmfxdyn7vq/EIUpCB762I947pjl2sQz&#10;4qSnyStLbVwJKGrmvojlzF62ZDU+87nIcJklCOeVFMrXu84R5OTNs+tTifre8BjQsjqLpz85Ab3O&#10;2i0aHSrgyZYYjdkhBp46hnQQ2U59C7vJ9vYmfryAF8nHhAMLxgHrFqTIldMFpLxGvd/tGRAv1pcI&#10;Eeww3pY7hWWSFaV5/Ch1vGaIeG4/O1v36XodYYfXcLmuWp2xrcz1OorquLwnEKbB0JYU49OV4uCR&#10;6Ywa2f34vUYP7X/UaDGPIzOE+kFmGDzG6JPhFcjoy48tN8pG6wOPPorj164Gyo1RuzvGVkfZxZCs&#10;GTbOq1CHbBZwxTKx1BMbeAuxwja/iTJAPB1MeHLEE0adfqJ0sCbVmxCLVCBU5Ss1rFeIc+AlvPB9&#10;yDG9MGzz7XqdtDs+BSVr6+qhLhfqn+79000GBmEvRBmmS8QauCfCE1rTLPvsbYnpWVWjvzz1rsXM&#10;wXvpYvhIR4l4bfpacxmeq34VBNiGJ8xRD1Q5Vq8MQIRUdwqF4ChX3dMIqSsqA1BvS2DO7QaaOgt4&#10;jzg+/pD8N+FAwoGF44Ah3nt6v8Cgr5c10w5nETa8dOmltb7kk1QBnhLbvpgFV4bqMjkBKGgwckUy&#10;THWmFct3NjbBVxQ07FMUiwfl9Kt9ErF+CiP95TGTMuNdWpV6z3V8Y+aE0Sd2bjNankb0XYlL+kgF&#10;SFjVY8exCaO5YfiCdu+CXnf+lg1GC4xHaWWBk7OUr0fYirU9CnQdXAGNoqlYByp9HovYZ/59RsTT&#10;w9DWe0a+I1AOdYNxhAo+C+uk3eUCxGvKQ+sDc0xiXY5ZDoLLuNsBOc+1hMotZ1U2O4huiXGv9/Qd&#10;W72KDxHVk/oxfBc03Fgd4gl35XibUjVb9OYVqLgNE8eWMm/gihGsPhZxqg0F7tIamdVFFfnJxZpy&#10;Mi39Ad8q2FXZCUFl6CzRUrWrtbXVpoom2bnA7mmNjnN8vt0zkw8JBxIOLBgHoll2hJWzq9+DN9fs&#10;1J1V4KCQ60M/YDpJ2tQrasxOmJ7F/mqZMSuswJmiLFQyVdqdh8/9j98BuC96kyIqBAPKKd6SNAR+&#10;YlSe5F+d0X0CG5Ubkf8nUkJ3G9ilZn0PPQT0a1JzqHOEJ4/BVnmENq6LNp1rlJ1qrZwz9jcHIYnr&#10;RLkahfMTR54yeoJRf5u3nIeZeVodIcVhKjACz2PV5A1gEz/P9PhCnMFn4Z7U3dhKqfUCtTJGt54J&#10;8RSvG8dnSpCDaTmeVaT6VJoFFKgEWJjKrbkKHIguXgQgYr5fm4+goipjyt/GB+KVZ+Jx6cQDNLiw&#10;i45Pi9iEYr2E0UJbFsEmuWQWT2eQy7jY1osJqyGEXsiGaocpLVCWbaGfaofJdalsdE5Yk++LoQmc&#10;kJpz3E6w96bp0Tz3L72ul2wJBxIOPA0H+utq8kDBV7fKWN9PNchRcL2OwS4dalDq79NsMVyD5bGm&#10;EY9hdiAgnjx4nTSVKK/jMkcDeU6fVYx7vUGlvHU1phgAJdoFiQy44do9n4WaqrV7RH+aouDVLker&#10;duHSfezXc/DQPqMnpyeMHj4JPXDrBcCu8RyOqRPrygXaihmhUhvmcoDNehrk+Sz9TkeZoXzuucDJ&#10;ft+dwk3m6njzSs8Q8QSV4keP53MzPHIKOtJKQYou3Zhtmgo1ooI8lFHZYfSSnJ8KYiyQUUM0Cw+T&#10;jZvGoVzlyes0Vaas6/bYozdBmXiCHVXuafBqJ5jeptBK22o8WM0VbBGCU1iKcwXrRi/moqLF7IQx&#10;PrsCiw+M8j5HdRKnpBLaKuUixNOmiyo/XdZsbV5ClVeXkcI7CgV9o7oH24d+p2j4Te9zgnjz8yXZ&#10;m3DgrHLAOsL+An7fMkBlZH7kGjR2drny4wlgcmJQGCgkvKX0aqBZswW4mJnBt9UylSX2TjDRg0tI&#10;nql1DkVOpFiHeTyEz80tx7lnHC0IIOhaaON4f4pz4kHEqUoXVGnMlLsEodHFIS8A8JrKrrEF3MQU&#10;8O0Tn/gbXgdZXls2IMYvm8bN5mgSnGGDnvJi3HKDlcIqjINpBtJX2oXStPfvO2h01ao1OEZdb/ht&#10;mDUvDSfLmpxdS5pK/PfreM8G8XBOf9tULQQk+HtafWxT7D27LCFoMQ8ZZTW3y9mVvsj98Zh8qQID&#10;siqahR2g4jUUbaS8oteJoWqHSfCV006BpJLoBxkT66E2nIbyxOWji92S2O8ZAyp5Fqi1fY2oeK04&#10;OUP6WA/9+sog9Glq82NYfzxyb5wE8fRMky3hwIJyIJrZ9ksQMDT0eA9U/iy7EtSNOYFfRTK1TbdO&#10;m54cYZ0649UZyq3OQcI69cfzeicpSEThT1plSM4y4omdLrT6Y/Y95zDwWKaVg08OqH9ai96eBotV&#10;ppmv1WSS4Qy9dnfff6/RB9lN9rKt63E3tWNGc53joNTuZliwpDFKvW4ZEHK2hP01gT9rt6hGlZf6&#10;Yknm6WlEbM6woVyG1rmhISCtEM9LnlBZ8rqRMaTH3tFQx8MV4u30VUaQeNlFJBwb1tqJe9NjP9dD&#10;Xj9TKtYojZLncplwGVO/F7E5e46IJ4CKk9BoGOQdu8apz3PeASGelhhdW7RX49aAch4GpWViXJLV&#10;kS9YD6e7rT54uSDNL66Ug/2K19XWX8zudGbG4DyvqRy32J2DRuvHN6FosiUcSDiw4ByIJu/+dfy+&#10;1cKuDYDybjinJctRcXDrE1UOubmaDQrdBsUwy1SoY56UpbYCPnhXimZosyuQO6nOMuKdiZlxUZlA&#10;cemu/hndF7awaTH5usX+MlUC+74jE0Y/+/nPGt16wQqjN153odFH7v4q2DIDj1yUBV618pBtlTwt&#10;pWNgyBR7HpTTjJxQPUyvhUwAEO7JkUXYVbOBmVmi3wz0zJUrEQUaO8R4krrtcfUQbKGQfnrx2juy&#10;H3nCs6TvYXg+cAvTAaNGWVlshBO7chwJbOdyHsU6Jpzm7bSCxhKanmtswVz7VaxnAAM3icuBzLEE&#10;zjF04/S4Kz2+1eBx2M1pXIpLIrhmyOnxc+jyjffMXUTgWv3GYY7vSf0hY8PrJoh3+lNI/p1wYIE4&#10;EB2+9b/apWp1iK5ajQJEKlncYMAn0rcK5w898Au16c9RLrM0Oo/hpMtf63WtqzvyCKnHWtAo/Gzc&#10;bp/8DqyaXeHnUs0njylkPSGZWgRlao0Jh1W6Ik+yb+vf/N+PGP3Jt7/VaCmCRrfv8W8bLZ/YZbSQ&#10;xzETHXgwG1DoBlqLho1WinRsZvAtLcEmU6XwgJlu7hO7FDMhlynjOdVKLsdqx/v27Te6ZDFUqUG2&#10;Ha+xTmOOVa66p8dWzQA9gkBcHdlv+dSe3vEh97Rm0ZTkBMtwSotYgnJTAUrvxVSASzO48TzZqMQ5&#10;2QJC11Z89Wf+bzwHh45wSsIxj7GkAbrl9mfeBr8N6Ty45DfVm0YIvHPtnOF0Qx3v6W8jtIiGi8hE&#10;x3vmx58ckXDgOedAtOsLvwtpwdIpqpav0vmnGZq8KLw7ceTz6kVCKCNBnhkvlumNvzlhiaLAlKTP&#10;ylE4G5smH1YTiRvW4Q4Vh4EPmhLvXRJICQ0p6l1TNNkNsJ9BJzNm9H1/+idGf+AHXme0lIK/bs8D&#10;XzeajxBg0W5PGVU23aRarjLXrjaIseuKUCEUKKa/pVJc9MUVaFVWPnWdTBbWtRlHr9m1mGetdj9N&#10;VhyZnMR1ly5bhJHj/njqmuDbXItxgPyhPTN8EuKeQFhbqEopr3yE0148DYPti5dA0V3NKQ2ycU+H&#10;QZ/qcad+DHNH08jzFMnszT5+CbtzDqakm4yUHafnKEAOTu/7GNy4rJdeYOYMZQpidOoZgf9poH2m&#10;6SSIdybOJPsTDpxFDkQP//0f4tffYSkUKmNxmScXguoQFMeqYypCtj7ECwSmCu5K9MjU5lWHvbFY&#10;LzQuxMDn+hYps8Me64SONg2JqgrDD8SQthCeIEyB7QUhi8C6MlcBf/mhvzW6YT3CDgejU0ZH8jDc&#10;perQ8TJZCP4KXZS1Ei5dXQSdsDGEm51swqmVKgqEwRzFBNIS7MqwEE+bV32kbTNiJrUvN3g7KcYH&#10;CvEGB3GVXU/sMLpu3VqdLiNn33aGsh96Rv2hGDhP80p7DRWCbWA81KKgSEPrZtqxt5RGjK5mhl6G&#10;1s6oiP1NlnDOMYI3dJH1VV4J4XmOuXPe6pp+a2ozpE4GgWqq8j/a9Cku5drb747EwHoZWkT7wF8D&#10;BU9nLkR3L3faB43jDzn4rMMSxDsT35L9CQfOIgeiRz77F/xhyiBJ8U6YanYVMNXNVzC+KogpaEBR&#10;BS4BiDAcRKUvPHWNssWzib1IM89SoKMLpzMuy//Z902Q8Wx06h4cUVkUvB0pM1RBuUf9vfOlMaMT&#10;rPr84U8A69avW2w000B+3XjrJI5vTxhtUnObYUHR+jAjLZdB/J+IsKfBjgstT7rHnoJUBnV48yap&#10;nAxlqvvugv7pwmZ14fPsL0WQEvdkOpam110+jIzCuqh7VT/AM1kvfXBeQs9ANaS1qWusNvd8Ejkz&#10;PG2wAsQ7PwPn5JahMaPjXBvkFf6vfAXeeEc8DbYzCfvv6D2ITQl8Ib1tI6ctGOfl/BgpgAGQzWdd&#10;1FmnT+3pcenpJxwWTQs/ixMJ4p32ViT/TDiwEByIHvvcX9l1VNtjgGElTXULkEyF3OCPU8YfT1Ii&#10;XqmTtSyZAe75DzrM/nYHiyIzmbnnXYfOJI+fmzt3VxgH84wKTzbvKlSOc93r6a6ZrGzGTkDHBz70&#10;Z0bP3wR9b3gA2t1oE3GY0QCjSQoYYWYQt1ZhbEo5T+tlAZeoUh1SnLuqdKSZA6Zoe2l6XqKGvkSl&#10;XUdEUalqGfcxUq4rjU3BQGS4uJhJ47rbtz+Af1hT7wu34D8hbDruhcqLFEie7nKbamcQ/hIiXiiw&#10;1TZgMa+9kV9sGYKjcqSGPQVVTPWIJZkcib19mpPWRBL6uvyZPvOIObofrsDTfDGlbJK+ATkLV015&#10;ZDgBncs9IfKECObT61OPuTIKNEMOM892Jp9hGJacIN6ZuJfsTzhwFjlgP+wmggYtQj9qmvywLZvK&#10;2Z+lDsz9y0RZ/mXsT9/a+fZnzdn4Z/LZ/zSUbxDxsSw1SRwZBpjWYDZFC96wv7O1aYZ2aVzd5hhP&#10;M5yZwbZVxbA/i4Gwv7olnLebhjn2N12fsr+WNRpNNev1qv0Zzthfs5O1v0Y6Z3/lTGR/nfGi/TWH&#10;UvjLR/ZnPiz7s+pXKIBl4GCp2taJPJ01LcL+LE3M/gzN7C9rNlEYkrHZadBITSlqWaVIE+B2Jo41&#10;SWt/Zmu1PwtzxV+bf5Yq37SyWvjLpvL6S1n4jWUCWh61PRCMZ4CLP8vyQ6KfmVUxDP7EBwt0RKyj&#10;JXQzp9s2ywRHMriNZBEonYb98fqm4LfsLxPl7S/VydgfGNd9yAbXKb5GsBBjzDZmaywDZwkt8R/u&#10;DHx45j9yxDBm7p+maksn2wyFZII4TZvV/jP9aQSdc/qZuNs2/voOwITNm2d/Tz9zPrr5/oIfcoJ4&#10;Z1GqJUMnHDgTB6JHPv+/JTu4ftVqmlrEvxa7S7jgDjPBgnukkdZlJhSYWWpirRxUl9u+iZyDQ7uh&#10;QW1ZO2Z0JIXYyOoAbInVxcyyWwQta5LJ62V1olErJepsTG/w/rIFZtapYol3UVOTcWa5ScdLq2Yj&#10;PX5ShsMGOvIE5ph1XmeoZMT8wDrzA207cniv0ZXnIFcgYwsX5EkifnLRYh0G46pia6U8pWnJVBpE&#10;Ng//W4NRKZ7ezhHMxo2LyvRNXW6oCn/dVn67oYiQ0TFq77YYwDHU3FSU0juta3LcwoiZYLd9PB0G&#10;wpzA/iMxTHfP3HS+OQe/4HYkiPeCeyTJhP5f4EDyw/t/4Skn9/iC48D/D6RR1f4FrmQ4AAAAAElF&#10;TkSuQmCCAQA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qiYOvrYAAAAhAQAAGQAAAGRycy9fcmVscy9lMm9Eb2MueG1sLnJlbHOFj0FqwzAQ&#10;RfeF3EHMPpadRSjFsjeh4G1IDjBIY1nEGglJLfXtI8gmgUCX8z//PaYf//wqfillF1hB17QgiHUw&#10;jq2C6+V7/wkiF2SDa2BSsFGGcdh99GdasdRRXlzMolI4K1hKiV9SZr2Qx9yESFybOSSPpZ7Jyoj6&#10;hpbkoW2PMj0zYHhhiskoSJPpQFy2WM3/s8M8O02noH88cXmjkM5XdwVislQUeDIOH2HXRLYgh16+&#10;PDbc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Jm4AABbQ29udGVudF9UeXBlc10ueG1sUEsBAhQACgAAAAAAh07iQAAAAAAA&#10;AAAAAAAAAAYAAAAAAAAAAAAQAAAAZrYAAF9yZWxzL1BLAQIUABQAAAAIAIdO4kCKFGY80QAAAJQB&#10;AAALAAAAAAAAAAEAIAAAAIq2AABfcmVscy8ucmVsc1BLAQIUAAoAAAAAAIdO4kAAAAAAAAAAAAAA&#10;AAAEAAAAAAAAAAAAEAAAAAAAAABkcnMvUEsBAhQACgAAAAAAh07iQAAAAAAAAAAAAAAAAAoAAAAA&#10;AAAAAAAQAAAAhLcAAGRycy9fcmVscy9QSwECFAAUAAAACACHTuJAqiYOvrYAAAAhAQAAGQAAAAAA&#10;AAABACAAAACstwAAZHJzL19yZWxzL2Uyb0RvYy54bWwucmVsc1BLAQIUABQAAAAIAIdO4kBQaAwr&#10;2QAAAAgBAAAPAAAAAAAAAAEAIAAAACIAAABkcnMvZG93bnJldi54bWxQSwECFAAUAAAACACHTuJA&#10;6rfNFKwEAABgDAAADgAAAAAAAAABACAAAAAoAQAAZHJzL2Uyb0RvYy54bWxQSwECFAAKAAAAAACH&#10;TuJAAAAAAAAAAAAAAAAACgAAAAAAAAAAABAAAAAABgAAZHJzL21lZGlhL1BLAQIUABQAAAAIAIdO&#10;4kAqbpMKDLAAAAKwAAAUAAAAAAAAAAEAIAAAACgGAABkcnMvbWVkaWEvaW1hZ2UxLnBuZ1BLBQYA&#10;AAAACgAKAFICAADOuQAAAAA=&#10;">
                      <o:lock v:ext="edit" aspectratio="f"/>
                      <v:shape id="图片 1" o:spid="_x0000_s1026" o:spt="75" type="#_x0000_t75" style="position:absolute;left:2671;top:9111;height:2711;width:3147;" filled="f" o:preferrelative="t" stroked="f" coordsize="21600,21600" o:gfxdata="UEsDBAoAAAAAAIdO4kAAAAAAAAAAAAAAAAAEAAAAZHJzL1BLAwQUAAAACACHTuJAPKOFOrwAAADb&#10;AAAADwAAAGRycy9kb3ducmV2LnhtbEWP0WoCMRRE34X+Q7gFX0pNFBXZGqVqCz4Jrn7AZXO7u+3m&#10;Zk3iqn9vhIKPw8ycYebLq21ERz7UjjUMBwoEceFMzaWG4+H7fQYiRGSDjWPScKMAy8VLb46ZcRfe&#10;U5fHUiQIhww1VDG2mZShqMhiGLiWOHk/zluMSfpSGo+XBLeNHCk1lRZrTgsVtrSuqPjLz1bDRp12&#10;X6vJJ7+1/veWd7vouonRuv86VB8gIl3jM/zf3hoNozE8vqQfIB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yjhTq8AAAA&#10;2wAAAA8AAAAAAAAAAQAgAAAAIgAAAGRycy9kb3ducmV2LnhtbFBLAQIUABQAAAAIAIdO4kAzLwWe&#10;OwAAADkAAAAQAAAAAAAAAAEAIAAAAAsBAABkcnMvc2hhcGV4bWwueG1sUEsFBgAAAAAGAAYAWwEA&#10;ALUDAAAAAA==&#10;">
                        <v:fill on="f" focussize="0,0"/>
                        <v:stroke on="f"/>
                        <v:imagedata r:id="rId35" o:title=""/>
                        <o:lock v:ext="edit" aspectratio="t"/>
                      </v:shape>
                      <v:shape id="自选图形 570" o:spid="_x0000_s1026" o:spt="120" type="#_x0000_t120" style="position:absolute;left:3693;top:10803;height:170;width:170;" fillcolor="#FF0000" filled="t" stroked="t" coordsize="21600,21600" o:gfxdata="UEsDBAoAAAAAAIdO4kAAAAAAAAAAAAAAAAAEAAAAZHJzL1BLAwQUAAAACACHTuJAQl3DQb0AAADb&#10;AAAADwAAAGRycy9kb3ducmV2LnhtbEWPQWsCMRSE74X+h/CE3mpWoaWsRg+C2kuh3fZQb4/k7Sa4&#10;edkm6ar/vikIHoeZ+YZZrs++FyPF5AIrmE0rEMQ6GMedgq/P7eMLiJSRDfaBScGFEqxX93dLrE04&#10;8QeNTe5EgXCqUYHNeailTNqSxzQNA3Hx2hA95iJjJ03EU4H7Xs6r6ll6dFwWLA60saSPza9XcNS2&#10;Obgod+9v2v202+/2su9GpR4ms2oBItM538LX9qtRMH+C/y/lB8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cNBvQAA&#10;ANsAAAAPAAAAAAAAAAEAIAAAACIAAABkcnMvZG93bnJldi54bWxQSwECFAAUAAAACACHTuJAMy8F&#10;njsAAAA5AAAAEAAAAAAAAAABACAAAAAMAQAAZHJzL3NoYXBleG1sLnhtbFBLBQYAAAAABgAGAFsB&#10;AAC2AwAAAAA=&#10;">
                        <v:fill on="t" focussize="0,0"/>
                        <v:stroke color="#000000" joinstyle="round"/>
                        <v:imagedata o:title=""/>
                        <o:lock v:ext="edit" aspectratio="f"/>
                      </v:shape>
                      <v:shape id="自选图形 328" o:spid="_x0000_s1026" o:spt="62" type="#_x0000_t62" style="position:absolute;left:3113;top:9889;height:430;width:1312;" fillcolor="#4F81BD" filled="t" stroked="f" coordsize="21600,21600" o:gfxdata="UEsDBAoAAAAAAIdO4kAAAAAAAAAAAAAAAAAEAAAAZHJzL1BLAwQUAAAACACHTuJAWH0/Mb8AAADb&#10;AAAADwAAAGRycy9kb3ducmV2LnhtbEWPT2sCMRTE74V+h/AKvUhN9GBla/RQFRRUcC1Cb6+b5+7i&#10;5mVJUv98eyMIHoeZ+Q0zmlxsI07kQ+1YQ6+rQBAXztRcavjZzT+GIEJENtg4Jg1XCjAZv76MMDPu&#10;zFs65bEUCcIhQw1VjG0mZSgqshi6riVO3sF5izFJX0rj8ZzgtpF9pQbSYs1pocKWvisqjvm/1aD+&#10;fv3nfB/2neFmt1gvO8fpYTXT+v2tp75ARLrEZ/jRXhgN/QHcv6QfIM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9PzG/&#10;AAAA2wAAAA8AAAAAAAAAAQAgAAAAIgAAAGRycy9kb3ducmV2LnhtbFBLAQIUABQAAAAIAIdO4kAz&#10;LwWeOwAAADkAAAAQAAAAAAAAAAEAIAAAAA4BAABkcnMvc2hhcGV4bWwueG1sUEsFBgAAAAAGAAYA&#10;WwEAALgDAAAAAA==&#10;" adj="11129,46616,14400">
                        <v:fill type="gradient" on="t" color2="#DCE6F2" angle="45" focus="100%" focussize="0,0"/>
                        <v:stroke on="f"/>
                        <v:imagedata o:title=""/>
                        <o:lock v:ext="edit" aspectratio="f"/>
                        <v:textbox>
                          <w:txbxContent>
                            <w:p w14:paraId="5CB8879F">
                              <w:pPr>
                                <w:jc w:val="center"/>
                                <w:rPr>
                                  <w:b/>
                                  <w:color w:val="FF0000"/>
                                </w:rPr>
                              </w:pPr>
                              <w:r>
                                <w:rPr>
                                  <w:b/>
                                  <w:color w:val="FF0000"/>
                                </w:rPr>
                                <w:t>项目位置</w:t>
                              </w:r>
                            </w:p>
                          </w:txbxContent>
                        </v:textbox>
                      </v:shape>
                    </v:group>
                  </w:pict>
                </mc:Fallback>
              </mc:AlternateContent>
            </w:r>
            <w:r>
              <w:rPr>
                <w:color w:val="auto"/>
              </w:rPr>
              <w:drawing>
                <wp:inline distT="0" distB="0" distL="0" distR="0">
                  <wp:extent cx="4912360" cy="3242945"/>
                  <wp:effectExtent l="19050" t="19050" r="21590" b="14605"/>
                  <wp:docPr id="16" name="图片 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907"/>
                          <pic:cNvPicPr>
                            <a:picLocks noChangeAspect="1" noChangeArrowheads="1"/>
                          </pic:cNvPicPr>
                        </pic:nvPicPr>
                        <pic:blipFill>
                          <a:blip r:embed="rId36" cstate="print">
                            <a:extLst>
                              <a:ext uri="{28A0092B-C50C-407E-A947-70E740481C1C}">
                                <a14:useLocalDpi xmlns:a14="http://schemas.microsoft.com/office/drawing/2010/main" val="0"/>
                              </a:ext>
                            </a:extLst>
                          </a:blip>
                          <a:srcRect l="812" t="5814" r="1250" b="1013"/>
                          <a:stretch>
                            <a:fillRect/>
                          </a:stretch>
                        </pic:blipFill>
                        <pic:spPr>
                          <a:xfrm>
                            <a:off x="0" y="0"/>
                            <a:ext cx="4912360" cy="3242945"/>
                          </a:xfrm>
                          <a:prstGeom prst="rect">
                            <a:avLst/>
                          </a:prstGeom>
                          <a:noFill/>
                          <a:ln w="12700" cmpd="sng">
                            <a:solidFill>
                              <a:srgbClr val="000000"/>
                            </a:solidFill>
                            <a:miter lim="800000"/>
                            <a:headEnd/>
                            <a:tailEnd/>
                          </a:ln>
                          <a:effectLst/>
                        </pic:spPr>
                      </pic:pic>
                    </a:graphicData>
                  </a:graphic>
                </wp:inline>
              </w:drawing>
            </w:r>
          </w:p>
          <w:p w14:paraId="68BBA617">
            <w:pPr>
              <w:pStyle w:val="7"/>
              <w:spacing w:line="360" w:lineRule="auto"/>
              <w:ind w:firstLine="0" w:firstLineChars="0"/>
              <w:jc w:val="center"/>
              <w:rPr>
                <w:rFonts w:eastAsia="黑体"/>
                <w:sz w:val="24"/>
              </w:rPr>
            </w:pPr>
            <w:r>
              <w:rPr>
                <w:rFonts w:eastAsia="黑体"/>
                <w:sz w:val="24"/>
              </w:rPr>
              <w:t>图3-2 内蒙古自治区生态功能区划图</w:t>
            </w:r>
          </w:p>
          <w:p w14:paraId="2B7DFD03">
            <w:pPr>
              <w:pStyle w:val="171"/>
              <w:spacing w:line="360" w:lineRule="auto"/>
              <w:ind w:firstLine="480" w:firstLineChars="200"/>
              <w:rPr>
                <w:rFonts w:ascii="Times New Roman" w:hAnsi="Times New Roman"/>
                <w:color w:val="auto"/>
                <w:szCs w:val="24"/>
              </w:rPr>
            </w:pPr>
            <w:r>
              <w:rPr>
                <w:rFonts w:hint="eastAsia" w:ascii="Times New Roman" w:hAnsi="Times New Roman"/>
                <w:color w:val="auto"/>
                <w:szCs w:val="24"/>
              </w:rPr>
              <w:t>项目钻井过程中使用水基钻井泥浆，采用泥浆不落地循环系统装置，钻井泥浆循环使用，产生的废弃泥浆、钻井岩屑</w:t>
            </w:r>
            <w:r>
              <w:rPr>
                <w:rFonts w:hint="eastAsia"/>
                <w:color w:val="auto"/>
                <w:szCs w:val="21"/>
              </w:rPr>
              <w:t>拉运至内蒙古众宁环保科技有限公司油气田废弃物集中处理厂处理</w:t>
            </w:r>
            <w:r>
              <w:rPr>
                <w:rFonts w:hint="eastAsia" w:ascii="Times New Roman" w:hAnsi="Times New Roman"/>
                <w:color w:val="auto"/>
                <w:szCs w:val="24"/>
              </w:rPr>
              <w:t>；危险废物委托有资质单位拉运处置；同时对井场采取分区防渗措施，能够有效防止污染物下渗，避免对土壤、地下水环境产生影响。施工期严格控制作业区面积，不在道路、井场以外的地方行驶和作业，保持临时用地区域以外的植被不被破坏。项目临时用地过程中不涉及永久性建筑物、不涉及地面硬化，只涉及钻机等设备压占，损毁类型为挖损、压占，损毁程度为中度和轻度，土地复垦可行。施工结束后及时按照复垦方案进行土地复垦，恢复土地原有使用功能，在严格落实防治措施的前提下，不会对区域生态、农业生产造成明显影响</w:t>
            </w:r>
            <w:r>
              <w:rPr>
                <w:rFonts w:ascii="Times New Roman" w:hAnsi="Times New Roman"/>
                <w:color w:val="auto"/>
                <w:szCs w:val="24"/>
              </w:rPr>
              <w:t>。综合分析，项目建设符合</w:t>
            </w:r>
            <w:r>
              <w:rPr>
                <w:rFonts w:hint="eastAsia" w:ascii="Times New Roman" w:hAnsi="Times New Roman"/>
                <w:color w:val="auto"/>
                <w:szCs w:val="24"/>
              </w:rPr>
              <w:t>内蒙古自治区</w:t>
            </w:r>
            <w:r>
              <w:rPr>
                <w:rFonts w:ascii="Times New Roman" w:hAnsi="Times New Roman"/>
                <w:color w:val="auto"/>
                <w:szCs w:val="24"/>
              </w:rPr>
              <w:t>生态功能区划相应的要求</w:t>
            </w:r>
            <w:r>
              <w:rPr>
                <w:rFonts w:hint="eastAsia" w:ascii="Times New Roman" w:hAnsi="Times New Roman"/>
                <w:color w:val="auto"/>
                <w:szCs w:val="24"/>
              </w:rPr>
              <w:t>。</w:t>
            </w:r>
          </w:p>
          <w:p w14:paraId="649FA547">
            <w:pPr>
              <w:pStyle w:val="171"/>
              <w:spacing w:line="360" w:lineRule="auto"/>
              <w:ind w:firstLine="480" w:firstLineChars="200"/>
              <w:rPr>
                <w:rFonts w:ascii="Times New Roman" w:hAnsi="Times New Roman"/>
                <w:color w:val="auto"/>
              </w:rPr>
            </w:pPr>
            <w:r>
              <w:rPr>
                <w:rFonts w:hint="eastAsia" w:ascii="Times New Roman" w:hAnsi="Times New Roman"/>
                <w:color w:val="auto"/>
              </w:rPr>
              <w:t>3、环境功能区划</w:t>
            </w:r>
          </w:p>
          <w:p w14:paraId="445693C5">
            <w:pPr>
              <w:pStyle w:val="171"/>
              <w:spacing w:line="360" w:lineRule="auto"/>
              <w:ind w:firstLine="480" w:firstLineChars="200"/>
              <w:rPr>
                <w:rFonts w:ascii="Times New Roman" w:hAnsi="Times New Roman"/>
                <w:color w:val="auto"/>
              </w:rPr>
            </w:pPr>
            <w:r>
              <w:rPr>
                <w:rFonts w:hint="eastAsia" w:ascii="Times New Roman" w:hAnsi="Times New Roman"/>
                <w:color w:val="auto"/>
              </w:rPr>
              <w:t>项目区域为环境空气二类区，执行《环境空气质量标准》（</w:t>
            </w:r>
            <w:r>
              <w:rPr>
                <w:rFonts w:ascii="Times New Roman" w:hAnsi="Times New Roman"/>
                <w:color w:val="auto"/>
              </w:rPr>
              <w:t>GB3095-20</w:t>
            </w:r>
            <w:r>
              <w:rPr>
                <w:rFonts w:hint="eastAsia" w:ascii="Times New Roman" w:hAnsi="Times New Roman"/>
                <w:color w:val="auto"/>
              </w:rPr>
              <w:t>26）中过渡阶段二级浓度限值；声环境执行《声环境质量标准》（GB3096-2008）1类标准。</w:t>
            </w:r>
          </w:p>
          <w:p w14:paraId="17A097D8">
            <w:pPr>
              <w:adjustRightInd w:val="0"/>
              <w:spacing w:line="360" w:lineRule="auto"/>
              <w:ind w:firstLine="482" w:firstLineChars="200"/>
              <w:rPr>
                <w:b/>
                <w:sz w:val="24"/>
              </w:rPr>
            </w:pPr>
            <w:r>
              <w:rPr>
                <w:rFonts w:hint="eastAsia"/>
                <w:b/>
                <w:sz w:val="24"/>
              </w:rPr>
              <w:t>二</w:t>
            </w:r>
            <w:r>
              <w:rPr>
                <w:b/>
                <w:sz w:val="24"/>
              </w:rPr>
              <w:t>、生态环境</w:t>
            </w:r>
            <w:r>
              <w:rPr>
                <w:rFonts w:hint="eastAsia"/>
                <w:b/>
                <w:sz w:val="24"/>
              </w:rPr>
              <w:t>现状</w:t>
            </w:r>
          </w:p>
          <w:p w14:paraId="2ED1F5BB">
            <w:pPr>
              <w:adjustRightInd w:val="0"/>
              <w:snapToGrid w:val="0"/>
              <w:spacing w:line="360" w:lineRule="auto"/>
              <w:ind w:firstLine="480" w:firstLineChars="200"/>
              <w:rPr>
                <w:sz w:val="24"/>
              </w:rPr>
            </w:pPr>
            <w:r>
              <w:rPr>
                <w:rFonts w:hint="eastAsia"/>
                <w:sz w:val="24"/>
              </w:rPr>
              <w:t>项目生态现状调查采用现场调查法和资料收集法。参照《环境影响评价技术导则 陆地石油天然气开发建设项目》（HJ349-2023）中7.1 井场、站场（含净化厂）等工程以场界周围50米范围、集输管道等线性工程两侧外延300米为评价范围，因此确定调查范围为井场场界外扩50m。</w:t>
            </w:r>
          </w:p>
          <w:p w14:paraId="202CB334">
            <w:pPr>
              <w:adjustRightInd w:val="0"/>
              <w:snapToGrid w:val="0"/>
              <w:spacing w:line="360" w:lineRule="auto"/>
              <w:jc w:val="center"/>
              <w:rPr>
                <w:sz w:val="24"/>
              </w:rPr>
            </w:pPr>
            <w:r>
              <w:drawing>
                <wp:inline distT="0" distB="0" distL="0" distR="0">
                  <wp:extent cx="2440940" cy="2951480"/>
                  <wp:effectExtent l="0" t="0" r="0" b="1270"/>
                  <wp:docPr id="2082" name="图片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图片 2082"/>
                          <pic:cNvPicPr>
                            <a:picLocks noChangeAspect="1"/>
                          </pic:cNvPicPr>
                        </pic:nvPicPr>
                        <pic:blipFill>
                          <a:blip r:embed="rId37"/>
                          <a:stretch>
                            <a:fillRect/>
                          </a:stretch>
                        </pic:blipFill>
                        <pic:spPr>
                          <a:xfrm>
                            <a:off x="0" y="0"/>
                            <a:ext cx="2441075" cy="2952000"/>
                          </a:xfrm>
                          <a:prstGeom prst="rect">
                            <a:avLst/>
                          </a:prstGeom>
                        </pic:spPr>
                      </pic:pic>
                    </a:graphicData>
                  </a:graphic>
                </wp:inline>
              </w:drawing>
            </w:r>
            <w:r>
              <w:rPr>
                <w:rFonts w:hint="eastAsia"/>
                <w:sz w:val="24"/>
              </w:rPr>
              <w:t xml:space="preserve"> </w:t>
            </w:r>
            <w:r>
              <w:drawing>
                <wp:inline distT="0" distB="0" distL="0" distR="0">
                  <wp:extent cx="2440305" cy="2951480"/>
                  <wp:effectExtent l="0" t="0" r="0" b="1270"/>
                  <wp:docPr id="2083" name="图片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图片 2083"/>
                          <pic:cNvPicPr>
                            <a:picLocks noChangeAspect="1"/>
                          </pic:cNvPicPr>
                        </pic:nvPicPr>
                        <pic:blipFill>
                          <a:blip r:embed="rId38"/>
                          <a:stretch>
                            <a:fillRect/>
                          </a:stretch>
                        </pic:blipFill>
                        <pic:spPr>
                          <a:xfrm>
                            <a:off x="0" y="0"/>
                            <a:ext cx="2440320" cy="2952000"/>
                          </a:xfrm>
                          <a:prstGeom prst="rect">
                            <a:avLst/>
                          </a:prstGeom>
                        </pic:spPr>
                      </pic:pic>
                    </a:graphicData>
                  </a:graphic>
                </wp:inline>
              </w:drawing>
            </w:r>
          </w:p>
          <w:p w14:paraId="32BD1F0D">
            <w:pPr>
              <w:adjustRightInd w:val="0"/>
              <w:snapToGrid w:val="0"/>
              <w:spacing w:line="360" w:lineRule="auto"/>
              <w:jc w:val="center"/>
              <w:rPr>
                <w:rFonts w:eastAsia="黑体"/>
                <w:sz w:val="24"/>
              </w:rPr>
            </w:pPr>
            <w:r>
              <w:rPr>
                <w:rFonts w:eastAsia="黑体"/>
                <w:sz w:val="24"/>
              </w:rPr>
              <w:t>图3-3 项目</w:t>
            </w:r>
            <w:r>
              <w:rPr>
                <w:rFonts w:hint="eastAsia" w:eastAsia="黑体"/>
                <w:sz w:val="24"/>
              </w:rPr>
              <w:t>现场</w:t>
            </w:r>
            <w:r>
              <w:rPr>
                <w:rFonts w:eastAsia="黑体"/>
                <w:sz w:val="24"/>
              </w:rPr>
              <w:t>照片</w:t>
            </w:r>
          </w:p>
          <w:p w14:paraId="627EF30F">
            <w:pPr>
              <w:adjustRightInd w:val="0"/>
              <w:snapToGrid w:val="0"/>
              <w:spacing w:line="360" w:lineRule="auto"/>
              <w:ind w:firstLine="480" w:firstLineChars="200"/>
              <w:rPr>
                <w:sz w:val="24"/>
                <w:highlight w:val="yellow"/>
              </w:rPr>
            </w:pPr>
            <w:r>
              <w:rPr>
                <w:rFonts w:hint="eastAsia"/>
                <w:sz w:val="24"/>
              </w:rPr>
              <w:t>1、土地利用现状</w:t>
            </w:r>
          </w:p>
          <w:p w14:paraId="10718EA9">
            <w:pPr>
              <w:spacing w:line="360" w:lineRule="auto"/>
              <w:ind w:firstLine="480" w:firstLineChars="200"/>
              <w:rPr>
                <w:sz w:val="24"/>
                <w:highlight w:val="yellow"/>
              </w:rPr>
            </w:pPr>
            <w:r>
              <w:rPr>
                <w:rFonts w:hint="eastAsia"/>
                <w:sz w:val="24"/>
              </w:rPr>
              <w:t>项目</w:t>
            </w:r>
            <w:r>
              <w:rPr>
                <w:sz w:val="24"/>
              </w:rPr>
              <w:t>属于石油勘探工程，为临时占地，包括办公生活区、设备区等。根据《</w:t>
            </w:r>
            <w:r>
              <w:rPr>
                <w:rFonts w:hint="eastAsia"/>
                <w:sz w:val="24"/>
              </w:rPr>
              <w:t>磴4平台土地勘测定界技术报告书</w:t>
            </w:r>
            <w:r>
              <w:rPr>
                <w:sz w:val="24"/>
              </w:rPr>
              <w:t>》和</w:t>
            </w:r>
            <w:r>
              <w:rPr>
                <w:rFonts w:hint="eastAsia"/>
                <w:sz w:val="24"/>
              </w:rPr>
              <w:t>磴口县防沙治沙局出具的《关于查询石油勘探开发项目是否占用林地和草地的函》的复函</w:t>
            </w:r>
            <w:r>
              <w:rPr>
                <w:sz w:val="24"/>
              </w:rPr>
              <w:t>，项目占地面积</w:t>
            </w:r>
            <w:r>
              <w:rPr>
                <w:rFonts w:hint="eastAsia"/>
                <w:sz w:val="24"/>
              </w:rPr>
              <w:t>9983m</w:t>
            </w:r>
            <w:r>
              <w:rPr>
                <w:rFonts w:hint="eastAsia"/>
                <w:sz w:val="24"/>
                <w:vertAlign w:val="superscript"/>
              </w:rPr>
              <w:t>2</w:t>
            </w:r>
            <w:r>
              <w:rPr>
                <w:rFonts w:hint="eastAsia"/>
                <w:sz w:val="24"/>
              </w:rPr>
              <w:t>，</w:t>
            </w:r>
            <w:r>
              <w:rPr>
                <w:sz w:val="24"/>
              </w:rPr>
              <w:t>土地利用现状</w:t>
            </w:r>
            <w:r>
              <w:rPr>
                <w:rFonts w:hint="eastAsia"/>
                <w:sz w:val="24"/>
              </w:rPr>
              <w:t>为天然牧草地</w:t>
            </w:r>
            <w:r>
              <w:rPr>
                <w:sz w:val="24"/>
              </w:rPr>
              <w:t>、其他草地</w:t>
            </w:r>
            <w:r>
              <w:rPr>
                <w:rFonts w:hint="eastAsia"/>
                <w:sz w:val="24"/>
              </w:rPr>
              <w:t>。</w:t>
            </w:r>
          </w:p>
          <w:p w14:paraId="03A9C0E2">
            <w:pPr>
              <w:adjustRightInd w:val="0"/>
              <w:snapToGrid w:val="0"/>
              <w:spacing w:line="360" w:lineRule="auto"/>
              <w:jc w:val="center"/>
            </w:pPr>
            <w:r>
              <w:rPr>
                <w:rFonts w:hint="eastAsia"/>
                <w:b/>
                <w:sz w:val="24"/>
              </w:rPr>
              <mc:AlternateContent>
                <mc:Choice Requires="wpg">
                  <w:drawing>
                    <wp:anchor distT="0" distB="0" distL="114300" distR="114300" simplePos="0" relativeHeight="251679744" behindDoc="0" locked="0" layoutInCell="1" allowOverlap="1">
                      <wp:simplePos x="0" y="0"/>
                      <wp:positionH relativeFrom="column">
                        <wp:posOffset>118110</wp:posOffset>
                      </wp:positionH>
                      <wp:positionV relativeFrom="paragraph">
                        <wp:posOffset>2357755</wp:posOffset>
                      </wp:positionV>
                      <wp:extent cx="1030605" cy="971550"/>
                      <wp:effectExtent l="0" t="0" r="17145" b="19050"/>
                      <wp:wrapNone/>
                      <wp:docPr id="2089" name="组合 2089"/>
                      <wp:cNvGraphicFramePr/>
                      <a:graphic xmlns:a="http://schemas.openxmlformats.org/drawingml/2006/main">
                        <a:graphicData uri="http://schemas.microsoft.com/office/word/2010/wordprocessingGroup">
                          <wpg:wgp>
                            <wpg:cNvGrpSpPr/>
                            <wpg:grpSpPr>
                              <a:xfrm>
                                <a:off x="0" y="0"/>
                                <a:ext cx="1030605" cy="971550"/>
                                <a:chOff x="0" y="0"/>
                                <a:chExt cx="1030605" cy="971550"/>
                              </a:xfrm>
                            </wpg:grpSpPr>
                            <wps:wsp>
                              <wps:cNvPr id="307" name="文本框 2"/>
                              <wps:cNvSpPr txBox="1">
                                <a:spLocks noChangeArrowheads="1"/>
                              </wps:cNvSpPr>
                              <wps:spPr bwMode="auto">
                                <a:xfrm>
                                  <a:off x="0" y="0"/>
                                  <a:ext cx="1030605" cy="971550"/>
                                </a:xfrm>
                                <a:prstGeom prst="rect">
                                  <a:avLst/>
                                </a:prstGeom>
                                <a:solidFill>
                                  <a:srgbClr val="FFFFFF"/>
                                </a:solidFill>
                                <a:ln w="9525">
                                  <a:solidFill>
                                    <a:srgbClr val="000000"/>
                                  </a:solidFill>
                                  <a:miter lim="800000"/>
                                </a:ln>
                              </wps:spPr>
                              <wps:txbx>
                                <w:txbxContent>
                                  <w:p w14:paraId="1B5F6B6F">
                                    <w:pPr>
                                      <w:rPr>
                                        <w:sz w:val="18"/>
                                      </w:rPr>
                                    </w:pPr>
                                    <w:r>
                                      <w:rPr>
                                        <w:rFonts w:hint="eastAsia"/>
                                        <w:sz w:val="18"/>
                                      </w:rPr>
                                      <w:t>水浇地</w:t>
                                    </w:r>
                                  </w:p>
                                  <w:p w14:paraId="67049B8C">
                                    <w:pPr>
                                      <w:rPr>
                                        <w:sz w:val="18"/>
                                      </w:rPr>
                                    </w:pPr>
                                    <w:r>
                                      <w:rPr>
                                        <w:rFonts w:hint="eastAsia"/>
                                        <w:sz w:val="18"/>
                                      </w:rPr>
                                      <w:t>天然牧草地</w:t>
                                    </w:r>
                                  </w:p>
                                  <w:p w14:paraId="64CD7F28">
                                    <w:pPr>
                                      <w:rPr>
                                        <w:sz w:val="18"/>
                                      </w:rPr>
                                    </w:pPr>
                                    <w:r>
                                      <w:rPr>
                                        <w:rFonts w:hint="eastAsia"/>
                                        <w:sz w:val="18"/>
                                      </w:rPr>
                                      <w:t>其他草地</w:t>
                                    </w:r>
                                  </w:p>
                                  <w:p w14:paraId="4C733754">
                                    <w:pPr>
                                      <w:rPr>
                                        <w:sz w:val="18"/>
                                      </w:rPr>
                                    </w:pPr>
                                    <w:r>
                                      <w:rPr>
                                        <w:rFonts w:hint="eastAsia"/>
                                        <w:sz w:val="18"/>
                                      </w:rPr>
                                      <w:t>采矿用地</w:t>
                                    </w:r>
                                  </w:p>
                                  <w:p w14:paraId="60295C98">
                                    <w:pPr>
                                      <w:rPr>
                                        <w:sz w:val="18"/>
                                      </w:rPr>
                                    </w:pPr>
                                    <w:r>
                                      <w:rPr>
                                        <w:rFonts w:hint="eastAsia"/>
                                        <w:sz w:val="18"/>
                                      </w:rPr>
                                      <w:t>农村道路</w:t>
                                    </w:r>
                                  </w:p>
                                  <w:p w14:paraId="233B6C3F">
                                    <w:pPr>
                                      <w:rPr>
                                        <w:sz w:val="18"/>
                                      </w:rPr>
                                    </w:pPr>
                                    <w:r>
                                      <w:rPr>
                                        <w:rFonts w:hint="eastAsia"/>
                                        <w:sz w:val="18"/>
                                      </w:rPr>
                                      <w:t>沙地</w:t>
                                    </w:r>
                                  </w:p>
                                </w:txbxContent>
                              </wps:txbx>
                              <wps:bodyPr rot="0" vert="horz" wrap="square" lIns="0" tIns="45720" rIns="0" bIns="45720" anchor="t" anchorCtr="0">
                                <a:noAutofit/>
                              </wps:bodyPr>
                            </wps:wsp>
                            <wpg:grpSp>
                              <wpg:cNvPr id="2088" name="组合 2088"/>
                              <wpg:cNvGrpSpPr/>
                              <wpg:grpSpPr>
                                <a:xfrm>
                                  <a:off x="590550" y="38100"/>
                                  <a:ext cx="402590" cy="910590"/>
                                  <a:chOff x="0" y="0"/>
                                  <a:chExt cx="402820" cy="849949"/>
                                </a:xfrm>
                              </wpg:grpSpPr>
                              <pic:pic xmlns:pic="http://schemas.openxmlformats.org/drawingml/2006/picture">
                                <pic:nvPicPr>
                                  <pic:cNvPr id="18" name="图片 18"/>
                                  <pic:cNvPicPr/>
                                </pic:nvPicPr>
                                <pic:blipFill>
                                  <a:blip r:embed="rId39" cstate="print">
                                    <a:extLst>
                                      <a:ext uri="{28A0092B-C50C-407E-A947-70E740481C1C}">
                                        <a14:useLocalDpi xmlns:a14="http://schemas.microsoft.com/office/drawing/2010/main" val="0"/>
                                      </a:ext>
                                    </a:extLst>
                                  </a:blip>
                                  <a:srcRect r="56852"/>
                                  <a:stretch>
                                    <a:fillRect/>
                                  </a:stretch>
                                </pic:blipFill>
                                <pic:spPr>
                                  <a:xfrm>
                                    <a:off x="0" y="0"/>
                                    <a:ext cx="394763" cy="145015"/>
                                  </a:xfrm>
                                  <a:prstGeom prst="rect">
                                    <a:avLst/>
                                  </a:prstGeom>
                                  <a:ln>
                                    <a:noFill/>
                                  </a:ln>
                                </pic:spPr>
                              </pic:pic>
                              <pic:pic xmlns:pic="http://schemas.openxmlformats.org/drawingml/2006/picture">
                                <pic:nvPicPr>
                                  <pic:cNvPr id="10" name="图片 1"/>
                                  <pic:cNvPicPr/>
                                </pic:nvPicPr>
                                <pic:blipFill>
                                  <a:blip r:embed="rId40" cstate="print">
                                    <a:extLst>
                                      <a:ext uri="{28A0092B-C50C-407E-A947-70E740481C1C}">
                                        <a14:useLocalDpi xmlns:a14="http://schemas.microsoft.com/office/drawing/2010/main" val="0"/>
                                      </a:ext>
                                    </a:extLst>
                                  </a:blip>
                                  <a:srcRect l="2298" t="10807" r="63826" b="8827"/>
                                  <a:stretch>
                                    <a:fillRect/>
                                  </a:stretch>
                                </pic:blipFill>
                                <pic:spPr>
                                  <a:xfrm>
                                    <a:off x="8057" y="145015"/>
                                    <a:ext cx="382678" cy="145015"/>
                                  </a:xfrm>
                                  <a:prstGeom prst="rect">
                                    <a:avLst/>
                                  </a:prstGeom>
                                  <a:noFill/>
                                  <a:ln>
                                    <a:noFill/>
                                  </a:ln>
                                </pic:spPr>
                              </pic:pic>
                              <pic:pic xmlns:pic="http://schemas.openxmlformats.org/drawingml/2006/picture">
                                <pic:nvPicPr>
                                  <pic:cNvPr id="22" name="图片 1"/>
                                  <pic:cNvPicPr/>
                                </pic:nvPicPr>
                                <pic:blipFill>
                                  <a:blip r:embed="rId41" cstate="print">
                                    <a:extLst>
                                      <a:ext uri="{28A0092B-C50C-407E-A947-70E740481C1C}">
                                        <a14:useLocalDpi xmlns:a14="http://schemas.microsoft.com/office/drawing/2010/main" val="0"/>
                                      </a:ext>
                                    </a:extLst>
                                  </a:blip>
                                  <a:srcRect l="1468" t="9274" r="63676" b="10899"/>
                                  <a:stretch>
                                    <a:fillRect/>
                                  </a:stretch>
                                </pic:blipFill>
                                <pic:spPr>
                                  <a:xfrm>
                                    <a:off x="12085" y="290030"/>
                                    <a:ext cx="382678" cy="145015"/>
                                  </a:xfrm>
                                  <a:prstGeom prst="rect">
                                    <a:avLst/>
                                  </a:prstGeom>
                                  <a:noFill/>
                                  <a:ln>
                                    <a:noFill/>
                                  </a:ln>
                                </pic:spPr>
                              </pic:pic>
                              <pic:pic xmlns:pic="http://schemas.openxmlformats.org/drawingml/2006/picture">
                                <pic:nvPicPr>
                                  <pic:cNvPr id="20" name="图片 20"/>
                                  <pic:cNvPicPr/>
                                </pic:nvPicPr>
                                <pic:blipFill>
                                  <a:blip r:embed="rId42" cstate="print">
                                    <a:extLst>
                                      <a:ext uri="{28A0092B-C50C-407E-A947-70E740481C1C}">
                                        <a14:useLocalDpi xmlns:a14="http://schemas.microsoft.com/office/drawing/2010/main" val="0"/>
                                      </a:ext>
                                    </a:extLst>
                                  </a:blip>
                                  <a:srcRect r="59725"/>
                                  <a:stretch>
                                    <a:fillRect/>
                                  </a:stretch>
                                </pic:blipFill>
                                <pic:spPr>
                                  <a:xfrm>
                                    <a:off x="4028" y="435045"/>
                                    <a:ext cx="394763" cy="145015"/>
                                  </a:xfrm>
                                  <a:prstGeom prst="rect">
                                    <a:avLst/>
                                  </a:prstGeom>
                                  <a:ln>
                                    <a:noFill/>
                                  </a:ln>
                                </pic:spPr>
                              </pic:pic>
                              <pic:pic xmlns:pic="http://schemas.openxmlformats.org/drawingml/2006/picture">
                                <pic:nvPicPr>
                                  <pic:cNvPr id="19" name="图片 19"/>
                                  <pic:cNvPicPr/>
                                </pic:nvPicPr>
                                <pic:blipFill>
                                  <a:blip r:embed="rId43" cstate="print">
                                    <a:extLst>
                                      <a:ext uri="{28A0092B-C50C-407E-A947-70E740481C1C}">
                                        <a14:useLocalDpi xmlns:a14="http://schemas.microsoft.com/office/drawing/2010/main" val="0"/>
                                      </a:ext>
                                    </a:extLst>
                                  </a:blip>
                                  <a:srcRect t="1" r="60271" b="-1"/>
                                  <a:stretch>
                                    <a:fillRect/>
                                  </a:stretch>
                                </pic:blipFill>
                                <pic:spPr>
                                  <a:xfrm>
                                    <a:off x="4028" y="572004"/>
                                    <a:ext cx="394763" cy="145015"/>
                                  </a:xfrm>
                                  <a:prstGeom prst="rect">
                                    <a:avLst/>
                                  </a:prstGeom>
                                  <a:ln>
                                    <a:noFill/>
                                  </a:ln>
                                </pic:spPr>
                              </pic:pic>
                              <pic:pic xmlns:pic="http://schemas.openxmlformats.org/drawingml/2006/picture">
                                <pic:nvPicPr>
                                  <pic:cNvPr id="1" name="图片 1"/>
                                  <pic:cNvPicPr/>
                                </pic:nvPicPr>
                                <pic:blipFill>
                                  <a:blip r:embed="rId44" cstate="print">
                                    <a:extLst>
                                      <a:ext uri="{28A0092B-C50C-407E-A947-70E740481C1C}">
                                        <a14:useLocalDpi xmlns:a14="http://schemas.microsoft.com/office/drawing/2010/main" val="0"/>
                                      </a:ext>
                                    </a:extLst>
                                  </a:blip>
                                  <a:srcRect r="59574"/>
                                  <a:stretch>
                                    <a:fillRect/>
                                  </a:stretch>
                                </pic:blipFill>
                                <pic:spPr>
                                  <a:xfrm>
                                    <a:off x="8057" y="704934"/>
                                    <a:ext cx="394763" cy="145015"/>
                                  </a:xfrm>
                                  <a:prstGeom prst="rect">
                                    <a:avLst/>
                                  </a:prstGeom>
                                  <a:ln>
                                    <a:noFill/>
                                  </a:ln>
                                </pic:spPr>
                              </pic:pic>
                            </wpg:grpSp>
                          </wpg:wgp>
                        </a:graphicData>
                      </a:graphic>
                    </wp:anchor>
                  </w:drawing>
                </mc:Choice>
                <mc:Fallback>
                  <w:pict>
                    <v:group id="_x0000_s1026" o:spid="_x0000_s1026" o:spt="203" style="position:absolute;left:0pt;margin-left:9.3pt;margin-top:185.65pt;height:76.5pt;width:81.15pt;z-index:251679744;mso-width-relative:page;mso-height-relative:page;" coordsize="1030605,971550" o:gfxdata="UEsDBAoAAAAAAIdO4kAAAAAAAAAAAAAAAAAEAAAAZHJzL1BLAwQUAAAACACHTuJA1W7CzNoAAAAK&#10;AQAADwAAAGRycy9kb3ducmV2LnhtbE2PwW7CMBBE75X6D9ZW6q3YJoWmaRxUobYnhFSohLgt8ZJE&#10;xHYUmwT+vubUHkf7NPM2X1xMywbqfeOsAjkRwMiWTje2UvCz/XxKgfmAVmPrLCm4kodFcX+XY6bd&#10;aL9p2ISKxRLrM1RQh9BlnPuyJoN+4jqy8XZ0vcEQY19x3eMYy03Lp0LMucHGxoUaO1rWVJ42Z6Pg&#10;a8TxPZEfw+p0XF7329l6t5Kk1OODFG/AAl3CHww3/agORXQ6uLPVnrUxp/NIKkheZALsBqTiFdhB&#10;wWz6nAAvcv7/heIXUEsDBBQAAAAIAIdO4kCbYuYH9AQAACAYAAAOAAAAZHJzL2Uyb0RvYy54bWzl&#10;WM1u4zYQvhfoOxC6O6ZkyfpBnEXW+cEC227QbR+AlilLqCSqJB07LXordttbT720l977BgX6Npt9&#10;jc6Qkpx10my2mxZGEiAJRVGj4TfffDPi/pN1VZJzLlUh6onj7lGH8DoV86JeTJyvvjwZRA5RmtVz&#10;VoqaT5wLrpwnB59+sr9qEu6JXJRzLgkYqVWyaiZOrnWTDIcqzXnF1J5oeA03MyErpuFSLoZzyVZg&#10;vSqHHqXj4UrIeSNFypWC2SN702ktyrsYFFlWpPxIpMuK19palbxkGrak8qJRzoHxNst4ql9kmeKa&#10;lBMHdqrNX3gJjGf4d3iwz5KFZE1epK0L7C4ubO2pYkUNL+1NHTHNyFIW10xVRSqFEpneS0U1tBsx&#10;iMAuXLqFzakUy8bsZZGsFk0POgRqC/V/bTb9/PxMkmI+cTwaxQ6pWQUxf/vnD29+/pGYKUBo1SwS&#10;WHgqm5fNmWwnFvYKN73OZIX/YTtkbbC96LHla01SmHTpiI5p4JAU7sWhGwQt+GkOEbr2WJof3/7g&#10;sHvtEL3rnVk1wEq1gUp9HFQvc9ZwEwGFCLRQjWjYIXX5y+vL3/64/P0V8ZBL+HpYhzARvX4qcOOG&#10;F6p5LtKvFanFNGf1gh9KKVY5Z3Nw0MUnYRv9o9aOQiOz1WdiDhFhSy2MoY/AuoeMJY1U+pSLiuBg&#10;4kjIE2OdnT9XGr3ZLMHAKlEW85OiLM2FXMympSTnDHLqxPyYDWwtK2uygkgHXmAB+EcT1PzcZKIq&#10;NEhNWVQTJ7q6qKxbvBAiC5Zez9Yt/jMxvwDkpLDJDlIHg1zIbx2ygkSfOOqbJZPcIeWzGtBHVTAD&#10;Pwg9uJDd7OzqLKtTMDFxtEPscKqNiiAgtTiE6GSFAQ7DaD1ofQQ22gwyHP3PcxjUezuHI8vMD8rh&#10;IKaYoQSSdRS5tM3VLpl96sGCNpddimMAnyXvy2V4LkKMUQMiP479uA27ZfW7qdwUaQK/LWIwupbK&#10;76818JReQqwP9tFafX5WpMgYvNiks9tj9ubXv97+9JrABGynW4SPYEpcszAri6ZLChy3ngIvttT5&#10;Bj+t8t9WwohMeDXjoMzy2dwFzKAoa1CCRha1TVaIBmQr4o5xMdXmOy86pDT2ng6mAZ0OfBoeDw5j&#10;PxyE9Dj0qR+5U3f6PSak6ydLxUGUWHnUFK3rMHvN+RtLS1v+bNEyxc/KgeEBiAc4ZESkcxGmECH0&#10;Vcn0C5AbAjAF4ygwsgmzWnKd5rggA53BFYj5lRsG/w3kGA2b/l0huL3+jACF8chSz/UD6gbvUG+j&#10;d3eURNQgTH0kgPXUqNLGLeMvXFoiweB/IDKklk3+jsi7xmPv4fEYiqDnxSAhUGVcGmFrANQejyJv&#10;bHrMKPJCDMMVKt8DxyMawItARjdctjKAvRa+OwSPUGY39yGZuubhA8t/z3KW7CLtPWDVbtMedeeB&#10;yTfQ3vXHlvaxF/ot68ehZT1kQmyK+/3S3oVPEviGAF57MYUvCptYWP4eI++35R5aKxAaLEHY3OxC&#10;3wK0eGjEx74lDuGr5t41Hbtjw21/FFC/fUHP7cfQv/QHEF3/YiRklwiNBxgPTMmxb7HqTb0QRrOJ&#10;MzBHEvcr3T278TOb+lvK/RjYvetdClTuh8ZtI9YBdCf3LtZ9Ax5SPx7tDp03Zyjm/MkcHJsP6faQ&#10;G0+mr16bVZuD/YO/AVBLAwQKAAAAAACHTuJAAAAAAAAAAAAAAAAACgAAAGRycy9tZWRpYS9QSwME&#10;FAAAAAgAh07iQHHfvfwSEgAADRIAABQAAABkcnMvbWVkaWEvaW1hZ2U2LnBuZwENEvLtiVBORw0K&#10;GgoAAAANSUhEUgAAAOsAAAAlCAIAAAAsiolGAAAACXBIWXMAACHVAAAh1QEEnLSdAAARv0lEQVR4&#10;nO1dXWxUVbt+3zV7pvPXTqcd52sHCv1oC6cUW+yHHJHDIWi/xgslEg5GEj1q8EK8M9yoFybeeOGF&#10;P5EYo0TPhYngCSHRT6PyHSUEE05aS6kgtdCWlspPkb+2087M3nu95+Lde+29p9NCtdX2wBMynVl7&#10;/ew969nvetfzvnvAXC43Ojpm6FkAACAiIHBARPzKb/JLASbVndzMVVf1QyCdcrKru6oBgHtcrqCa&#10;WH2oDokIiKRdApIkkUmSnD6dFvZ7dzdSVZQkiaREISoWVS37a43f70dEuIP5Cu369evfHjyYSV8N&#10;BgMEBIAECGjPOgGg/UYVofXiHLA+ILiaIQAAoV1Idk03HRDtVtwnOsWKNmh1h+5WCEhk1yNC9NCM&#10;P6HV0jWK3Q+6R/KUAwKaUl69nr5w6VJlRcrv9zO17/B4fkIzTTObTccigXhZMdo8RURS1IFJs4fe&#10;F1WMXn7avLG4zDzgA+hivpdD3kEs5Bn7QlU8KEA2ZXoBp+7QgmnKTMYwfAEhxFRD3ME8gSYECh/6&#10;AyIY0ADJayKB8if3JpjGTlEe4QrUpCk/TNXlVAemazztMeXP2F7NHdM7z6EhIiAQkERCACByW9JZ&#10;nL4FwwRkT4oJTHdIPM8hEAWCAEKeOgC4JfP3/xVut+Y2/hoWEDQANo8SrV3Pn31Gfyrs3SegWxuZ&#10;S8z6NtF9ztytKik4yvRH5z80RBQgCKQlG/DlLMhrmQVY2h0CIBKRlHKOh7vVO2QqoufxL6/D6T8W&#10;7HDBQRNCIAoikkRiZteT93XM6+9iBjcmMoVBssA8u6cxQ8pOLsxjqmL2LfbMtyXacLdaoKKhhogo&#10;EAh+hxcxn6/ZWlZu8RRZaUNLGaQZazFTYDK9bpEuN27c6OnpKS8vT6VSRUVFLhnb4rG7ByLKZDLj&#10;4+N+vz8Sifh8PlVZnYBpmm1tbefPn29qaqqurtY0baFvVQXw1/HbL+EmLXG2CU5gSV3Wu+mr/Ybt&#10;GFrfBxHMuhehuJLJZI4dO7Znz56Ojo7R0dGpLOjAwMBrr732zTffjIyMcAm5kFfZNM3+/v6PPvro&#10;jTfeOHbsmDp5d03TNL/99tsXX3yxra3NNE3rcr03xsKCAECOvYITiCsIpZBKIpIEJEFKkASSiEOx&#10;BWfBoRmxzoqSUBJxQ9dsTCfukgSSyJWkBAlK6pp2RHtQAATQiIScqo2rrRPHu1nlW4dihupQ0zTT&#10;NP/xj3/s2rXrvffeO3/+vDsSr8gnpbx69WowGAwEAlPRy82/8fHxEydOtLW1jY2NqR7Gx8cvXryY&#10;zWa5TllZWSAQSKVSPp8vLz9gqntjPkMgelaZqe0aAq+rHHYGNIh0PaPnJqQpgQSByGMhef8Br8+E&#10;ppmbGLuRHR8jKZ0FvuCoqiUiocxm0zeunp8Yv4okEDlYbE3B5IbIdxuQBLh+9cLQ2c6xkWEg4GWn&#10;MFQKxrTWfaYoaDX9fv+qVat27typ6/pXX311/vz5XC5348YN0zTzWAUAQgieI9VJXm/ogs/ni0aj&#10;JSUlXE3X9fb29meeeebtt982DMNdmdtKKXVdn+s969xBQ0SBrAcTk2L6hYT1JhB44/K57vYvTSNT&#10;v+aRv6RWSDKwQE0bxCNI9PuvDp354fB/h2Nlf/u3/4jGK4EI0BVoBm8zAP7OSdLwYHf3D19V1qxu&#10;/NdHJAGA5OiDJ8psOfTArOftyoX+znO9Py5fvSkULdV8Ynp2IiCfLMzqqsoUNE1T13UiCgaDwWBw&#10;3bp1r7766vDw8NKlS48ePapp2qpVq3788cd0Ol1TU7N06VLmLgBIKS9dutTf3y+EqKmpicfjHPH2&#10;pot4qMnvhRCBQCCXy506dYppyg2llBMTEwMDAz09PcPDw/X19c3NzcXFxbN1vX8YNNsJJsApWOQC&#10;zy47HKFQrKrmHpNkKFouiSanSeSDM4YMGSuruvvezf5QIBguQUn2qn2TYC+ilkytCIWKi6IxUxIA&#10;8VwVcj9st946WV/d3ZsW1fzNXxRB4SNJU9ISyUlZU2GN373Rce+62Cvo6elJp9ONjY2pVOrBBx/U&#10;df2XX37p7u5uaWm5ePHiyy+/PDQ09Morr1RUVOS17e3tPXToUCwW27hx47333ptMJtV2jaFpmqZp&#10;Pp8vl8v19PQg4uLFi4UQfCew4+vz+XRd7+vrGxoaMgzj1KlT+/fv37ZtW21tbTQaXXCusMZ/2BO+&#10;OQvtfT0RhaLxJcvXWWUkCW01oyAQkDMqSQbCxVXLmwE4+dE26oWHViWSAIKRaDD6LxIIpBRObpn3&#10;tvNkFhEBSQItECwJhNiDB5z6JK0e0fLo5yDKoGlaLBbL5XJ79uyJx+O7du2qr68fGxs7dOhQVVVV&#10;ZWXl7t27+/r6Hn/88Q0bNhQVFYFLSUilUlu3bi0vL3/33XcPHjy4efPmJ554ora2Np1Od3Z2njlz&#10;BhHPnj174sQJRPzkk09+/vnneDz+9NNPx2IxdnmHhoYOHz782WefpdNpwzBWrlxZV1dXU1Nz5MiR&#10;RCLBWsfCYzCR7TzMJA0LAQik9dYVhZ2WGsrOSt6TMXclAAAiFSKMKiHL3CKZVtx3yjw21QQAhL1q&#10;EAJZvUx/XfaOC2xnZHZnFBHD4fC6desMw9i3b9/nn39eXl7e1dV1+vTpTZs2Xbly5bvvvnv++eef&#10;e+650tJS5q7bNwiFQi0tLcXFxW+99dbRo0dXr15dVVUVCoWSyeTo6GgwGCwuLu7u7r506VJDQ8OW&#10;LVt0Xc9ms+3t7ZcvX56YmDh16lRDQ0Mul/vpp59SqVRzc7Pf77cueEHt3tzQAAAFWOL9Ta8C0cnA&#10;9GQD22U3bW1Xm1nuEDojzohQnpFm0JRN9azNa563Go1G165dG4lEotHo2NhYV1dXdXW1YRh79+5t&#10;bGx89tlnmb7utvyq6/rg4KDf79+5c2d5efmyZcvC4TAi1tfX19fXE1FnZ2csFhNCVFdXp9PpbDaL&#10;iPF4vKSkpLa29qGHHgKAkydP8o3h8/nYUc4TlWG279s5hQZgywsEIFRi4jQXMI2pnEPMeIzfFppR&#10;MVpWyQsFDn4/EDGRSGzYsOHChQuffvppX1/fCy+8cODAgeHh4ZdeeimRSExuwrvAvr6+N9988/jx&#10;49u3b3/ssceKi4sVv/NutkQi0dDQwIc6OzsDgQCrHCoUJ6WcHNibxWv8w2DtZx0tbf5h1mMiU8EW&#10;rC1nn9jdmTOMj4+3tbV9/fXXjY2NhmHcc889u3btKi8vz5PJwNbOzp079/777x8/fry1tXX9+vXR&#10;aLTAJdgqG0sQ7EmrQ6pPVtB6e3uHh4evXbuWzWZ5kze58vyHBuwt8hqLNJMQ7K06D78ZN10O5mZU&#10;4m8CpCQpYfaME9NC1/XR0dHx8fGzZ8/u27evtLT04YcfrqioqKur0zQtr0lRUdHatWurqqoGBgZ2&#10;797d3t6+devWJ598sqqqSgjBfFUGWPkGbLBN0+RwBidCsNFFRF3XTdM0DOPw4cNffPFFT0+P3+9P&#10;JpMTExOZTCYQsJ5MWSjRZg0AQAgWkRAAb0EWm2vM+Z0xJZwkChYYZ9cUMdXS6XRHR8f3339/5MiR&#10;3t7eHTt2lJWVTeYuo7q6+qmnnuro6Pjwww9DodDrr79+3333KdU2z381DCOXy+VyudHR0d7eXgC4&#10;cuXK4OBgZWUlexFg504sW7YsmUxu3bp1+/btR48era6uTiQSH3/8cWNj45o1a8LhsOpz/pNYAwAE&#10;kJKDxsKaQ3KZYkRbJFWbC++82obbeTwUyWU/HanC+wmAAwdeq2+v4y4ZAiCPzGSfHlkbS2dz6THb&#10;BSUKpZRZsq/nUt19gf0Q9SyC91UtLS3Nzc2LFi364IMPmpqaQqGQ59xsDA8PHz58+MCBA7qub9u2&#10;7YEHHigrK5v86J5hGFeuXOnt7T19+nRXV9fQ0FAwGDx58mQ8Hl+1atX69eu7u7sNw+BwhqZpLS0t&#10;ra2tNTU1HL1raWkBgMuXLw8MDCSTyVwupxi8IODSg20TpOhIAEhutkqP5EWevw57AZBQAoAkEhLR&#10;lm4LEcpuJe2jSKys2ZE6sPeWzsA240jljpH1+LQkyyUiWw5zVGN7MEsQtkIwQCznSSsZjaw9gTLB&#10;s8xgtdybppnJZHitn2znrl271tHRsX///r6+vg0bNmzevLmuri4YDLp1CYaU8tdff927d+/evXtD&#10;odC6det27NjR0NCQTCbZtJumGQgEIpFIOp3Wdd3v99fV1XEPHGRmV6S3t/fkyZPZbLa5uTkWi00e&#10;aN7CeU7OnlGQzmbGJ+2YLZK9q+CP6kXBXn6ZTQim8KEhBdt1QOCohKIiv0pyrJ/FWzIkEaAPULAm&#10;wI9dFngK2jL1BCCIyNDTIEkriiBqABKsVKS8SbDDH/bCouu5zMSIQAiHS1ELkL1QOMHpOQARjYyM&#10;nDlzJhAIsEvAhJ6YmOjv7//yyy/Pnj2bSCRaW1ubmpqSyWQ4HFamN49VLGs8+uijTU1NxcXFy5cv&#10;D4VCSuUFAJ/Pt3jx4kceeeSdd97ZsmVLIpFQKRYqF2J8fPzy5cuZTGbjxo2RSMSdhzT/SYxj6fT/&#10;/POr7OilxZVliAIJrAAAghC+oTPHB3uOVSxdXrWsKeCPqMQedK14CII44gYAIAghlx3r6Tg41NtV&#10;v+bvy1beTwZJIcGVdKHiBmSbfxAofNr1i/0nfziYHru2omlD1bJ7AP0EhCgRAFGohrzhRgCJCIhC&#10;+K5dOve/B/8rk8ve1/qfqVStae3ASDkLyFcF/EsrXCaIzAt9XT+1f+vT/CvX/n1RdaNh6Mzx6yNj&#10;18fg3ze1plKp2Z1F/uJyudzp06ePHDmyadOmJUuWDA4OHjt2zDTNSCTS3Nx81113uWUEcBF38sko&#10;/WEaWVdKOTIycuHCBSGEz+dTORUqd0IIUVRUFIvF3OwvONx8g4YAQKjcCJtU1qO6/kAwUlymaUVA&#10;QCidYJXrulQigRU2JhQooiXJRUvvDobLkDh6J5EE5ttuxygTEZhmUTi6pHa1nsvG4osAEZF573WC&#10;bZdc+esgZbiktPH+h8mUpaV/AZKOPOjxi9VKY7UXJO5K1a3ZVI4ooiXl0tQBJHLyGs7tc3KBQGDl&#10;ypUrVqxgSSGVSlVUVIRCIY4yzEiHVhJvXqH7oxAiHo/H4/Hpu5q+k/kJDdi82U83AgKgYFcAJN1V&#10;+ddExRKBGqKwbmplehE4BAL2LyuwJIcg/f6i6vr7EUxCnyENgSDAZ6UtOs/yW66oBAJAQUAkQ+H4&#10;kroyy0iSBCKhNoVer4VYNUESRCSNgD9SWb0aEUBKEwhACPaG8hoiCUAekVWXQDBaFIpatyVJdiEs&#10;L3lups9tTZVuxeJuHhFn5IzOCtsWBGXzoAEConC+VbI9Rf4sfAA+ZQgJ1P6K4dQUds6alZ2IhMRc&#10;EQAIJN0qBLpa+yzflI2qJF7/+TAq59wZVI3PKTpoidlk3QvWXSVhEgPR3hcKy8q67I1S+x1xAudC&#10;iyiIgrxZiGT6U6ChZVgRCAGlS7ziCUf7LaGHE+7v16qTTzJUyUJ5pLVbecpoUnKya8XPg+snWcD6&#10;WTSPoS6UAuGRJaY6yH/sUBypkEGhNnOCO8SdKTRFNHL2++zpOpHmWfwViUIdeaz+nwybu+rlDuY5&#10;NAAQAhBZ+bUlG4+w/wdgvhmehZcme9uCGewDIiCPyHBb/nqPki4IEQDn/BdP7uD3g6PKAqwccIDb&#10;lLs2rK0ji1kLKUXrtgWracxfJLQyewrOm6MLeEvAVZ5XZ7JqcRNK2HtA1ZvKuXB6uRVWeXTnvCua&#10;+sF+VAF1ex97h8HzHpwXgYhCEyiEsH6UwUkkcP8sEYBr185apf3JeUFbIs7jipUehB56o5vajuvp&#10;ehKEkNTGyj4fcu+3PMbSVpqd+gDWc0aqzEqlIO8FeoYgHM9kcrrJXsSCCK7ettAAwJTy4q/XdNPg&#10;H2BwiKlUWvUG8rbpqERWcNtLIkKW55RnbYm+aDvb5L4XnDAHIrr+1wBPDoUykJyi4bp5WIZDFBzN&#10;YnkbBYId3XIiA6pXNyWtQbk9n0pRFOpSpRUVFbe1T7UQ8H9jfrfj5UV44wAAAABJRU5ErkJgglBL&#10;AwQUAAAACACHTuJARdX2XhIbAAANGwAAFAAAAGRycy9tZWRpYS9pbWFnZTUucG5nAQ0b8uSJUE5H&#10;DQoaCgAAAA1JSERSAAAA4gAAACwIAgAAAPeQ80QAAAABc1JHQgCuzhzpAAAABGdBTUEAALGPC/xh&#10;BQAAAAlwSFlzAAAh1QAAIdUBBJy0nQAAGqJJREFUeF7t3em7VlX5B/D+gF70xq7LXnRlGGlmmSWo&#10;QWnOlqWlodJclkYmaqOKJTZoJogKiMqkIuNh0gMc4MwDkmmiaJk5IIoTKGDOZL/P2vd+9tk8iD+G&#10;59B5cb7XdrvO2muv4V7f+3vf6zkP8J4tW7b85z//ebuHYQgwVhXeZejilbfeeuvNN9984403Xn/9&#10;9dcyvPrqq6+88op7QBn+/e9/b968edOmTRs3bnzppZdefPHFuMOGDRvWr1//QgXPP//8s88++0yG&#10;devWrV279sknn3ziiScee+wxZf3HrOLeh96A9/jPxtinBx98cPXq1Q9kuP/++1etWnXffffde++9&#10;99xzz90ZVq5ceVeGFStWuHd1dXVm6OjoaG9vb8vQkqGpqamxsXHp0qVLlixZvHhxfX39nXfeeccd&#10;dyxcuHBBhvkZ5mUoClBXVzdnzpzZs2fPnDlzeobbb7992rRpt91226233nrLLbdMzTBlypTJkyeX&#10;7zBp0qSJEyfefPPNN910040ZojChghsyjB8/PgoQZfdxGa677rrRo0dbHYP8tw+9Ce+hGVTEbuFB&#10;cCU4BPiEWOiFZAGEC85FYdGiRXEPYCQgJnY2NDTEHVmXVbB8+XL0jXtRiHswOwrQ3NwcjIdyuQqt&#10;GbhHXkjFVHZPfuP/qTJdrRrrprklCq0trW3eVqi8ztPcGUGBQufm6UPvQFJT8Y5E4VkIY361JYVs&#10;b62+OiqVUdAsu7oL8TQu+18pKyRmuLJyUZk3i0elq8XVrnH5yjrJ361uv9VVfqvq0TaXgVJBn0hM&#10;sJFV/pCbpw+9AzlNhU4amRiz1Ra++5Vv8DbX9urjqtBiq8qqa9d63q2LTxJaakpcZbq5efrQO5CC&#10;/hNr1kyZOlVwL9EUIeLq3sjtX9FsRxqX+4xy+hE/ivoIysWjPXBlo+c0DTXto2lvQ6amaHpLFU13&#10;5Oqm0Q7E1vKVXkx5YaJjwdG8t6gvnm5VWRqxhiSObmUsco+CpsySW6gPvQDduamj+E7SdFeuIF9K&#10;Mf0YqllhZD56VpnVFIXs3SggUbmydlehpk5mfWra25BoumbNGjS9Y2EP0jRxK9e//N7a3Jw/Sgfw&#10;Zlec8Zsam5qb/NgS53T1FRJXuuoBjrqK3LQv6PdCdKvpwoULndOrNq9WF26lqyBrdlpHx/r6+mnT&#10;pk2ePPmGG264roKxY8eaz4IFC5YvX94eH8lmChoELQq1vdrNqCUF/ebm5j6a9jZ0q2lG0/aqzdvl&#10;q+rDoETQ7BNKSLrV2lpXV/fHP/7xBz/4wWGHHXbAAQfst99+/TP069fP/eCDD/7KV75y6aWXzpwx&#10;Y9nSpanD7AOsosOtrur6nSBxMcmCpns+6NuCAsWP8ej/hRPwW2+95a78Li+qfzNDVYP4Mb22dUGH&#10;gfixjGjzxhtv6E2DqIlHBYoXs7bdT4uyQvp14muvbdmyJWtS3aaqMlfTKVOmoGlnjWia7X1F8zLx&#10;i4/i3WnkxIkTR44cOWTIkCOOOOL444//zne+87Of/eyaa65xhvP0tttuu/HGG88777xjjz32qKOO&#10;Qtbzhw+fMP6GmdNnLK5fVBmiZascINfXXZHYgqZc1PT+J2pqt/7+97//7W9/27hxY3lvdgSm+o9/&#10;/GPFihU2EV+jcttONLvnnnvuvPNOo7z00ktqEgsqzbBqw4YNeli/fn3wJup1uHbt2gceeOC5555T&#10;rybeevnllzs6OsS6xx9/HFmjcTwqo6hU0JU5FJ17y+tz5sxZvXo1xqf3K9OOexW61RRFOgXY0hbu&#10;5pWQkzVLNNvaZs6c+a1vfWv//fcfOHDgr371q4ceeujVV1819eS2lV/fx0rcX3/99aeeemrRokU/&#10;/vGPDzzwwIEDBlw+cmTjsmXdnYc8+1+kBLtE0+JCU53ITfcMTYvNsNJHHnmE0x5yyCENDQ3xqHha&#10;FLYH9Bo3btzgwYP/9Kc/Fb882/atZ599lhbstdde7H/vvfdW9Y80K1euvOKKK2RcnsZvNzxSwKRz&#10;zjnn6quvxif9q7RHf/nLX772ta8dffTRaPPiiy9mPeVdudvKp59+etWqVY8++ijqw5NPPsmRZsyY&#10;8a9//cvrGqg85ZRTBNLrr7+eb8QXNpD+4Ycf5rTRVRmJpnqhIvPnz+9s76javF2+8iifaZ6y89n4&#10;8eN/8pOfnHDCCezV2NhocqZrBiYALGW36JkFRE3AqtRfe+21p5566re//e0x14yZN3deU2Nj8DOQ&#10;fgW629lqoaZOcT1HU8uxKIW4gx1atmzZvvvue9BBBwloURnIDJBQ/FjcC2CJtJ5VMSZr+w5tgLUv&#10;ueQS3n7TTTeVfxUcrwByoNExxxzz3e9+F1NtTdQzxZIlS0S83//+92jEqYiLbO2ss87CYOzX8zPP&#10;PFP2EF05bJx88skiJGGaNWvW3LlzhcfPfOYzs2fP1pIRJkyYQKqEzfvuu48D6JPYo4ckUHAwSnQV&#10;fUKiKWG3SDTtqJGaJm1zQs+YCkTioosu+tznPjd8+HCOaKLmwRAFzIEqjBo1ipmmT58eNfFIS6uy&#10;8nXr1skWTjrppKFDh956yy1oGokEnY7hquaws1eZpjX/ZanlgLUIXJs3b+aTBSz8d7/73Yc//GFi&#10;tmnTJrQwekDLF154gTJ5NzqJ3srwus3mw/Pmzcur3qklMo0YMeLTn/50mNdMij4Dyo899thvf/tb&#10;RGFb6Qdhu//++2Ujf/3rX6+66iqTXLp0qe3Tz49+9COEQywkE3+wtqury8z1rKug6XHHHYff+lEP&#10;CPbVr3717rvvtpsWFaKDwdrwUjanYp/4xCfOPvtsrNUm5pamniHRVGwNNa3ZESrnjVjv/808+LTT&#10;TuPN//znP9nLUhGiQKJaW5vRxSMOd+WVV5q0xCW+YCXo19fXS1sZgtV+85vfWAxTEp6cqWnEGqsp&#10;iuTmqSn456RJk4wSXzqz/bB48eITTzxR+Lv99tutMT7YYBPNxBzzQV8bFAzQibsyKgR4r6AvgNJC&#10;ysrCDz74oOwTM9wRXR4JAuavf/3rT33qUwgkFhsIC8XZok935MBURtaPNtiPfzofO3bsmDFj5ANU&#10;Bo2GDRumq9GjR6t0v/jiiymlyVPWYL/44KiDpvinrEY9NqOp9RrF2k2YKUyVqTXA5j//+c+EnFfE&#10;SiGZrIJEU/5aY5omQW1mb4k282GVFYrm7ML60hpr+N73vifplPe4W/yXvvSlffbZh7ur92OA1/7w&#10;hz/8+te/PmDAAHHnrrvu4r6MMmjQoEsvvRSV045mHK0JTZGDNZGj5jQNuzuIMIUzImpyPKirq7vg&#10;ggv69+9PWuy340H64lnle48oZee++c1v2l26G53A888/H54M4qlYefjhh3Ngr0siJanMLhfUOVdP&#10;3zprbOTVDOtUoBlh++Uvf+mun7zHCidsEKlDbryhanzGNCJq28czzzzTPFFFbzonzGZISnCaqGMk&#10;hunEVHXuBExi9BN+osZpGEG5nIiP1kgsMZU5SFi5hKdGiWXqpJhSINGUR9qeGtI08aalhbFYk+cd&#10;euih1mMwVjAVGdKXv/xlyw7lcFfmah/60IfOPffczs5OcktvnEnjO69iPbGRfmlMkJCVNiM6d0yv&#10;V9Lf8gR24Uprb23FoR6iKW3TOUqJJ1ED0i1LRiB5EemS5EV78kM78EAUtp2xeSEz7t5isWnTptls&#10;bx188MH4J60S9xHI/JmOHNhTJMMVwCp+/tGPflQzm8JuVFOOoWeDYqR81FtaUjV+4pE5EFf9f//7&#10;30drwZDDUA090AgQ/bjHZZddRqqDoNma0jHD0HI8dOSQZsX/L7/8chmdtZgzh/QKO5jVN77xDWeV&#10;z372sxwM170eFqhCoim5ZsEaB/2W1qbGJiHD5FAQ7QxmAZyPn/385z+XpamJ0YUV8WjvvfemrLFm&#10;iBkzFi05//zzLYYdhQxM5ZpoasvtSvbhf41o2tZm70lUzWlqFTTDKcSRguqosTpxmdlPP/10eZHw&#10;J/lTiPYMhTp2TsZGfsIU7gV0COYpR/zYxz4mCrGhOE4Imc4QhmNzGx+W5CSIoplwHKQPmINmpiEx&#10;AwcjzMNUm8LUTjNo5KyDlESU8iGWEd2RT7iTpMVRXVcxczAx7iESMiYpEf28aCGWb/cx2DLN3MSE&#10;F7zv16/fEUccQZuoWN7FNkg01VqPBq7ZL0szms6fN58HOxzwSLJvMAsQICgrTTWooQUFO0cpcdcd&#10;+fhfWDZgPSxuDbaNrT3Sj/3g4l/4whfsTRB0t2ia6TGaQs/R1OTtPRrFujBJtBFVcBFXxF8b6cyu&#10;paeYhLjIMWTIkDgbxVtRKH70Ftu+733v22+//ew36SVgXmRVuuWsw5+JZYyOprRAaCr8BDxCMha2&#10;LwLXhRdeyG3IrQl4pN4OHnnkkc7sRTZCGoCo0RQCxFyR4xawR2RYJCTJcmUz1A8CSHnFAVEi0gPW&#10;sGQEFRvTp+Pnn090sSK8yAzLSDS1WlJcS5piaVPz1ClTKT8P5luFacxP4m9j1BhX8JJNn3zyyUbn&#10;ecgqeWJZLS3sgQceUPmHP/yBLbyiEvRjMfSY0UWcpsbG3U9MXWja2dHZQzSNaQeUMQCZhg4d6jgo&#10;fVRpp20SQbU0lrHHWIUEWCIQx4tl6IQlH3nkEXYQ9Hk4Jnl98ODBqMaNsQEJcM7Rx6kARTw96KCD&#10;br755u2JFt5gNkEVvqL/xx9/XHIsIo8cOZIKEl1QAA5AKdBLumJD8y4y6F9GITRJcxHUuPI0VjW0&#10;eOgpIsoxaLbVmS0NsvsGkvzIKOSp/AHR2aGwW66m02dMryFN8aa5qcl4mMQXJc4hEsZzD3BiS2WC&#10;Aw44gKL4keeJ7JgtMNkAkcXUeRud4N8FTYFd7AoJEffjV6k1CfpoGql9z9E05s/gNp4K8mGbpAYn&#10;VHJI3MJXh2hlouXkK8mJdyFeB2WS6XDjTPbTn/7UKRN1NCaojEYXGFzIJnjsj1uOH3jPK2zKO9JU&#10;n1SDRiBfMSX8dmbiA0QU7/E4oCU4q5166qm8KGYYswLWExZsDXkm0qYk1tOjq666ytIIqumZMJB2&#10;LoHKYIjjjz/e8Vq2IIx4N9gf3eZqOmPmDIG4hjRtaW42VzR1hKcc1pwtIR9V3mPGRx111Hvf+16x&#10;W76vHqyHHrAs+5544olUdtSoUZKnqq2yBzr/yEc+wvUbljTUZNodbW2dHR3UlLxFilJzmDk7cEhC&#10;8vnPf36vvfZyuCQ88YgfRv7DA0kUWqgsXizuAVvoqER+kADzxE00VYkEZIwYG0iCgRxIjEl8gKp9&#10;/OMflxVUiV8BE9ObPleuXGkscE4geCbJZyIllWUCRQv9++IXv1jQFGKG+qc7klobh+jGNR+dcxUc&#10;Q+4rr7ySwziQmZ7e9AwsT7N+8YtfIAOO4rolRIeQ05SB5s2d21E7mrqIvBXinCQML9O6336bK2Ot&#10;bJ35ZKL77ruvpYb7mo1wz45CvzNpeKr8Jl6EmDHoxE5TU50sWxq/Pt1dNXWA6uxMaooiPUTTiPUS&#10;FRIlvB544IGHHHJI/OoS7AqS2WAu6oyPZF4przqaKYiGmHTOOefI5xTscdA0QpZ+ouDu+PXQQw9Z&#10;jt6cYAQu7h0J2LYQo8s01Y/XcdEmjh49WtR29BHWQAEY/6STTqKCHMzr8Yq73dE+fitrRUhJU1Vi&#10;qmjuZMIzZQuMwNNQmaBKBphdTiKHiZSvDJ3nNE2fjdXV1TA3FYX5x9FHH+0cymnM0hpkSAT/zDPP&#10;7N+/P6WUNhEVZF2xYkXMJiYjFgwaNIgMi79h8UA0cBd3pAciptApNzXt9LFUdhLa2av0DalEU/zo&#10;CTWN+VMdsjRs2DB7bAsdkwcMGGCHWCbaKBAwUU+EWbBggbAerxeIfmLvNcMnbkyQuLSTOFvl7UqI&#10;V9DUUQZNJRXb0jTaoJGgjz1SST+ajIEi70IPyaJUFeHkZnJf7Gd8GZpxzaHox52aSlqIJQoiOvn0&#10;Lp2SkoJJmoADyQUXXGAfs5HTW3o+/PDDZSZIEjVl5Llprqa1+tyUtmVf1TvjjDMwUhSz8TYJA4Ry&#10;NfISJOaItFZGEnYBi2FQORYTOBmwPt5YQCHGMWl7rAfHZFlX+lLLNhPYqSv7PVaiKdWvOU1jzrbc&#10;WZt4yM+cC+2WxBFNqakAF21U4qh6E5BxCjJXXHEFpTGZbOkJ0RX74EF7eztCCI7UVEon0Q+6Q966&#10;BEziIYJ+lZp65O5FfJJxSQrllKQEV8xnzZo1ZjJw4EAUlyjHMZ//gPB93nnnSep0aGkxSsCsrr32&#10;WmrKiySdF198MRG1xZaP3AQLnA6HDx+Opob2ijloGV9I4i1RU0aRm86kpjX8WjTQQk4vZDCizWAd&#10;PDAPyYAfzcZ+SE9lY4I+o5go17SRZmG3BA7O+slPfpLhCAYPDvtqiZ3x4aseOvKvy+x20G9t01UN&#10;aZp2LDM3/SCZ119//bhx46zLxqixnFBTkmO3bKGNJ1oCi12n62effTYf5qjSG/vtTElcdehdsiJ5&#10;YA0/ommhpgVNA54WJAg1lWZsS1O7P3/+fNGJV5gG44u/QrOYpmxK9otLmDkdBTMBBWmAjVi9ejXa&#10;mVWMZT5OzChoaU5jchu5KQdgAfVSVaPjcRyVvMs9aDZYOKeVm8aH/JBPMUOupnGEqtVXT7IrCar1&#10;MzemWqplMBYHjTO7MhNwILATzgEXXXSRvBv5zNhiZNysIFU65phj5AZSMUbk5TitcsiQIbIxzoBe&#10;kQpvM4Gdu3qOpvyKKC5evJgK2k6V7srCBTUaO3asjJCMsYZtsxee2kgNJMpWis0CjoSVaopIXhdb&#10;IEYJmootQdNszHyDdSLaIkdQBHX233//IuhHS0CUmAOz61/P3IbEoDVNoYWCIfl0ssFaQsOFkpq1&#10;tKCpZu5UVg26m7nQZy0SNnppQ9lTJlr8KhUMjQD8ShusMO0ANzY93lIE/bgHuoM+mtbqi3wFaSRh&#10;JnruueeG64RxjWi6tFN28v73v/+DH/zg0KFDZTAmHXEBg6MN/aA6nJuyiiNsjUOiiYDoRxxlHc4g&#10;x8g+kNotpkp4Iugz/e7TtDBxLESH9kk56hHXKB/4wAf23ntvksPylmab42lA2XYKO8KLwwrKRkTK&#10;+sh3EZiI7EmlOK2BohI00JiRKYXD0+mnn05KRSc/IlM2QoKWqInN8g2zincBxb3L8lOmTCHAEoYL&#10;L7yQ4nAbm8UrHNooBSjrX0yXV5gAktkTL/JMGqmfmFUMp+zOGtSU23R1da1atQqPwSvx+xqOp03x&#10;SiD9OX0GCprWUE0zpiZBdUmbLMaxND6ZyuzwNiuYqGzprLPOksWylDSgeFoGcouDPNJiWMo5gOLa&#10;ZrNNuUXO0eoJ7OyVzmHt7TVUUzD5vFQpZwtKaiq9xi2HBkJiL+NpuVn8aO0O4GJl0aZ4FLB3V199&#10;tVOOc6puy/0ACj799NPY4GjCvQlB+XOud0S8GDA6ySCuJIaIEh3hG9GxBcg/0HhrYbH8nQxBx+gt&#10;CoH4kfuF6MgWoqV6u0+z0aC8igJ5bmq8urq5tfpDJok62bdP0o+trQ1LGkZedtngwYMdG8UIkzOo&#10;hXG4RYsWiW5ViyxgfnEnDJIhXnvaqaeNuGQESyUHKMYqDb3LlyMUmtrsGtJ0e7AoW2X5vCxODLHM&#10;XYB+xHRhVzZVOHn+rAIb/8wzz0guQwjy2p1BdAtex910CCpBjUd50x2A+cjoIg2IbkEn1qKgQfke&#10;SDTlr3xiTjpC1TA3za6MTCi7qL5eAnrKKaccd9xxEyZMKH9CUZ5rIJ9aBksiACSHHnt9zDVj4oPS&#10;Wolo5WopaCr69DRNA1a6sxu8LYI35S3PH2yNon57DfYwYhrle7mwLRJNOVlP0TRdoaltQobzo9Az&#10;aNAg+fV1110n7ocvlpmqjJrhW6LJqFGjJECCI44qL21ooJ2RURQ0rQlfC5qKa3tATfNSjRAdvku3&#10;NR9xN2E+MaUdnFiiqbTPaXFO3ZyeoWl2ZcedpqameXVzJfuOdcOGDTvhhBOOPPJIJz5HBEcoLCS0&#10;Irts9YwzznBO8lSuPWLECIm81Fk4znLRxNHq/nf76nDS7+iQcjmSS8hy8/Shh7ETNHVAQYLZc2bX&#10;6pel27tSwtrcQrRQzYjOsA77To6HHnpov3799tlnH6f+/v37H3bYYccee6zTkkQ7/ZK9oaGd/8S5&#10;PjvZV3Vbk8vaO7M/axBquoPm68OeQU7TefPmObP1oJoWkbr0AWdLc/PyZcsWLlgwZfKUsdePJbHX&#10;jhlzw7jx5Jaq1dfXp4N8ImX6k/iphwj0qnpCTdvanIj71LR3ItF048aNzs7S056kaU6sYFh2T38l&#10;RPpIibTKW5uaW5rSVxuS4mZsTsFdstCdg3YnozW80pcBskLQdNasWdyjj6a9DRWaLlhgh/YMTSvM&#10;+384906k7AGaFoU+mvZiJJpu2rx5wR0LZ82elVLA0hb+r68KKXsmGY2rm6atW9G0LzftVeim6cxZ&#10;e4ymOy6KRcva62jVhaYrulb0qWnvRKKpXVl4xx0ZTeWC1fvnqoTpd6p3uKm68kfRpgjx+SsVady6&#10;t8hHu1tu/bTqn4XQQ1yVBlmOm31GUXqUvZI/yq+2uNIfuy4ueU486mjvWHnXyrl1dYsWLQo1hdxI&#10;ffhfI/1O/+WXXyYhjlBdnZ3tZRTbmW9zXpm2tr29qyP9k1CdHZ3e6kqFjq7OrqxSL+nHjqxxIDuy&#10;p0+U4l5G6itrmbpNoyVols5Q2eEqna8yNFawvPJP9oDy8mXL0nd1li51BRqyf+jHfUn2D1MF8C9g&#10;sXdmf18DpD8lmX2H0t2jiRMn1tXVSdZz8/ShdyBXU/s0YcKE+MMuAh/EdwtmlHB7gWkJlf/nuK3y&#10;Zw6zr2XdEoWpU6fGfUqGyRnK5QJF5aRJk6KmXMAe9zLKDQLRQ4wYUA5s+2NM1ZzNfHr2j6S5W7Ka&#10;u++++7XSHxbrQ29AUtMtW7Zs2LDh4QzF914fzfB4hiczrF279qkKns6wbt26Zyt47rnnns/wwgsv&#10;rF+/XocvZv8cI2XatEn2m/9lRq+U/hHHAE6UEd9mKOON7G98hbeyv1YSzHnHEa8UyGu3jz529jr8&#10;97//B7RwB/q57KhpAAAAAElFTkSuQmCCUEsDBBQAAAAIAIdO4kDqdt5n8hwAAO0cAAAUAAAAZHJz&#10;L21lZGlhL2ltYWdlNC5wbmcB7RwS44lQTkcNChoKAAAADUlIRFIAAADsAAAAJQgCAAAAzlaSPwAA&#10;AAlwSFlzAAAh1QAAIdUBBJy0nQAAHJ9JREFUeJztXed3FMm1v1XdPTkHzSgNkkZCmRGYaPIuZlnw&#10;2t6HsTn2Z/9P/uQv9jn2BmN8dn0wbCL4IdhdERRBOY80QZNDx3ofqqenJS3aXTT4cN7hHhj1dHdV&#10;3+q699bvhu5BkiStr68XclkAIKTynxBS+Q4E6C4A+ocQQoD+Ub8pBAAIKJWTQT2uqM3oF4XuUYhC&#10;CCGKohBCaKNK76CejUAlgojGD1GIorZSFIV+rRwim9isMg+EACEKgEIU9YvKPwAdD2htK2OiF5Yk&#10;yeTwHDx2vKmpieNYhDAAIKRx9oZeI2IlWR68eye9OGMzMIgg0E8wAKKbAAAIkCoZAARVPgAAEKme&#10;BQAAGKqNAAjSSaW6r9qjegn1HAS6k6tSoxceBIAAISAaBxofWmuEgBC1M0Q70S6gsYHULUQ2XxUh&#10;DFCUpNVYNL2RDAaDnMHwRn5fZ2IRAEuUOhPrsxgxIFUaqQ1WiW7oRHWzyFbmH20/QA3bJhGGijxV&#10;ukM6RQFCQJVsdSfZLPdbqKpWW5nRXUzr/nvksKquCIgkAaspx4sZeEOvA7EAAASIrMiyrNB9qlzo&#10;5rBiL8m29lDdu/2gukfZIgR6w02qBr0qtxVd0syfbjmonPoChdqy68fYT/SC7Tf0uhMLUEWTGCNC&#10;yPaZR4CoXG1a1cmmM6qkmVj125ZTN5259To624o0pKyZbt2VENJb2u2LwJZufyypN4EQ9d8bMPE6&#10;E4uqBACq7fquKdu278Vr/DabVjWo1LNS92GdpUWEAAJC6PWRKtEEkN7fQts+t15iJ8Z+DCHqAgDZ&#10;UT3e0GtBLGyWuppbnEoQQDXnCAFBSPMaVZlVvypADyMFAQDBhKJqRDRcWrXr2sJQMdIawNi9D1aN&#10;ylQc2f+XAEP1WF7BKvPSPW9vSHROz4s6ZBFCdG2uucGpxjlUmKsFwihD6hGFEFlRREkmiiIrKpzB&#10;AAgjlsEMZjDGmPJIQIPLlW6/Y7MmpLH3WlniKsBCqFYiqO9zl13VhI2XIBYAqnGoV0VVzFoxvEiQ&#10;5BIvFHkhV+aT2fx6MsVLQpEXJAVhRFgEJo512+1eh8NlszisZqvRYGQ5BiMKMLQgxhYZq+E4kD6G&#10;8toQjYvr8N/LdwKv0gzDC+yx/qg2iu+UYEmSZFnGGDMMs/N4WQBACO9CDXYg3UIAVPgQIYQXxEQ2&#10;N7sae74UzZTLnMns9vm9wWa33V4XCJrNFkkSyuVyJpOJra1Fk+nyYlTiSw6job2+rq0+4LZbOZYB&#10;RICg71zmt4cyXoJogPvV3JYq7bxW6uebECIIQi6XSyaT+Xze6/UGg0GTyQQvsMo7GzZRFJPJJM/z&#10;DofDZrOxLLuDiEiSVCgUZFk2Go0Y4+09ayqh/1ooFEqlksVicTqdBoMBY6y/hCAIqVRKEASbzWa3&#10;21mW3T7wZDI5MzNjNBrD4bDD4fgeIcYIy/oeAH5cbGob6cyX6sPRLJwsy+l8YXRuafDZdLoshvfu&#10;vXTy5MGfHGxsbDSbzQghhmEwxnQYsixLkiQIQjwWGxsfezD44M7YyDeTs/vDe3r2NDptFgYzFCAj&#10;olv7yS55rzL9ipYmbb4VRaEJSLpT25ZlmQ6f5/lisVgul0ulUqFQiMViT58+ffLkSSaTOXTo0OXL&#10;l/v7+61Wq9anoij6C1HhlmVZEARCiMlkYhiGHhIEYWJi4uuvv7bZbPv37+/s7HS5XFRAN7v5QAhJ&#10;pVJffvnlwsJCOBz2+Xwa87SfcrnMsizHcbQ5JZ7nh4aGnj17FolE3nvvvY6ODqPRSDunbWOx2F//&#10;+texsbFf/vKXJ0+e9Hg8GGNFUSRJwhhTiV9bW/v73//OMMzvf//7np6eHYwxCwAYI4kqE3olcX1C&#10;iEJImRfWNtLPVmLxsjTw01OHDh/u7Oyk3FPmqKLTu68oiizLsiwjhBqbmppDoaNHjw0NDd29fXt4&#10;YS6WzXc1BRp9HrvFzOCKe0e2WbJdDYbCYeV7z3s5UhQlHo9TcyhViGEYk8kkCALP8wCAEMrn81SC&#10;s9lsuVxWFKW5uXnfvn3BYJCeZrFYAECSpEwmk81mFUXBGIuiyPM8xphl2Xw+Pzc3pyjKgQMH/H4/&#10;QshkMnEc19/fXygUPvvss2g0ijHu6uoSRbFcLptMJofDYTQaNYkpl8uTk5Off/75yZMnT58+bTQa&#10;AYCam/n5+ZGRkebm5q6uLpvNpk1fJpNJp9NLS0utra0sy2rKo2msIAiLi4sTExNXr141mUxU39bW&#10;1h49euT3+zs7O+12O8bYZDL5fL76+nrNtNF+tkgzxcRI2ZQg260ZQoDUggYECJAsKesb6WeLK2t5&#10;3tO8590jR/v6+gBgcXHx/v37yWTS5/P19fX19PTQ8dA5TiaTY2Njy8vLLMs2Nja2tLQcO3ass7Nz&#10;ZGTk6dC338zPza8l97e3NPo9lcFVoh5aCI9i5x8/Fr1T9+oAhSzLhUIhkUgQQqxWK8dxRqORCvHS&#10;0pIgCAMDA729vWazmdq5YrE4NDR07do1l8t18ODB7u5uu91ORyeKYiKRWFlZIYRIkjQxMTE9Pd3S&#10;0rJv3z5CSLFYxBivr6+PjY3F4/H+/n6Xy4UQamhoOHbsWKFQ4Hl+dnZ2YWFhdXU1EAjs37+/ubnZ&#10;YDAAACGEYRi73e5yuVpbW48ePWqz2bQhmEymeDy+Z8+e/fv3+3w+KqyEEDp3c3Nzfr/fbrdrQly9&#10;wwhRdTKbzdrR9fX1jz/+OBQK2Wy2jo4OupNqi6IopVKJaqnH4zGbzaCbWRUT13autFgHIqAQJbqR&#10;GhyfWs2V9x859rN33vH7fRMTz27evPntt98WCoX6+vpLly45HA49MMIYU7Q0Pz9///59WZb7+/vP&#10;nTt3+PDhCxcu7N2799bNm08e3Mcz81az0WW1VOogvift8SOHsRuP+YVd0g2McTAYZFl2bm4uGo1G&#10;IpGuri63200ISafT2Wz2q6++Wl9f/81vfuP1eukanclkHjx4MD4+3traarPZOI7TVliDwRAMBp1O&#10;p6Ioi4uL6+vry8vLAwMD+/bts1gsdKFfW1v74osv7t+/zzDMwMAAy7Isy3Z3dyOEqJT4/X6z2Ux7&#10;1o+cYRiLxWIwGERRFARBFEXtKF1A6H5q++kYy+WyKIoaQNp+B+hF6bYkScVikeM4asIKhYIoitrJ&#10;oijSRWZxcfGbb77J5XK//vWve3p69IqhwonKYlwjGaim2iBXKD2ZmpuNpw4cPX7x55c8Hu/Dhw//&#10;9re/3bt3L51Ou93u7u7unp6eUCikF2KEkMFgYFm2WCwuLi5Go9Hp6eloNJrNZk+dOtXS0nL6zJlM&#10;OvX8yZDVaDzS02EyGAhSoIqPaVAaYBd+nr5671UQVdS6urqRkZFPP/00l8udPn3a4XA4HI7Ozs7F&#10;xcUHDx48ePCgpaUFAFKp1ODgYDQavXr16vnz5+vr6/W3i2VZp9PpcDiy2Wwqlcpmsx0dHUePHg0E&#10;AlSwZFmmxl4URbvdHg6HqaGlpJZIVVSCOidQQdX0FgiCsLq6OjY2Rr1JCnBnZ2fX19epqXY6nZqL&#10;mcvl1tbWNFmkpChKsVjMZDK0K7qRTCYHBwfj8Xh7ezv1LzHGkiSlUqloNJpKpQBgfn4eIZTNZpPJ&#10;5OzsbC6X2zIrbIXX6oBqMkMIAAHiRXFmdW0+kW7r6j33s595vb6hoaHr168/f/68ra2NEDI3Nzc0&#10;NOT1ehFCBw4csNls1MXZ2NgYHBy8fv36vXv3isXiwMBAQ0NDoVD4xz/+kU6nL1y40NbWduLUqdXl&#10;5SczC3UeV2eoQcMARE1eV5MfL8M9bFGB2pA2zZTMZvPhw4dNJtPNmzcnJiZ6e3sdDgfG2OVy9fT0&#10;SJIUCASoa3X//v3R0dFjx46dP3+egoHtnSuKkkqlKAKORCL19fWFQqFYLJZKJafTabFYXC4XNQ0m&#10;k4lC2+2kD3ToMShFLMvLy9pSjjFOJBLpdNpoNMZiMUEQNK6KxWKxWJRlWd+zLMupVOrJkyepVCqf&#10;zycSiXw+PzExIctyMpnM5XKBQCCfz0uS9Pz582QyST9pHKahoaFcLqdSqVgspsfrlFjYPF01yU0h&#10;1c9C6XxhdG4RzLbTb73V2dX17NmzO3fuiKL4hz/84ciRI/l8/uOPP75169af//znR48e/e53v/v5&#10;z3/udDpnZ2f/9a9//fOf/5ydnW1ubn7//fcvXboUDoenp6f//e9/T01NhUKhEydO7N3b2bsv8sWN&#10;lfG5xQaf22k1VwPIWjbv5QeDkKJWH+/6flRJ82xkWaYOPsY4HA6/9957AOByuXiepzo8NjY2NjbW&#10;1dWVTqefP3+ez+cvXrzY3d3NcRyNP66urrIs29TU5HK5qOGkFm5qaioajS4vL9++fZvn+eXl5VQq&#10;debMmd7e3nw+rzGwbbRoy4bGsCzL1OGLRCIU+GlHHz9+XCqVwuHw8ePH6+rqNDiRTCZjsdja2pr+&#10;WizL+ny+SCRSLBbz+fz4+Pjq6mpXV5ff78/lcgCQyWRKpRIN2jQ1NVmt1mg06vV6/X6/0+kEAI7j&#10;oLII6JlULTGocrypyGY3kwUACkCxLPAyaQw1Nzc1syxLveAzZ84cP37c4/EUCgWn0+n1ej/55JPR&#10;0dE//vGP6+vrra2tg4ODn3/+eSqV6unpef/99y9evNja2mo0Gt1ut9/vj0ajHo+HZVmbzd7Q2GCy&#10;WBLpbKFYdlos+vo7teyBvFw8n/qINGID8F037uVvDSHlcjkajabTaSrH2jTPzMwAAHXsHj16NDs7&#10;Ozs7ixDK5XJ+v58QMj4+riiKIAhzc3PDw8Nms/ns2bOHDh1yuVyyLMfj8ZGRkYmJCRrc8Pv9pVJp&#10;cXFxbW0tnU7zPF8oFNRnESoZkx/CMBViinG1yAklURRpGJTn+XK5rMfENLIEm8252WwOhUKyLK+s&#10;rHAcZzabfT6fzWbjed7lcrlcLqfTSRHm3r17p6amKFjXw2gaudrCYUWIX0HemQDIhABmnC6X02G3&#10;Wa3d3d2tra1Wq5W61Vartbe3l+LCDz74YHh4+E9/+pPD4UgkEpIkHTp06MqVK2fPnm1qaqIAzmKx&#10;dHZ2trW1AQDHcSzH1zc0ON3u3MpiUeAJUoAQALxzCfIPIa1tbYMTen8ok8nE43GajgIdHs1msyMj&#10;Iw8fPozH4x6PRxCE4eHhUChkt9uhokssy9bV1R08eNBgMNCYAF2pqQ12OBwmk6m9vf3IkSOFQiGf&#10;z0ejUZpuYFnWYrHQkPwP51mWZVEURVHc2NiYnp6mOIQyvLS0lEwmjUbjzMzMxsaG1m0mk0kmk9QF&#10;1CsMRVPaNg0Mt7S0tLW1mc3mpaUlg8GgqZnm/JVKpUwmUywWBUHQjuqZZAEA00cxah0grizoCGOM&#10;MGY51u12bzoBIbPZ3Nra+vbbby8vL09OTq6urq6urgJAd3f3hQsXzp8/39DQQLOOKrssSx0aQgiD&#10;GY7lGIyJQkAhmk9ag3HoDDDUOj2LELJYLO3t7aFQiM5T5ZokmUz+5z//GR0dZRiG6mpjY2M0Gl1Z&#10;WWlvb29ubtbnvTSBxhhTyLG2ttba2mowGJaWliRJ0ptA6ubLshwIBILB4PaY17YboLalcUBt0cjl&#10;cjzPUwmmUT+e50ulUrFY1JIpCCFJkuj5FBts71wTUEVRaKANAOjotqwShJB4PD45Obm8vPzw4UNq&#10;7wVB0KKxoJViAsaV8sNaEUIAHIMRUVKpVDqTkWVFG6R2kizL2Wx2cnJycnJSi8/TGxePx7PZbCAQ&#10;0N9xvWNUKpXX12O5XM5iNpmMxkqlG9qpfv+HEaHKBwiUXYXZ9G31o2ZZllpWjSRJWltbu3fv3t27&#10;d1taWg4cOLC0tDQ8PNzY2BgOh2/evHnjxo1Lly51dHRoKq3NNJUYs9nc29vLcRzP80tLS9oqzDAM&#10;wzCSJMVisfX19bq6urq6Or1d2Fk/BUGIxWLJZLKlpeX06dP9/f3UiNBWHMctLi6GQqHu7u5AIKDZ&#10;l1QqNTExMTU1pVli/Q2hEkzVj3p1+Xw+mUzSILfmcUqSVCqVzGazwWAwmUyiKLrd7n379smyfPv2&#10;7ePHj2u5aBYACMY0NVx5zoIux7uoL6EfCAwcwyHYSMbjibggCmbGDLqpFUVxbW3tq6+++stf/jI4&#10;OGgymY4fP97R0TE6Ojo6OvrRRx9ls9lf/epXAwMDbrdbU1PaVlGURCI+MTGe2dgY2FPvsltBTTlu&#10;EbqXHAVNuZDdApMtfarCR42T9lUUxcXFxRs3bjx48KCvr+/KlSscx8XjcUIIy7JtbW3nzp27cePG&#10;hx9+eOHChb6+Pg0PUDlmGMbn83k8HkIIDXjJslwsFrPZbKlUKpVKNPO8srKyvr7e3d1ttVp3FlzN&#10;+SOE5PP5lZUVSZL6+/vD4bBe9xBCRqOR4zga4tWntel+0KXWKVFkwvN8MpksFouKojx9+nR6eprn&#10;+bq6uoaGBg1VE0JMJlNHR4fb7W5sbOzt7T148GC5XAaAJ0+efPrppxSI0vNpZI6iYn29zi6niwBB&#10;CJDdYmn0eUZW1h8Pfdu6p6WtrY3jWABEgc7s7OytW7doxK2+vv6tt966evVqS0vLyMjIBx98cPfu&#10;3WvXrq2srFy+fPnEiRP19fVaaJNGfOLxxOrSkhmTUJ3XbOC00HSF+V0OgkqJshub/r2yQoHm6urq&#10;6OhoOp2+ePHiqVOnAoEAhct01o1GI01fffLJJzdu3IjH483NzR6Px+l0ms1mrXaHYRhFUaie53K5&#10;mZmZx48fy7JM47UbGxuSJIXD4aNHj9K1+4dQsVhcWFiIRqNdXV0nTpzweDxbxkVtfKlUoh5eqVQS&#10;BAEAMpkMrRlCFQIAURSXl5cfPXo0PT2dy+UQQpcuXeru7vZ4PDabLRgM5vN5u91OM3OFQsHtdp87&#10;d44qCc/zhBCDwZDNZpeXlxcWFp49exYIBKjZpmlnDAjrXLta2B4CAGA2cuEG/0oy8fSbrx1254V3&#10;3w2FQtRgPHr06LPPPrtz+3Yqlerr6/vFL35x/vz5trY26qx4PJ6GhoYvv/xyaGgolUrNzs6ePXu2&#10;u7ubhpOo/z7y9LGYTUXamlvq/Rhhtchomy/2EmiWVKAVfesA1C46oa2ngiDMz8/Pzc3FYjFZlr1e&#10;7/79+0OhkMPh0CAjz/M02m8wGDo6On77298ODw8PDg5+9NFHHo+no6OjtbW1paWlublZb1w5jvN6&#10;veFwuKurCyHkcDgYhkkkEl6v98qVK/39/QaD4XvHQhUsGo2Oj4+zLHvy5Mmenh59foQSwzDlcjmb&#10;zfI8T4390tJSIpFYWFh4+PAhIaSxsZFWQdARcRxHa4Y6Ozv7+vrq6+vtdrvRaKS5ZRo1v3v37p07&#10;d5aXl20225awOgAkEonBwcFSqTQ/P3/s2DEaM1ZrJ3Qn1kSC1apfjFCj3/fT7s7BiZm7X34uK8q5&#10;c+cUQm7dvHn9+vWpqSmzyXT27Nn/uXz5+PHjWvLdbrcfPHgwEAh0dHRcu3ZtZHhkaWlpcnLy8uXL&#10;J06etNts8/Pzn926+WjwfrPddKC7zWGxANQoxA0AoD3op6K5GsbXAEBRlGg0+vz58+np6VKp1N7e&#10;3tXV5fP5rFarhinpZ7FYpKACY2w0Gtva2vx+f1NT0xdffPHkyZOZmZn29vYzZ854PB6LxaJVI9BF&#10;v6urq6mpSRTFUqnU0NAQDAYjkQh1+zTTuDOTqVRqYWEBIXT48GENw+jRLULIZrPRYh2r1Wo0Gr1e&#10;ryiKNNmGENq/f38kEqGZPABgWTYYDJ4/f/7kyZN2u53WVFBmaLc2m+3tt9+miYKNjY1sNqtVFGnx&#10;NVEUI5HIu+++S5eUKibGm4ZUO1kAAEAGltsTrFMIGXw2/dWtm7H19Y69e2Ox2EZyw+lwvvPOO1d+&#10;cyUSiWj4ho7HZDK1tbXZbDabzfbhhx8+e/asVCpJslwo5Gemp2/dujk69G2dmetqbvXYbJhsBcI1&#10;4BsACJDdOXZ60qN5QRAwxpFIxO/3e71eOna9YHEcFwwGf/KTn7S1tWkBKQCw2+2RSKSxsfHUqVO0&#10;cGrPnj00gUf7t9vtAwMDsizTCc5kMolEwu12d3R0NDQ0UJwKugVhB4YZhqmrq6uvr29qaqJGETY7&#10;1oQQv99/7tw5lmVpxYXX63W5XIFAIBwOF4vFYDDY2NhIazyo0HMc5/P5tl9XQ0R1dXVnzpw5fPgw&#10;zfbp9U1jgFa30ZoQ9ZAsy/fv3IkNf+0zYPrcxO5jFNWJR1qCSomls8Nzi1PRpK0u0NO/z2K2GI2m&#10;o0ePaOaBNgUdtiWEpDOZifHx5eVlj8djs9knJibu37tTiK93N9T1toV8TjuLsRZb09yd7TfoRw+A&#10;KHN5vnHf4cjBQ06nc4uQvQTp557GE2jcAH1XSbsoitQt8/l8tFZhSz/UW9IidNsHTqOw5XK5UCgY&#10;DAa6pm9h6UUjon4V9cmQrsh7Cw8vir1obpx207awtwUk6KNpsKOC6XvQb1RqJ+Alqxa/m5CukBEB&#10;QohlmXqf2223721KTSxHn/7vPavbF+7snJmZ5Xne7XZbrBarxYIRLYjGsiwLoigIQi6fIwDFYnHk&#10;6ZN4dJXhS3uc1tZD+4Jep4kzIO2m6C9eE/BKFbB2Bdb6+64Hl3qsom1Qx2CHfrZLpD6JQPfQ6jOK&#10;NF6CVYZhtjxwAS8WXNCJ5nbzufP2lp07cPuiQxVMTBQAXKtkAdryuiD6OD4gs4lrCfrr3M5YKrMY&#10;S0x+/Z+Hd75AnNHh9gbr65uamkwmi8HIGThDoZBPpVLpdHo9Go2vRcVSzmMxdzQG2tvDXofDyHEI&#10;o81PndY0tQbwomefak41RNs17Hznhlts5ysdwg8hrYqt+lxETR0kLdymEkZgMxktQX+919XTXNzI&#10;5ZPpbKpQ3JgaWxx9rFS4wIgwCBlY7LRYQk1+j32Pz+VwWq1GjsMYAdkktISQGmCgzURooPv7XaDX&#10;hf47jG63vv99HrYTTTtvqgAmtZBjhCoufqUnNYuCEAHACJkNBpPb4Hc5oalRUpRCiS+USzKR6Qsv&#10;WRZzHMexrNlgMLAsg6nzSaHVi6qea3oHUS1N+xt6pcQCAKLPwSM1b1u72UM6+VVJV52DEFKrQDmG&#10;cXFmp90EW8AoIqgS/6tUihIEiFTfYVUb+LuJaW0nUgDtKtnxhv47ROEEUAupjyeRKs4kUJXHTfSC&#10;6a3YTH3iAaHtLXQvUyEAClUijICoiJogsiV9oX5F1dcAaRlyskWeN734SuXg+6JlOm0BAAyUlTf0&#10;uhNLCMHUAiNSLZ5BWywy2fSnKht60UQVGKLV32iBNlSpx9hslAE0q4oQU31xVGVF2Jx9QwCAEfqu&#10;8kgqnWQzV3qWNwsw2jSU6lA1BAREZUGpvBsccK0j6G+oZkThBIbKC89IdSJVmF5Zx3VQQxV1bUar&#10;B1TkqrNmKpEtZ1agAKm8b7PyRmwAgggmUEGlqproFvlKjafmR1ReD6uJI0JV+13FI0gPPyp2WR/2&#10;qTSlTjdBQAhRKoOpbdruDdWSWIQQAqQoRFYIo/vFAgDQbKp+8ogmT4To0IBe4OhpdKua9gDN5Sc6&#10;OaeZ3Yq6VK2l/ocTNMtJr1h9E3iVS7K5FWhSrLmD6n8NYJPNnWhyrlbCyUDSZdlX0Wfy5u2urzGx&#10;gBBrNOY5c1mSGaaSx6uum0j3GwJUGhCi2LV6QI1GASJI91MHFWOp/uYARhgQRgip0fDKIZ1NrdpC&#10;BNXvGKMqYfU/IEydP4QqLbTfNqBxMfUIRlqLyhmbwZCOGfUETJt3YLYpFHLYHRi/kd/Xmv4PeYZb&#10;CTJsgtUAAAAASUVORK5CYIJQSwMEFAAAAAgAh07iQNL4RFYzGQAALhkAABQAAABkcnMvbWVkaWEv&#10;aW1hZ2UzLnBuZwEuGdHmiVBORw0KGgoAAAANSUhEUgAAAOcAAAAuCAIAAABccZkLAAAAAXNSR0IA&#10;rs4c6QAAAARnQU1BAACxjwv8YQUAAAAJcEhZcwAAIdUAACHVAQSctJ0AABjDSURBVHhe7Z13dFzF&#10;vcdfzvvjnffnSyEnJ4XEOT4JJ4+EkBBI8INHCXmQEwiEkEISSCDBJjGhpZIAcQPbFBvbKlZZ7arZ&#10;VpdWfaVVX+2q2bLVJVt11dyQ3FveZ+Z39+6VZDuyWHOQre/5MczMnfnd2Tvf+c5vtHfh386dO/dP&#10;DTIKUpjnmOXn0J9XJerfC5g/MFirU2ZQJfKPFXpazwPj8gxoLuheZ8+dNe3MWWWCM2fPBPJkzpw5&#10;ffo0/6h/nT6l7JTYydMnT57CTpzATio7fvK4shPKjp04duzE0aPHjxw5pmzy2OTk0cmJIxPKJpW9&#10;OzlxeEKl704ePjyh7NDEoYMThw4cPnjg8KGDh3GoP4eCHvYFP9ECPlAIaO25c0cmj4zvH9+/f3x8&#10;fP/Y2Pjo6PjYyPjo8NiIf9TvHx4cGhoYGOzvH+zrG+jrHejt7d+3F+vb29Pb093b3b2vu6sH6+rq&#10;7uzsam/vxNraOtpa21tb21ta2pqbW5ubW3bt2t3UtKuxsam+ocFXV+f11tV6fZ5ar6fWI6ip0VZd&#10;U1VVjVVWVVZUVJRVlLvL3aVuV0mpq7i4qLCoML+oIK8wL7cgN68gNzcvx5mX5cxVlpObmZ2bkZ2b&#10;npmTmpmzIzN7e0bW9vTMbemZyakZiSmZSTsyEnekJ+xIi9+R6tiRllBX7z1+/PgCWecdDNaiY878&#10;dFvKGxllkWml4WmlW9Ixd8DKwjLKwzPKwzIrwrKwyvCsqvBsrBoLy6kOz6kJy6mRFNuS4wnP8YQ5&#10;xWq3OL1hTl84llsXllcfjuU3YGFiBY3hhTvDC5rCVaYpggxpYVOktoiinRHFuyKLmiOKxXZHuPZE&#10;uloMK2ndGsiofEnb1lKsXdKo0o4od4eRuju2lnVGYToTXd4ZXdgYmVOYyspcENp5B4O1J06cyClM&#10;yfZsahpLqvM7fEOOuiG7b9ju85M6av32Wj+pw4sN2b1DcV6/3TNkr1VGXhUxmtE+kHFwqVb60iVQ&#10;r/JS1BntIVjPfWsH47yDds9gXO1AHPlanVc2pEw1k6s6w1UynkEbNTXYABmK0sVOjXT3Djk8ypud&#10;lEouUVPWEZvrShsdGZMHsYB5BAtrC1Kya95pGE7wMsED9tr+OObY02/Tqc7rDGQiQ1oTrFFsUG3M&#10;vG4Q7KWL0jFwyWap4RaGWWoCLad21HlpHCga9w2aNJaRW+uV0VIaD9rL2mOdRSkjw6PyIBYwjxCI&#10;EE6edBamZle/g9B6tURNmWzDFKuUwk2vv5jpNWAafcV0Xt2IjMFgqdT+VQMhsdUCl+xew4PFphIX&#10;o/EFh6o/IFqbU7SDqF0exALmESysLUjLqn5H7dHT5vgKNbQ2u3Db8PCwPIj3HwuR9JwRZG1uUXpm&#10;1cY6f/ylqun8Mgkb2AHQ2uzC7cP+BdZeGj4Iw57C2ozKDXXDVzhrDRuMc3fEZBVu8w/75UGEBDzM&#10;mZMqNdZUMLPlLDHnjtMwzc8s3Ybq7u8FBmtPnYK1aekVb11FrG0X1oZSa3mY8jzNjORnpgJ1eRYw&#10;WmuYRbk0G5iNrRkTZg3p2bNnzZoL4bwNlCMLjNrLhqDW5hWlp5W92TCSoE9IV76522KzCmDtiDyI&#10;0MKcPElNmJXwQ2ouDmt38lK0Vgpm1lih+xkNJGOmp0+fnsZUa97EeSuB6UeKAorTakIOk7Wn8ooz&#10;UsreaBhNVH9DmDHHV4zJ3+OIa91tMYq1/svF2hMnTnR0dOzevXtiYkLPowIUod7lcvl8Pr/fD2mM&#10;DjMg7Y8cOZKXl7djx462tjaplBSf5eXljY2N8t2eQPc7D+QSt96/f39qaireDh48SCU1vb29YWFh&#10;MTExfX19Ql9S9b361IFRT82ePXu449jYGG3MesG7776bmJi4efNmTrdG1eUkrhkhnMp3ZaSUrm8c&#10;TbrCT2PC2kH7+8DaLVu2fPe7321oaDhz5oxUgvHx8U984hPXXnvthg0bmGyzvUCKJvr7+/FwzTXX&#10;REVFSY20gRzPPffcm2++eezYsZkdpxVNDAwM/OhHP/rc5z7X1NREG8i3b9++73znO1/5ylf27t2r&#10;3ZzDc2xsbGlpKeOni1SCycnJZcuWfeMb38jNzYUt4pB6yRw4cOCFF17AFQ7NysuHIGsLXBnbStY1&#10;jKG1V3xca/MO2d2tMZn52/xDIYtreZKwU4SK53n06NGIiIgf/OAH3d3dFInBABm06rOf/ewNN9wA&#10;M5BS6FJfXy96bDjSoAho87Wvfe2Pf/yjqKMJuPXyyy/n5OSI7FFjppKhHsYXFxfn5+eTIsxutzsz&#10;M/P+++//4he/mJGRUVBQUFhYuG3btm9961uLFy9OSkoqKioqKSl56aWXlixZ8uMf/7ilpcXqENY+&#10;/fTTDz/8cFdXF0XAB2QnGR0dJY+Kv/jii08++aRcAtJLMiFHkLWFrsxk17rG8auLtUMhZW1ra2tC&#10;QgIMYLsk8/vf//7rX//6xo0b4+PjETDAXgyVP/KRjyxatGjlypWRkZFIKVKXlZXFFBiOAoDTb7/9&#10;9q9+9Su2b4oEA2gzS4IbwdpXX33VylogGdVTZw4dOgRNuTUxBlQjxqitrWUVXX/99ch/Z2cnlTD1&#10;lltuuemmm3bu3EnEMjQ0xPLgLsDcH8QhrP3d7373y1/+ksUg9YODg0888QR6z5DQ2j/84Q+PP/64&#10;XAJUskrJ6N4hhoW1pdnJxWvR2gt8MXYlmcHajPzkwaFQ/uWLMHH79u2wBDYgcmzid955Z3p6enV1&#10;dU1NjdfrraurI/OpT30K6kCp5uZmagBUsLJWJgUlu+uuuyA600/Rbrd///vfxz8EAjabjbvAWqEI&#10;HggApKOZiuoDMqCnpwcPN954o8Sm8JIaboHcQlmCDYhOL7O7pJIR1sJLbiQ1rJynnnoK1uIH1rIh&#10;/PznP+cSt4P9W7duZVHp3gq0DyGCrC3SrG1Up7GQs9Z86yD4Ja3Elzo//Zvbi9t53i64ZLNx4jRY&#10;OzgkDyIksM4QVIuOjkbbYAaVTK3g8OHDn//859FgTjZmY2tGACeWLl1KM+IHuYRUX3fddbAEirA7&#10;o+UwmFMdG31ycvIPf/hDOIRzo78FIyMjr7zyym9+8xvOYYg38TR8cmpwOGMr4ECGB3T03nvvFeqb&#10;kCGRIvzPPPPMY489hvCjxBSJDYgZhLXQ/S9/+cujjz5KOMQt3nrrLQLoNWvWSN+Qw2AtC7HInaO0&#10;djRhDqw1vnBSHaGgTd49qJG8fkNANeiXdxJoo01eZNFXqff2G+/reNVrBjqdMoxgXl3l0nv7Q4di&#10;bRsRQpKw9nI8WjZ0jlDf/va3U1JSiCyJI9FgiILEchojWmWbNppOBTOCEFZWVn7mM5/hHLZ+/Xp2&#10;berj4uLYzSUa5iocgtYrVqz461//ik8CCQIS9FKcWIE6/uQnP0FiubuoPiBaYD0wBhbPrl27qqqq&#10;UMqf/vSnDFt6mcSA9DC1o6Pj17/+9c9+9jNC5D//+c9Qk42FMWzatIk2bAtcuvXWW2E/Wwpavm7d&#10;OpYHTsRPaBFkbbHbmVy0tn5kLqyVoIKOgbexlHyKslJULwcagiqeSYWjitZCaN+AQ1XKi4hW1mp2&#10;BoakCS2vxSif6tLcTLM2OiMvcWBg8HI8V1yitWzunLqIE/7xj38QhgI0729/+9vHP/7xi7AWynJ+&#10;Jx6FBJycYAaMIQZFuoiAYQmXSNE5/AtNOQwtX76cllKc9oGgHcd/wgBiWTZ6Tn4AvUSYTcBsuqPW&#10;Rp8AuITGs/szbNYMoBlnNYDYo9+Es0Q4iOs3v/lNKtkEuDvjf/3115FhPFyGp2uJEFxleclF6+b4&#10;HoLmVo0inLyQBR1jPP12FJQa2KbeiO1THDW7aE2N9VIzGOcbtNdrIlL0KfVVXWQYWnfV+7XarXqz&#10;h5a7RxMahuMDrlQzzyWM2RhDWUdMel5CX58RpYUW+OSRQq8HH3yQYxCiQBGQgWHs+zNZax0Gmy9T&#10;3tTUhPi99tpr6OvmzZtRVnrl5uZCOGiHqqGdOKQ9McOzzz5L3IkMz/w43Jco80tf+hKhcFpaGto/&#10;ExwfH374YU5XRh89HsASkngXwNdHHnmEcxvSznhYM8jzqlWruDuBLBECrJUTGHeEtewS4kcchhBT&#10;WVs4R9Yie55+gkWHsgFH9YCtdCC2oi/Wp/mkOIdA6ja6vXqb20t7iv1x7r6Y1K6ItO6ISs1XWnqG&#10;tJ+pw/CxANQaiMvuiQjbtT6pbWMVpGcx6GZqVVgaX9SsrI3vvWyshU9JSUn33HNPdnY2uzDbsRy8&#10;2NyRTPhHzcxbUwNLiDsjIyM5pEN6ZAyBxBvc4rBPmCFiTFBLMyaOImoK4VBfWGs4soC+xCo333wz&#10;6wSfAnhGL5YHu/n4+DjbPQEGYQYDkFFJBogTIofnn38e1iL8FRUVuOIA98ILL6xcuRL/SDJiTGyN&#10;1tKYGlhLkEDe9BBCBCOEkvL85ML1c2OtDl7ppahZ3hvzdMkziyLvfiDjCU9fnPrBAmqqFVFLsiaZ&#10;NqKCqv6Y+9Me+6/Nd30y4p7XPa/WDcXTUsIDGYakkBL21/sToprW/nfU/f+x4fbF0fdF7VpXr9+r&#10;pP0lRgtqqOUdMWl5jn29vZfjseKTM8q2bdvuuOMORFFCSfltXFlZGSEmrCX+g3Bme8kwERkZGTAA&#10;hYZYHOZQLOEiawDWwlQ8I2kcrbKysmjPJVoie+zXaLB2MwXcBV1kB2fxQDXOW8SpnPYAZN2nQWhL&#10;d05jrBCjmwYDA3jgjgQDDz30UEtLCwOgBomFtYQ9wtq///3vXGUfkC6wll1CPIirEMLK2gJY61M6&#10;pxl2KaZJA9scvkFH0d6tN8c9+KGNSz76zp3OzrCdI0lKDgcdgUA20Ks/rt7vqOyNvSHm/g+9/T//&#10;ufF/lxYs3+lXv6QIhBnBlqQQt8EfH9n4+icj/u/fN912zZY71ntXNPoT1K21Bgfb/2tTzhVrc+17&#10;L8N3OWrS9ExDrO9973vNzc3mLciw1d5+++0QFwYz/dRAShgg/EP83G43AShFtJBdG8USJrEGCC2E&#10;qXAI6SVPvIHsEXpef/31HJKmncbUOM6dE3pde+21hBAvBcDR6he/+AXb+ssvvwzhONJxcOTgT2O6&#10;MHhS0wMZ7kh0i/Zz8JKr4pbujIcPhRO6M+a9e/eKcr8frC0tL0gqWO+dE2s1ZdUfs2AnZ6+1vhU3&#10;xT6wrPjZwA94bJqFRAVTelEkkN3Y+Nq9qY89UfBMRucWKjUL1VUhotlFBLhq0L669pXHnE+t864o&#10;642RS9glsVa5grWdMWnOOPkmU57FpcLsSAYwl+zXzC5gP2WvhGf33Xefz+eTSBTyQVB4edttt8Fa&#10;DuO0YQBM8JIlSzjcsO/DY+ZCHNKSPXft2rXCWkICWJuenk4DbpSamorutre3b9y48atf/eqXv/xl&#10;wk3h0zTAJKjPqR+eMTDugkNqfvvb3yLSeBPxphkyfPDgQcJowl8uGf0DrEVrWYSoMndhtUBfgmkW&#10;gLCWNUNci4oTkT/wwANEQXx8wglkWD+kUMJgLeN2VxQl5q+bG2vponmppJSjFbpYqX6cGO/r58yk&#10;49rA78+sXWoJHjh+DdrrhhO9/gT1u8V+e22fNDD+fCYtxVQ0rOOEhpFEIhkkGYc0w4O0nKVp1qoI&#10;ITXX3tMzd9ZOA8Giw+FgvpFACEQ4y7784osvxsXFFRYWUgmozM/PJ8okWkUsyctfTOEQGVglroR8&#10;hJvEkWy1wlraw1qaCWspAshEsbW1FX6wBhgDcktfKvfs2YNsV1VVEUkTiQKKJSUlkLKgoADPcIvR&#10;MgZiZRYAY+Oox8CIXhYvXoyOwm/z4XBHCMoqcrlc9PrTn/5E5I14o9bci5FzViPAYKXRq6urix2G&#10;HYOPTyAkHkKIIGtLKwoT8tbOUWsV/2AhrOWMFdivFaWUvop8ShrsMmivoUufvbY/1tNnw7T0qj+T&#10;SQMrayWjjKv6DKf4qv0rt5dwFFMmrOU0luKMCyFrmVcUCNVBXRBXQODILsleDDNgHg8ZOvb09ERH&#10;RzP33d3dTLD0NTWSvGTANNbCV5O1kNXpdLIYuKl0IeXWrBBuSp564mOYFxYWxlqy2+3xGokBPPro&#10;o5wUGQlhDGABwEWcw10ib4jOCOUvEsgzMswaePLJJ2+55Zbly5cjsTRDjJ977jlhLSOUv0YzMBkM&#10;KR+Qz44riqHFFK2FtXOLaw0LHKEUOxWr9B+89N9fdWg7xS1hQ42qNJhXM2CrQY/7HUE9nibMkioh&#10;J6+6KLcBs+b/lenYetDu7ohOyY3r7lZfXMmzmAPoKzDKAQKRojdM86c//WmCBEgDiaUeReRkBp+I&#10;I5Fkiqp/ANqHAQSMSBHeyxkLVnEag2EwkvnCociqCZqtWLGC+9KYImSCcNCI9tMgEcLSpUvRZprh&#10;TcDikfVDSpEM2rlq1apbb731C1/4wrJly6AyRzdZgSwS6Ivo4oGW0l0PXIEazm133333hg0b+IxG&#10;bYgQZG1ZZVFC7txZC2/oqIyMYq1yUq+DUXVJ2Qy3WiN1PW0khFCbvq5URkboaA7Jq1iuUinOyays&#10;tXfrr1vlWcwZeLCCWSRAZI4XLVpENIkmyXQal/XtUC9UCiqwTbN3i0TJJQF5K2spEtHC2uTkZMjK&#10;LQwCWoCKc1pi9zcFbyakHjavX78e1prBq1w1ITWkUJOVcN1118FOzljmByFFiVevXk1ETnQh34MQ&#10;EoC2tjaEmah3zZo1H/vYxx566CGehnIaOlhYW1Vsd74W2l87Bv9ooEXXrFdmkVIVXVgbW21KM21C&#10;WVPX52JK493t0anvWWsFpgceI1PLRsxBZ+XKlZy3kCWumg0kD5h+SIYYf/jDH0aQmGlqqLc2I94g&#10;QmDukVWKHIM49XPigXDyXT/nnjfeeIOipM8//zybPtpGkEB7cTUNUg9rWQxQnE1c6qdB3V63JCXg&#10;YXiMwZRSuUoRshKjb9q0icgkKSmJFQU4hHFwJOSw2WwEJ8S1rCLpGCpMY+2auX43NqWLCKTSzoBM&#10;kmIqYLA2k29lA/+5DZVaGkilKK7K4Ee5Ui++wG9xO63LrM3C2vemtXr6jNkdGxsLDw+HrExkY2Oj&#10;OVXSRmAWJYOIMsGPP/44yiT1QC6REtci2MSaEtfCEggEURBdKkk53qFzHKHQV/bu9vZ29mJhvwk6&#10;WiE1sJb7xsbGXuiAP7PjTEgbdY8Lw2wWWhis5aNWVJfYc+bK2nln6j2EqFSnwdqQPFc2UyI5uMtm&#10;bVRZoO5yvvuw19MFGs28yllNiGjtK/mZkKuzBNNNmHGRQGIOmMMw5gwLa2tK7dmrr6Lf6IaatcqP&#10;3jeN8lTIVaNgwcxKa43uNKU4LZ2G81bOxEwPs+x4cYTEyWwQZG1ljduetfoq0loVIYTmNCbAj8Ao&#10;zwKzaXzxNpd0Oyvm3PGDgCBrqzzuuKzVvquGtWXqbwi2kJzGFvA+I3gaq64ts2Wunus3uvPNhLVO&#10;W6f+7Z48iwXMFwRZ6/FWxGasgbJXD2u358R0dHYusHbeYRprVzGjVzpr1RfCfEZYu8MZ09HRdaHz&#10;0wI+sAiyttZXGZuxmnn1qZcKps30lWZetLYT1ka3tXUsaO28g5W11bHpa2r7bVcFa9Wbigusna8I&#10;stYLa68CrfVoU1rbEbU9O6q1rX2BtfMOBmvPnjnjU1q7ytMfq34zI3OsA1z9eoBNXhIglVk3bMZL&#10;AoHDnOoSMOrVTxrJ0EW10aSRlkb7wLey1kqGgbGEfPJzNG0U6/yOuiFHnT/eN+TwkaqMzqs0Xv2G&#10;h/xgfNB0vbrkV1Y/7KgbTawfTazuiUtxxrS0tJ6zvACwgHmBAGvPnvHWV8dlvlY3nNAwmtQwnMj0&#10;Czl0JkGZnzSQxwaV+Qbi64QcA2KqRvMs3jvg8ParHz/WkvY5ansdnl57zV57zT579V57VY+9qiuu&#10;qstW1RVLWtllq+hUGZXvxGIru2IqOqMrOqLL26PdrViUuyWqZE9Uye4oV/NW167IYmxnRHFTRFFj&#10;OFbYGFHQEJ5fH5ZfH57vC8/TluvV/+uo2s1Oz6acmndyajZlV2/KqtqUXflOavFbsQmb5fck8iwW&#10;MF8grEVuzjTtqot0vJnuis4utWW7bJnFsRmu2CyVsWVhrriA2bNLMAeWo9L4HGUJgVSZ05WYU5Lo&#10;dCU5S8SSc7HS5LzS7fnuHfnulIKy1AJ3WmFZOlbgVqlYUXmGWGGZkSkuz3RVZrvKc0oqnVhpZa67&#10;Kq+0Ms9dla+toAyrLiyvLiqvKarwFFd6XJW1ripvSbW3VJu7xleGVavUyNf4Kjy+co+3rHl308Tk&#10;xLlzaO38/q7oaoOhteDIkcmhoaHhYf/w8MjIyNjo6Pj42H7BgQMHDgYg7+qDd/VvoQxMTkxOTuBB&#10;25GjGseOHTsewAkDJ+V/Nar+t6OWl5FnQl3Wr5CazVDE2YCPMzfIQ1jAvECQtVctFlg7z/DPf/4/&#10;13sHW9VB5k4AAAAASUVORK5CYIJQSwMEFAAAAAgAh07iQIhbAJm2GwAAsRsAABQAAABkcnMvbWVk&#10;aWEvaW1hZ2UyLnBuZwGxG07kiVBORw0KGgoAAAANSUhEUgAAAOQAAAAuCAIAAAC3RiIIAAAAAXNS&#10;R0IArs4c6QAAAARnQU1BAACxjwv8YQUAAAAJcEhZcwAAIdUAACHVAQSctJ0AABtGSURBVHhe7Z35&#10;d1RF+sa//8CcmV/G0RnHmTNnFsc5zkq6Owkh7DsKijqKCjo6OjMqDpuSDZJ0wiKIoqggOyRA9qU7&#10;C+mQTncHwioQQAUVBRFU9kWSEMj3U/XernQnwDjSOIB5znvq1K16q27dW0899Vbnov93/vz51tbW&#10;CxcukIZmvgvgYb9Tz3u9o42sZtq+O/P33XnSGwMWWYHMnOLsZXH+fKj9J7S0WUubWTh37lxzM6bQ&#10;1AFSbtDU2NTY2HQ2iK+COHNG2ekzZ06fPn3qFKZx8tRJjeMKx0JxVOzosSNHjtKhPHsnrgu0kRWi&#10;Hjp0aOeOnTsaGrZv27Z16ztbtmzetGnjhg316zesw9atX7u2vq5uXQALrPX7sYDPH/DWBtZ4/dU1&#10;Ps+a2tUeb0VVTXnVmvLK6jJlVe6K1a7y1aXllaXuimJXRVFpRWFJeX5xWU6he2W+KyuneMmq4sUr&#10;ixZmF87HlhfM0zZ3eb6yrPx5y/Owucvy5i7NfXNx7uuLcmYvXDXr7RUvz82eMTd7+lvZU9/Mznwj&#10;O3NOVsacbOecrLTXs9Jey5qsbHnK7GVJryxLmLXsxZeXTZi5bPzMZeNmLhuLzVgydubif2fOG1Pj&#10;r2L5tbbyBjol9jpAKFnPV3hKJr/1t8kLRk2aP3LSwodTFjyUvOCB5AX3pSzChictvDdx4fDERfck&#10;LByWuGhY0uJhSUuGJi0ZlrR0aNJSlSYuvytx+WBlWYMSlw9IzBqQmD0gIbtf4gqsb+LKoK3qm5jT&#10;OzG3V0Juj4S87gl58Qn53RIK4hIKuyYUxiViRcqSSroll8Ynl3ZLKY1PUWlcijsuuaxrcnlccnlM&#10;SkV0SiXmSKm0a7OlrLZsksee4rFNrranrrFNroma7I0iTfXaUr1R6bX2tFo7mTTfn1/M6ZrnWnJB&#10;PX0nWa8PhIQBra2lNdmTXPHpPmbUka6MjI1UmyPd53CS8YmpS1XuczD9aaTq0rI0y8d4mozDabXS&#10;Zrq1qqxCLsUsHykPmtNvNQk1Va7M9GPTzqZWd6VLLM9A1MS8uPzyZQirhDfyEjpxLSNUWVtdvuzJ&#10;7u6wIc1nY0aFc3q+ZaaFSRYtNAl03q9SYUmI0QMlKpVOlINfOiS1Of3CpyiLQFYnplb5a85hZMTN&#10;ka57UBbM6IbWrVVDPTDdvM1BpRZ9Ja86TCyIKyhfdr7FevZOXPsII2uZf9Xksng9/TatqXqCJWWy&#10;rRI2Uy23qkqXqyrJ6yopkUKVKt7AJE19q4rFQKG6ha8Lqc7gGa1rhWfBPpUhxrpcOlS1QVMlQalW&#10;C8lqpYhr9alT5ayq2ASChVEJ+Sjr8pCn78S1jpAw4MKFcsjqjldMkuk3E6wJJzyQQtm+rcu2kqCD&#10;KpFOglUWUUQRlaxqwSPtIspHXoUTfnis0rYlYRk96NsZs8Yj5SGDCasVB5HS4KXyVMNLLIgvrMjq&#10;DACuI1yUrGpSTbQajF+NCQNURvPYsnA3KZSMKdHRrVI1KBulIwRY1UUxTGXUJdt3Brpeq7b1IPOk&#10;eUezqjrct12mzdK8pgkZe2Je94Ly5Z1kvY4QRtbKulx1wNJ00fLTNtMRMMU/S1lTah1jPNEJNTHp&#10;AaRUHciUvvrtSTWO0VWOZG8MZNJbuT3d26GfKzSv4jcnxcS8+ILyLHn2TlwXaCMrmdXr8jlgQanI&#10;ktVJMKoylnY6fdHPV8f0Wfnnv7mpsjm91Oqd2m9/brV9UI5tjMeRKdu6MmkbMePRlBh77Un5Slnl&#10;2W94mA3k29lJ/qu7fH3nNrK2tLR41hVMdvfQYYBY+5m+MovWR3UlomOqY/vm2B4v41IO/sitUrt/&#10;exx35Uf/uzo6E6Ft3zxy5lX3SiqIzy9bKs8ecTAB7ebAlJiMyRtIocCUmPJ2JXIpMIWhCC1XThqm&#10;JLTQcOBSwMfKaYQ2Ca1SfelLaiVjSkzGILQcmEKT74gwZfWsK0x199BHEOxqkFWJKFHpGE9s/xyb&#10;UlZFVh0eKDmHrPYh+fbnPdH4dGgeSWPNcMC6GmQ1r9u8dDId2SCFwDiHQkqam5tPnTrV1NQkzaUc&#10;cCl/atYdqB5MVUdQde7cuSNHjpw4cQJnKQHkP//88+PHj3MX4ymZjpAmgtOnT3/55Ze0klvT+Ucf&#10;fbRv377GxkZxAGZUAunh5MmTuB07dowmUmjA5bZt2wKBAD23qwpFSMx6/kL1upJUVw8VVqpIMfJ0&#10;0WSNzvDZx1XH9c+xP+6OtpjKvXQ61mMbkk/YenXJqsIARda4HPciefZvE0wG7/zAgQMLFy589913&#10;ZV6lPDRlRj0ezwMPPDB27NiPP/7YVIGzZ8+++uqrDz/88NatW71eL7U4i4PMJhmgvqhobiYDmegn&#10;LS0N6ksVOHTo0NChQ0eMGPHOO++wqUqh7t6CXEq5QC43bNgwc+bM/fv3a69Wbl1RUTFlyhR4LyWw&#10;efny5W63G/pyKW25RVZW1u23356QkHD48GFKxFnAsF9++eUuXbqUl5fLYKyKcIQdsBRZ3T0VWdWk&#10;XiWyct53jFvTtX+uRVYVrcpPBJC1yjYkz/Hc1SVrtDpg+WyJBV1z3Avl2SMFyAEzNm/evGnTJia1&#10;vr5+nUZdXZ3f74dYNTU1azRmzJhx22233XXXXZ9++qmZAgPmAuGEAczuvHnzUCNKDBGpSkxM/NOf&#10;/oQaPf/884MGDaqtrTW1kjKSHTt2uFwuxOz999/v06dPdna2uRGEqK6u/s1vfjNnzhy4JYXS1oBL&#10;VsXu3bvXa/AIjJ8bscbgfaUGNIVecBfSc1laWlpUVDRmzJibbrrpoYceCl1j3Hr+/Pm33HILd2Sv&#10;kHL4jZSK0M6aNcvhcPCu1L0vgVCyttasK011Bcmq2NNumq/UDFnHVsf2y7WPcsfoX6z0T1Q6DBjr&#10;sQ/OczxbFZ0ZkLtH+HSlTfWsyFoYu8o1X549IuCNG4oApIWU6WT+HnzwwUcffZTLqqoqWAJZKS8s&#10;LCwuLv7kk09oZXURnFrQ0NAQHx8/ePDgnTt3MqO4wQaUGLk6c+bMpEmToqOjDx48SHlGRsb999+/&#10;d+9e05wUN/qH0E8++SSt7r777lCyUvvWW2/94Q9/YKngbEDPkBsyySUDe++99xB4xrxx40aEnFHl&#10;5eVNnz59y5Yt27dvZ2xg7ty5zzzzDJldu3ZxL1YpnCPPopLBkLI8FixYcOutt5IKWQEN77vvPtY2&#10;A4PxNpuNJSG3FgcQehlGVu8611Unqy86IxA9zpBVaer/gqx+W2JR7MqIkhXwMkNftIA5mzBhwrPP&#10;PkvQJrXGx1xKQ3NJyk6KPsFCp8b48ePhFqRnD4VSkydPRoc+++wznBG/f/7zn9DItAXo5euvv/7z&#10;n/985cqVH3zwATv+0qVL0TDKGQ+SxpBYDIStxAOA9QCIGrnj4sWLcVOj0ZAOZYSkbBc4EFGYcsQ1&#10;NTWVUZGH39JEN7XaAqpo9ZOf/OTtt982ixOtjYuLg9zUQtaoqCgGwCB5UawNNgTKxVPQRlbgrb/6&#10;ZFVEsY9fE0sYAFn1310NWaPGeRyDFFljMgLS5GqQVZmQdUXp29aTRw6hMySACo888sjf//532c0F&#10;lJvUwFwyYRMnToQ3qLLP54Mf7JKoLOJKJwgqYUCPHj3YZ+kcTUU1y8rKyJvoEzd6uOOOO1Bxmg8Y&#10;MOCll15CFB9//HFogfL179+/Z8+exL70TLxIBMztRo8ejQNhJfsDXZnxoMRoXm5uLsTKz89HERkV&#10;naxdu5Zy7v7GG2/AM+hIeMN4aEJb05wMvS1atOjHP/4xUQ1LRUQXsnbt2pXhQUJGYrfbucUrr7xC&#10;pDFy5EiCDVkAuieFMLLW1pelunoFyRqx31mDZs/wQz47B6zx1V0H5jpGuRFaaCoBKw628Shrrv0Z&#10;lLUu8kslaLpnv10pa8m84Fv95jDzYTLtsGfPHrjyr3/9K1RZDeSwT0acAZc0SU5OhhbDhg1LSUk5&#10;evQouzbiys4OpQgHmdebb76ZYxPdwrB7770X8sEYc8pBdB977LHhw4cvW7bszTffRLTYqWEVPRCf&#10;UMKeC30lXmRg3bt3j42NlR1Zj8saj+TpNjMzk8CjoKCAQJl4gGMZGSIBALOJAUgJSNhAUOvQtiwh&#10;ZJKol/2BMU+bNg1CszNQTkjATYnm6YTR/upXv0pKSiLc53l5fMhK0CxdCcLI6ttYIWTV5+WIkzWo&#10;rD7bhDWxA3Ico1zy5Yr8FGBTyloNWVUYkHEVyap+Z+W+CYWx2SVzz7dchF7/LZgSXmPHaZYME9mt&#10;W7fnnntODuO4ITOwhJQpZIKRK9kZpcmBAwc4NkGOL774YvXq1UOGDEF7mGN0C9LQG9P51FNP9e3b&#10;d8mSJYSGyI9s7ob3gFiTO9KcQs58sBk5RCC5KdTklMMaIE6AFtyRG/3617/mtEfAIM0FavQadM5K&#10;QMsJVbmd+qcYJ09KeiIIogjWAKpMn1Z7DYjIszD+UaNG/eAHP2CBcQkR2Qoo5JAHcen8r3/9K3EO&#10;wTEj5HZsHfiQoQdrEOEx6wXfxso0RVbZl68WWTP8tgnVsQNy7Y9BVvXlSpT6eEWTeFy1Y5Aia0ym&#10;v33bCJsOAyBrS0vbWv3G4NUxQ5yZCDRXrVq1YsUKNAxJg0yUQEcO/nCO3Y2IDdIwqSglAvO73/3u&#10;Rz/6Ub9+/YjPpJ/9+/cTgKIrHIw45tMnRyhO2cxlTU0NE8l8oX8cmNi+2dDZSSW+lJEAybMMGINo&#10;OT1wjuGmoqMoH5pNCAGb4TQlHKrQvKeffhq14xJIVwY0ZIO+8847oThyCLcEkF5SwKMhq+PGjZMF&#10;YPohpTmrkbdxyy238PjsGzwX+z7REZG31+tlFbFyunTpwmGOBxSyEgeT0fe3EKasgc2eNFdvTVb1&#10;h9Cw2b1ic6rPtNFRlXmhpmv/3C6PlqJwUc5AF/1tq0OFB56YgXkxmqzqKNauhwiZCkVYiipmLYas&#10;EfiglfngdWdlZTHfbHYox5QpU2S/mz17Nts0sRpCyEbM1BK6CYnhdHFxMacTNAYC0Qmi5XK5cnJy&#10;UCkKoTgSy4bOvs/RipM792K+8IH6bMRkCGSRT9hgRiI+r732Gpu1XNIQssIGWMtpnXCThQTF2XMZ&#10;DDdlB//hD39IYbtt14D+GVXv3r1ra2shNOSmTwYGuGTw+nimlPXFF18kXLaaBSkLGBKPzHtgGKxM&#10;FJpWnPmIZxgPs0BbyFpVpf6hEcNgVcihzepIox1Zq1NdvRV1IkpWFVQoY2eHJShr9As1MUPzuzxR&#10;phmp/wCrf3C1TfDY7yuyP18V4wyoX0NDO4mcSShCzBqTXfzWFZJVZkLyiAdvmW3XgBL2SshKNIb2&#10;MAFQUPZiwJsHNJeUHijEHwcuIRMziprC1BEjRhD20RvlRAL0A8/gBECh2eLhgagmoB86pEoGwAaN&#10;jMEJIgc0jI2ebtFvfGDGwIEDOSehmsSjH374oTQPhZTQD0sRH+gFtzi0sV+T4YBFnn5YMNwFWX3i&#10;iSeMPAPpAXA7ISurl0fjkioWLcG0/EiM4kJW+iHPa4SphAd4qkEEEUbWte/UpLn6qL8qRVZZ9ZdT&#10;6isqH1KqfmdNq42e5Iud7FNfC6QHv+pXaooFuqb7YnVYGd5JxCxI1uKYrOI3W85dqbLKlEjGQEoA&#10;u+0vfvELwjWkiN2czR1dMQ6S0S0ugiNHjqDQNDF/LoLKKBMHdgJBJg4ftIezPLIN54TlAE+JbtFX&#10;5PAf//jHH//4R07ZIsBCazLs10QCSCb6DY+NPHcEpOEuP/3pT+mK2IMdgxT2cyxjv+YujApp5JDE&#10;gQ/9poncQg9HZRgtYQlkZfdnzFIIWf/yl79wa2qJZzjzEZ9AfZ4F0tMzz4ubQRhZ67fVppb21ccd&#10;JjXCYYDqVm33ipeIqI6JyUepHx8UiYNVSok5bJFqJW7XSWSMG9kSS6KziudwzrEe/sogb18yBigl&#10;cwxZkS50jo2P+JUzODum8ZSMbmpBLjlFjRkzBhoJuSEiCgQ/iCWMygrYlOEQJyRqS0pKZIK5Cwdt&#10;zkwo2e7du++55x4hK/76Jgp0AsM48fTq1YtFJb0JqLVyWhShF8JZVFR0+PBhRoLyAZSSaITgWO8i&#10;ChzUGAyBJsEGewjqLiuK3sisXLny1ltv5YUwQnzoCp2GrKKs7DzkWTmyV/z+978nROFoyKqTHkAY&#10;WTc2+FNL+8nH15EniiKrbPeqZ1L9IaJ84WrX/zwh3P8qmrppYmn08uLX4ZP18JGAea2A/LZt2+Li&#10;4ti1eeNSyEkflUWKRMbEv10rqhAnaMpZDUmjBH4QgEK7goICoalxBjwC5ICpiNPBgwflierr64W4&#10;OKCgw4YNQ9KErMC05YAFjznhcQvdpYJx4O6Es5zn5O9VRMkbgqDkhRdeQLbRS4IBv99PVADtSNlA&#10;+vfvT+DBkYsgRLqCZhDxZz/7GTE9wknszjkSsqKmErOyuiArYQ/O7AncAupPnDiRmF4PSiGMrJt2&#10;BNI0WfVH9VdF1VTPwe+p06zPZYxZ5d+GKbI6lhbOjiBZecuhYBOfNGkSJ3oIJCX48LaJ9hAkaCdE&#10;NA2llmgBraqsrERZmTPhdF1dHcIG0blkwGREbwB56AKT0KrQBUBX5tGErKwQCqVWwAg5j8fHxw8Y&#10;MACGIZZSq/rVGfpkvQFGskuDVQEQe2JfNLJHjx5s3OQBIS/Yq4GWA8YmffKkLLaxY8fedNNNHP8X&#10;Lly4Z88eeMzIuYToDJXtgjdz8uRJ7ss4ARsRx8q8vDw1Vo0wsm7ZUQdZlQSqGb0K7PEqsuqVoC6t&#10;jES0xufbMWLWUseSwlcjTlaTGT9+/MiRI1Eg3rCUSxV3RPM4rEAgeCniJw6kCCd7Lj5s0NCLaaa8&#10;uLiYjR6xpBxGssMiORAIf5w9Hg+hJ/zuyDbJQMqhQ4fSG82lnJviTyEhJjRCPn/7299y2EL8oIhQ&#10;QtqCjh0CfHBmKbKQLvoOjRtnpsGDB995550EMAgnhDabQ2FhIQLM2yCE4LlIqdIBRRNKz9qQP6bI&#10;K8I/jKybIaurvxywgpS9MY1nTHI5Fhe+Km8hIjBvkjeOcBJxojGhr9cAChLw3XbbbWyLuHHCgHNS&#10;ZcYzevRoplnmldnKzMxEyXCjQ7Tt7rvvZvuWvRv94+B8++23u91uprnjExEdouXp6emwmUt82H+J&#10;T0jlh1j6hDF33HHHzTffTLzocrkQ+EtRUDI0QfNQVvnhLPSm5AVyyW4+b948BDg0hBWwIaCs7P6E&#10;8kQpPCBHt2nTpk2dOpUnIjj53ve+R6QhsQToSNZ+3wWyKmV1KWUNfXffANLcpGjYihUrCL84HXM4&#10;uEzn8I+dHWZ8//vfh7JMlcS1TAcUnz59+vDhwzn0yOxCSoK8tLQ02SVhG9yFbRzUqMWHKPCXv/wl&#10;PkJHEHpryMpJCzFm+yZAnDVrFiMkKBQ64imdsDXDkp49e7JfsyNzF2keCtMt/pwa4RmprChTFQop&#10;l6foCJ6LaIeTH2Q1P07L79MzNRYsWIASW32FkpXGKgxw91MnHj2dYbN7YxnHuyRX9JLC2ebxrwS8&#10;OsjHppacnJyamsrGKt3qGWk/haaQFLYhJ5zAOERLISoVCARiYmJgntkuySBga9asMVFpQ0MDJw+5&#10;BCwSJhihEv92DwVZiRMgxLhx4zi3QdPQcFl8BIg0ETaM/4+vhYZEOBzw9+/f366TdqBWHC6aciPW&#10;TDtQaCCegu8uWZMjRFbeG4B2HBeQVTY7Lq26S0CaAPIIGNscMySXpOiNnD+0iypkkAQAoSEpqWy+&#10;AhzgmTwLl6EpwJPh0SGslfgPUNsOoYUXdTCQWtVLMKOLLwLjcymY2lA3yauWGlIIwsi6uYEwoG/w&#10;L1iQ9YblqyZrzOIrJmvoq6QroF9vW+HlYZxJLzOSUDdT0i7zH/E1PXETWNcXQ7vayzsLvo7PZSDN&#10;w2JWpayuvurjkhudrOwbkHVJ0ZX+dCUvsV0qUNWXgKmVzOWdQ6H6vZjzpcqBlF+qtiN0T1/X+VtG&#10;+AFr51ohK9MZ8Q9ZrhGTTw5EWZcUvHblf27txLeGcGXduS69LQy40cnqVmQ919xJ1usGYWTduqs+&#10;vdT66epGJasV2whZ819tbuok63WDDmTVfxRw3shk1abJurjglaamtj+Xd+IaRxhZt727Pt01ALKm&#10;eWEqJgesb3LMYrfVZu9ooQ7G35SYVvq+ykzDduXBqrBWlzfVRP2rBPXdTFJZzCLI2tiprNcNwsi6&#10;/b2NaSWKrPo/PNFGIPWba9DUZH8ds/hxCRq1cxYL3k4shJFh5e26Mm7trEMrZfqhVC0PmFwevSBv&#10;ZuPZtn+z34lrHGFk3bF7s9M1OCNgvuKzaKppof771PpLU/UP/NtMfZza0fTnqvKJqsUeLdXWR6tt&#10;qWkS9BdTNw0viRJzqlRKOvqEGZ7GgoVtGac/KqncNj9v2tmzja3W//2iMxK41hFG1l0fbHGWDnT6&#10;bfq/QM2kCo30J6fKbNo6ZqLSlAkP1H9oTR3R/DZnQH2JR5pR53BirAHJB7QpN1JHBoU6o2pVVbR2&#10;iM70x2QGtNXFZKyNySDFAlis0x+jTWUocVoWSyoOGYGuGX5ttXHaupE6vWQo6UpD3FIqo+fmZjQq&#10;sipcUP/fFqyTstcuwsm6Z2t63j3pld3TKnulVfROL+uFpZX1Ti/vk16GUdIn3S3WN93dT8zp7u/k&#10;WEawi5ViA9NdA9NLBqSXaisZ6CzhcmB68SBn8eD04sHO4iHKiu7KKBqaUXRPZtG9mYXY8ClYwfDM&#10;guEZ+doK7hVTJZTn35eZf39m3gNT8h+akvfglLwRU3MfnpL7MOnUHOyRqTmPYtNyRk7PfUxZzuMz&#10;cv/2Us6TM3Ofmpn79MwcZTOwVTrNeWrK0idWFS2SzzU6D1jXBcLI+vnnB4vd2fnupQXl2SWVOa6q&#10;vDJPYUV1SWVNaZXX5fGWVfsqqv1YpTew2lfnqa2r9q1d41/nrav3rd0QqN+0dv3mtRu31G98Z/2m&#10;res3b92wZduGrds3b92+ZWvDlu07tjXs3N6wa/uOdxt2vb/rvd3v7f5gz4cf7f1o7969H3/8yb59&#10;2L79lu0Hn+4LGvn9n3524LNDBw998bn6x5RffPnll0cOHz56+MiRo0fV/y7w2LHj2PHjJ7ATJ04e&#10;P3HqxMlTJ0+dOXX6q9Ong/8XQpU/c/oMhSRnTp8+1dQk3yh1MvX6QBtZERfyX3119uxXjWyOjWeb&#10;Ghubmxqbm5vONTe3YOfEzomdb1HWolP1P7k833KBVDLKzpPSH7urzutMEGF/05OMuQyF9gJqbBer&#10;v3iry0O3MK3IiEm+E9cwWlv/H/wpC5+9SAEeAAAAAElFTkSuQmCCUEsDBBQAAAAIAIdO4kC8mox0&#10;MQ0AACwNAAAUAAAAZHJzL21lZGlhL2ltYWdlMS5wbmcBLA3T8olQTkcNChoKAAAADUlIRFIAAADc&#10;AAAAJQgCAAAApqUQBwAAAAlwSFlzAAAh1QAAIdUBBJy0nQAADN5JREFUeJztXN1PG1cWP+fOeGZs&#10;Pj0YSApkBSqCRBFKtt2Nm/ahSR/6xD5EirbvlfrcP2P/hP4BfchbH9qXjVZByrIbtVopUJFQyUuD&#10;Q/lIiMHBNrZnPPfsw/3w2DhkKf5q4SeEbM+95x7PHJ/ve5FzDgAAgIhEBAqICK2FXutXLhTmNoy3&#10;ci4mEgAREBEnIiIgQBI8kWEgY0yQav19OEc9TCLinGf398reoWkYnBOopyX+EQfQEiQ+0xdBvVNv&#10;AEDOIj1GPGgiqE7hnEvZIEmcUFxXY0GNJwLiQMSJq9nExUwiThwAULEnXpDmV/LHFSecqsxzzZma&#10;KGhCueRHo+7s7PULF0dN0yAiRABg7Xoi5wATEX3fX368GPDNiUsXicrq2ZJWYYhSJhEg9CHIZ4+A&#10;6lNEQADG9ICakXIYIpOXKDRAj5arIEgthXIaIQJila5cVg4J8SaVG1XXR8U9yokh/YcoFwMA4By2&#10;toprP2/vvLzgDrmRSOTkt/Qcp4UJAADk2BRPRGdn+4mXAJUYVC2sFkpp4qQkNLafb8KR0VWxaTgS&#10;q0qQtDasXqtyVE9e/Aiq7gHqdw1McQ1ZThSLWhHT17OFrT834u2EEErgwCmoAHDgAEBYY6zCwkRa&#10;KZ5QIuE435EakqOGa2DdmAaeJdUOo+MXV2SJAIEQkYCFrcS5OLYbQigR0CBAEe28bcqJhbEZaMei&#10;GPqT7uw5OgGpKavhKLCTWuXfEbROVfHdOToBaacRGREA8P9DU54SOsYhCgXAKkGj3lajaGxsxVvC&#10;mLbUKnvQfTiGsa7l+aRQmlKlX4BOHL+cEKH7hqFwhJhK4SipDYf8bYOIzBFAJJJaAE32eG/1TcOO&#10;mSUyzUQkxtTx/xtyjk0QKWJAkRhsi6YkETARCfUkxJFL44kqh40MgAFxqkbpbQHKbGgrFHRYUN4U&#10;1x8jtUd/J28S2d+0ytQ+JXIi4tTqJDEBJ/kCPE5P9/I/bL2cHYr/+aLriKWJCCDnB//ezPywuXPj&#10;neEPJ0b6IkZr2arjEXjDqP700ELjed7r168RsaenR1SPajhQi3POc7ncwcGBbduDg4PRaNQwjLAg&#10;ikpEPp/P5XKmaQ4MDNi2rQnqKp3neel0Op/PT0xMuK5rGEY3p7qkUMqMdYtZpGpyBhGhQuzng+Lf&#10;N7YqzPzjhQRCANK7xVLAUwf5f25vu33On/hwS7mqBYLM0bdILCXy+fy9e/d++eWXGzduuK4bBIH4&#10;XBfDOOdE5Pv+06dPFxcXE4nEnTt3bt686bpunVD6vr+8vHzv3j3btj/77LO5uTnbtsMWXNRHnjx5&#10;8uOPP3766ad9fX2MsboBrfumvwLSfAMi51wkoqllblyoXifuBTAEA5mIZlQ2XlRuSAhHKL3eHnuE&#10;CAjUMo9SwXGcXC6XSqXm5uZc1w0tX602IWKpVHr+/DnnPBqNDg4OOo4TblFABc/z1tfXh4aGENEw&#10;DMZYsVh8+PDh2tpaMpm8fPkyIsZisampqUuXLtm2Dd1t32VFR4UYKJVZy3851TojMSAmjHpNllRU&#10;FNt+58L1+BYuE4lEent7iejVq1ebm5tCU/IQgiAIgqBYLKZSqSAIRkdHE4mEZVliekNXsqenR0st&#10;EaVSqa+//poxNjk5KSbWqdiGpLoBMnmOAMRJ1YB5u0JeIZCIhKKSpNdFRCZ0BgK0STJlIRJb/Jh0&#10;4sY0Tdd1r1y58t5774GSkjoFViqVHMfZ3d2tU5DHkBWvDcOIxWIiEg+rXiLa29v79ttvv/rqK8Mw&#10;vvjii/n5+Xg83lWiqXxK6eiptp42cSh0EhFwqtVLOm1JNenDtqFViwq5YYxVKhUAEOowLEx1L7Ti&#10;hJBlF6IWBMHh4WGxWCyVSvv7+77ve563vb29ubmZzWavXbsmvNJKpZLL5YIgyGQyu7u7i4uLGxsb&#10;/f39d+/eXVlZ6evrM02zFd/0NNAMEQfedM+Nqm0QupFD3XcUIS6xUP8HgW49IkBZXRK5qlpfF7Hq&#10;pDeL2ar7ylqfsPc8T/h5hUJhfX3d933xufhSusnV9/0gCGZmZqampnp6eiSDiCK+efny5fr6+uHh&#10;4fr6eqFQ2N/ff/LkSblcLpVK5XL56dOnhUJhb28vnU7ncrl0Oh2JRKanp2/fvg0A9+/fX11d7c6G&#10;Ua0pGai0YTPJV4kxQFKFGqy9hkRM6QbZ8MGADCRkAEy0pSEBEgIAoWyO1PLd5HvKkCGylhpxImKM&#10;3bp16+bNmxcuXBDSJiJiXosgCIaHhyuVysrKShAEH3/88djYWCQSQUTLssbHx4eHh33ftyxrYWFh&#10;ZGRkenra87xisRiJRBhjjLGBgYGpqalIJEJEr1+/HhsbSyQSuVxOu55dGPHo5DkQR1XwbZ79RiDO&#10;iYAhK/Pgv9nCvzZfRc2IzzkBlAP4KXuwXiqyF7tUqdhGEIh0KUE+4Ev7+89L3oOt3cyh7zAMiCrE&#10;TaDZwf7bf7gw6ESwyeKoRZxIuzGtQblcXlpaSqfTtm2n02lQEpnP51dXV4vF4uXLl4eHhwFA2N9Y&#10;LDY7OxuPx4XiNE0TERljtm3btl0uly3LEiI4Ojoqhg0NDRWLxcXFRdu2Y7GYaZp1ZlpnheSX76bc&#10;kGaU6XpfM8kTIDAA5ETFCv/P5s7fHj5y+vuRgAEhADIGDFYL2Z82nyEw0f8rbgxjzDXw5d7ePzL7&#10;DNEwAIhFGWNB5cPxBHED0WiiWFa752QrMTWLuH7equUeLMtKJpPJZDI8jHO+s7OTzWbz+XwymZye&#10;nq6jU6lUSqWSsPumaeoNG+I/Y4yIotHo5OSkaZqe5wnZFXNl5ZTzIAiEffc8L6wm60qUnYUJOu7j&#10;yIkYNEFLan8dQLp/CNBvmX+9Ov2X2RkDtLsY7uZFIcJY04au285Vyh2AMW5A7S+ouaIJqHfuNIFg&#10;KHYpl8vb29t7e3uGYYR72nXcnclktra2stns6uqqEL4wha2treXlZcMwPvjgg6tXr/b19emQXKhJ&#10;PbJSqZTL5Tp/UVzN5/PPnj1bWlpaXFzU6jkajYYluONQmhIZJ865cOFOqySqGxaEKyAECtBBiFpv&#10;etJ05EXt5ZoEqtZpTZNKuSmCRIKKgLiIXk/5qOrE4vDw8NWrV9FoVJRV6gYHQVCpVISNBoCwLgSA&#10;iYmJixcvMsbi8bhOWIJSk4wx3/d3dnYQMZvNcs593xflRAER6ff29o6MjHDOGWMjIyO+7z969Oij&#10;jz4aHh7uOqFEZCJ/3vRMSLPo1WWLm00+RE8WlJqgKesoOI4zMzMzPT0txOjo4BcvXqRSKcdxJicn&#10;Z2dnG2qvcMKSiAqFQiqVevDgwcbGhm3bjx8/jkQi4+PjjuNsbW0Jh0FERXNzc5xz13Udx0kmk++/&#10;//7BwcF3332XyWSuX7+eSCRO+WWbiJDz26omhKZDMMmgPk/UBLJqA1lzPOujGW/DMAzDgCMaFFRI&#10;zhgTdUIBOCLZ2kPd3d1dWFj45ptvvv/++1gsNj8/Pz8/f+XKFaGDPc8TBl0sZFnW2NiYJiLiHpHm&#10;XFlZeffdd13X7e/vD/sAHVScWiiREDlAJzLVJ0VYbJrIbch3paYVv9/aDRleplwu7+zsrK2tXbt2&#10;bWZmRohvw4lENDg4eOvWrbGxsS+//HJqaioej+sGIiKyLOuTTz7JZDL3799fWFjQnUFhHBwc7O7u&#10;JhKJw8PDUqnU29sLtcX3TkGlhFCUUDrLTLeg1X3OtWthWFOOjo5aljUyMlLXonZ0lmmaiURCm91w&#10;+CwmDg0Nff7557dv385kMsI/BgBBVuvjnp6e0dHRhg5uBxHSlNoYUvvqjN0D/YsUwT9Rq/uEqhAy&#10;JCKPO3fuIGJfX184lDlm1vGfWJY1MzPTRFbbAx3oqI397Sx9dxNEhqBBUqptDCA6juM4TrsX7j6E&#10;kg5qd8wZlEgACDUo1SWeztFuKE9CHXxyhiG7PmSncVd3wf7Ood1bJMIz6UxKyIYPWbSjUL3pHO2G&#10;OIoKEJE4YTvDzi4EiYqOvA0dz4ycWahtbyI3x8/2sRAIoX1jdNbvRucgGzDwrJy/+ObMn2wKQURk&#10;yM60xeg0dEMGcE6qWecUrmXY5L01UuiMfWwQ0lHtVdVQfI7OQB9GwDgHHkDAEYABSV8T1GUFrC37&#10;hPb+hYSwPnDV71SBUBGh0NG9+r8kRVSlT4Qkj/bVjY9yByaA3Fqkm9EVUXUmkWjYpepa4rRioGqI&#10;XeUcIJcrZfaLll3pnv7CswaTiACwJzbwvBBfWvZN0wBAwMAwmOofBRQ7BOQ5OwzkMbsMGBOmn1DG&#10;BQiMqfN4GCIyAxGQIUMmm53FFLlTEfUmnlAPmlpWzAREBMYYAgITO8XF2mqPY6gD9Ij46HyjPjQV&#10;w/uGQHOtPyByXf7OOJim3RPr7aba2xnC/wArMGJQ3cdbFw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DYiLcZ2QAAALUDAAAZ&#10;AAAAZHJzL19yZWxzL2Uyb0RvYy54bWwucmVsc73TTWrDMBAF4H2hdxCzr2U7iSklcjalkG1JDzBI&#10;Y1nU+kFSS3P7CkoggeDutNQM89630f7wYxf2TTEZ7wR0TQuMnPTKOC3g4/T29AwsZXQKF+9IwJkS&#10;HMbHh/07LZjLUZpNSKykuCRgzjm8cJ7kTBZT4wO5spl8tJjLM2oeUH6iJt637cDjdQaMN5nsqATE&#10;oxqAnc6hNP+f7afJSHr18suSy3cquLGluwRi1JQFWFIG/4ZDE5wGft+wq2PYrRm2dQzbNcOmjmGz&#10;ZujrGPo1Q1fH0F0M/Oazjb9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jlgAAW0NvbnRlbnRfVHlwZXNdLnhtbFBLAQIUAAoA&#10;AAAAAIdO4kAAAAAAAAAAAAAAAAAGAAAAAAAAAAAAEAAAAM2TAABfcmVscy9QSwECFAAUAAAACACH&#10;TuJAihRmPNEAAACUAQAACwAAAAAAAAABACAAAADxkwAAX3JlbHMvLnJlbHNQSwECFAAKAAAAAACH&#10;TuJAAAAAAAAAAAAAAAAABAAAAAAAAAAAABAAAAAAAAAAZHJzL1BLAQIUAAoAAAAAAIdO4kAAAAAA&#10;AAAAAAAAAAAKAAAAAAAAAAAAEAAAAOuUAABkcnMvX3JlbHMvUEsBAhQAFAAAAAgAh07iQNiItxnZ&#10;AAAAtQMAABkAAAAAAAAAAQAgAAAAE5UAAGRycy9fcmVscy9lMm9Eb2MueG1sLnJlbHNQSwECFAAU&#10;AAAACACHTuJA1W7CzNoAAAAKAQAADwAAAAAAAAABACAAAAAiAAAAZHJzL2Rvd25yZXYueG1sUEsB&#10;AhQAFAAAAAgAh07iQJti5gf0BAAAIBgAAA4AAAAAAAAAAQAgAAAAKQEAAGRycy9lMm9Eb2MueG1s&#10;UEsBAhQACgAAAAAAh07iQAAAAAAAAAAAAAAAAAoAAAAAAAAAAAAQAAAASQYAAGRycy9tZWRpYS9Q&#10;SwECFAAUAAAACACHTuJAvJqMdDENAAAsDQAAFAAAAAAAAAABACAAAABqhgAAZHJzL21lZGlhL2lt&#10;YWdlMS5wbmdQSwECFAAUAAAACACHTuJAiFsAmbYbAACxGwAAFAAAAAAAAAABACAAAACCagAAZHJz&#10;L21lZGlhL2ltYWdlMi5wbmdQSwECFAAUAAAACACHTuJA0vhEVjMZAAAuGQAAFAAAAAAAAAABACAA&#10;AAAdUQAAZHJzL21lZGlhL2ltYWdlMy5wbmdQSwECFAAUAAAACACHTuJA6nbeZ/IcAADtHAAAFAAA&#10;AAAAAAABACAAAAD5MwAAZHJzL21lZGlhL2ltYWdlNC5wbmdQSwECFAAUAAAACACHTuJARdX2XhIb&#10;AAANGwAAFAAAAAAAAAABACAAAAC1GAAAZHJzL21lZGlhL2ltYWdlNS5wbmdQSwECFAAUAAAACACH&#10;TuJAcd+9/BISAAANEgAAFAAAAAAAAAABACAAAABxBgAAZHJzL21lZGlhL2ltYWdlNi5wbmdQSwUG&#10;AAAAAA8ADwCcAwAAWJcAAAAA&#10;">
                      <o:lock v:ext="edit" aspectratio="f"/>
                      <v:shape id="文本框 2" o:spid="_x0000_s1026" o:spt="202" type="#_x0000_t202" style="position:absolute;left:0;top:0;height:971550;width:1030605;" fillcolor="#FFFFFF" filled="t" stroked="t" coordsize="21600,21600" o:gfxdata="UEsDBAoAAAAAAIdO4kAAAAAAAAAAAAAAAAAEAAAAZHJzL1BLAwQUAAAACACHTuJAI0blyL4AAADc&#10;AAAADwAAAGRycy9kb3ducmV2LnhtbEWPQWsCMRSE7wX/Q3iCF9FkbamyGj0IBWmx4Fbw+tw8N4ub&#10;l2WTrvbfm0Khx2FmvmFWm7trRE9dqD1ryKYKBHHpTc2VhuPX22QBIkRkg41n0vBDATbrwdMKc+Nv&#10;fKC+iJVIEA45arAxtrmUobTkMEx9S5y8i+8cxiS7SpoObwnuGjlT6lU6rDktWGxpa6m8Ft9OQx/i&#10;ONthdir27bvdnsvz+OXzQ+vRMFNLEJHu8T/8194ZDc9qDr9n0hGQ6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bly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mm,1.27mm,0mm,1.27mm">
                          <w:txbxContent>
                            <w:p w14:paraId="1B5F6B6F">
                              <w:pPr>
                                <w:rPr>
                                  <w:sz w:val="18"/>
                                </w:rPr>
                              </w:pPr>
                              <w:r>
                                <w:rPr>
                                  <w:rFonts w:hint="eastAsia"/>
                                  <w:sz w:val="18"/>
                                </w:rPr>
                                <w:t>水浇地</w:t>
                              </w:r>
                            </w:p>
                            <w:p w14:paraId="67049B8C">
                              <w:pPr>
                                <w:rPr>
                                  <w:sz w:val="18"/>
                                </w:rPr>
                              </w:pPr>
                              <w:r>
                                <w:rPr>
                                  <w:rFonts w:hint="eastAsia"/>
                                  <w:sz w:val="18"/>
                                </w:rPr>
                                <w:t>天然牧草地</w:t>
                              </w:r>
                            </w:p>
                            <w:p w14:paraId="64CD7F28">
                              <w:pPr>
                                <w:rPr>
                                  <w:sz w:val="18"/>
                                </w:rPr>
                              </w:pPr>
                              <w:r>
                                <w:rPr>
                                  <w:rFonts w:hint="eastAsia"/>
                                  <w:sz w:val="18"/>
                                </w:rPr>
                                <w:t>其他草地</w:t>
                              </w:r>
                            </w:p>
                            <w:p w14:paraId="4C733754">
                              <w:pPr>
                                <w:rPr>
                                  <w:sz w:val="18"/>
                                </w:rPr>
                              </w:pPr>
                              <w:r>
                                <w:rPr>
                                  <w:rFonts w:hint="eastAsia"/>
                                  <w:sz w:val="18"/>
                                </w:rPr>
                                <w:t>采矿用地</w:t>
                              </w:r>
                            </w:p>
                            <w:p w14:paraId="60295C98">
                              <w:pPr>
                                <w:rPr>
                                  <w:sz w:val="18"/>
                                </w:rPr>
                              </w:pPr>
                              <w:r>
                                <w:rPr>
                                  <w:rFonts w:hint="eastAsia"/>
                                  <w:sz w:val="18"/>
                                </w:rPr>
                                <w:t>农村道路</w:t>
                              </w:r>
                            </w:p>
                            <w:p w14:paraId="233B6C3F">
                              <w:pPr>
                                <w:rPr>
                                  <w:sz w:val="18"/>
                                </w:rPr>
                              </w:pPr>
                              <w:r>
                                <w:rPr>
                                  <w:rFonts w:hint="eastAsia"/>
                                  <w:sz w:val="18"/>
                                </w:rPr>
                                <w:t>沙地</w:t>
                              </w:r>
                            </w:p>
                          </w:txbxContent>
                        </v:textbox>
                      </v:shape>
                      <v:group id="_x0000_s1026" o:spid="_x0000_s1026" o:spt="203" style="position:absolute;left:590550;top:38100;height:910590;width:402590;" coordsize="402820,849949" o:gfxdata="UEsDBAoAAAAAAIdO4kAAAAAAAAAAAAAAAAAEAAAAZHJzL1BLAwQUAAAACACHTuJAXjWRXL0AAADd&#10;AAAADwAAAGRycy9kb3ducmV2LnhtbEVPz2vCMBS+D/Y/hDfYbSbt2CidUUZR2UGEWUG8PZpnW2xe&#10;ShNb/e+Xw8Djx/d7vrzZTow0+NaxhmSmQBBXzrRcaziU67cMhA/IBjvHpOFOHpaL56c55sZN/Evj&#10;PtQihrDPUUMTQp9L6auGLPqZ64kjd3aDxRDhUEsz4BTDbSdTpT6lxZZjQ4M9FQ1Vl/3VathMOH2/&#10;J6txezkX91P5sTtuE9L69SVRXyAC3cJD/O/+MRpSlcW58U18AnLx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jWRXL0AAADdAAAADwAAAAAAAAABACAAAAAiAAAAZHJzL2Rvd25yZXYueG1s&#10;UEsBAhQAFAAAAAgAh07iQDMvBZ47AAAAOQAAABUAAAAAAAAAAQAgAAAADAEAAGRycy9ncm91cHNo&#10;YXBleG1sLnhtbFBLBQYAAAAABgAGAGABAADJAwAAAAA=&#10;">
                        <o:lock v:ext="edit" aspectratio="f"/>
                        <v:shape id="_x0000_s1026" o:spid="_x0000_s1026" o:spt="75" type="#_x0000_t75" style="position:absolute;left:0;top:0;height:145015;width:394763;" filled="f" o:preferrelative="t" stroked="f" coordsize="21600,21600" o:gfxdata="UEsDBAoAAAAAAIdO4kAAAAAAAAAAAAAAAAAEAAAAZHJzL1BLAwQUAAAACACHTuJAicp7Yr8AAADb&#10;AAAADwAAAGRycy9kb3ducmV2LnhtbEWPQUvDQBCF7wX/wzKCN7uJSLCx22JFUQo9tFroccyOSTA7&#10;G3bXNP33nUOhtxnem/e+mS9H16mBQmw9G8inGSjiytuWawPfX+/3T6BiQrbYeSYDJ4qwXNxM5lha&#10;f+QtDbtUKwnhWKKBJqW+1DpWDTmMU98Ti/brg8Mka6i1DXiUcNfphywrtMOWpaHBnl4bqv52/87A&#10;/rFYHU6hWL3NPsY11Zshf/kZjLm7zbNnUInGdDVfrj+t4Aus/CID6MU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nKe2K/&#10;AAAA2wAAAA8AAAAAAAAAAQAgAAAAIgAAAGRycy9kb3ducmV2LnhtbFBLAQIUABQAAAAIAIdO4kAz&#10;LwWeOwAAADkAAAAQAAAAAAAAAAEAIAAAAA4BAABkcnMvc2hhcGV4bWwueG1sUEsFBgAAAAAGAAYA&#10;WwEAALgDAAAAAA==&#10;">
                          <v:fill on="f" focussize="0,0"/>
                          <v:stroke on="f"/>
                          <v:imagedata r:id="rId39" cropright="37259f" o:title=""/>
                          <o:lock v:ext="edit" aspectratio="f"/>
                        </v:shape>
                        <v:shape id="图片 1" o:spid="_x0000_s1026" o:spt="75" type="#_x0000_t75" style="position:absolute;left:8057;top:145015;height:145015;width:382678;" filled="f" o:preferrelative="t" stroked="f" coordsize="21600,21600" o:gfxdata="UEsDBAoAAAAAAIdO4kAAAAAAAAAAAAAAAAAEAAAAZHJzL1BLAwQUAAAACACHTuJAdktJPr0AAADb&#10;AAAADwAAAGRycy9kb3ducmV2LnhtbEWPQWvCQBCF74X+h2UK3uomQrWkrh4Kgl6KRpEeh+w0G5qd&#10;DdnVxH/vHARvM7w3732zXI++VVfqYxPYQD7NQBFXwTZcGzgdN++foGJCttgGJgM3irBevb4ssbBh&#10;4ANdy1QrCeFYoAGXUldoHStHHuM0dMSi/YXeY5K1r7XtcZBw3+pZls21x4alwWFH346q//LiDSyG&#10;358tl965m96dq4/5Id8vRmMmb3n2BSrRmJ7mx/XWCr7Qyy8ygF7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S0k+vQAA&#10;ANsAAAAPAAAAAAAAAAEAIAAAACIAAABkcnMvZG93bnJldi54bWxQSwECFAAUAAAACACHTuJAMy8F&#10;njsAAAA5AAAAEAAAAAAAAAABACAAAAAMAQAAZHJzL3NoYXBleG1sLnhtbFBLBQYAAAAABgAGAFsB&#10;AAC2AwAAAAA=&#10;">
                          <v:fill on="f" focussize="0,0"/>
                          <v:stroke on="f"/>
                          <v:imagedata r:id="rId40" cropleft="1506f" croptop="7082f" cropright="41829f" cropbottom="5785f" o:title=""/>
                          <o:lock v:ext="edit" aspectratio="f"/>
                        </v:shape>
                        <v:shape id="图片 1" o:spid="_x0000_s1026" o:spt="75" type="#_x0000_t75" style="position:absolute;left:12085;top:290030;height:145015;width:382678;" filled="f" o:preferrelative="t" stroked="f" coordsize="21600,21600" o:gfxdata="UEsDBAoAAAAAAIdO4kAAAAAAAAAAAAAAAAAEAAAAZHJzL1BLAwQUAAAACACHTuJA1uEfJbwAAADb&#10;AAAADwAAAGRycy9kb3ducmV2LnhtbEWPQWvCQBSE70L/w/IEb7oxllLSrB6ESi8VmhZyfWRfs9Hs&#10;25BdY+Kv7xYEj8PMfMPku9G2YqDeN44VrFcJCOLK6YZrBT/f78tXED4ga2wdk4KJPOy2T7McM+2u&#10;/EVDEWoRIewzVGBC6DIpfWXIol+5jjh6v663GKLsa6l7vEa4bWWaJC/SYsNxwWBHe0PVubhYBfWz&#10;aT5PZTmNw6FyNz7iJhhUajFfJ28gAo3hEb63P7SCNIX/L/EH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hHyW8AAAA&#10;2wAAAA8AAAAAAAAAAQAgAAAAIgAAAGRycy9kb3ducmV2LnhtbFBLAQIUABQAAAAIAIdO4kAzLwWe&#10;OwAAADkAAAAQAAAAAAAAAAEAIAAAAAsBAABkcnMvc2hhcGV4bWwueG1sUEsFBgAAAAAGAAYAWwEA&#10;ALUDAAAAAA==&#10;">
                          <v:fill on="f" focussize="0,0"/>
                          <v:stroke on="f"/>
                          <v:imagedata r:id="rId41" cropleft="962f" croptop="6078f" cropright="41731f" cropbottom="7143f" o:title=""/>
                          <o:lock v:ext="edit" aspectratio="f"/>
                        </v:shape>
                        <v:shape id="_x0000_s1026" o:spid="_x0000_s1026" o:spt="75" type="#_x0000_t75" style="position:absolute;left:4028;top:435045;height:145015;width:394763;" filled="f" o:preferrelative="t" stroked="f" coordsize="21600,21600" o:gfxdata="UEsDBAoAAAAAAIdO4kAAAAAAAAAAAAAAAAAEAAAAZHJzL1BLAwQUAAAACACHTuJAOtaI27wAAADb&#10;AAAADwAAAGRycy9kb3ducmV2LnhtbEVPTWvCQBC9C/6HZQRvujEHKakbD2JBsEprLTS3ITsmodnZ&#10;kN1q2l/fOQgeH+97tR5cq67Uh8azgcU8AUVcettwZeD88TJ7AhUissXWMxn4pQDrfDxaYWb9jd/p&#10;eoqVkhAOGRqoY+wyrUNZk8Mw9x2xcBffO4wC+0rbHm8S7lqdJslSO2xYGmrsaFNT+X36cVKSDm/V&#10;5745tpdXeyj+Ntti+3U2ZjpZJM+gIg3xIb67d9ZAKuvli/wAn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WiNu8AAAA&#10;2wAAAA8AAAAAAAAAAQAgAAAAIgAAAGRycy9kb3ducmV2LnhtbFBLAQIUABQAAAAIAIdO4kAzLwWe&#10;OwAAADkAAAAQAAAAAAAAAAEAIAAAAAsBAABkcnMvc2hhcGV4bWwueG1sUEsFBgAAAAAGAAYAWwEA&#10;ALUDAAAAAA==&#10;">
                          <v:fill on="f" focussize="0,0"/>
                          <v:stroke on="f"/>
                          <v:imagedata r:id="rId42" cropright="39141f" o:title=""/>
                          <o:lock v:ext="edit" aspectratio="f"/>
                        </v:shape>
                        <v:shape id="_x0000_s1026" o:spid="_x0000_s1026" o:spt="75" type="#_x0000_t75" style="position:absolute;left:4028;top:572004;height:145015;width:394763;" filled="f" o:preferrelative="t" stroked="f" coordsize="21600,21600" o:gfxdata="UEsDBAoAAAAAAIdO4kAAAAAAAAAAAAAAAAAEAAAAZHJzL1BLAwQUAAAACACHTuJA4e8nobsAAADb&#10;AAAADwAAAGRycy9kb3ducmV2LnhtbEVPTWsCMRC9F/ofwhS81axiS12NHgqLiherUq/DZtys3UyW&#10;JOraX28KBW/zeJ8znXe2ERfyoXasYNDPQBCXTtdcKdjvitcPECEia2wck4IbBZjPnp+mmGt35S+6&#10;bGMlUgiHHBWYGNtcylAashj6riVO3NF5izFBX0nt8ZrCbSOHWfYuLdacGgy29Gmo/NmerQIc6tNm&#10;YX733bdvR+sDF6vTW6FU72WQTUBE6uJD/O9e6jR/DH+/pAPk7A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e8nobsAAADb&#10;AAAADwAAAAAAAAABACAAAAAiAAAAZHJzL2Rvd25yZXYueG1sUEsBAhQAFAAAAAgAh07iQDMvBZ47&#10;AAAAOQAAABAAAAAAAAAAAQAgAAAACgEAAGRycy9zaGFwZXhtbC54bWxQSwUGAAAAAAYABgBbAQAA&#10;tAMAAAAA&#10;">
                          <v:fill on="f" focussize="0,0"/>
                          <v:stroke on="f"/>
                          <v:imagedata r:id="rId43" croptop="1f" cropright="39499f" cropbottom="-1f" o:title=""/>
                          <o:lock v:ext="edit" aspectratio="f"/>
                        </v:shape>
                        <v:shape id="_x0000_s1026" o:spid="_x0000_s1026" o:spt="75" type="#_x0000_t75" style="position:absolute;left:8057;top:704934;height:145015;width:394763;" filled="f" o:preferrelative="t" stroked="f" coordsize="21600,21600" o:gfxdata="UEsDBAoAAAAAAIdO4kAAAAAAAAAAAAAAAAAEAAAAZHJzL1BLAwQUAAAACACHTuJAcOVUVboAAADa&#10;AAAADwAAAGRycy9kb3ducmV2LnhtbEVPS2sCMRC+F/wPYYTearI9lLIapdQHBUvBR+/DZtws3Uy2&#10;SVy1v74RBE/Dx/ecyezsWtFTiI1nDcVIgSCuvGm41rDfLZ9eQcSEbLD1TBouFGE2HTxMsDT+xBvq&#10;t6kWOYRjiRpsSl0pZawsOYwj3xFn7uCDw5RhqKUJeMrhrpXPSr1Ihw3nBosdvVuqfrZHp+Hz77D+&#10;fVt8XZT9Dqt+HZb1nAutH4eFGoNIdE538c39YfJ8uL5yvXL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5VRVugAAANoA&#10;AAAPAAAAAAAAAAEAIAAAACIAAABkcnMvZG93bnJldi54bWxQSwECFAAUAAAACACHTuJAMy8FnjsA&#10;AAA5AAAAEAAAAAAAAAABACAAAAAJAQAAZHJzL3NoYXBleG1sLnhtbFBLBQYAAAAABgAGAFsBAACz&#10;AwAAAAA=&#10;">
                          <v:fill on="f" focussize="0,0"/>
                          <v:stroke on="f"/>
                          <v:imagedata r:id="rId44" cropright="39042f" o:title=""/>
                          <o:lock v:ext="edit" aspectratio="f"/>
                        </v:shape>
                      </v:group>
                    </v:group>
                  </w:pict>
                </mc:Fallback>
              </mc:AlternateContent>
            </w:r>
            <w:r>
              <w:rPr>
                <w:rFonts w:hint="eastAsia"/>
                <w:b/>
                <w:sz w:val="24"/>
              </w:rPr>
              <w:drawing>
                <wp:anchor distT="0" distB="0" distL="114300" distR="114300" simplePos="0" relativeHeight="251673600" behindDoc="0" locked="0" layoutInCell="1" allowOverlap="1">
                  <wp:simplePos x="0" y="0"/>
                  <wp:positionH relativeFrom="column">
                    <wp:posOffset>4660265</wp:posOffset>
                  </wp:positionH>
                  <wp:positionV relativeFrom="paragraph">
                    <wp:posOffset>27305</wp:posOffset>
                  </wp:positionV>
                  <wp:extent cx="495300" cy="506095"/>
                  <wp:effectExtent l="0" t="0" r="0" b="8255"/>
                  <wp:wrapNone/>
                  <wp:docPr id="24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 name="图片 1"/>
                          <pic:cNvPicPr>
                            <a:picLocks noChangeAspect="1" noChangeArrowheads="1"/>
                          </pic:cNvPicPr>
                        </pic:nvPicPr>
                        <pic:blipFill>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95300" cy="506095"/>
                          </a:xfrm>
                          <a:prstGeom prst="rect">
                            <a:avLst/>
                          </a:prstGeom>
                          <a:noFill/>
                          <a:ln>
                            <a:noFill/>
                          </a:ln>
                        </pic:spPr>
                      </pic:pic>
                    </a:graphicData>
                  </a:graphic>
                </wp:anchor>
              </w:drawing>
            </w:r>
            <w:r>
              <w:drawing>
                <wp:inline distT="0" distB="0" distL="0" distR="0">
                  <wp:extent cx="5062220" cy="3338195"/>
                  <wp:effectExtent l="19050" t="19050" r="24130" b="1460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106342" cy="3367443"/>
                          </a:xfrm>
                          <a:prstGeom prst="rect">
                            <a:avLst/>
                          </a:prstGeom>
                          <a:noFill/>
                          <a:ln w="9525" cmpd="sng">
                            <a:solidFill>
                              <a:srgbClr val="000000"/>
                            </a:solidFill>
                            <a:miter lim="800000"/>
                            <a:headEnd/>
                            <a:tailEnd/>
                          </a:ln>
                          <a:effectLst/>
                        </pic:spPr>
                      </pic:pic>
                    </a:graphicData>
                  </a:graphic>
                </wp:inline>
              </w:drawing>
            </w:r>
          </w:p>
          <w:p w14:paraId="29FFA2C0">
            <w:pPr>
              <w:adjustRightInd w:val="0"/>
              <w:snapToGrid w:val="0"/>
              <w:spacing w:line="360" w:lineRule="auto"/>
              <w:jc w:val="center"/>
              <w:rPr>
                <w:rFonts w:eastAsia="黑体"/>
                <w:sz w:val="24"/>
                <w:highlight w:val="yellow"/>
              </w:rPr>
            </w:pPr>
            <w:r>
              <w:rPr>
                <w:rFonts w:eastAsia="黑体"/>
                <w:sz w:val="24"/>
              </w:rPr>
              <w:t>图3-</w:t>
            </w:r>
            <w:r>
              <w:rPr>
                <w:rFonts w:hint="eastAsia" w:eastAsia="黑体"/>
                <w:sz w:val="24"/>
              </w:rPr>
              <w:t>4</w:t>
            </w:r>
            <w:r>
              <w:rPr>
                <w:rFonts w:eastAsia="黑体"/>
                <w:sz w:val="24"/>
              </w:rPr>
              <w:t xml:space="preserve"> 项目土地利用现状图</w:t>
            </w:r>
          </w:p>
          <w:p w14:paraId="22DD79EF">
            <w:pPr>
              <w:snapToGrid w:val="0"/>
              <w:jc w:val="center"/>
              <w:rPr>
                <w:b/>
                <w:bCs/>
                <w:sz w:val="24"/>
              </w:rPr>
            </w:pPr>
            <w:r>
              <w:rPr>
                <w:b/>
                <w:bCs/>
                <w:sz w:val="24"/>
              </w:rPr>
              <w:t>表3-</w:t>
            </w:r>
            <w:r>
              <w:rPr>
                <w:rFonts w:hint="eastAsia"/>
                <w:b/>
                <w:bCs/>
                <w:sz w:val="24"/>
              </w:rPr>
              <w:t>1 项目</w:t>
            </w:r>
            <w:r>
              <w:rPr>
                <w:b/>
                <w:bCs/>
                <w:sz w:val="24"/>
              </w:rPr>
              <w:t>土地利用现状情况表</w:t>
            </w:r>
            <w:r>
              <w:rPr>
                <w:rFonts w:hint="eastAsia"/>
                <w:b/>
                <w:bCs/>
                <w:sz w:val="24"/>
              </w:rPr>
              <w:t xml:space="preserve"> </w:t>
            </w:r>
            <w:r>
              <w:rPr>
                <w:b/>
                <w:bCs/>
                <w:sz w:val="24"/>
              </w:rPr>
              <w:t>单位</w:t>
            </w:r>
            <w:r>
              <w:rPr>
                <w:rFonts w:hint="eastAsia"/>
                <w:b/>
                <w:bCs/>
                <w:sz w:val="24"/>
              </w:rPr>
              <w:t>：m</w:t>
            </w:r>
            <w:r>
              <w:rPr>
                <w:rFonts w:hint="eastAsia"/>
                <w:b/>
                <w:bCs/>
                <w:sz w:val="24"/>
                <w:vertAlign w:val="superscript"/>
              </w:rPr>
              <w:t>2</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2059"/>
              <w:gridCol w:w="2059"/>
              <w:gridCol w:w="2059"/>
            </w:tblGrid>
            <w:tr w14:paraId="5CE007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49" w:type="pct"/>
                  <w:vAlign w:val="center"/>
                </w:tcPr>
                <w:p w14:paraId="472EDE2F">
                  <w:pPr>
                    <w:jc w:val="center"/>
                  </w:pPr>
                  <w:r>
                    <w:t>名称</w:t>
                  </w:r>
                </w:p>
              </w:tc>
              <w:tc>
                <w:tcPr>
                  <w:tcW w:w="1250" w:type="pct"/>
                  <w:vAlign w:val="center"/>
                </w:tcPr>
                <w:p w14:paraId="2573807D">
                  <w:pPr>
                    <w:jc w:val="center"/>
                  </w:pPr>
                  <w:r>
                    <w:rPr>
                      <w:rFonts w:hint="eastAsia"/>
                    </w:rPr>
                    <w:t>天然牧草地</w:t>
                  </w:r>
                </w:p>
              </w:tc>
              <w:tc>
                <w:tcPr>
                  <w:tcW w:w="1250" w:type="pct"/>
                  <w:vAlign w:val="center"/>
                </w:tcPr>
                <w:p w14:paraId="3C31C370">
                  <w:pPr>
                    <w:jc w:val="center"/>
                  </w:pPr>
                  <w:r>
                    <w:rPr>
                      <w:rFonts w:hint="eastAsia"/>
                    </w:rPr>
                    <w:t>其他草地</w:t>
                  </w:r>
                </w:p>
              </w:tc>
              <w:tc>
                <w:tcPr>
                  <w:tcW w:w="1250" w:type="pct"/>
                  <w:vAlign w:val="center"/>
                </w:tcPr>
                <w:p w14:paraId="7EA03B62">
                  <w:pPr>
                    <w:jc w:val="center"/>
                  </w:pPr>
                  <w:r>
                    <w:t>合计</w:t>
                  </w:r>
                </w:p>
              </w:tc>
            </w:tr>
            <w:tr w14:paraId="3EBD58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249" w:type="pct"/>
                  <w:vAlign w:val="center"/>
                </w:tcPr>
                <w:p w14:paraId="744AE02B">
                  <w:pPr>
                    <w:jc w:val="center"/>
                  </w:pPr>
                  <w:r>
                    <w:rPr>
                      <w:rFonts w:hint="eastAsia"/>
                    </w:rPr>
                    <w:t>井场</w:t>
                  </w:r>
                </w:p>
              </w:tc>
              <w:tc>
                <w:tcPr>
                  <w:tcW w:w="1250" w:type="pct"/>
                  <w:vAlign w:val="center"/>
                </w:tcPr>
                <w:p w14:paraId="07A54828">
                  <w:pPr>
                    <w:jc w:val="center"/>
                  </w:pPr>
                  <w:r>
                    <w:rPr>
                      <w:rFonts w:hint="eastAsia"/>
                    </w:rPr>
                    <w:t>9048</w:t>
                  </w:r>
                </w:p>
              </w:tc>
              <w:tc>
                <w:tcPr>
                  <w:tcW w:w="1250" w:type="pct"/>
                  <w:vAlign w:val="center"/>
                </w:tcPr>
                <w:p w14:paraId="635A05FB">
                  <w:pPr>
                    <w:jc w:val="center"/>
                  </w:pPr>
                  <w:r>
                    <w:rPr>
                      <w:rFonts w:hint="eastAsia"/>
                    </w:rPr>
                    <w:t>935</w:t>
                  </w:r>
                </w:p>
              </w:tc>
              <w:tc>
                <w:tcPr>
                  <w:tcW w:w="1250" w:type="pct"/>
                  <w:vAlign w:val="center"/>
                </w:tcPr>
                <w:p w14:paraId="5CCE99A4">
                  <w:pPr>
                    <w:jc w:val="center"/>
                  </w:pPr>
                  <w:r>
                    <w:rPr>
                      <w:rFonts w:hint="eastAsia"/>
                    </w:rPr>
                    <w:t>9983</w:t>
                  </w:r>
                </w:p>
              </w:tc>
            </w:tr>
            <w:tr w14:paraId="44B40F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 w:type="pct"/>
                  <w:gridSpan w:val="4"/>
                  <w:vAlign w:val="center"/>
                </w:tcPr>
                <w:p w14:paraId="44314949">
                  <w:pPr>
                    <w:jc w:val="left"/>
                  </w:pPr>
                  <w:r>
                    <w:rPr>
                      <w:rFonts w:hint="eastAsia"/>
                    </w:rPr>
                    <w:t>注：项目临时用地范围内，其他草原原来是农村道路，已进行了复垦。</w:t>
                  </w:r>
                </w:p>
              </w:tc>
            </w:tr>
          </w:tbl>
          <w:p w14:paraId="5F511CD3">
            <w:pPr>
              <w:adjustRightInd w:val="0"/>
              <w:snapToGrid w:val="0"/>
              <w:spacing w:line="360" w:lineRule="auto"/>
              <w:ind w:firstLine="480" w:firstLineChars="200"/>
              <w:rPr>
                <w:sz w:val="24"/>
              </w:rPr>
            </w:pPr>
            <w:r>
              <w:rPr>
                <w:rFonts w:hint="eastAsia"/>
                <w:sz w:val="24"/>
              </w:rPr>
              <w:t>2、植被类型</w:t>
            </w:r>
          </w:p>
          <w:p w14:paraId="4A7C329F">
            <w:pPr>
              <w:adjustRightInd w:val="0"/>
              <w:snapToGrid w:val="0"/>
              <w:spacing w:line="360" w:lineRule="auto"/>
              <w:ind w:firstLine="480" w:firstLineChars="200"/>
              <w:rPr>
                <w:sz w:val="24"/>
              </w:rPr>
            </w:pPr>
            <w:r>
              <w:rPr>
                <w:rFonts w:hint="eastAsia"/>
                <w:sz w:val="24"/>
              </w:rPr>
              <w:t>项目所在区域为乌兰布和沙漠荒漠生态系统与河套盆地农耕区农田生态系统过度地带，植被分为人工植被和荒漠植被。人工植被主要为小麦、玉米、肉苁蓉、苜蓿等，荒漠植被主要为梭梭、白刺、沙蒿等。</w:t>
            </w:r>
          </w:p>
          <w:p w14:paraId="27F6F6C1">
            <w:pPr>
              <w:adjustRightInd w:val="0"/>
              <w:snapToGrid w:val="0"/>
              <w:spacing w:line="360" w:lineRule="auto"/>
              <w:ind w:firstLine="480" w:firstLineChars="200"/>
              <w:rPr>
                <w:sz w:val="24"/>
                <w:highlight w:val="yellow"/>
              </w:rPr>
            </w:pPr>
            <w:r>
              <w:rPr>
                <w:rFonts w:hint="eastAsia"/>
                <w:sz w:val="24"/>
              </w:rPr>
              <w:t>项目场界周围50m范围内无人工植被，全部为荒漠植被，主要植物为梭梭、白刺、沙蒿等。根据《国家重点保护野生植物名录》和《内蒙古重点保护草原野生植物名录》，调查范围内无国家重点保护野生植物，梭梭和白刺属于内蒙古重点保护草原野生植物。</w:t>
            </w:r>
          </w:p>
          <w:p w14:paraId="156B9830">
            <w:pPr>
              <w:snapToGrid w:val="0"/>
              <w:jc w:val="center"/>
              <w:rPr>
                <w:b/>
                <w:bCs/>
                <w:sz w:val="24"/>
              </w:rPr>
            </w:pPr>
            <w:r>
              <w:rPr>
                <w:b/>
                <w:bCs/>
                <w:sz w:val="24"/>
              </w:rPr>
              <w:t>表3-</w:t>
            </w:r>
            <w:r>
              <w:rPr>
                <w:rFonts w:hint="eastAsia"/>
                <w:b/>
                <w:bCs/>
                <w:sz w:val="24"/>
              </w:rPr>
              <w:t>2</w:t>
            </w:r>
            <w:r>
              <w:rPr>
                <w:b/>
                <w:bCs/>
                <w:sz w:val="24"/>
              </w:rPr>
              <w:t xml:space="preserve"> 项目调查范围</w:t>
            </w:r>
            <w:r>
              <w:rPr>
                <w:rFonts w:hint="eastAsia"/>
                <w:b/>
                <w:bCs/>
                <w:sz w:val="24"/>
              </w:rPr>
              <w:t>主要</w:t>
            </w:r>
            <w:r>
              <w:rPr>
                <w:b/>
                <w:bCs/>
                <w:sz w:val="24"/>
              </w:rPr>
              <w:t>植被名录</w:t>
            </w:r>
          </w:p>
          <w:tbl>
            <w:tblPr>
              <w:tblStyle w:val="30"/>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114"/>
              <w:gridCol w:w="1146"/>
              <w:gridCol w:w="2841"/>
              <w:gridCol w:w="1564"/>
              <w:gridCol w:w="1566"/>
            </w:tblGrid>
            <w:tr w14:paraId="6392CA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677" w:type="pct"/>
                  <w:vMerge w:val="restart"/>
                  <w:tcBorders>
                    <w:tl2br w:val="nil"/>
                    <w:tr2bl w:val="nil"/>
                  </w:tcBorders>
                  <w:vAlign w:val="center"/>
                </w:tcPr>
                <w:p w14:paraId="44D22D19">
                  <w:pPr>
                    <w:jc w:val="center"/>
                  </w:pPr>
                  <w:r>
                    <w:t>序号</w:t>
                  </w:r>
                </w:p>
              </w:tc>
              <w:tc>
                <w:tcPr>
                  <w:tcW w:w="696" w:type="pct"/>
                  <w:vMerge w:val="restart"/>
                  <w:tcBorders>
                    <w:tl2br w:val="nil"/>
                    <w:tr2bl w:val="nil"/>
                  </w:tcBorders>
                  <w:vAlign w:val="center"/>
                </w:tcPr>
                <w:p w14:paraId="43B9004C">
                  <w:pPr>
                    <w:jc w:val="center"/>
                  </w:pPr>
                  <w:r>
                    <w:t>名称</w:t>
                  </w:r>
                </w:p>
              </w:tc>
              <w:tc>
                <w:tcPr>
                  <w:tcW w:w="1726" w:type="pct"/>
                  <w:vMerge w:val="restart"/>
                  <w:tcBorders>
                    <w:tl2br w:val="nil"/>
                    <w:tr2bl w:val="nil"/>
                  </w:tcBorders>
                  <w:vAlign w:val="center"/>
                </w:tcPr>
                <w:p w14:paraId="7D70FD3F">
                  <w:pPr>
                    <w:jc w:val="center"/>
                    <w:rPr>
                      <w:szCs w:val="21"/>
                    </w:rPr>
                  </w:pPr>
                  <w:r>
                    <w:rPr>
                      <w:spacing w:val="2"/>
                      <w:szCs w:val="21"/>
                    </w:rPr>
                    <w:t>拉丁学名</w:t>
                  </w:r>
                </w:p>
              </w:tc>
              <w:tc>
                <w:tcPr>
                  <w:tcW w:w="1902" w:type="pct"/>
                  <w:gridSpan w:val="2"/>
                  <w:tcBorders>
                    <w:tl2br w:val="nil"/>
                    <w:tr2bl w:val="nil"/>
                  </w:tcBorders>
                  <w:vAlign w:val="center"/>
                </w:tcPr>
                <w:p w14:paraId="71EF581B">
                  <w:pPr>
                    <w:jc w:val="center"/>
                    <w:rPr>
                      <w:spacing w:val="2"/>
                      <w:szCs w:val="21"/>
                    </w:rPr>
                  </w:pPr>
                  <w:r>
                    <w:rPr>
                      <w:rFonts w:hint="eastAsia"/>
                      <w:spacing w:val="2"/>
                      <w:szCs w:val="21"/>
                    </w:rPr>
                    <w:t>科属特征</w:t>
                  </w:r>
                </w:p>
              </w:tc>
            </w:tr>
            <w:tr w14:paraId="5711C3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677" w:type="pct"/>
                  <w:vMerge w:val="continue"/>
                  <w:tcBorders>
                    <w:tl2br w:val="nil"/>
                    <w:tr2bl w:val="nil"/>
                  </w:tcBorders>
                  <w:vAlign w:val="center"/>
                </w:tcPr>
                <w:p w14:paraId="00E19EA3">
                  <w:pPr>
                    <w:jc w:val="center"/>
                  </w:pPr>
                </w:p>
              </w:tc>
              <w:tc>
                <w:tcPr>
                  <w:tcW w:w="696" w:type="pct"/>
                  <w:vMerge w:val="continue"/>
                  <w:tcBorders>
                    <w:tl2br w:val="nil"/>
                    <w:tr2bl w:val="nil"/>
                  </w:tcBorders>
                  <w:vAlign w:val="center"/>
                </w:tcPr>
                <w:p w14:paraId="7ED15F81">
                  <w:pPr>
                    <w:jc w:val="center"/>
                  </w:pPr>
                </w:p>
              </w:tc>
              <w:tc>
                <w:tcPr>
                  <w:tcW w:w="1726" w:type="pct"/>
                  <w:vMerge w:val="continue"/>
                  <w:tcBorders>
                    <w:tl2br w:val="nil"/>
                    <w:tr2bl w:val="nil"/>
                  </w:tcBorders>
                  <w:vAlign w:val="center"/>
                </w:tcPr>
                <w:p w14:paraId="7EA5F120">
                  <w:pPr>
                    <w:jc w:val="center"/>
                    <w:rPr>
                      <w:spacing w:val="2"/>
                      <w:szCs w:val="21"/>
                    </w:rPr>
                  </w:pPr>
                </w:p>
              </w:tc>
              <w:tc>
                <w:tcPr>
                  <w:tcW w:w="950" w:type="pct"/>
                  <w:tcBorders>
                    <w:tl2br w:val="nil"/>
                    <w:tr2bl w:val="nil"/>
                  </w:tcBorders>
                  <w:vAlign w:val="center"/>
                </w:tcPr>
                <w:p w14:paraId="2D3DA17E">
                  <w:pPr>
                    <w:jc w:val="center"/>
                    <w:rPr>
                      <w:spacing w:val="2"/>
                      <w:szCs w:val="21"/>
                    </w:rPr>
                  </w:pPr>
                  <w:r>
                    <w:rPr>
                      <w:rFonts w:hint="eastAsia"/>
                      <w:spacing w:val="2"/>
                      <w:szCs w:val="21"/>
                    </w:rPr>
                    <w:t>科</w:t>
                  </w:r>
                </w:p>
              </w:tc>
              <w:tc>
                <w:tcPr>
                  <w:tcW w:w="952" w:type="pct"/>
                  <w:tcBorders>
                    <w:tl2br w:val="nil"/>
                    <w:tr2bl w:val="nil"/>
                  </w:tcBorders>
                  <w:vAlign w:val="center"/>
                </w:tcPr>
                <w:p w14:paraId="37C60A53">
                  <w:pPr>
                    <w:jc w:val="center"/>
                    <w:rPr>
                      <w:spacing w:val="2"/>
                      <w:szCs w:val="21"/>
                    </w:rPr>
                  </w:pPr>
                  <w:r>
                    <w:rPr>
                      <w:rFonts w:hint="eastAsia"/>
                      <w:spacing w:val="2"/>
                      <w:szCs w:val="21"/>
                    </w:rPr>
                    <w:t>属</w:t>
                  </w:r>
                </w:p>
              </w:tc>
            </w:tr>
            <w:tr w14:paraId="2EE085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677" w:type="pct"/>
                  <w:tcBorders>
                    <w:tl2br w:val="nil"/>
                    <w:tr2bl w:val="nil"/>
                  </w:tcBorders>
                  <w:vAlign w:val="center"/>
                </w:tcPr>
                <w:p w14:paraId="11DD2E7D">
                  <w:pPr>
                    <w:jc w:val="center"/>
                  </w:pPr>
                  <w:r>
                    <w:t>1</w:t>
                  </w:r>
                </w:p>
              </w:tc>
              <w:tc>
                <w:tcPr>
                  <w:tcW w:w="696" w:type="pct"/>
                  <w:tcBorders>
                    <w:tl2br w:val="nil"/>
                    <w:tr2bl w:val="nil"/>
                  </w:tcBorders>
                  <w:vAlign w:val="center"/>
                </w:tcPr>
                <w:p w14:paraId="4643839A">
                  <w:pPr>
                    <w:tabs>
                      <w:tab w:val="left" w:pos="8931"/>
                    </w:tabs>
                    <w:autoSpaceDE w:val="0"/>
                    <w:autoSpaceDN w:val="0"/>
                    <w:jc w:val="center"/>
                    <w:textAlignment w:val="center"/>
                  </w:pPr>
                  <w:r>
                    <w:rPr>
                      <w:rFonts w:hint="eastAsia"/>
                    </w:rPr>
                    <w:t>梭梭</w:t>
                  </w:r>
                </w:p>
              </w:tc>
              <w:tc>
                <w:tcPr>
                  <w:tcW w:w="1726" w:type="pct"/>
                  <w:tcBorders>
                    <w:tl2br w:val="nil"/>
                    <w:tr2bl w:val="nil"/>
                  </w:tcBorders>
                  <w:vAlign w:val="center"/>
                </w:tcPr>
                <w:p w14:paraId="341ED355">
                  <w:pPr>
                    <w:widowControl/>
                    <w:jc w:val="center"/>
                    <w:rPr>
                      <w:i/>
                      <w:iCs/>
                      <w:kern w:val="0"/>
                      <w:szCs w:val="21"/>
                      <w:lang w:bidi="ar"/>
                    </w:rPr>
                  </w:pPr>
                  <w:r>
                    <w:rPr>
                      <w:i/>
                      <w:iCs/>
                      <w:kern w:val="0"/>
                      <w:szCs w:val="21"/>
                      <w:lang w:bidi="ar"/>
                    </w:rPr>
                    <w:t>Ha</w:t>
                  </w:r>
                  <w:r>
                    <w:rPr>
                      <w:rFonts w:hint="eastAsia"/>
                      <w:i/>
                      <w:iCs/>
                      <w:kern w:val="0"/>
                      <w:szCs w:val="21"/>
                      <w:lang w:bidi="ar"/>
                    </w:rPr>
                    <w:t>l</w:t>
                  </w:r>
                  <w:r>
                    <w:rPr>
                      <w:i/>
                      <w:iCs/>
                      <w:kern w:val="0"/>
                      <w:szCs w:val="21"/>
                      <w:lang w:bidi="ar"/>
                    </w:rPr>
                    <w:t>oxylon ammodend</w:t>
                  </w:r>
                  <w:r>
                    <w:rPr>
                      <w:rFonts w:hint="eastAsia"/>
                      <w:i/>
                      <w:iCs/>
                      <w:kern w:val="0"/>
                      <w:szCs w:val="21"/>
                      <w:lang w:bidi="ar"/>
                    </w:rPr>
                    <w:t>r</w:t>
                  </w:r>
                  <w:r>
                    <w:rPr>
                      <w:i/>
                      <w:iCs/>
                      <w:kern w:val="0"/>
                      <w:szCs w:val="21"/>
                      <w:lang w:bidi="ar"/>
                    </w:rPr>
                    <w:t>on</w:t>
                  </w:r>
                </w:p>
              </w:tc>
              <w:tc>
                <w:tcPr>
                  <w:tcW w:w="950" w:type="pct"/>
                  <w:tcBorders>
                    <w:tl2br w:val="nil"/>
                    <w:tr2bl w:val="nil"/>
                  </w:tcBorders>
                  <w:vAlign w:val="center"/>
                </w:tcPr>
                <w:p w14:paraId="269AB702">
                  <w:pPr>
                    <w:widowControl/>
                    <w:jc w:val="center"/>
                    <w:rPr>
                      <w:kern w:val="0"/>
                      <w:szCs w:val="21"/>
                      <w:lang w:bidi="ar"/>
                    </w:rPr>
                  </w:pPr>
                  <w:r>
                    <w:rPr>
                      <w:rFonts w:ascii="Arial" w:hAnsi="Arial" w:cs="Arial"/>
                      <w:szCs w:val="21"/>
                      <w:shd w:val="clear" w:color="auto" w:fill="FFFFFF"/>
                    </w:rPr>
                    <w:t>苋科</w:t>
                  </w:r>
                </w:p>
              </w:tc>
              <w:tc>
                <w:tcPr>
                  <w:tcW w:w="952" w:type="pct"/>
                  <w:tcBorders>
                    <w:tl2br w:val="nil"/>
                    <w:tr2bl w:val="nil"/>
                  </w:tcBorders>
                  <w:vAlign w:val="center"/>
                </w:tcPr>
                <w:p w14:paraId="64002DA7">
                  <w:pPr>
                    <w:widowControl/>
                    <w:jc w:val="center"/>
                    <w:rPr>
                      <w:kern w:val="0"/>
                      <w:szCs w:val="21"/>
                      <w:lang w:bidi="ar"/>
                    </w:rPr>
                  </w:pPr>
                  <w:r>
                    <w:rPr>
                      <w:rFonts w:hint="eastAsia"/>
                      <w:kern w:val="0"/>
                      <w:szCs w:val="21"/>
                      <w:lang w:bidi="ar"/>
                    </w:rPr>
                    <w:t>梭梭属</w:t>
                  </w:r>
                </w:p>
              </w:tc>
            </w:tr>
            <w:tr w14:paraId="1C8832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677" w:type="pct"/>
                  <w:tcBorders>
                    <w:tl2br w:val="nil"/>
                    <w:tr2bl w:val="nil"/>
                  </w:tcBorders>
                  <w:vAlign w:val="center"/>
                </w:tcPr>
                <w:p w14:paraId="10668BB4">
                  <w:pPr>
                    <w:jc w:val="center"/>
                  </w:pPr>
                  <w:r>
                    <w:t>2</w:t>
                  </w:r>
                </w:p>
              </w:tc>
              <w:tc>
                <w:tcPr>
                  <w:tcW w:w="696" w:type="pct"/>
                  <w:tcBorders>
                    <w:tl2br w:val="nil"/>
                    <w:tr2bl w:val="nil"/>
                  </w:tcBorders>
                  <w:vAlign w:val="center"/>
                </w:tcPr>
                <w:p w14:paraId="68258213">
                  <w:pPr>
                    <w:widowControl/>
                    <w:jc w:val="center"/>
                    <w:textAlignment w:val="center"/>
                  </w:pPr>
                  <w:r>
                    <w:rPr>
                      <w:rFonts w:hint="eastAsia"/>
                    </w:rPr>
                    <w:t>白刺</w:t>
                  </w:r>
                </w:p>
              </w:tc>
              <w:tc>
                <w:tcPr>
                  <w:tcW w:w="1726" w:type="pct"/>
                  <w:tcBorders>
                    <w:tl2br w:val="nil"/>
                    <w:tr2bl w:val="nil"/>
                  </w:tcBorders>
                  <w:vAlign w:val="center"/>
                </w:tcPr>
                <w:p w14:paraId="32528998">
                  <w:pPr>
                    <w:widowControl/>
                    <w:jc w:val="center"/>
                    <w:rPr>
                      <w:i/>
                      <w:iCs/>
                      <w:kern w:val="0"/>
                      <w:szCs w:val="21"/>
                      <w:lang w:bidi="ar"/>
                    </w:rPr>
                  </w:pPr>
                  <w:r>
                    <w:rPr>
                      <w:i/>
                      <w:iCs/>
                      <w:kern w:val="0"/>
                      <w:szCs w:val="21"/>
                      <w:lang w:bidi="ar"/>
                    </w:rPr>
                    <w:t>Nitraria tangutorum Bobrov</w:t>
                  </w:r>
                </w:p>
              </w:tc>
              <w:tc>
                <w:tcPr>
                  <w:tcW w:w="950" w:type="pct"/>
                  <w:tcBorders>
                    <w:tl2br w:val="nil"/>
                    <w:tr2bl w:val="nil"/>
                  </w:tcBorders>
                  <w:vAlign w:val="center"/>
                </w:tcPr>
                <w:p w14:paraId="0DB8174B">
                  <w:pPr>
                    <w:widowControl/>
                    <w:jc w:val="center"/>
                    <w:rPr>
                      <w:kern w:val="0"/>
                      <w:szCs w:val="21"/>
                      <w:lang w:bidi="ar"/>
                    </w:rPr>
                  </w:pPr>
                  <w:r>
                    <w:rPr>
                      <w:rFonts w:hint="eastAsia"/>
                      <w:kern w:val="0"/>
                      <w:szCs w:val="21"/>
                      <w:lang w:bidi="ar"/>
                    </w:rPr>
                    <w:t>白刺科</w:t>
                  </w:r>
                </w:p>
              </w:tc>
              <w:tc>
                <w:tcPr>
                  <w:tcW w:w="952" w:type="pct"/>
                  <w:tcBorders>
                    <w:tl2br w:val="nil"/>
                    <w:tr2bl w:val="nil"/>
                  </w:tcBorders>
                  <w:vAlign w:val="center"/>
                </w:tcPr>
                <w:p w14:paraId="50C4E4C0">
                  <w:pPr>
                    <w:widowControl/>
                    <w:jc w:val="center"/>
                    <w:rPr>
                      <w:kern w:val="0"/>
                      <w:szCs w:val="21"/>
                      <w:lang w:bidi="ar"/>
                    </w:rPr>
                  </w:pPr>
                  <w:r>
                    <w:rPr>
                      <w:rFonts w:hint="eastAsia"/>
                      <w:kern w:val="0"/>
                      <w:szCs w:val="21"/>
                      <w:lang w:bidi="ar"/>
                    </w:rPr>
                    <w:t>白刺属</w:t>
                  </w:r>
                </w:p>
              </w:tc>
            </w:tr>
            <w:tr w14:paraId="23B6A0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677" w:type="pct"/>
                  <w:tcBorders>
                    <w:tl2br w:val="nil"/>
                    <w:tr2bl w:val="nil"/>
                  </w:tcBorders>
                  <w:vAlign w:val="center"/>
                </w:tcPr>
                <w:p w14:paraId="00B2825F">
                  <w:pPr>
                    <w:jc w:val="center"/>
                  </w:pPr>
                  <w:r>
                    <w:rPr>
                      <w:rFonts w:hint="eastAsia"/>
                    </w:rPr>
                    <w:t>3</w:t>
                  </w:r>
                </w:p>
              </w:tc>
              <w:tc>
                <w:tcPr>
                  <w:tcW w:w="696" w:type="pct"/>
                  <w:tcBorders>
                    <w:tl2br w:val="nil"/>
                    <w:tr2bl w:val="nil"/>
                  </w:tcBorders>
                  <w:vAlign w:val="center"/>
                </w:tcPr>
                <w:p w14:paraId="6A03BC6F">
                  <w:pPr>
                    <w:widowControl/>
                    <w:jc w:val="center"/>
                    <w:textAlignment w:val="center"/>
                  </w:pPr>
                  <w:r>
                    <w:rPr>
                      <w:rFonts w:hint="eastAsia"/>
                    </w:rPr>
                    <w:t>沙蒿</w:t>
                  </w:r>
                </w:p>
              </w:tc>
              <w:tc>
                <w:tcPr>
                  <w:tcW w:w="1726" w:type="pct"/>
                  <w:tcBorders>
                    <w:tl2br w:val="nil"/>
                    <w:tr2bl w:val="nil"/>
                  </w:tcBorders>
                  <w:vAlign w:val="center"/>
                </w:tcPr>
                <w:p w14:paraId="4A582C61">
                  <w:pPr>
                    <w:widowControl/>
                    <w:jc w:val="center"/>
                    <w:rPr>
                      <w:i/>
                      <w:iCs/>
                      <w:kern w:val="0"/>
                      <w:szCs w:val="21"/>
                      <w:lang w:bidi="ar"/>
                    </w:rPr>
                  </w:pPr>
                  <w:r>
                    <w:rPr>
                      <w:i/>
                      <w:iCs/>
                      <w:szCs w:val="21"/>
                      <w:shd w:val="clear" w:color="auto" w:fill="FFFFFF"/>
                    </w:rPr>
                    <w:t>Artemisia desertorum</w:t>
                  </w:r>
                </w:p>
              </w:tc>
              <w:tc>
                <w:tcPr>
                  <w:tcW w:w="950" w:type="pct"/>
                  <w:tcBorders>
                    <w:tl2br w:val="nil"/>
                    <w:tr2bl w:val="nil"/>
                  </w:tcBorders>
                  <w:vAlign w:val="center"/>
                </w:tcPr>
                <w:p w14:paraId="2EF56A46">
                  <w:pPr>
                    <w:widowControl/>
                    <w:jc w:val="center"/>
                    <w:rPr>
                      <w:szCs w:val="21"/>
                      <w:shd w:val="clear" w:color="auto" w:fill="FFFFFF"/>
                    </w:rPr>
                  </w:pPr>
                  <w:r>
                    <w:rPr>
                      <w:rFonts w:hint="eastAsia"/>
                      <w:szCs w:val="21"/>
                      <w:shd w:val="clear" w:color="auto" w:fill="FFFFFF"/>
                    </w:rPr>
                    <w:t>菊科</w:t>
                  </w:r>
                </w:p>
              </w:tc>
              <w:tc>
                <w:tcPr>
                  <w:tcW w:w="952" w:type="pct"/>
                  <w:tcBorders>
                    <w:tl2br w:val="nil"/>
                    <w:tr2bl w:val="nil"/>
                  </w:tcBorders>
                  <w:vAlign w:val="center"/>
                </w:tcPr>
                <w:p w14:paraId="606CC71D">
                  <w:pPr>
                    <w:widowControl/>
                    <w:jc w:val="center"/>
                    <w:rPr>
                      <w:szCs w:val="21"/>
                      <w:shd w:val="clear" w:color="auto" w:fill="FFFFFF"/>
                    </w:rPr>
                  </w:pPr>
                  <w:r>
                    <w:rPr>
                      <w:rFonts w:hint="eastAsia"/>
                      <w:szCs w:val="21"/>
                      <w:shd w:val="clear" w:color="auto" w:fill="FFFFFF"/>
                    </w:rPr>
                    <w:t>蒿属</w:t>
                  </w:r>
                </w:p>
              </w:tc>
            </w:tr>
          </w:tbl>
          <w:p w14:paraId="432A28BA">
            <w:pPr>
              <w:adjustRightInd w:val="0"/>
              <w:snapToGrid w:val="0"/>
              <w:spacing w:line="360" w:lineRule="auto"/>
              <w:ind w:firstLine="480" w:firstLineChars="200"/>
              <w:rPr>
                <w:sz w:val="24"/>
              </w:rPr>
            </w:pPr>
            <w:r>
              <w:rPr>
                <w:rFonts w:hint="eastAsia"/>
                <w:sz w:val="24"/>
              </w:rPr>
              <w:t>项目周边植被稀少，生态脆弱，植被群落为灌木、半灌木的梭梭+白刺，具有很强的抗干旱和耐高温能力。</w:t>
            </w:r>
          </w:p>
          <w:p w14:paraId="02E635A5">
            <w:pPr>
              <w:adjustRightInd w:val="0"/>
              <w:snapToGrid w:val="0"/>
              <w:spacing w:line="360" w:lineRule="auto"/>
              <w:ind w:firstLine="480" w:firstLineChars="200"/>
              <w:rPr>
                <w:sz w:val="24"/>
              </w:rPr>
            </w:pPr>
            <w:r>
              <w:rPr>
                <w:rFonts w:hint="eastAsia"/>
                <w:sz w:val="24"/>
              </w:rPr>
              <w:t>3、动物类型</w:t>
            </w:r>
          </w:p>
          <w:p w14:paraId="4D3A84AF">
            <w:pPr>
              <w:adjustRightInd w:val="0"/>
              <w:snapToGrid w:val="0"/>
              <w:spacing w:line="360" w:lineRule="auto"/>
              <w:ind w:firstLine="480" w:firstLineChars="200"/>
              <w:rPr>
                <w:sz w:val="24"/>
              </w:rPr>
            </w:pPr>
            <w:r>
              <w:rPr>
                <w:rFonts w:hint="eastAsia"/>
                <w:sz w:val="24"/>
              </w:rPr>
              <w:t>项目所在区域人类活动频繁，野生动物组成比较简单，种类相对较少，大多为广布种和伴人物种，以啮齿类和鸟类为主。项目区内常见动物如麻雀、喜鹊、乌鸦、野兔、鼠类等。</w:t>
            </w:r>
          </w:p>
          <w:p w14:paraId="7EC8E934">
            <w:pPr>
              <w:adjustRightInd w:val="0"/>
              <w:snapToGrid w:val="0"/>
              <w:spacing w:line="360" w:lineRule="auto"/>
              <w:ind w:firstLine="480" w:firstLineChars="200"/>
              <w:rPr>
                <w:sz w:val="24"/>
              </w:rPr>
            </w:pPr>
            <w:r>
              <w:rPr>
                <w:rFonts w:hint="eastAsia"/>
                <w:sz w:val="24"/>
              </w:rPr>
              <w:t>根据《国家重点保护野生动物名录》和《内蒙古自治区重点保护陆生野生动物名录》，调查范围内不涉及重点保护野生动物。</w:t>
            </w:r>
          </w:p>
          <w:p w14:paraId="72C0D494">
            <w:pPr>
              <w:adjustRightInd w:val="0"/>
              <w:snapToGrid w:val="0"/>
              <w:spacing w:line="360" w:lineRule="auto"/>
              <w:ind w:firstLine="480" w:firstLineChars="200"/>
              <w:rPr>
                <w:sz w:val="24"/>
              </w:rPr>
            </w:pPr>
            <w:r>
              <w:rPr>
                <w:rFonts w:hint="eastAsia"/>
                <w:sz w:val="24"/>
              </w:rPr>
              <w:t>4、土壤类型</w:t>
            </w:r>
          </w:p>
          <w:p w14:paraId="6C3B56DB">
            <w:pPr>
              <w:spacing w:line="360" w:lineRule="auto"/>
              <w:ind w:firstLine="480" w:firstLineChars="200"/>
              <w:rPr>
                <w:sz w:val="24"/>
              </w:rPr>
            </w:pPr>
            <w:r>
              <w:rPr>
                <w:sz w:val="24"/>
              </w:rPr>
              <w:t>项目位于</w:t>
            </w:r>
            <w:r>
              <w:rPr>
                <w:rFonts w:hint="eastAsia"/>
                <w:sz w:val="24"/>
              </w:rPr>
              <w:t>乌兰布和沙漠东北缘</w:t>
            </w:r>
            <w:r>
              <w:rPr>
                <w:sz w:val="24"/>
              </w:rPr>
              <w:t>，海拔在</w:t>
            </w:r>
            <w:r>
              <w:rPr>
                <w:rFonts w:hint="eastAsia"/>
                <w:sz w:val="24"/>
              </w:rPr>
              <w:t>1045</w:t>
            </w:r>
            <w:r>
              <w:rPr>
                <w:sz w:val="24"/>
              </w:rPr>
              <w:t>m</w:t>
            </w:r>
            <w:r>
              <w:rPr>
                <w:rFonts w:hint="eastAsia"/>
                <w:sz w:val="24"/>
              </w:rPr>
              <w:t>左右</w:t>
            </w:r>
            <w:r>
              <w:rPr>
                <w:sz w:val="24"/>
              </w:rPr>
              <w:t>，地形</w:t>
            </w:r>
            <w:r>
              <w:rPr>
                <w:rFonts w:hint="eastAsia"/>
                <w:sz w:val="24"/>
              </w:rPr>
              <w:t>平坦</w:t>
            </w:r>
            <w:r>
              <w:rPr>
                <w:sz w:val="24"/>
              </w:rPr>
              <w:t>，</w:t>
            </w:r>
            <w:r>
              <w:rPr>
                <w:rFonts w:hint="eastAsia"/>
                <w:sz w:val="24"/>
              </w:rPr>
              <w:t>土壤类型为以风沙土为主，成土作用弱，发育程度低。土壤松散、贫瘠，有机质含量极低（常低于0.5%），保水保肥能力差。</w:t>
            </w:r>
          </w:p>
          <w:p w14:paraId="6154E107">
            <w:pPr>
              <w:adjustRightInd w:val="0"/>
              <w:snapToGrid w:val="0"/>
              <w:spacing w:line="360" w:lineRule="auto"/>
              <w:ind w:firstLine="480" w:firstLineChars="200"/>
              <w:rPr>
                <w:sz w:val="24"/>
              </w:rPr>
            </w:pPr>
            <w:r>
              <w:rPr>
                <w:rFonts w:hint="eastAsia"/>
                <w:sz w:val="24"/>
              </w:rPr>
              <w:t>5、其他</w:t>
            </w:r>
          </w:p>
          <w:p w14:paraId="774D4304">
            <w:pPr>
              <w:adjustRightInd w:val="0"/>
              <w:snapToGrid w:val="0"/>
              <w:spacing w:line="360" w:lineRule="auto"/>
              <w:ind w:firstLine="480" w:firstLineChars="200"/>
              <w:rPr>
                <w:sz w:val="24"/>
              </w:rPr>
            </w:pPr>
            <w:r>
              <w:rPr>
                <w:rFonts w:hint="eastAsia"/>
                <w:sz w:val="24"/>
              </w:rPr>
              <w:t>项目不涉及国家公园、自然保护区、自然公园等自然保护地、世界自然遗产、生态保护红线等区域以及重要生境。</w:t>
            </w:r>
          </w:p>
          <w:p w14:paraId="62977EB3">
            <w:pPr>
              <w:widowControl/>
              <w:spacing w:line="360" w:lineRule="auto"/>
              <w:ind w:firstLine="500" w:firstLineChars="200"/>
              <w:rPr>
                <w:snapToGrid w:val="0"/>
                <w:spacing w:val="5"/>
                <w:kern w:val="0"/>
                <w:sz w:val="24"/>
                <w:szCs w:val="25"/>
              </w:rPr>
            </w:pPr>
            <w:r>
              <w:rPr>
                <w:rFonts w:hint="eastAsia"/>
                <w:snapToGrid w:val="0"/>
                <w:spacing w:val="5"/>
                <w:kern w:val="0"/>
                <w:sz w:val="24"/>
                <w:szCs w:val="25"/>
              </w:rPr>
              <w:t>根据《内蒙古自治区人民政府关于划分水土流失重点预防区和重点治理区的通告》（内政发〔2016〕44号），项目位于黄河多沙粗沙国家级水土流失重点治理区。</w:t>
            </w:r>
          </w:p>
          <w:p w14:paraId="21FCD9C2">
            <w:pPr>
              <w:adjustRightInd w:val="0"/>
              <w:spacing w:line="360" w:lineRule="auto"/>
              <w:ind w:firstLine="482" w:firstLineChars="200"/>
              <w:rPr>
                <w:b/>
                <w:sz w:val="24"/>
              </w:rPr>
            </w:pPr>
            <w:r>
              <w:rPr>
                <w:rFonts w:hint="eastAsia"/>
                <w:b/>
                <w:sz w:val="24"/>
              </w:rPr>
              <w:t>三</w:t>
            </w:r>
            <w:r>
              <w:rPr>
                <w:b/>
                <w:sz w:val="24"/>
              </w:rPr>
              <w:t>、环境空气质量现状</w:t>
            </w:r>
          </w:p>
          <w:p w14:paraId="60FD7DE3">
            <w:pPr>
              <w:adjustRightInd w:val="0"/>
              <w:spacing w:line="360" w:lineRule="auto"/>
              <w:ind w:firstLine="480" w:firstLineChars="200"/>
              <w:rPr>
                <w:sz w:val="24"/>
              </w:rPr>
            </w:pPr>
            <w:r>
              <w:rPr>
                <w:rFonts w:hint="eastAsia"/>
                <w:sz w:val="24"/>
              </w:rPr>
              <w:t>1、</w:t>
            </w:r>
            <w:r>
              <w:rPr>
                <w:sz w:val="24"/>
              </w:rPr>
              <w:t>常规</w:t>
            </w:r>
            <w:r>
              <w:rPr>
                <w:rFonts w:hint="eastAsia"/>
                <w:sz w:val="24"/>
              </w:rPr>
              <w:t>污染物</w:t>
            </w:r>
          </w:p>
          <w:p w14:paraId="6B87EDAF">
            <w:pPr>
              <w:pStyle w:val="171"/>
              <w:spacing w:line="360" w:lineRule="auto"/>
              <w:ind w:firstLine="480" w:firstLineChars="200"/>
              <w:rPr>
                <w:rFonts w:ascii="Times New Roman" w:hAnsi="Times New Roman"/>
                <w:color w:val="auto"/>
              </w:rPr>
            </w:pPr>
            <w:r>
              <w:rPr>
                <w:rFonts w:hint="eastAsia" w:ascii="Times New Roman" w:hAnsi="Times New Roman"/>
                <w:color w:val="auto"/>
              </w:rPr>
              <w:t>项目位于内蒙古自治区巴彦淖尔市磴口县境内，本次采用《巴彦淖尔市生态环境状况公报（2025年）》中巴彦高勒镇的环境空气质量监测数据作为评价区域达标情况的依据。</w:t>
            </w:r>
          </w:p>
          <w:p w14:paraId="6BA10A86">
            <w:pPr>
              <w:snapToGrid w:val="0"/>
              <w:jc w:val="center"/>
              <w:rPr>
                <w:b/>
                <w:bCs/>
                <w:sz w:val="24"/>
              </w:rPr>
            </w:pPr>
            <w:r>
              <w:rPr>
                <w:b/>
                <w:bCs/>
                <w:sz w:val="24"/>
              </w:rPr>
              <w:t>表3-</w:t>
            </w:r>
            <w:r>
              <w:rPr>
                <w:rFonts w:hint="eastAsia"/>
                <w:b/>
                <w:bCs/>
                <w:sz w:val="24"/>
              </w:rPr>
              <w:t>3</w:t>
            </w:r>
            <w:r>
              <w:rPr>
                <w:b/>
                <w:bCs/>
                <w:sz w:val="24"/>
              </w:rPr>
              <w:t xml:space="preserve"> 巴彦淖尔市</w:t>
            </w:r>
            <w:r>
              <w:rPr>
                <w:rFonts w:hint="eastAsia"/>
                <w:b/>
                <w:bCs/>
                <w:sz w:val="24"/>
              </w:rPr>
              <w:t>巴彦高勒镇</w:t>
            </w:r>
            <w:r>
              <w:rPr>
                <w:b/>
                <w:bCs/>
                <w:sz w:val="24"/>
              </w:rPr>
              <w:t>20</w:t>
            </w:r>
            <w:r>
              <w:rPr>
                <w:rFonts w:hint="eastAsia"/>
                <w:b/>
                <w:bCs/>
                <w:sz w:val="24"/>
              </w:rPr>
              <w:t>25</w:t>
            </w:r>
            <w:r>
              <w:rPr>
                <w:b/>
                <w:bCs/>
                <w:sz w:val="24"/>
              </w:rPr>
              <w:t>年环境空气监测结果</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2690"/>
              <w:gridCol w:w="1272"/>
              <w:gridCol w:w="1272"/>
              <w:gridCol w:w="1029"/>
              <w:gridCol w:w="749"/>
            </w:tblGrid>
            <w:tr w14:paraId="77C5C9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Align w:val="center"/>
                </w:tcPr>
                <w:p w14:paraId="2F87FE05">
                  <w:pPr>
                    <w:adjustRightInd w:val="0"/>
                    <w:snapToGrid w:val="0"/>
                    <w:jc w:val="center"/>
                  </w:pPr>
                  <w:r>
                    <w:t>污染物</w:t>
                  </w:r>
                </w:p>
              </w:tc>
              <w:tc>
                <w:tcPr>
                  <w:tcW w:w="1655" w:type="pct"/>
                  <w:vAlign w:val="center"/>
                </w:tcPr>
                <w:p w14:paraId="7F8A3D2A">
                  <w:pPr>
                    <w:adjustRightInd w:val="0"/>
                    <w:snapToGrid w:val="0"/>
                    <w:jc w:val="center"/>
                  </w:pPr>
                  <w:r>
                    <w:t>评价指标</w:t>
                  </w:r>
                </w:p>
              </w:tc>
              <w:tc>
                <w:tcPr>
                  <w:tcW w:w="730" w:type="pct"/>
                  <w:vAlign w:val="center"/>
                </w:tcPr>
                <w:p w14:paraId="3DC997C9">
                  <w:pPr>
                    <w:jc w:val="center"/>
                  </w:pPr>
                  <w:r>
                    <w:t>现状浓度</w:t>
                  </w:r>
                  <w:r>
                    <w:rPr>
                      <w:szCs w:val="21"/>
                    </w:rPr>
                    <w:t>（μg/m</w:t>
                  </w:r>
                  <w:r>
                    <w:rPr>
                      <w:szCs w:val="21"/>
                      <w:vertAlign w:val="superscript"/>
                    </w:rPr>
                    <w:t>3</w:t>
                  </w:r>
                  <w:r>
                    <w:rPr>
                      <w:szCs w:val="21"/>
                    </w:rPr>
                    <w:t>）</w:t>
                  </w:r>
                </w:p>
              </w:tc>
              <w:tc>
                <w:tcPr>
                  <w:tcW w:w="730" w:type="pct"/>
                  <w:vAlign w:val="center"/>
                </w:tcPr>
                <w:p w14:paraId="6A75B8FD">
                  <w:pPr>
                    <w:jc w:val="center"/>
                  </w:pPr>
                  <w:r>
                    <w:t>标准浓度（μg/m</w:t>
                  </w:r>
                  <w:r>
                    <w:rPr>
                      <w:vertAlign w:val="superscript"/>
                    </w:rPr>
                    <w:t>3</w:t>
                  </w:r>
                  <w:r>
                    <w:t>）</w:t>
                  </w:r>
                </w:p>
              </w:tc>
              <w:tc>
                <w:tcPr>
                  <w:tcW w:w="646" w:type="pct"/>
                  <w:vAlign w:val="center"/>
                </w:tcPr>
                <w:p w14:paraId="68EBC835">
                  <w:pPr>
                    <w:jc w:val="center"/>
                  </w:pPr>
                  <w:r>
                    <w:t>占标率（%）</w:t>
                  </w:r>
                </w:p>
              </w:tc>
              <w:tc>
                <w:tcPr>
                  <w:tcW w:w="476" w:type="pct"/>
                  <w:vAlign w:val="center"/>
                </w:tcPr>
                <w:p w14:paraId="0351B594">
                  <w:pPr>
                    <w:adjustRightInd w:val="0"/>
                    <w:jc w:val="center"/>
                  </w:pPr>
                  <w:r>
                    <w:t>达标情况</w:t>
                  </w:r>
                </w:p>
              </w:tc>
            </w:tr>
            <w:tr w14:paraId="75C2F0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Align w:val="center"/>
                </w:tcPr>
                <w:p w14:paraId="21FDF4D1">
                  <w:pPr>
                    <w:adjustRightInd w:val="0"/>
                    <w:snapToGrid w:val="0"/>
                    <w:jc w:val="center"/>
                  </w:pPr>
                  <w:r>
                    <w:t>PM</w:t>
                  </w:r>
                  <w:r>
                    <w:rPr>
                      <w:vertAlign w:val="subscript"/>
                    </w:rPr>
                    <w:t>2.5</w:t>
                  </w:r>
                </w:p>
              </w:tc>
              <w:tc>
                <w:tcPr>
                  <w:tcW w:w="1655" w:type="pct"/>
                  <w:vMerge w:val="restart"/>
                  <w:vAlign w:val="center"/>
                </w:tcPr>
                <w:p w14:paraId="3F168045">
                  <w:pPr>
                    <w:adjustRightInd w:val="0"/>
                    <w:snapToGrid w:val="0"/>
                    <w:jc w:val="center"/>
                  </w:pPr>
                  <w:r>
                    <w:t>年平均质量浓度</w:t>
                  </w:r>
                </w:p>
              </w:tc>
              <w:tc>
                <w:tcPr>
                  <w:tcW w:w="730" w:type="pct"/>
                  <w:vAlign w:val="center"/>
                </w:tcPr>
                <w:p w14:paraId="72C54D7A">
                  <w:pPr>
                    <w:adjustRightInd w:val="0"/>
                    <w:jc w:val="center"/>
                  </w:pPr>
                  <w:r>
                    <w:rPr>
                      <w:rFonts w:hint="eastAsia"/>
                    </w:rPr>
                    <w:t>13</w:t>
                  </w:r>
                </w:p>
              </w:tc>
              <w:tc>
                <w:tcPr>
                  <w:tcW w:w="730" w:type="pct"/>
                  <w:vAlign w:val="center"/>
                </w:tcPr>
                <w:p w14:paraId="616F21F7">
                  <w:pPr>
                    <w:adjustRightInd w:val="0"/>
                    <w:jc w:val="center"/>
                  </w:pPr>
                  <w:r>
                    <w:rPr>
                      <w:rFonts w:hint="eastAsia"/>
                    </w:rPr>
                    <w:t>30</w:t>
                  </w:r>
                </w:p>
              </w:tc>
              <w:tc>
                <w:tcPr>
                  <w:tcW w:w="646" w:type="pct"/>
                  <w:vAlign w:val="center"/>
                </w:tcPr>
                <w:p w14:paraId="50C250AB">
                  <w:pPr>
                    <w:adjustRightInd w:val="0"/>
                    <w:jc w:val="center"/>
                  </w:pPr>
                  <w:r>
                    <w:rPr>
                      <w:rFonts w:hint="eastAsia"/>
                    </w:rPr>
                    <w:t>43.3</w:t>
                  </w:r>
                </w:p>
              </w:tc>
              <w:tc>
                <w:tcPr>
                  <w:tcW w:w="476" w:type="pct"/>
                  <w:vAlign w:val="center"/>
                </w:tcPr>
                <w:p w14:paraId="364DE876">
                  <w:pPr>
                    <w:adjustRightInd w:val="0"/>
                    <w:jc w:val="center"/>
                  </w:pPr>
                  <w:r>
                    <w:t>达标</w:t>
                  </w:r>
                </w:p>
              </w:tc>
            </w:tr>
            <w:tr w14:paraId="604F4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Align w:val="center"/>
                </w:tcPr>
                <w:p w14:paraId="55FF26E9">
                  <w:pPr>
                    <w:adjustRightInd w:val="0"/>
                    <w:snapToGrid w:val="0"/>
                    <w:jc w:val="center"/>
                  </w:pPr>
                  <w:r>
                    <w:t>PM</w:t>
                  </w:r>
                  <w:r>
                    <w:rPr>
                      <w:vertAlign w:val="subscript"/>
                    </w:rPr>
                    <w:t>10</w:t>
                  </w:r>
                </w:p>
              </w:tc>
              <w:tc>
                <w:tcPr>
                  <w:tcW w:w="1655" w:type="pct"/>
                  <w:vMerge w:val="continue"/>
                  <w:vAlign w:val="center"/>
                </w:tcPr>
                <w:p w14:paraId="51270770">
                  <w:pPr>
                    <w:widowControl/>
                    <w:jc w:val="left"/>
                  </w:pPr>
                </w:p>
              </w:tc>
              <w:tc>
                <w:tcPr>
                  <w:tcW w:w="730" w:type="pct"/>
                  <w:vAlign w:val="center"/>
                </w:tcPr>
                <w:p w14:paraId="77978EB6">
                  <w:pPr>
                    <w:adjustRightInd w:val="0"/>
                    <w:jc w:val="center"/>
                  </w:pPr>
                  <w:r>
                    <w:rPr>
                      <w:rFonts w:hint="eastAsia"/>
                    </w:rPr>
                    <w:t>51</w:t>
                  </w:r>
                </w:p>
              </w:tc>
              <w:tc>
                <w:tcPr>
                  <w:tcW w:w="730" w:type="pct"/>
                  <w:vAlign w:val="center"/>
                </w:tcPr>
                <w:p w14:paraId="268971FF">
                  <w:pPr>
                    <w:adjustRightInd w:val="0"/>
                    <w:jc w:val="center"/>
                  </w:pPr>
                  <w:r>
                    <w:rPr>
                      <w:rFonts w:hint="eastAsia"/>
                    </w:rPr>
                    <w:t>60</w:t>
                  </w:r>
                </w:p>
              </w:tc>
              <w:tc>
                <w:tcPr>
                  <w:tcW w:w="646" w:type="pct"/>
                  <w:vAlign w:val="center"/>
                </w:tcPr>
                <w:p w14:paraId="6F0D3953">
                  <w:pPr>
                    <w:adjustRightInd w:val="0"/>
                    <w:jc w:val="center"/>
                  </w:pPr>
                  <w:r>
                    <w:rPr>
                      <w:rFonts w:hint="eastAsia"/>
                    </w:rPr>
                    <w:t>85.0</w:t>
                  </w:r>
                </w:p>
              </w:tc>
              <w:tc>
                <w:tcPr>
                  <w:tcW w:w="476" w:type="pct"/>
                  <w:vAlign w:val="center"/>
                </w:tcPr>
                <w:p w14:paraId="6BFC1196">
                  <w:pPr>
                    <w:adjustRightInd w:val="0"/>
                    <w:jc w:val="center"/>
                  </w:pPr>
                  <w:r>
                    <w:t>达标</w:t>
                  </w:r>
                </w:p>
              </w:tc>
            </w:tr>
            <w:tr w14:paraId="17B4C6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Align w:val="center"/>
                </w:tcPr>
                <w:p w14:paraId="12D66734">
                  <w:pPr>
                    <w:adjustRightInd w:val="0"/>
                    <w:snapToGrid w:val="0"/>
                    <w:jc w:val="center"/>
                  </w:pPr>
                  <w:r>
                    <w:t>SO</w:t>
                  </w:r>
                  <w:r>
                    <w:rPr>
                      <w:vertAlign w:val="subscript"/>
                    </w:rPr>
                    <w:t>2</w:t>
                  </w:r>
                </w:p>
              </w:tc>
              <w:tc>
                <w:tcPr>
                  <w:tcW w:w="1655" w:type="pct"/>
                  <w:vMerge w:val="continue"/>
                  <w:vAlign w:val="center"/>
                </w:tcPr>
                <w:p w14:paraId="2EE392CD">
                  <w:pPr>
                    <w:widowControl/>
                    <w:jc w:val="left"/>
                  </w:pPr>
                </w:p>
              </w:tc>
              <w:tc>
                <w:tcPr>
                  <w:tcW w:w="730" w:type="pct"/>
                  <w:vAlign w:val="center"/>
                </w:tcPr>
                <w:p w14:paraId="72899388">
                  <w:pPr>
                    <w:adjustRightInd w:val="0"/>
                    <w:jc w:val="center"/>
                  </w:pPr>
                  <w:r>
                    <w:rPr>
                      <w:rFonts w:hint="eastAsia"/>
                    </w:rPr>
                    <w:t>8</w:t>
                  </w:r>
                </w:p>
              </w:tc>
              <w:tc>
                <w:tcPr>
                  <w:tcW w:w="730" w:type="pct"/>
                  <w:vAlign w:val="center"/>
                </w:tcPr>
                <w:p w14:paraId="5BFA841D">
                  <w:pPr>
                    <w:adjustRightInd w:val="0"/>
                    <w:jc w:val="center"/>
                  </w:pPr>
                  <w:r>
                    <w:t>60</w:t>
                  </w:r>
                </w:p>
              </w:tc>
              <w:tc>
                <w:tcPr>
                  <w:tcW w:w="646" w:type="pct"/>
                  <w:vAlign w:val="center"/>
                </w:tcPr>
                <w:p w14:paraId="143DAD20">
                  <w:pPr>
                    <w:adjustRightInd w:val="0"/>
                    <w:jc w:val="center"/>
                  </w:pPr>
                  <w:r>
                    <w:rPr>
                      <w:rFonts w:hint="eastAsia"/>
                    </w:rPr>
                    <w:t>13.3</w:t>
                  </w:r>
                </w:p>
              </w:tc>
              <w:tc>
                <w:tcPr>
                  <w:tcW w:w="476" w:type="pct"/>
                  <w:vAlign w:val="center"/>
                </w:tcPr>
                <w:p w14:paraId="4BAAB496">
                  <w:pPr>
                    <w:adjustRightInd w:val="0"/>
                    <w:jc w:val="center"/>
                  </w:pPr>
                  <w:r>
                    <w:t>达标</w:t>
                  </w:r>
                </w:p>
              </w:tc>
            </w:tr>
            <w:tr w14:paraId="5660B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Align w:val="center"/>
                </w:tcPr>
                <w:p w14:paraId="3E57A8F1">
                  <w:pPr>
                    <w:adjustRightInd w:val="0"/>
                    <w:snapToGrid w:val="0"/>
                    <w:jc w:val="center"/>
                  </w:pPr>
                  <w:r>
                    <w:t>NO</w:t>
                  </w:r>
                  <w:r>
                    <w:rPr>
                      <w:vertAlign w:val="subscript"/>
                    </w:rPr>
                    <w:t>2</w:t>
                  </w:r>
                </w:p>
              </w:tc>
              <w:tc>
                <w:tcPr>
                  <w:tcW w:w="1655" w:type="pct"/>
                  <w:vMerge w:val="continue"/>
                  <w:vAlign w:val="center"/>
                </w:tcPr>
                <w:p w14:paraId="54F78EBE">
                  <w:pPr>
                    <w:widowControl/>
                    <w:jc w:val="left"/>
                  </w:pPr>
                </w:p>
              </w:tc>
              <w:tc>
                <w:tcPr>
                  <w:tcW w:w="730" w:type="pct"/>
                  <w:vAlign w:val="center"/>
                </w:tcPr>
                <w:p w14:paraId="3745CE43">
                  <w:pPr>
                    <w:adjustRightInd w:val="0"/>
                    <w:jc w:val="center"/>
                  </w:pPr>
                  <w:r>
                    <w:rPr>
                      <w:rFonts w:hint="eastAsia"/>
                    </w:rPr>
                    <w:t>13</w:t>
                  </w:r>
                </w:p>
              </w:tc>
              <w:tc>
                <w:tcPr>
                  <w:tcW w:w="730" w:type="pct"/>
                  <w:vAlign w:val="center"/>
                </w:tcPr>
                <w:p w14:paraId="63010A0E">
                  <w:pPr>
                    <w:adjustRightInd w:val="0"/>
                    <w:jc w:val="center"/>
                  </w:pPr>
                  <w:r>
                    <w:t>40</w:t>
                  </w:r>
                </w:p>
              </w:tc>
              <w:tc>
                <w:tcPr>
                  <w:tcW w:w="646" w:type="pct"/>
                  <w:vAlign w:val="center"/>
                </w:tcPr>
                <w:p w14:paraId="3F5F28A7">
                  <w:pPr>
                    <w:adjustRightInd w:val="0"/>
                    <w:jc w:val="center"/>
                  </w:pPr>
                  <w:r>
                    <w:rPr>
                      <w:rFonts w:hint="eastAsia"/>
                    </w:rPr>
                    <w:t>32.5</w:t>
                  </w:r>
                </w:p>
              </w:tc>
              <w:tc>
                <w:tcPr>
                  <w:tcW w:w="476" w:type="pct"/>
                  <w:vAlign w:val="center"/>
                </w:tcPr>
                <w:p w14:paraId="61FED3DB">
                  <w:pPr>
                    <w:adjustRightInd w:val="0"/>
                    <w:jc w:val="center"/>
                  </w:pPr>
                  <w:r>
                    <w:t>达标</w:t>
                  </w:r>
                </w:p>
              </w:tc>
            </w:tr>
            <w:tr w14:paraId="7F3DF7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Align w:val="center"/>
                </w:tcPr>
                <w:p w14:paraId="5DA87E79">
                  <w:pPr>
                    <w:adjustRightInd w:val="0"/>
                    <w:snapToGrid w:val="0"/>
                    <w:jc w:val="center"/>
                  </w:pPr>
                  <w:r>
                    <w:cr/>
                  </w:r>
                  <w:r>
                    <w:t>O</w:t>
                  </w:r>
                </w:p>
              </w:tc>
              <w:tc>
                <w:tcPr>
                  <w:tcW w:w="1655" w:type="pct"/>
                  <w:tcMar>
                    <w:left w:w="0" w:type="dxa"/>
                    <w:right w:w="0" w:type="dxa"/>
                  </w:tcMar>
                  <w:vAlign w:val="center"/>
                </w:tcPr>
                <w:p w14:paraId="0FEBC079">
                  <w:pPr>
                    <w:adjustRightInd w:val="0"/>
                    <w:snapToGrid w:val="0"/>
                    <w:jc w:val="center"/>
                  </w:pPr>
                  <w:r>
                    <w:t>第95百分位数24h平均浓度</w:t>
                  </w:r>
                </w:p>
              </w:tc>
              <w:tc>
                <w:tcPr>
                  <w:tcW w:w="730" w:type="pct"/>
                  <w:vAlign w:val="center"/>
                </w:tcPr>
                <w:p w14:paraId="5D554093">
                  <w:pPr>
                    <w:adjustRightInd w:val="0"/>
                    <w:jc w:val="center"/>
                  </w:pPr>
                  <w:r>
                    <w:rPr>
                      <w:rFonts w:hint="eastAsia"/>
                    </w:rPr>
                    <w:t>1000</w:t>
                  </w:r>
                </w:p>
              </w:tc>
              <w:tc>
                <w:tcPr>
                  <w:tcW w:w="730" w:type="pct"/>
                  <w:vAlign w:val="center"/>
                </w:tcPr>
                <w:p w14:paraId="67A68905">
                  <w:pPr>
                    <w:adjustRightInd w:val="0"/>
                    <w:jc w:val="center"/>
                  </w:pPr>
                  <w:r>
                    <w:t>4</w:t>
                  </w:r>
                  <w:r>
                    <w:rPr>
                      <w:rFonts w:hint="eastAsia"/>
                    </w:rPr>
                    <w:t>000</w:t>
                  </w:r>
                </w:p>
              </w:tc>
              <w:tc>
                <w:tcPr>
                  <w:tcW w:w="646" w:type="pct"/>
                  <w:vAlign w:val="center"/>
                </w:tcPr>
                <w:p w14:paraId="04B5FA19">
                  <w:pPr>
                    <w:adjustRightInd w:val="0"/>
                    <w:jc w:val="center"/>
                  </w:pPr>
                  <w:r>
                    <w:rPr>
                      <w:rFonts w:hint="eastAsia"/>
                    </w:rPr>
                    <w:t>25.0</w:t>
                  </w:r>
                </w:p>
              </w:tc>
              <w:tc>
                <w:tcPr>
                  <w:tcW w:w="476" w:type="pct"/>
                  <w:vAlign w:val="center"/>
                </w:tcPr>
                <w:p w14:paraId="13245FDC">
                  <w:pPr>
                    <w:adjustRightInd w:val="0"/>
                    <w:jc w:val="center"/>
                  </w:pPr>
                  <w:r>
                    <w:t>达标</w:t>
                  </w:r>
                </w:p>
              </w:tc>
            </w:tr>
            <w:tr w14:paraId="768D75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Align w:val="center"/>
                </w:tcPr>
                <w:p w14:paraId="1F58E33C">
                  <w:pPr>
                    <w:adjustRightInd w:val="0"/>
                    <w:snapToGrid w:val="0"/>
                    <w:jc w:val="center"/>
                  </w:pPr>
                  <w:r>
                    <w:t>O</w:t>
                  </w:r>
                  <w:r>
                    <w:rPr>
                      <w:vertAlign w:val="subscript"/>
                    </w:rPr>
                    <w:t>3</w:t>
                  </w:r>
                </w:p>
              </w:tc>
              <w:tc>
                <w:tcPr>
                  <w:tcW w:w="1655" w:type="pct"/>
                  <w:tcMar>
                    <w:left w:w="0" w:type="dxa"/>
                    <w:right w:w="0" w:type="dxa"/>
                  </w:tcMar>
                  <w:vAlign w:val="center"/>
                </w:tcPr>
                <w:p w14:paraId="6AE538D7">
                  <w:pPr>
                    <w:adjustRightInd w:val="0"/>
                    <w:snapToGrid w:val="0"/>
                    <w:jc w:val="center"/>
                  </w:pPr>
                  <w:r>
                    <w:t>第90百分位数8h平均浓度</w:t>
                  </w:r>
                </w:p>
              </w:tc>
              <w:tc>
                <w:tcPr>
                  <w:tcW w:w="730" w:type="pct"/>
                  <w:vAlign w:val="center"/>
                </w:tcPr>
                <w:p w14:paraId="6D18C37D">
                  <w:pPr>
                    <w:adjustRightInd w:val="0"/>
                    <w:jc w:val="center"/>
                  </w:pPr>
                  <w:r>
                    <w:rPr>
                      <w:rFonts w:hint="eastAsia"/>
                    </w:rPr>
                    <w:t>132</w:t>
                  </w:r>
                </w:p>
              </w:tc>
              <w:tc>
                <w:tcPr>
                  <w:tcW w:w="730" w:type="pct"/>
                  <w:vAlign w:val="center"/>
                </w:tcPr>
                <w:p w14:paraId="1A20C418">
                  <w:pPr>
                    <w:adjustRightInd w:val="0"/>
                    <w:jc w:val="center"/>
                  </w:pPr>
                  <w:r>
                    <w:t>160</w:t>
                  </w:r>
                </w:p>
              </w:tc>
              <w:tc>
                <w:tcPr>
                  <w:tcW w:w="646" w:type="pct"/>
                  <w:vAlign w:val="center"/>
                </w:tcPr>
                <w:p w14:paraId="6A571F30">
                  <w:pPr>
                    <w:adjustRightInd w:val="0"/>
                    <w:jc w:val="center"/>
                  </w:pPr>
                  <w:r>
                    <w:rPr>
                      <w:rFonts w:hint="eastAsia"/>
                    </w:rPr>
                    <w:t>82.5</w:t>
                  </w:r>
                </w:p>
              </w:tc>
              <w:tc>
                <w:tcPr>
                  <w:tcW w:w="476" w:type="pct"/>
                  <w:vAlign w:val="center"/>
                </w:tcPr>
                <w:p w14:paraId="13847FEF">
                  <w:pPr>
                    <w:adjustRightInd w:val="0"/>
                    <w:jc w:val="center"/>
                  </w:pPr>
                  <w:r>
                    <w:t>达标</w:t>
                  </w:r>
                </w:p>
              </w:tc>
            </w:tr>
          </w:tbl>
          <w:p w14:paraId="485C6344">
            <w:pPr>
              <w:pStyle w:val="171"/>
              <w:spacing w:line="360" w:lineRule="auto"/>
              <w:ind w:firstLine="480" w:firstLineChars="200"/>
              <w:jc w:val="both"/>
              <w:rPr>
                <w:rFonts w:ascii="Times New Roman" w:hAnsi="Times New Roman"/>
                <w:color w:val="auto"/>
              </w:rPr>
            </w:pPr>
            <w:r>
              <w:rPr>
                <w:rFonts w:hint="eastAsia" w:ascii="Times New Roman" w:hAnsi="Times New Roman"/>
                <w:color w:val="auto"/>
              </w:rPr>
              <w:t>根据上表可知</w:t>
            </w:r>
            <w:r>
              <w:rPr>
                <w:rFonts w:ascii="Times New Roman" w:hAnsi="Times New Roman"/>
                <w:color w:val="auto"/>
              </w:rPr>
              <w:t>，6项监测因子浓度均能满足《环境空气质量标准》（GB3095-20</w:t>
            </w:r>
            <w:r>
              <w:rPr>
                <w:rFonts w:hint="eastAsia" w:ascii="Times New Roman" w:hAnsi="Times New Roman"/>
                <w:color w:val="auto"/>
              </w:rPr>
              <w:t>26</w:t>
            </w:r>
            <w:r>
              <w:rPr>
                <w:rFonts w:ascii="Times New Roman" w:hAnsi="Times New Roman"/>
                <w:color w:val="auto"/>
              </w:rPr>
              <w:t>）中过渡阶段二级浓度限值，项目所在地为达标区。</w:t>
            </w:r>
          </w:p>
          <w:p w14:paraId="452883A6">
            <w:pPr>
              <w:adjustRightInd w:val="0"/>
              <w:spacing w:line="360" w:lineRule="auto"/>
              <w:ind w:firstLine="480" w:firstLineChars="200"/>
              <w:rPr>
                <w:sz w:val="24"/>
              </w:rPr>
            </w:pPr>
            <w:r>
              <w:rPr>
                <w:rFonts w:hint="eastAsia"/>
                <w:sz w:val="24"/>
              </w:rPr>
              <w:t>2、特征</w:t>
            </w:r>
            <w:r>
              <w:rPr>
                <w:sz w:val="24"/>
              </w:rPr>
              <w:t>污染物</w:t>
            </w:r>
          </w:p>
          <w:p w14:paraId="7FE99235">
            <w:pPr>
              <w:spacing w:line="360" w:lineRule="auto"/>
              <w:ind w:firstLine="480" w:firstLineChars="200"/>
              <w:rPr>
                <w:sz w:val="24"/>
              </w:rPr>
            </w:pPr>
            <w:r>
              <w:rPr>
                <w:rFonts w:hint="eastAsia"/>
                <w:sz w:val="24"/>
              </w:rPr>
              <w:t>为了解项目所在地大气特征污染物非甲烷总烃、TSP环境空气质量现状，委托河北艾珂检测技术有限公司于2025年12月3日至12月5日进行现状监测，</w:t>
            </w:r>
            <w:r>
              <w:rPr>
                <w:sz w:val="24"/>
              </w:rPr>
              <w:t>监测点位：四实验场（坐标：106°42′58.611″，40°25′29.627″，位于项目东南方向约480m）</w:t>
            </w:r>
            <w:r>
              <w:rPr>
                <w:rFonts w:hint="eastAsia"/>
                <w:sz w:val="24"/>
              </w:rPr>
              <w:t>，检测报告编号：AKXZ25048，具体数据见下表</w:t>
            </w:r>
            <w:r>
              <w:rPr>
                <w:sz w:val="24"/>
              </w:rPr>
              <w:t>。</w:t>
            </w:r>
          </w:p>
          <w:p w14:paraId="2213877E">
            <w:pPr>
              <w:autoSpaceDE w:val="0"/>
              <w:autoSpaceDN w:val="0"/>
              <w:adjustRightInd w:val="0"/>
              <w:jc w:val="center"/>
              <w:rPr>
                <w:b/>
                <w:kern w:val="0"/>
                <w:sz w:val="24"/>
              </w:rPr>
            </w:pPr>
            <w:r>
              <w:rPr>
                <w:b/>
                <w:kern w:val="0"/>
                <w:sz w:val="24"/>
              </w:rPr>
              <w:t>表3-</w:t>
            </w:r>
            <w:r>
              <w:rPr>
                <w:rFonts w:hint="eastAsia"/>
                <w:b/>
                <w:kern w:val="0"/>
                <w:sz w:val="24"/>
              </w:rPr>
              <w:t>4 环境空气污染物浓度</w:t>
            </w:r>
            <w:r>
              <w:rPr>
                <w:b/>
                <w:kern w:val="0"/>
                <w:sz w:val="24"/>
              </w:rPr>
              <w:t>统计</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259"/>
              <w:gridCol w:w="1226"/>
              <w:gridCol w:w="1085"/>
              <w:gridCol w:w="1335"/>
              <w:gridCol w:w="1183"/>
              <w:gridCol w:w="1228"/>
              <w:gridCol w:w="918"/>
            </w:tblGrid>
            <w:tr w14:paraId="78A4577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77" w:hRule="atLeast"/>
              </w:trPr>
              <w:tc>
                <w:tcPr>
                  <w:tcW w:w="795" w:type="pct"/>
                  <w:tcMar>
                    <w:left w:w="28" w:type="dxa"/>
                    <w:right w:w="28" w:type="dxa"/>
                  </w:tcMar>
                  <w:vAlign w:val="center"/>
                </w:tcPr>
                <w:p w14:paraId="61AD93EA">
                  <w:pPr>
                    <w:jc w:val="center"/>
                    <w:rPr>
                      <w:bCs/>
                    </w:rPr>
                  </w:pPr>
                  <w:r>
                    <w:rPr>
                      <w:rFonts w:hint="eastAsia"/>
                      <w:bCs/>
                    </w:rPr>
                    <w:t>监测点位</w:t>
                  </w:r>
                </w:p>
              </w:tc>
              <w:tc>
                <w:tcPr>
                  <w:tcW w:w="775" w:type="pct"/>
                  <w:tcMar>
                    <w:left w:w="28" w:type="dxa"/>
                    <w:right w:w="28" w:type="dxa"/>
                  </w:tcMar>
                  <w:vAlign w:val="center"/>
                </w:tcPr>
                <w:p w14:paraId="3FABF064">
                  <w:pPr>
                    <w:jc w:val="center"/>
                    <w:rPr>
                      <w:bCs/>
                    </w:rPr>
                  </w:pPr>
                  <w:r>
                    <w:rPr>
                      <w:rFonts w:hint="eastAsia"/>
                      <w:bCs/>
                    </w:rPr>
                    <w:t>项目</w:t>
                  </w:r>
                </w:p>
              </w:tc>
              <w:tc>
                <w:tcPr>
                  <w:tcW w:w="689" w:type="pct"/>
                  <w:tcMar>
                    <w:left w:w="28" w:type="dxa"/>
                    <w:right w:w="28" w:type="dxa"/>
                  </w:tcMar>
                  <w:vAlign w:val="center"/>
                </w:tcPr>
                <w:p w14:paraId="3A8919B4">
                  <w:pPr>
                    <w:jc w:val="center"/>
                    <w:rPr>
                      <w:bCs/>
                    </w:rPr>
                  </w:pPr>
                  <w:r>
                    <w:rPr>
                      <w:rFonts w:hint="eastAsia"/>
                      <w:bCs/>
                    </w:rPr>
                    <w:t>平均时间</w:t>
                  </w:r>
                </w:p>
              </w:tc>
              <w:tc>
                <w:tcPr>
                  <w:tcW w:w="775" w:type="pct"/>
                  <w:tcMar>
                    <w:left w:w="28" w:type="dxa"/>
                    <w:right w:w="28" w:type="dxa"/>
                  </w:tcMar>
                  <w:vAlign w:val="center"/>
                </w:tcPr>
                <w:p w14:paraId="6925BCCC">
                  <w:pPr>
                    <w:jc w:val="center"/>
                    <w:rPr>
                      <w:bCs/>
                    </w:rPr>
                  </w:pPr>
                  <w:r>
                    <w:rPr>
                      <w:rFonts w:hint="eastAsia"/>
                      <w:bCs/>
                    </w:rPr>
                    <w:t>浓度范围（</w:t>
                  </w:r>
                  <w:r>
                    <w:rPr>
                      <w:bCs/>
                    </w:rPr>
                    <w:t>mg/m</w:t>
                  </w:r>
                  <w:r>
                    <w:rPr>
                      <w:bCs/>
                      <w:vertAlign w:val="superscript"/>
                    </w:rPr>
                    <w:t>3</w:t>
                  </w:r>
                  <w:r>
                    <w:rPr>
                      <w:rFonts w:hint="eastAsia"/>
                      <w:bCs/>
                    </w:rPr>
                    <w:t>）</w:t>
                  </w:r>
                </w:p>
              </w:tc>
              <w:tc>
                <w:tcPr>
                  <w:tcW w:w="602" w:type="pct"/>
                  <w:tcMar>
                    <w:left w:w="28" w:type="dxa"/>
                    <w:right w:w="28" w:type="dxa"/>
                  </w:tcMar>
                  <w:vAlign w:val="center"/>
                </w:tcPr>
                <w:p w14:paraId="5B03CE45">
                  <w:pPr>
                    <w:jc w:val="center"/>
                    <w:rPr>
                      <w:bCs/>
                    </w:rPr>
                  </w:pPr>
                  <w:r>
                    <w:rPr>
                      <w:rFonts w:hint="eastAsia"/>
                      <w:bCs/>
                    </w:rPr>
                    <w:t>标准值（</w:t>
                  </w:r>
                  <w:r>
                    <w:rPr>
                      <w:bCs/>
                    </w:rPr>
                    <w:t>mg/m</w:t>
                  </w:r>
                  <w:r>
                    <w:rPr>
                      <w:bCs/>
                      <w:vertAlign w:val="superscript"/>
                    </w:rPr>
                    <w:t>3</w:t>
                  </w:r>
                  <w:r>
                    <w:rPr>
                      <w:rFonts w:hint="eastAsia"/>
                      <w:bCs/>
                    </w:rPr>
                    <w:t>）</w:t>
                  </w:r>
                </w:p>
              </w:tc>
              <w:tc>
                <w:tcPr>
                  <w:tcW w:w="776" w:type="pct"/>
                  <w:tcMar>
                    <w:left w:w="28" w:type="dxa"/>
                    <w:right w:w="28" w:type="dxa"/>
                  </w:tcMar>
                  <w:vAlign w:val="center"/>
                </w:tcPr>
                <w:p w14:paraId="78E5EB4B">
                  <w:pPr>
                    <w:jc w:val="center"/>
                    <w:rPr>
                      <w:bCs/>
                    </w:rPr>
                  </w:pPr>
                  <w:r>
                    <w:rPr>
                      <w:rFonts w:hint="eastAsia"/>
                      <w:bCs/>
                    </w:rPr>
                    <w:t>评价指数（%）</w:t>
                  </w:r>
                </w:p>
              </w:tc>
              <w:tc>
                <w:tcPr>
                  <w:tcW w:w="588" w:type="pct"/>
                  <w:tcMar>
                    <w:left w:w="28" w:type="dxa"/>
                    <w:right w:w="28" w:type="dxa"/>
                  </w:tcMar>
                  <w:vAlign w:val="center"/>
                </w:tcPr>
                <w:p w14:paraId="6C3E70E4">
                  <w:pPr>
                    <w:jc w:val="center"/>
                    <w:rPr>
                      <w:bCs/>
                    </w:rPr>
                  </w:pPr>
                  <w:r>
                    <w:rPr>
                      <w:rFonts w:hint="eastAsia"/>
                      <w:bCs/>
                    </w:rPr>
                    <w:t>达标情况</w:t>
                  </w:r>
                </w:p>
              </w:tc>
            </w:tr>
            <w:tr w14:paraId="7A3E56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95" w:type="pct"/>
                  <w:vMerge w:val="restart"/>
                  <w:tcMar>
                    <w:left w:w="28" w:type="dxa"/>
                    <w:right w:w="28" w:type="dxa"/>
                  </w:tcMar>
                  <w:vAlign w:val="center"/>
                </w:tcPr>
                <w:p w14:paraId="05BA9870">
                  <w:pPr>
                    <w:jc w:val="center"/>
                  </w:pPr>
                  <w:r>
                    <w:rPr>
                      <w:rFonts w:hint="eastAsia"/>
                    </w:rPr>
                    <w:t>四实验场</w:t>
                  </w:r>
                </w:p>
              </w:tc>
              <w:tc>
                <w:tcPr>
                  <w:tcW w:w="775" w:type="pct"/>
                  <w:tcMar>
                    <w:left w:w="28" w:type="dxa"/>
                    <w:right w:w="28" w:type="dxa"/>
                  </w:tcMar>
                  <w:vAlign w:val="center"/>
                </w:tcPr>
                <w:p w14:paraId="497380BF">
                  <w:pPr>
                    <w:jc w:val="center"/>
                    <w:rPr>
                      <w:bCs/>
                    </w:rPr>
                  </w:pPr>
                  <w:r>
                    <w:rPr>
                      <w:bCs/>
                    </w:rPr>
                    <w:t>非甲烷总烃</w:t>
                  </w:r>
                </w:p>
              </w:tc>
              <w:tc>
                <w:tcPr>
                  <w:tcW w:w="689" w:type="pct"/>
                  <w:tcMar>
                    <w:left w:w="28" w:type="dxa"/>
                    <w:right w:w="28" w:type="dxa"/>
                  </w:tcMar>
                  <w:vAlign w:val="center"/>
                </w:tcPr>
                <w:p w14:paraId="26FD48D0">
                  <w:pPr>
                    <w:jc w:val="center"/>
                  </w:pPr>
                  <w:r>
                    <w:t>1小时</w:t>
                  </w:r>
                </w:p>
              </w:tc>
              <w:tc>
                <w:tcPr>
                  <w:tcW w:w="775" w:type="pct"/>
                  <w:tcMar>
                    <w:left w:w="28" w:type="dxa"/>
                    <w:right w:w="28" w:type="dxa"/>
                  </w:tcMar>
                  <w:vAlign w:val="center"/>
                </w:tcPr>
                <w:p w14:paraId="5FEE3A68">
                  <w:pPr>
                    <w:jc w:val="center"/>
                    <w:rPr>
                      <w:bCs/>
                    </w:rPr>
                  </w:pPr>
                  <w:r>
                    <w:rPr>
                      <w:rFonts w:hint="eastAsia"/>
                      <w:bCs/>
                    </w:rPr>
                    <w:t>0.45-0.56</w:t>
                  </w:r>
                </w:p>
              </w:tc>
              <w:tc>
                <w:tcPr>
                  <w:tcW w:w="602" w:type="pct"/>
                  <w:tcMar>
                    <w:left w:w="28" w:type="dxa"/>
                    <w:right w:w="28" w:type="dxa"/>
                  </w:tcMar>
                  <w:vAlign w:val="center"/>
                </w:tcPr>
                <w:p w14:paraId="3CA4D60F">
                  <w:pPr>
                    <w:jc w:val="center"/>
                    <w:rPr>
                      <w:bCs/>
                    </w:rPr>
                  </w:pPr>
                  <w:r>
                    <w:rPr>
                      <w:bCs/>
                    </w:rPr>
                    <w:t>2.</w:t>
                  </w:r>
                  <w:r>
                    <w:rPr>
                      <w:rFonts w:hint="eastAsia"/>
                      <w:bCs/>
                    </w:rPr>
                    <w:t>0</w:t>
                  </w:r>
                </w:p>
              </w:tc>
              <w:tc>
                <w:tcPr>
                  <w:tcW w:w="776" w:type="pct"/>
                  <w:tcMar>
                    <w:left w:w="28" w:type="dxa"/>
                    <w:right w:w="28" w:type="dxa"/>
                  </w:tcMar>
                  <w:vAlign w:val="center"/>
                </w:tcPr>
                <w:p w14:paraId="283E7F0F">
                  <w:pPr>
                    <w:jc w:val="center"/>
                    <w:rPr>
                      <w:bCs/>
                    </w:rPr>
                  </w:pPr>
                  <w:r>
                    <w:rPr>
                      <w:rFonts w:hint="eastAsia"/>
                      <w:bCs/>
                    </w:rPr>
                    <w:t>22.5-28.0</w:t>
                  </w:r>
                </w:p>
              </w:tc>
              <w:tc>
                <w:tcPr>
                  <w:tcW w:w="588" w:type="pct"/>
                  <w:tcMar>
                    <w:left w:w="28" w:type="dxa"/>
                    <w:right w:w="28" w:type="dxa"/>
                  </w:tcMar>
                  <w:vAlign w:val="center"/>
                </w:tcPr>
                <w:p w14:paraId="2FFBB715">
                  <w:pPr>
                    <w:jc w:val="center"/>
                    <w:rPr>
                      <w:bCs/>
                    </w:rPr>
                  </w:pPr>
                  <w:r>
                    <w:rPr>
                      <w:bCs/>
                    </w:rPr>
                    <w:t>达标</w:t>
                  </w:r>
                </w:p>
              </w:tc>
            </w:tr>
            <w:tr w14:paraId="1C5593A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95" w:type="pct"/>
                  <w:vMerge w:val="continue"/>
                  <w:tcMar>
                    <w:left w:w="28" w:type="dxa"/>
                    <w:right w:w="28" w:type="dxa"/>
                  </w:tcMar>
                  <w:vAlign w:val="center"/>
                </w:tcPr>
                <w:p w14:paraId="36E29DC8">
                  <w:pPr>
                    <w:jc w:val="center"/>
                  </w:pPr>
                </w:p>
              </w:tc>
              <w:tc>
                <w:tcPr>
                  <w:tcW w:w="775" w:type="pct"/>
                  <w:tcMar>
                    <w:left w:w="28" w:type="dxa"/>
                    <w:right w:w="28" w:type="dxa"/>
                  </w:tcMar>
                  <w:vAlign w:val="center"/>
                </w:tcPr>
                <w:p w14:paraId="66D09C71">
                  <w:pPr>
                    <w:jc w:val="center"/>
                    <w:rPr>
                      <w:bCs/>
                    </w:rPr>
                  </w:pPr>
                  <w:r>
                    <w:rPr>
                      <w:bCs/>
                    </w:rPr>
                    <w:t>TSP</w:t>
                  </w:r>
                </w:p>
              </w:tc>
              <w:tc>
                <w:tcPr>
                  <w:tcW w:w="689" w:type="pct"/>
                  <w:tcMar>
                    <w:left w:w="28" w:type="dxa"/>
                    <w:right w:w="28" w:type="dxa"/>
                  </w:tcMar>
                  <w:vAlign w:val="center"/>
                </w:tcPr>
                <w:p w14:paraId="634E54A1">
                  <w:pPr>
                    <w:jc w:val="center"/>
                  </w:pPr>
                  <w:r>
                    <w:rPr>
                      <w:rFonts w:hint="eastAsia"/>
                    </w:rPr>
                    <w:t>24小时</w:t>
                  </w:r>
                </w:p>
              </w:tc>
              <w:tc>
                <w:tcPr>
                  <w:tcW w:w="775" w:type="pct"/>
                  <w:tcMar>
                    <w:left w:w="28" w:type="dxa"/>
                    <w:right w:w="28" w:type="dxa"/>
                  </w:tcMar>
                  <w:vAlign w:val="center"/>
                </w:tcPr>
                <w:p w14:paraId="5E55079F">
                  <w:pPr>
                    <w:jc w:val="center"/>
                    <w:rPr>
                      <w:bCs/>
                    </w:rPr>
                  </w:pPr>
                  <w:r>
                    <w:rPr>
                      <w:rFonts w:hint="eastAsia"/>
                      <w:bCs/>
                    </w:rPr>
                    <w:t>0.100-0.151</w:t>
                  </w:r>
                </w:p>
              </w:tc>
              <w:tc>
                <w:tcPr>
                  <w:tcW w:w="602" w:type="pct"/>
                  <w:tcMar>
                    <w:left w:w="28" w:type="dxa"/>
                    <w:right w:w="28" w:type="dxa"/>
                  </w:tcMar>
                  <w:vAlign w:val="center"/>
                </w:tcPr>
                <w:p w14:paraId="175CBCAB">
                  <w:pPr>
                    <w:jc w:val="center"/>
                    <w:rPr>
                      <w:bCs/>
                    </w:rPr>
                  </w:pPr>
                  <w:r>
                    <w:rPr>
                      <w:rFonts w:hint="eastAsia"/>
                      <w:bCs/>
                    </w:rPr>
                    <w:t>0.3</w:t>
                  </w:r>
                </w:p>
              </w:tc>
              <w:tc>
                <w:tcPr>
                  <w:tcW w:w="776" w:type="pct"/>
                  <w:tcMar>
                    <w:left w:w="28" w:type="dxa"/>
                    <w:right w:w="28" w:type="dxa"/>
                  </w:tcMar>
                  <w:vAlign w:val="center"/>
                </w:tcPr>
                <w:p w14:paraId="1C65499F">
                  <w:pPr>
                    <w:jc w:val="center"/>
                    <w:rPr>
                      <w:bCs/>
                    </w:rPr>
                  </w:pPr>
                  <w:r>
                    <w:rPr>
                      <w:rFonts w:hint="eastAsia"/>
                      <w:bCs/>
                    </w:rPr>
                    <w:t>33.3-50.3</w:t>
                  </w:r>
                </w:p>
              </w:tc>
              <w:tc>
                <w:tcPr>
                  <w:tcW w:w="588" w:type="pct"/>
                  <w:tcMar>
                    <w:left w:w="28" w:type="dxa"/>
                    <w:right w:w="28" w:type="dxa"/>
                  </w:tcMar>
                  <w:vAlign w:val="center"/>
                </w:tcPr>
                <w:p w14:paraId="16D5D892">
                  <w:pPr>
                    <w:jc w:val="center"/>
                    <w:rPr>
                      <w:bCs/>
                    </w:rPr>
                  </w:pPr>
                  <w:r>
                    <w:rPr>
                      <w:bCs/>
                    </w:rPr>
                    <w:t>达标</w:t>
                  </w:r>
                </w:p>
              </w:tc>
            </w:tr>
          </w:tbl>
          <w:p w14:paraId="3BDDC153">
            <w:pPr>
              <w:spacing w:line="360" w:lineRule="auto"/>
              <w:ind w:firstLine="480" w:firstLineChars="200"/>
              <w:rPr>
                <w:sz w:val="24"/>
              </w:rPr>
            </w:pPr>
            <w:r>
              <w:rPr>
                <w:sz w:val="24"/>
              </w:rPr>
              <w:t>项目</w:t>
            </w:r>
            <w:r>
              <w:rPr>
                <w:rFonts w:hint="eastAsia"/>
                <w:sz w:val="24"/>
              </w:rPr>
              <w:t>非甲烷总烃参照执行《大气污染物综合排放标准详解》，</w:t>
            </w:r>
            <w:r>
              <w:rPr>
                <w:sz w:val="24"/>
              </w:rPr>
              <w:t>由以上监测结果可</w:t>
            </w:r>
            <w:r>
              <w:rPr>
                <w:rFonts w:hint="eastAsia"/>
                <w:sz w:val="24"/>
              </w:rPr>
              <w:t>得</w:t>
            </w:r>
            <w:r>
              <w:rPr>
                <w:sz w:val="24"/>
              </w:rPr>
              <w:t>出，区域非甲烷总烃小时浓度符合</w:t>
            </w:r>
            <w:r>
              <w:rPr>
                <w:rFonts w:hint="eastAsia"/>
                <w:sz w:val="24"/>
              </w:rPr>
              <w:t>《大气污染物综合排放标准详解》</w:t>
            </w:r>
            <w:r>
              <w:rPr>
                <w:sz w:val="24"/>
              </w:rPr>
              <w:t>中浓度限值</w:t>
            </w:r>
            <w:r>
              <w:rPr>
                <w:rFonts w:hint="eastAsia"/>
                <w:sz w:val="24"/>
              </w:rPr>
              <w:t>；TSP24小时浓度符合《环境空气质量标准》（GB3095-2026）表2环境空气污染物其他项目浓度限值中的日平均二级浓度限值</w:t>
            </w:r>
            <w:r>
              <w:rPr>
                <w:sz w:val="24"/>
              </w:rPr>
              <w:t>。</w:t>
            </w:r>
          </w:p>
          <w:p w14:paraId="4F7124EE">
            <w:pPr>
              <w:adjustRightInd w:val="0"/>
              <w:spacing w:line="360" w:lineRule="auto"/>
              <w:ind w:firstLine="482" w:firstLineChars="200"/>
              <w:rPr>
                <w:b/>
                <w:sz w:val="24"/>
              </w:rPr>
            </w:pPr>
            <w:r>
              <w:rPr>
                <w:rFonts w:hint="eastAsia"/>
                <w:b/>
                <w:sz w:val="24"/>
              </w:rPr>
              <w:t>三</w:t>
            </w:r>
            <w:r>
              <w:rPr>
                <w:b/>
                <w:sz w:val="24"/>
              </w:rPr>
              <w:t>、声环境质量现状</w:t>
            </w:r>
          </w:p>
          <w:p w14:paraId="46633A17">
            <w:pPr>
              <w:adjustRightInd w:val="0"/>
              <w:spacing w:line="360" w:lineRule="auto"/>
              <w:ind w:firstLine="480" w:firstLineChars="200"/>
              <w:rPr>
                <w:bCs/>
                <w:sz w:val="24"/>
                <w:szCs w:val="22"/>
              </w:rPr>
            </w:pPr>
            <w:r>
              <w:rPr>
                <w:rFonts w:hint="eastAsia"/>
                <w:sz w:val="24"/>
              </w:rPr>
              <w:t>根据现场踏勘，磴4平台场界50m范围内无声环境保护目标，依据《</w:t>
            </w:r>
            <w:r>
              <w:rPr>
                <w:sz w:val="24"/>
              </w:rPr>
              <w:t>建设项目环境影响报告表编制技术指南</w:t>
            </w:r>
            <w:r>
              <w:rPr>
                <w:rFonts w:hint="eastAsia"/>
                <w:sz w:val="24"/>
              </w:rPr>
              <w:t>（试行）》，无需进行声环境现状监测。</w:t>
            </w:r>
          </w:p>
          <w:p w14:paraId="40175848">
            <w:pPr>
              <w:adjustRightInd w:val="0"/>
              <w:spacing w:line="360" w:lineRule="auto"/>
              <w:ind w:firstLine="482" w:firstLineChars="200"/>
              <w:rPr>
                <w:b/>
                <w:sz w:val="24"/>
              </w:rPr>
            </w:pPr>
            <w:r>
              <w:rPr>
                <w:rFonts w:hint="eastAsia"/>
                <w:b/>
                <w:sz w:val="24"/>
              </w:rPr>
              <w:t>四</w:t>
            </w:r>
            <w:r>
              <w:rPr>
                <w:b/>
                <w:sz w:val="24"/>
              </w:rPr>
              <w:t>、地下水</w:t>
            </w:r>
            <w:r>
              <w:rPr>
                <w:rFonts w:hint="eastAsia"/>
                <w:b/>
                <w:sz w:val="24"/>
              </w:rPr>
              <w:t>、</w:t>
            </w:r>
            <w:r>
              <w:rPr>
                <w:b/>
                <w:sz w:val="24"/>
              </w:rPr>
              <w:t>土壤环境质量现状</w:t>
            </w:r>
          </w:p>
          <w:p w14:paraId="31E1AC68">
            <w:pPr>
              <w:spacing w:line="360" w:lineRule="auto"/>
              <w:ind w:firstLine="480" w:firstLineChars="200"/>
              <w:rPr>
                <w:sz w:val="24"/>
              </w:rPr>
            </w:pPr>
            <w:r>
              <w:rPr>
                <w:rFonts w:hint="eastAsia"/>
                <w:sz w:val="24"/>
              </w:rPr>
              <w:t>项目供水方式为通过罐车拉水运送至井场，不取用地下水。</w:t>
            </w:r>
            <w:r>
              <w:rPr>
                <w:sz w:val="24"/>
              </w:rPr>
              <w:t>根据《环境影响评价技术导则地下水环境》（HJ610-2016），项目为矿产资源地质勘查（包括勘探活动），属于Ⅳ类项目，可不开展地下水环境影响评价</w:t>
            </w:r>
            <w:r>
              <w:rPr>
                <w:rFonts w:hint="eastAsia"/>
                <w:sz w:val="24"/>
              </w:rPr>
              <w:t>。</w:t>
            </w:r>
          </w:p>
          <w:p w14:paraId="4C37AC81">
            <w:pPr>
              <w:spacing w:line="360" w:lineRule="auto"/>
              <w:ind w:firstLine="480" w:firstLineChars="200"/>
              <w:rPr>
                <w:sz w:val="24"/>
              </w:rPr>
            </w:pPr>
            <w:r>
              <w:rPr>
                <w:rFonts w:hint="eastAsia"/>
                <w:sz w:val="24"/>
              </w:rPr>
              <w:t>根据</w:t>
            </w:r>
            <w:r>
              <w:rPr>
                <w:sz w:val="24"/>
              </w:rPr>
              <w:t>《环境影响评价技术导则土壤环境（试行）》（HJ964-2018），项目</w:t>
            </w:r>
            <w:r>
              <w:rPr>
                <w:rFonts w:hint="eastAsia"/>
                <w:sz w:val="24"/>
              </w:rPr>
              <w:t>为“</w:t>
            </w:r>
            <w:r>
              <w:rPr>
                <w:sz w:val="24"/>
              </w:rPr>
              <w:t>附录A、土壤环境影响评价项目类别</w:t>
            </w:r>
            <w:r>
              <w:rPr>
                <w:rFonts w:hint="eastAsia"/>
                <w:sz w:val="24"/>
              </w:rPr>
              <w:t>”</w:t>
            </w:r>
            <w:r>
              <w:rPr>
                <w:sz w:val="24"/>
              </w:rPr>
              <w:t>中</w:t>
            </w:r>
            <w:r>
              <w:rPr>
                <w:rFonts w:hint="eastAsia"/>
                <w:sz w:val="24"/>
              </w:rPr>
              <w:t>“</w:t>
            </w:r>
            <w:r>
              <w:rPr>
                <w:sz w:val="24"/>
              </w:rPr>
              <w:t>其他行业</w:t>
            </w:r>
            <w:r>
              <w:rPr>
                <w:rFonts w:hint="eastAsia"/>
                <w:sz w:val="24"/>
              </w:rPr>
              <w:t>”</w:t>
            </w:r>
            <w:r>
              <w:rPr>
                <w:sz w:val="24"/>
              </w:rPr>
              <w:t>，属于IV类项目，可不开展土壤环境影响评价</w:t>
            </w:r>
            <w:r>
              <w:rPr>
                <w:rFonts w:hint="eastAsia"/>
                <w:sz w:val="24"/>
              </w:rPr>
              <w:t>。</w:t>
            </w:r>
          </w:p>
        </w:tc>
      </w:tr>
      <w:tr w14:paraId="7C492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457" w:type="dxa"/>
            <w:vAlign w:val="center"/>
          </w:tcPr>
          <w:p w14:paraId="242F43ED">
            <w:pPr>
              <w:adjustRightInd w:val="0"/>
              <w:snapToGrid w:val="0"/>
              <w:jc w:val="center"/>
              <w:rPr>
                <w:b/>
                <w:kern w:val="0"/>
                <w:sz w:val="24"/>
              </w:rPr>
            </w:pPr>
            <w:r>
              <w:rPr>
                <w:b/>
                <w:bCs/>
                <w:sz w:val="24"/>
              </w:rPr>
              <w:t>与项目有关的原有环境污染和生态破坏问题</w:t>
            </w:r>
          </w:p>
        </w:tc>
        <w:tc>
          <w:tcPr>
            <w:tcW w:w="8450" w:type="dxa"/>
            <w:vAlign w:val="center"/>
          </w:tcPr>
          <w:p w14:paraId="2A441BF4">
            <w:pPr>
              <w:spacing w:line="360" w:lineRule="auto"/>
              <w:ind w:firstLine="480" w:firstLineChars="200"/>
              <w:rPr>
                <w:bCs/>
                <w:sz w:val="24"/>
              </w:rPr>
            </w:pPr>
            <w:r>
              <w:rPr>
                <w:rFonts w:hint="eastAsia"/>
                <w:bCs/>
                <w:sz w:val="24"/>
              </w:rPr>
              <w:t>无</w:t>
            </w:r>
          </w:p>
        </w:tc>
      </w:tr>
      <w:tr w14:paraId="604ED1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457" w:type="dxa"/>
            <w:vAlign w:val="center"/>
          </w:tcPr>
          <w:p w14:paraId="08C5C8D7">
            <w:pPr>
              <w:adjustRightInd w:val="0"/>
              <w:snapToGrid w:val="0"/>
              <w:jc w:val="center"/>
              <w:rPr>
                <w:b/>
                <w:kern w:val="0"/>
                <w:sz w:val="24"/>
              </w:rPr>
            </w:pPr>
            <w:r>
              <w:rPr>
                <w:b/>
                <w:kern w:val="0"/>
                <w:sz w:val="24"/>
              </w:rPr>
              <w:t>生态环境保护目标</w:t>
            </w:r>
          </w:p>
        </w:tc>
        <w:tc>
          <w:tcPr>
            <w:tcW w:w="8450" w:type="dxa"/>
            <w:vAlign w:val="center"/>
          </w:tcPr>
          <w:p w14:paraId="3DD175E2">
            <w:pPr>
              <w:adjustRightInd w:val="0"/>
              <w:snapToGrid w:val="0"/>
              <w:spacing w:line="360" w:lineRule="auto"/>
              <w:ind w:firstLine="480" w:firstLineChars="200"/>
              <w:rPr>
                <w:sz w:val="24"/>
              </w:rPr>
            </w:pPr>
            <w:r>
              <w:rPr>
                <w:sz w:val="24"/>
              </w:rPr>
              <w:t>项目主要环境保护目标情况见下表。</w:t>
            </w:r>
          </w:p>
          <w:p w14:paraId="12B28612">
            <w:pPr>
              <w:jc w:val="center"/>
              <w:rPr>
                <w:b/>
                <w:sz w:val="24"/>
              </w:rPr>
            </w:pPr>
            <w:r>
              <w:rPr>
                <w:b/>
                <w:sz w:val="24"/>
              </w:rPr>
              <w:t>表3-</w:t>
            </w:r>
            <w:r>
              <w:rPr>
                <w:rFonts w:hint="eastAsia"/>
                <w:b/>
                <w:sz w:val="24"/>
              </w:rPr>
              <w:t>5</w:t>
            </w:r>
            <w:r>
              <w:rPr>
                <w:b/>
                <w:sz w:val="24"/>
              </w:rPr>
              <w:t xml:space="preserve"> 主要保护目标及保护级别一览表</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677"/>
              <w:gridCol w:w="1312"/>
              <w:gridCol w:w="1650"/>
              <w:gridCol w:w="1517"/>
              <w:gridCol w:w="744"/>
              <w:gridCol w:w="650"/>
              <w:gridCol w:w="630"/>
              <w:gridCol w:w="421"/>
              <w:gridCol w:w="633"/>
            </w:tblGrid>
            <w:tr w14:paraId="221C26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54" w:type="pct"/>
                  <w:vMerge w:val="restart"/>
                  <w:vAlign w:val="center"/>
                </w:tcPr>
                <w:p w14:paraId="7482E0BA">
                  <w:pPr>
                    <w:jc w:val="center"/>
                    <w:rPr>
                      <w:szCs w:val="21"/>
                    </w:rPr>
                  </w:pPr>
                  <w:r>
                    <w:rPr>
                      <w:szCs w:val="21"/>
                    </w:rPr>
                    <w:t>环境</w:t>
                  </w:r>
                </w:p>
                <w:p w14:paraId="19D927F8">
                  <w:pPr>
                    <w:jc w:val="center"/>
                    <w:rPr>
                      <w:szCs w:val="21"/>
                    </w:rPr>
                  </w:pPr>
                  <w:r>
                    <w:rPr>
                      <w:szCs w:val="21"/>
                    </w:rPr>
                    <w:t>要素</w:t>
                  </w:r>
                </w:p>
              </w:tc>
              <w:tc>
                <w:tcPr>
                  <w:tcW w:w="839" w:type="pct"/>
                  <w:vMerge w:val="restart"/>
                  <w:vAlign w:val="center"/>
                </w:tcPr>
                <w:p w14:paraId="2CB9143B">
                  <w:pPr>
                    <w:jc w:val="center"/>
                    <w:rPr>
                      <w:szCs w:val="21"/>
                    </w:rPr>
                  </w:pPr>
                  <w:r>
                    <w:rPr>
                      <w:szCs w:val="21"/>
                    </w:rPr>
                    <w:t>保护目标</w:t>
                  </w:r>
                </w:p>
              </w:tc>
              <w:tc>
                <w:tcPr>
                  <w:tcW w:w="1639" w:type="pct"/>
                  <w:gridSpan w:val="2"/>
                  <w:vAlign w:val="center"/>
                </w:tcPr>
                <w:p w14:paraId="32A72CDC">
                  <w:pPr>
                    <w:jc w:val="center"/>
                    <w:rPr>
                      <w:szCs w:val="21"/>
                    </w:rPr>
                  </w:pPr>
                  <w:r>
                    <w:rPr>
                      <w:szCs w:val="21"/>
                    </w:rPr>
                    <w:t>坐标</w:t>
                  </w:r>
                </w:p>
              </w:tc>
              <w:tc>
                <w:tcPr>
                  <w:tcW w:w="494" w:type="pct"/>
                  <w:vMerge w:val="restart"/>
                  <w:vAlign w:val="center"/>
                </w:tcPr>
                <w:p w14:paraId="617C316A">
                  <w:pPr>
                    <w:jc w:val="center"/>
                    <w:rPr>
                      <w:szCs w:val="21"/>
                    </w:rPr>
                  </w:pPr>
                  <w:r>
                    <w:rPr>
                      <w:szCs w:val="21"/>
                    </w:rPr>
                    <w:t>保护对象</w:t>
                  </w:r>
                </w:p>
              </w:tc>
              <w:tc>
                <w:tcPr>
                  <w:tcW w:w="437" w:type="pct"/>
                  <w:vMerge w:val="restart"/>
                  <w:vAlign w:val="center"/>
                </w:tcPr>
                <w:p w14:paraId="2C1F9ABD">
                  <w:pPr>
                    <w:jc w:val="center"/>
                    <w:rPr>
                      <w:szCs w:val="21"/>
                    </w:rPr>
                  </w:pPr>
                  <w:r>
                    <w:rPr>
                      <w:szCs w:val="21"/>
                    </w:rPr>
                    <w:t>保护内容</w:t>
                  </w:r>
                </w:p>
              </w:tc>
              <w:tc>
                <w:tcPr>
                  <w:tcW w:w="425" w:type="pct"/>
                  <w:vMerge w:val="restart"/>
                  <w:vAlign w:val="center"/>
                </w:tcPr>
                <w:p w14:paraId="06C44DF6">
                  <w:pPr>
                    <w:jc w:val="center"/>
                    <w:rPr>
                      <w:szCs w:val="21"/>
                    </w:rPr>
                  </w:pPr>
                  <w:r>
                    <w:rPr>
                      <w:szCs w:val="21"/>
                    </w:rPr>
                    <w:t>环境功能区</w:t>
                  </w:r>
                </w:p>
              </w:tc>
              <w:tc>
                <w:tcPr>
                  <w:tcW w:w="298" w:type="pct"/>
                  <w:vMerge w:val="restart"/>
                  <w:tcMar>
                    <w:left w:w="0" w:type="dxa"/>
                    <w:right w:w="0" w:type="dxa"/>
                  </w:tcMar>
                  <w:vAlign w:val="center"/>
                </w:tcPr>
                <w:p w14:paraId="7CD5137B">
                  <w:pPr>
                    <w:jc w:val="center"/>
                    <w:rPr>
                      <w:szCs w:val="21"/>
                    </w:rPr>
                  </w:pPr>
                  <w:r>
                    <w:rPr>
                      <w:szCs w:val="21"/>
                    </w:rPr>
                    <w:t>相对厂址</w:t>
                  </w:r>
                </w:p>
              </w:tc>
              <w:tc>
                <w:tcPr>
                  <w:tcW w:w="414" w:type="pct"/>
                  <w:vMerge w:val="restart"/>
                  <w:tcMar>
                    <w:left w:w="0" w:type="dxa"/>
                    <w:right w:w="0" w:type="dxa"/>
                  </w:tcMar>
                  <w:vAlign w:val="center"/>
                </w:tcPr>
                <w:p w14:paraId="03E1B827">
                  <w:pPr>
                    <w:jc w:val="center"/>
                    <w:rPr>
                      <w:szCs w:val="21"/>
                    </w:rPr>
                  </w:pPr>
                  <w:r>
                    <w:rPr>
                      <w:szCs w:val="21"/>
                    </w:rPr>
                    <w:t>相对</w:t>
                  </w:r>
                  <w:r>
                    <w:rPr>
                      <w:rFonts w:hint="eastAsia"/>
                      <w:szCs w:val="21"/>
                    </w:rPr>
                    <w:t>场</w:t>
                  </w:r>
                  <w:r>
                    <w:rPr>
                      <w:szCs w:val="21"/>
                    </w:rPr>
                    <w:t>界</w:t>
                  </w:r>
                  <w:r>
                    <w:rPr>
                      <w:rFonts w:hint="eastAsia"/>
                      <w:szCs w:val="21"/>
                    </w:rPr>
                    <w:t>距</w:t>
                  </w:r>
                  <w:r>
                    <w:rPr>
                      <w:szCs w:val="21"/>
                    </w:rPr>
                    <w:t>离（m）</w:t>
                  </w:r>
                </w:p>
              </w:tc>
            </w:tr>
            <w:tr w14:paraId="5EDF5E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54" w:type="pct"/>
                  <w:vMerge w:val="continue"/>
                  <w:vAlign w:val="center"/>
                </w:tcPr>
                <w:p w14:paraId="32D37501">
                  <w:pPr>
                    <w:widowControl/>
                    <w:jc w:val="left"/>
                    <w:rPr>
                      <w:szCs w:val="21"/>
                    </w:rPr>
                  </w:pPr>
                </w:p>
              </w:tc>
              <w:tc>
                <w:tcPr>
                  <w:tcW w:w="839" w:type="pct"/>
                  <w:vMerge w:val="continue"/>
                  <w:vAlign w:val="center"/>
                </w:tcPr>
                <w:p w14:paraId="78B69BEA">
                  <w:pPr>
                    <w:widowControl/>
                    <w:jc w:val="left"/>
                    <w:rPr>
                      <w:szCs w:val="21"/>
                    </w:rPr>
                  </w:pPr>
                </w:p>
              </w:tc>
              <w:tc>
                <w:tcPr>
                  <w:tcW w:w="861" w:type="pct"/>
                  <w:vAlign w:val="center"/>
                </w:tcPr>
                <w:p w14:paraId="5560489F">
                  <w:pPr>
                    <w:jc w:val="center"/>
                    <w:rPr>
                      <w:szCs w:val="21"/>
                    </w:rPr>
                  </w:pPr>
                  <w:r>
                    <w:rPr>
                      <w:rFonts w:hint="eastAsia"/>
                      <w:szCs w:val="21"/>
                    </w:rPr>
                    <w:t>经度</w:t>
                  </w:r>
                </w:p>
              </w:tc>
              <w:tc>
                <w:tcPr>
                  <w:tcW w:w="778" w:type="pct"/>
                  <w:vAlign w:val="center"/>
                </w:tcPr>
                <w:p w14:paraId="38BFB282">
                  <w:pPr>
                    <w:jc w:val="center"/>
                    <w:rPr>
                      <w:szCs w:val="21"/>
                    </w:rPr>
                  </w:pPr>
                  <w:r>
                    <w:rPr>
                      <w:rFonts w:hint="eastAsia"/>
                      <w:szCs w:val="21"/>
                    </w:rPr>
                    <w:t>纬度</w:t>
                  </w:r>
                </w:p>
              </w:tc>
              <w:tc>
                <w:tcPr>
                  <w:tcW w:w="494" w:type="pct"/>
                  <w:vMerge w:val="continue"/>
                  <w:vAlign w:val="center"/>
                </w:tcPr>
                <w:p w14:paraId="78F71469">
                  <w:pPr>
                    <w:widowControl/>
                    <w:jc w:val="left"/>
                    <w:rPr>
                      <w:szCs w:val="21"/>
                    </w:rPr>
                  </w:pPr>
                </w:p>
              </w:tc>
              <w:tc>
                <w:tcPr>
                  <w:tcW w:w="437" w:type="pct"/>
                  <w:vMerge w:val="continue"/>
                  <w:vAlign w:val="center"/>
                </w:tcPr>
                <w:p w14:paraId="596656D8">
                  <w:pPr>
                    <w:widowControl/>
                    <w:jc w:val="left"/>
                    <w:rPr>
                      <w:szCs w:val="21"/>
                    </w:rPr>
                  </w:pPr>
                </w:p>
              </w:tc>
              <w:tc>
                <w:tcPr>
                  <w:tcW w:w="425" w:type="pct"/>
                  <w:vMerge w:val="continue"/>
                  <w:vAlign w:val="center"/>
                </w:tcPr>
                <w:p w14:paraId="63287750">
                  <w:pPr>
                    <w:widowControl/>
                    <w:jc w:val="left"/>
                    <w:rPr>
                      <w:szCs w:val="21"/>
                    </w:rPr>
                  </w:pPr>
                </w:p>
              </w:tc>
              <w:tc>
                <w:tcPr>
                  <w:tcW w:w="298" w:type="pct"/>
                  <w:vMerge w:val="continue"/>
                  <w:vAlign w:val="center"/>
                </w:tcPr>
                <w:p w14:paraId="1AEBA592">
                  <w:pPr>
                    <w:widowControl/>
                    <w:jc w:val="left"/>
                    <w:rPr>
                      <w:szCs w:val="21"/>
                    </w:rPr>
                  </w:pPr>
                </w:p>
              </w:tc>
              <w:tc>
                <w:tcPr>
                  <w:tcW w:w="414" w:type="pct"/>
                  <w:vMerge w:val="continue"/>
                  <w:vAlign w:val="center"/>
                </w:tcPr>
                <w:p w14:paraId="344E5EA9">
                  <w:pPr>
                    <w:widowControl/>
                    <w:jc w:val="left"/>
                    <w:rPr>
                      <w:szCs w:val="21"/>
                    </w:rPr>
                  </w:pPr>
                </w:p>
              </w:tc>
            </w:tr>
            <w:tr w14:paraId="39FF01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454" w:type="pct"/>
                  <w:vAlign w:val="center"/>
                </w:tcPr>
                <w:p w14:paraId="2A59D7F1">
                  <w:pPr>
                    <w:widowControl/>
                    <w:jc w:val="center"/>
                    <w:rPr>
                      <w:szCs w:val="21"/>
                    </w:rPr>
                  </w:pPr>
                  <w:r>
                    <w:rPr>
                      <w:szCs w:val="21"/>
                    </w:rPr>
                    <w:t>环境</w:t>
                  </w:r>
                </w:p>
                <w:p w14:paraId="1114676C">
                  <w:pPr>
                    <w:widowControl/>
                    <w:jc w:val="center"/>
                    <w:rPr>
                      <w:szCs w:val="21"/>
                    </w:rPr>
                  </w:pPr>
                  <w:r>
                    <w:rPr>
                      <w:szCs w:val="21"/>
                    </w:rPr>
                    <w:t>空气</w:t>
                  </w:r>
                </w:p>
              </w:tc>
              <w:tc>
                <w:tcPr>
                  <w:tcW w:w="839" w:type="pct"/>
                  <w:tcMar>
                    <w:left w:w="0" w:type="dxa"/>
                    <w:right w:w="0" w:type="dxa"/>
                  </w:tcMar>
                  <w:vAlign w:val="center"/>
                </w:tcPr>
                <w:p w14:paraId="0C85756F">
                  <w:pPr>
                    <w:jc w:val="center"/>
                    <w:rPr>
                      <w:szCs w:val="21"/>
                    </w:rPr>
                  </w:pPr>
                  <w:r>
                    <w:rPr>
                      <w:szCs w:val="21"/>
                    </w:rPr>
                    <w:t>四实验场</w:t>
                  </w:r>
                </w:p>
              </w:tc>
              <w:tc>
                <w:tcPr>
                  <w:tcW w:w="861" w:type="pct"/>
                  <w:tcMar>
                    <w:left w:w="0" w:type="dxa"/>
                    <w:right w:w="0" w:type="dxa"/>
                  </w:tcMar>
                  <w:vAlign w:val="center"/>
                </w:tcPr>
                <w:p w14:paraId="4FF0C81D">
                  <w:pPr>
                    <w:jc w:val="center"/>
                    <w:rPr>
                      <w:szCs w:val="21"/>
                    </w:rPr>
                  </w:pPr>
                  <w:r>
                    <w:rPr>
                      <w:szCs w:val="21"/>
                    </w:rPr>
                    <w:t>106°42′58.6</w:t>
                  </w:r>
                  <w:r>
                    <w:rPr>
                      <w:rFonts w:hint="eastAsia"/>
                      <w:szCs w:val="21"/>
                    </w:rPr>
                    <w:t>11</w:t>
                  </w:r>
                  <w:r>
                    <w:rPr>
                      <w:szCs w:val="21"/>
                    </w:rPr>
                    <w:t>″</w:t>
                  </w:r>
                </w:p>
              </w:tc>
              <w:tc>
                <w:tcPr>
                  <w:tcW w:w="778" w:type="pct"/>
                  <w:tcMar>
                    <w:left w:w="0" w:type="dxa"/>
                    <w:right w:w="0" w:type="dxa"/>
                  </w:tcMar>
                  <w:vAlign w:val="center"/>
                </w:tcPr>
                <w:p w14:paraId="769E1A4E">
                  <w:pPr>
                    <w:jc w:val="center"/>
                    <w:rPr>
                      <w:szCs w:val="21"/>
                    </w:rPr>
                  </w:pPr>
                  <w:r>
                    <w:rPr>
                      <w:szCs w:val="21"/>
                    </w:rPr>
                    <w:t>40°25′29.6</w:t>
                  </w:r>
                  <w:r>
                    <w:rPr>
                      <w:rFonts w:hint="eastAsia"/>
                      <w:szCs w:val="21"/>
                    </w:rPr>
                    <w:t>27</w:t>
                  </w:r>
                  <w:r>
                    <w:rPr>
                      <w:szCs w:val="21"/>
                    </w:rPr>
                    <w:t>″</w:t>
                  </w:r>
                </w:p>
              </w:tc>
              <w:tc>
                <w:tcPr>
                  <w:tcW w:w="494" w:type="pct"/>
                  <w:tcMar>
                    <w:left w:w="0" w:type="dxa"/>
                    <w:right w:w="0" w:type="dxa"/>
                  </w:tcMar>
                  <w:vAlign w:val="center"/>
                </w:tcPr>
                <w:p w14:paraId="78027E2D">
                  <w:pPr>
                    <w:jc w:val="center"/>
                    <w:rPr>
                      <w:szCs w:val="21"/>
                    </w:rPr>
                  </w:pPr>
                  <w:r>
                    <w:rPr>
                      <w:rFonts w:hint="eastAsia"/>
                      <w:szCs w:val="21"/>
                    </w:rPr>
                    <w:t>30户，100人</w:t>
                  </w:r>
                </w:p>
              </w:tc>
              <w:tc>
                <w:tcPr>
                  <w:tcW w:w="437" w:type="pct"/>
                  <w:vAlign w:val="center"/>
                </w:tcPr>
                <w:p w14:paraId="155D0B54">
                  <w:pPr>
                    <w:jc w:val="center"/>
                    <w:rPr>
                      <w:szCs w:val="21"/>
                    </w:rPr>
                  </w:pPr>
                  <w:r>
                    <w:rPr>
                      <w:szCs w:val="21"/>
                    </w:rPr>
                    <w:t>环境</w:t>
                  </w:r>
                </w:p>
                <w:p w14:paraId="428C69ED">
                  <w:pPr>
                    <w:jc w:val="center"/>
                    <w:rPr>
                      <w:szCs w:val="21"/>
                    </w:rPr>
                  </w:pPr>
                  <w:r>
                    <w:rPr>
                      <w:szCs w:val="21"/>
                    </w:rPr>
                    <w:t>空气</w:t>
                  </w:r>
                </w:p>
              </w:tc>
              <w:tc>
                <w:tcPr>
                  <w:tcW w:w="425" w:type="pct"/>
                  <w:vAlign w:val="center"/>
                </w:tcPr>
                <w:p w14:paraId="1A68CA90">
                  <w:pPr>
                    <w:jc w:val="center"/>
                    <w:rPr>
                      <w:szCs w:val="21"/>
                    </w:rPr>
                  </w:pPr>
                  <w:r>
                    <w:rPr>
                      <w:szCs w:val="21"/>
                    </w:rPr>
                    <w:t>二类功能区</w:t>
                  </w:r>
                </w:p>
              </w:tc>
              <w:tc>
                <w:tcPr>
                  <w:tcW w:w="298" w:type="pct"/>
                  <w:tcMar>
                    <w:left w:w="0" w:type="dxa"/>
                    <w:right w:w="0" w:type="dxa"/>
                  </w:tcMar>
                  <w:vAlign w:val="center"/>
                </w:tcPr>
                <w:p w14:paraId="16CE77BB">
                  <w:pPr>
                    <w:jc w:val="center"/>
                    <w:rPr>
                      <w:szCs w:val="21"/>
                    </w:rPr>
                  </w:pPr>
                  <w:r>
                    <w:rPr>
                      <w:rFonts w:hint="eastAsia"/>
                      <w:szCs w:val="21"/>
                    </w:rPr>
                    <w:t>东南</w:t>
                  </w:r>
                </w:p>
              </w:tc>
              <w:tc>
                <w:tcPr>
                  <w:tcW w:w="414" w:type="pct"/>
                  <w:vAlign w:val="center"/>
                </w:tcPr>
                <w:p w14:paraId="4425B258">
                  <w:pPr>
                    <w:jc w:val="center"/>
                    <w:rPr>
                      <w:szCs w:val="21"/>
                    </w:rPr>
                  </w:pPr>
                  <w:r>
                    <w:rPr>
                      <w:rFonts w:hint="eastAsia"/>
                      <w:szCs w:val="21"/>
                    </w:rPr>
                    <w:t>480</w:t>
                  </w:r>
                </w:p>
              </w:tc>
            </w:tr>
            <w:tr w14:paraId="02A2C6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454" w:type="pct"/>
                  <w:vAlign w:val="center"/>
                </w:tcPr>
                <w:p w14:paraId="4B16659D">
                  <w:pPr>
                    <w:widowControl/>
                    <w:jc w:val="center"/>
                    <w:rPr>
                      <w:szCs w:val="21"/>
                    </w:rPr>
                  </w:pPr>
                  <w:r>
                    <w:rPr>
                      <w:rFonts w:hint="eastAsia"/>
                      <w:szCs w:val="21"/>
                    </w:rPr>
                    <w:t>环境</w:t>
                  </w:r>
                </w:p>
                <w:p w14:paraId="40C967B5">
                  <w:pPr>
                    <w:widowControl/>
                    <w:jc w:val="center"/>
                    <w:rPr>
                      <w:szCs w:val="21"/>
                    </w:rPr>
                  </w:pPr>
                  <w:r>
                    <w:rPr>
                      <w:rFonts w:hint="eastAsia"/>
                      <w:szCs w:val="21"/>
                    </w:rPr>
                    <w:t>要素</w:t>
                  </w:r>
                </w:p>
              </w:tc>
              <w:tc>
                <w:tcPr>
                  <w:tcW w:w="839" w:type="pct"/>
                  <w:tcBorders>
                    <w:right w:val="single" w:color="auto" w:sz="4" w:space="0"/>
                  </w:tcBorders>
                  <w:vAlign w:val="center"/>
                </w:tcPr>
                <w:p w14:paraId="7A35B7A9">
                  <w:pPr>
                    <w:jc w:val="center"/>
                    <w:rPr>
                      <w:szCs w:val="21"/>
                    </w:rPr>
                  </w:pPr>
                  <w:r>
                    <w:rPr>
                      <w:rFonts w:hint="eastAsia"/>
                      <w:szCs w:val="21"/>
                    </w:rPr>
                    <w:t>保护目标</w:t>
                  </w:r>
                </w:p>
              </w:tc>
              <w:tc>
                <w:tcPr>
                  <w:tcW w:w="861" w:type="pct"/>
                  <w:tcBorders>
                    <w:left w:val="single" w:color="auto" w:sz="4" w:space="0"/>
                    <w:right w:val="single" w:color="auto" w:sz="4" w:space="0"/>
                  </w:tcBorders>
                  <w:vAlign w:val="center"/>
                </w:tcPr>
                <w:p w14:paraId="4F6DD953">
                  <w:pPr>
                    <w:jc w:val="center"/>
                    <w:rPr>
                      <w:szCs w:val="21"/>
                    </w:rPr>
                  </w:pPr>
                  <w:r>
                    <w:rPr>
                      <w:rFonts w:hint="eastAsia"/>
                      <w:szCs w:val="21"/>
                    </w:rPr>
                    <w:t>方位</w:t>
                  </w:r>
                </w:p>
              </w:tc>
              <w:tc>
                <w:tcPr>
                  <w:tcW w:w="778" w:type="pct"/>
                  <w:tcBorders>
                    <w:left w:val="single" w:color="auto" w:sz="4" w:space="0"/>
                  </w:tcBorders>
                  <w:vAlign w:val="center"/>
                </w:tcPr>
                <w:p w14:paraId="7198441C">
                  <w:pPr>
                    <w:jc w:val="center"/>
                    <w:rPr>
                      <w:szCs w:val="21"/>
                    </w:rPr>
                  </w:pPr>
                  <w:r>
                    <w:rPr>
                      <w:rFonts w:hint="eastAsia"/>
                      <w:szCs w:val="21"/>
                    </w:rPr>
                    <w:t>距离（m）</w:t>
                  </w:r>
                </w:p>
              </w:tc>
              <w:tc>
                <w:tcPr>
                  <w:tcW w:w="2069" w:type="pct"/>
                  <w:gridSpan w:val="5"/>
                  <w:vAlign w:val="center"/>
                </w:tcPr>
                <w:p w14:paraId="6C038251">
                  <w:pPr>
                    <w:jc w:val="center"/>
                    <w:rPr>
                      <w:szCs w:val="21"/>
                    </w:rPr>
                  </w:pPr>
                  <w:r>
                    <w:rPr>
                      <w:rFonts w:hint="eastAsia"/>
                      <w:szCs w:val="21"/>
                    </w:rPr>
                    <w:t>保护级别</w:t>
                  </w:r>
                </w:p>
              </w:tc>
            </w:tr>
            <w:tr w14:paraId="4E40A8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trPr>
              <w:tc>
                <w:tcPr>
                  <w:tcW w:w="454" w:type="pct"/>
                  <w:vAlign w:val="center"/>
                </w:tcPr>
                <w:p w14:paraId="7E57B2C3">
                  <w:pPr>
                    <w:widowControl/>
                    <w:jc w:val="center"/>
                    <w:rPr>
                      <w:szCs w:val="21"/>
                    </w:rPr>
                  </w:pPr>
                  <w:r>
                    <w:rPr>
                      <w:rFonts w:hint="eastAsia"/>
                      <w:szCs w:val="21"/>
                    </w:rPr>
                    <w:t>声环境</w:t>
                  </w:r>
                </w:p>
              </w:tc>
              <w:tc>
                <w:tcPr>
                  <w:tcW w:w="2478" w:type="pct"/>
                  <w:gridSpan w:val="3"/>
                  <w:vAlign w:val="center"/>
                </w:tcPr>
                <w:p w14:paraId="4FDE2972">
                  <w:pPr>
                    <w:jc w:val="center"/>
                    <w:rPr>
                      <w:szCs w:val="21"/>
                    </w:rPr>
                  </w:pPr>
                  <w:r>
                    <w:rPr>
                      <w:rFonts w:hint="eastAsia"/>
                      <w:szCs w:val="21"/>
                    </w:rPr>
                    <w:t>井场场界</w:t>
                  </w:r>
                  <w:r>
                    <w:rPr>
                      <w:szCs w:val="21"/>
                    </w:rPr>
                    <w:t>周围</w:t>
                  </w:r>
                  <w:r>
                    <w:rPr>
                      <w:rFonts w:hint="eastAsia"/>
                      <w:szCs w:val="21"/>
                    </w:rPr>
                    <w:t>5</w:t>
                  </w:r>
                  <w:r>
                    <w:rPr>
                      <w:szCs w:val="21"/>
                    </w:rPr>
                    <w:t>0m范围内无</w:t>
                  </w:r>
                  <w:r>
                    <w:rPr>
                      <w:rFonts w:hint="eastAsia"/>
                      <w:szCs w:val="21"/>
                    </w:rPr>
                    <w:t>声环境保护目标</w:t>
                  </w:r>
                </w:p>
              </w:tc>
              <w:tc>
                <w:tcPr>
                  <w:tcW w:w="2069" w:type="pct"/>
                  <w:gridSpan w:val="5"/>
                  <w:vAlign w:val="center"/>
                </w:tcPr>
                <w:p w14:paraId="26630A19">
                  <w:pPr>
                    <w:jc w:val="center"/>
                    <w:rPr>
                      <w:szCs w:val="21"/>
                    </w:rPr>
                  </w:pPr>
                  <w:r>
                    <w:rPr>
                      <w:szCs w:val="21"/>
                    </w:rPr>
                    <w:t>《声环境质量标准》（GB3096-2008）</w:t>
                  </w:r>
                  <w:r>
                    <w:rPr>
                      <w:rFonts w:hint="eastAsia"/>
                      <w:szCs w:val="21"/>
                    </w:rPr>
                    <w:t>1</w:t>
                  </w:r>
                  <w:r>
                    <w:rPr>
                      <w:szCs w:val="21"/>
                    </w:rPr>
                    <w:t>类功能区标准</w:t>
                  </w:r>
                </w:p>
              </w:tc>
            </w:tr>
            <w:tr w14:paraId="1E47A0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trPr>
              <w:tc>
                <w:tcPr>
                  <w:tcW w:w="454" w:type="pct"/>
                  <w:vAlign w:val="center"/>
                </w:tcPr>
                <w:p w14:paraId="68860AC7">
                  <w:pPr>
                    <w:jc w:val="center"/>
                    <w:rPr>
                      <w:szCs w:val="21"/>
                    </w:rPr>
                  </w:pPr>
                  <w:r>
                    <w:rPr>
                      <w:rFonts w:hint="eastAsia"/>
                      <w:szCs w:val="21"/>
                    </w:rPr>
                    <w:t>地下水</w:t>
                  </w:r>
                  <w:r>
                    <w:rPr>
                      <w:szCs w:val="21"/>
                    </w:rPr>
                    <w:t>环境</w:t>
                  </w:r>
                </w:p>
              </w:tc>
              <w:tc>
                <w:tcPr>
                  <w:tcW w:w="2478" w:type="pct"/>
                  <w:gridSpan w:val="3"/>
                  <w:vAlign w:val="center"/>
                </w:tcPr>
                <w:p w14:paraId="2DA53C09">
                  <w:pPr>
                    <w:jc w:val="center"/>
                    <w:rPr>
                      <w:szCs w:val="21"/>
                    </w:rPr>
                  </w:pPr>
                  <w:r>
                    <w:rPr>
                      <w:rFonts w:hint="eastAsia"/>
                      <w:szCs w:val="21"/>
                    </w:rPr>
                    <w:t>井场场界外500范围内无地下水集中式饮用水水源、矿泉水、温泉等特殊地下水资源。</w:t>
                  </w:r>
                </w:p>
              </w:tc>
              <w:tc>
                <w:tcPr>
                  <w:tcW w:w="2069" w:type="pct"/>
                  <w:gridSpan w:val="5"/>
                  <w:vAlign w:val="center"/>
                </w:tcPr>
                <w:p w14:paraId="57019003">
                  <w:pPr>
                    <w:jc w:val="center"/>
                    <w:rPr>
                      <w:szCs w:val="21"/>
                    </w:rPr>
                  </w:pPr>
                  <w:r>
                    <w:rPr>
                      <w:szCs w:val="21"/>
                    </w:rPr>
                    <w:t>维持</w:t>
                  </w:r>
                  <w:r>
                    <w:rPr>
                      <w:rFonts w:hint="eastAsia"/>
                      <w:szCs w:val="21"/>
                    </w:rPr>
                    <w:t>现有</w:t>
                  </w:r>
                  <w:r>
                    <w:rPr>
                      <w:szCs w:val="21"/>
                    </w:rPr>
                    <w:t>功能</w:t>
                  </w:r>
                  <w:r>
                    <w:rPr>
                      <w:rFonts w:hint="eastAsia"/>
                      <w:szCs w:val="21"/>
                    </w:rPr>
                    <w:t>，</w:t>
                  </w:r>
                  <w:r>
                    <w:rPr>
                      <w:szCs w:val="21"/>
                    </w:rPr>
                    <w:t>不影响</w:t>
                  </w:r>
                  <w:r>
                    <w:rPr>
                      <w:rFonts w:hint="eastAsia"/>
                      <w:szCs w:val="21"/>
                    </w:rPr>
                    <w:t>地下水</w:t>
                  </w:r>
                  <w:r>
                    <w:rPr>
                      <w:szCs w:val="21"/>
                    </w:rPr>
                    <w:t>环境质量</w:t>
                  </w:r>
                </w:p>
              </w:tc>
            </w:tr>
            <w:tr w14:paraId="0FD166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trPr>
              <w:tc>
                <w:tcPr>
                  <w:tcW w:w="454" w:type="pct"/>
                  <w:vAlign w:val="center"/>
                </w:tcPr>
                <w:p w14:paraId="0201F19D">
                  <w:pPr>
                    <w:jc w:val="center"/>
                    <w:rPr>
                      <w:szCs w:val="21"/>
                    </w:rPr>
                  </w:pPr>
                  <w:r>
                    <w:rPr>
                      <w:rFonts w:hint="eastAsia"/>
                      <w:szCs w:val="21"/>
                    </w:rPr>
                    <w:t>土壤</w:t>
                  </w:r>
                </w:p>
                <w:p w14:paraId="26DEFE88">
                  <w:pPr>
                    <w:jc w:val="center"/>
                    <w:rPr>
                      <w:szCs w:val="21"/>
                    </w:rPr>
                  </w:pPr>
                  <w:r>
                    <w:rPr>
                      <w:rFonts w:hint="eastAsia"/>
                      <w:szCs w:val="21"/>
                    </w:rPr>
                    <w:t>环境</w:t>
                  </w:r>
                </w:p>
              </w:tc>
              <w:tc>
                <w:tcPr>
                  <w:tcW w:w="2478" w:type="pct"/>
                  <w:gridSpan w:val="3"/>
                  <w:vAlign w:val="center"/>
                </w:tcPr>
                <w:p w14:paraId="4FA6918D">
                  <w:pPr>
                    <w:jc w:val="center"/>
                    <w:rPr>
                      <w:szCs w:val="21"/>
                    </w:rPr>
                  </w:pPr>
                  <w:r>
                    <w:rPr>
                      <w:rFonts w:hint="eastAsia"/>
                      <w:szCs w:val="21"/>
                    </w:rPr>
                    <w:t>项目临时占地范围内及占地范围外的牧草地</w:t>
                  </w:r>
                </w:p>
              </w:tc>
              <w:tc>
                <w:tcPr>
                  <w:tcW w:w="2069" w:type="pct"/>
                  <w:gridSpan w:val="5"/>
                  <w:vAlign w:val="center"/>
                </w:tcPr>
                <w:p w14:paraId="1CB81525">
                  <w:pPr>
                    <w:jc w:val="center"/>
                    <w:rPr>
                      <w:szCs w:val="21"/>
                    </w:rPr>
                  </w:pPr>
                  <w:r>
                    <w:rPr>
                      <w:szCs w:val="21"/>
                    </w:rPr>
                    <w:t>维持原有功能</w:t>
                  </w:r>
                  <w:r>
                    <w:rPr>
                      <w:rFonts w:hint="eastAsia"/>
                      <w:szCs w:val="21"/>
                    </w:rPr>
                    <w:t>，</w:t>
                  </w:r>
                  <w:r>
                    <w:rPr>
                      <w:szCs w:val="21"/>
                    </w:rPr>
                    <w:t>不影响土壤环境质量</w:t>
                  </w:r>
                </w:p>
              </w:tc>
            </w:tr>
            <w:tr w14:paraId="649283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trPr>
              <w:tc>
                <w:tcPr>
                  <w:tcW w:w="454" w:type="pct"/>
                  <w:vAlign w:val="center"/>
                </w:tcPr>
                <w:p w14:paraId="55A52CC8">
                  <w:pPr>
                    <w:jc w:val="center"/>
                    <w:rPr>
                      <w:szCs w:val="21"/>
                    </w:rPr>
                  </w:pPr>
                  <w:r>
                    <w:rPr>
                      <w:szCs w:val="21"/>
                    </w:rPr>
                    <w:t>生态</w:t>
                  </w:r>
                </w:p>
                <w:p w14:paraId="0A2EE15C">
                  <w:pPr>
                    <w:jc w:val="center"/>
                    <w:rPr>
                      <w:szCs w:val="21"/>
                    </w:rPr>
                  </w:pPr>
                  <w:r>
                    <w:rPr>
                      <w:szCs w:val="21"/>
                    </w:rPr>
                    <w:t>环境</w:t>
                  </w:r>
                </w:p>
              </w:tc>
              <w:tc>
                <w:tcPr>
                  <w:tcW w:w="2478" w:type="pct"/>
                  <w:gridSpan w:val="3"/>
                  <w:vAlign w:val="center"/>
                </w:tcPr>
                <w:p w14:paraId="213C2867">
                  <w:pPr>
                    <w:jc w:val="center"/>
                    <w:rPr>
                      <w:szCs w:val="21"/>
                    </w:rPr>
                  </w:pPr>
                  <w:r>
                    <w:rPr>
                      <w:szCs w:val="21"/>
                    </w:rPr>
                    <w:t>周围</w:t>
                  </w:r>
                  <w:r>
                    <w:rPr>
                      <w:rFonts w:hint="eastAsia"/>
                      <w:szCs w:val="21"/>
                    </w:rPr>
                    <w:t>50</w:t>
                  </w:r>
                  <w:r>
                    <w:rPr>
                      <w:szCs w:val="21"/>
                    </w:rPr>
                    <w:t>m范围内</w:t>
                  </w:r>
                  <w:r>
                    <w:rPr>
                      <w:rFonts w:hint="eastAsia"/>
                      <w:szCs w:val="21"/>
                    </w:rPr>
                    <w:t>天然牧草地、其他草地、野生动植物</w:t>
                  </w:r>
                  <w:r>
                    <w:rPr>
                      <w:rFonts w:hint="eastAsia"/>
                    </w:rPr>
                    <w:t>；黄河多沙粗沙国家级水土流失重点治理区</w:t>
                  </w:r>
                </w:p>
              </w:tc>
              <w:tc>
                <w:tcPr>
                  <w:tcW w:w="2069" w:type="pct"/>
                  <w:gridSpan w:val="5"/>
                  <w:vAlign w:val="center"/>
                </w:tcPr>
                <w:p w14:paraId="5E1B8476">
                  <w:pPr>
                    <w:jc w:val="center"/>
                    <w:rPr>
                      <w:szCs w:val="21"/>
                    </w:rPr>
                  </w:pPr>
                  <w:r>
                    <w:rPr>
                      <w:rFonts w:hint="eastAsia"/>
                      <w:szCs w:val="21"/>
                    </w:rPr>
                    <w:t>维持现有功能，不影响野生植被正常生长和野生动物栖息繁衍，植被覆盖度不降低。</w:t>
                  </w:r>
                </w:p>
              </w:tc>
            </w:tr>
            <w:tr w14:paraId="04F40F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trPr>
              <w:tc>
                <w:tcPr>
                  <w:tcW w:w="454" w:type="pct"/>
                  <w:vAlign w:val="center"/>
                </w:tcPr>
                <w:p w14:paraId="5EDC7700">
                  <w:pPr>
                    <w:jc w:val="center"/>
                    <w:rPr>
                      <w:szCs w:val="21"/>
                    </w:rPr>
                  </w:pPr>
                  <w:r>
                    <w:rPr>
                      <w:szCs w:val="21"/>
                    </w:rPr>
                    <w:t>风险</w:t>
                  </w:r>
                </w:p>
                <w:p w14:paraId="40D9C8BC">
                  <w:pPr>
                    <w:jc w:val="center"/>
                    <w:rPr>
                      <w:szCs w:val="21"/>
                    </w:rPr>
                  </w:pPr>
                  <w:r>
                    <w:rPr>
                      <w:szCs w:val="21"/>
                    </w:rPr>
                    <w:t>环境</w:t>
                  </w:r>
                </w:p>
              </w:tc>
              <w:tc>
                <w:tcPr>
                  <w:tcW w:w="4546" w:type="pct"/>
                  <w:gridSpan w:val="8"/>
                  <w:vAlign w:val="center"/>
                </w:tcPr>
                <w:p w14:paraId="668D5DFE">
                  <w:pPr>
                    <w:ind w:firstLine="420" w:firstLineChars="200"/>
                    <w:jc w:val="left"/>
                    <w:rPr>
                      <w:szCs w:val="21"/>
                    </w:rPr>
                  </w:pPr>
                  <w:r>
                    <w:rPr>
                      <w:szCs w:val="21"/>
                    </w:rPr>
                    <w:t>根据《建设项目环境风险评价技术导则》（HJ169-2018）附录B，项目Q＜1，风险潜势为I级，仅进行简单分析，不设环境风险评价范围</w:t>
                  </w:r>
                  <w:r>
                    <w:rPr>
                      <w:rFonts w:hint="eastAsia"/>
                      <w:szCs w:val="21"/>
                    </w:rPr>
                    <w:t>。</w:t>
                  </w:r>
                </w:p>
              </w:tc>
            </w:tr>
          </w:tbl>
          <w:p w14:paraId="7DE95D25">
            <w:pPr>
              <w:spacing w:before="120" w:beforeLines="50" w:line="360" w:lineRule="auto"/>
              <w:jc w:val="center"/>
              <w:rPr>
                <w:kern w:val="0"/>
                <w:sz w:val="24"/>
                <w:szCs w:val="21"/>
              </w:rPr>
            </w:pPr>
          </w:p>
        </w:tc>
      </w:tr>
      <w:tr w14:paraId="5B3F6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7" w:type="dxa"/>
            <w:vAlign w:val="center"/>
          </w:tcPr>
          <w:p w14:paraId="2966380E">
            <w:pPr>
              <w:adjustRightInd w:val="0"/>
              <w:snapToGrid w:val="0"/>
              <w:jc w:val="center"/>
              <w:rPr>
                <w:b/>
                <w:kern w:val="0"/>
                <w:sz w:val="24"/>
              </w:rPr>
            </w:pPr>
            <w:r>
              <w:rPr>
                <w:b/>
                <w:kern w:val="0"/>
                <w:sz w:val="24"/>
              </w:rPr>
              <w:t>评价</w:t>
            </w:r>
          </w:p>
          <w:p w14:paraId="1CF89797">
            <w:pPr>
              <w:adjustRightInd w:val="0"/>
              <w:snapToGrid w:val="0"/>
              <w:jc w:val="center"/>
              <w:rPr>
                <w:kern w:val="0"/>
                <w:szCs w:val="21"/>
              </w:rPr>
            </w:pPr>
            <w:r>
              <w:rPr>
                <w:b/>
                <w:kern w:val="0"/>
                <w:sz w:val="24"/>
              </w:rPr>
              <w:t>标准</w:t>
            </w:r>
          </w:p>
        </w:tc>
        <w:tc>
          <w:tcPr>
            <w:tcW w:w="8450" w:type="dxa"/>
            <w:vAlign w:val="center"/>
          </w:tcPr>
          <w:p w14:paraId="5F392129">
            <w:pPr>
              <w:spacing w:before="120" w:beforeLines="50" w:line="360" w:lineRule="auto"/>
              <w:ind w:firstLine="482" w:firstLineChars="200"/>
              <w:rPr>
                <w:b/>
                <w:sz w:val="24"/>
              </w:rPr>
            </w:pPr>
            <w:r>
              <w:rPr>
                <w:rFonts w:hint="eastAsia"/>
                <w:b/>
                <w:sz w:val="24"/>
              </w:rPr>
              <w:t>一、环境质量标准</w:t>
            </w:r>
          </w:p>
          <w:p w14:paraId="4E6A1675">
            <w:pPr>
              <w:spacing w:line="360" w:lineRule="auto"/>
              <w:ind w:firstLine="456" w:firstLineChars="200"/>
              <w:rPr>
                <w:spacing w:val="-6"/>
                <w:sz w:val="24"/>
              </w:rPr>
            </w:pPr>
            <w:r>
              <w:rPr>
                <w:spacing w:val="-6"/>
                <w:sz w:val="24"/>
              </w:rPr>
              <w:t>1、大气环境</w:t>
            </w:r>
          </w:p>
          <w:p w14:paraId="09724493">
            <w:pPr>
              <w:spacing w:line="360" w:lineRule="auto"/>
              <w:ind w:firstLine="456" w:firstLineChars="200"/>
              <w:rPr>
                <w:sz w:val="24"/>
              </w:rPr>
            </w:pPr>
            <w:r>
              <w:rPr>
                <w:spacing w:val="-6"/>
                <w:sz w:val="24"/>
              </w:rPr>
              <w:t>大气环境执行《环境空气质量标准》（GB3095-20</w:t>
            </w:r>
            <w:r>
              <w:rPr>
                <w:rFonts w:hint="eastAsia"/>
                <w:spacing w:val="-6"/>
                <w:sz w:val="24"/>
              </w:rPr>
              <w:t>26</w:t>
            </w:r>
            <w:r>
              <w:rPr>
                <w:spacing w:val="-6"/>
                <w:sz w:val="24"/>
              </w:rPr>
              <w:t>）中过渡阶段二级</w:t>
            </w:r>
            <w:r>
              <w:rPr>
                <w:rFonts w:hint="eastAsia"/>
                <w:spacing w:val="-6"/>
                <w:sz w:val="24"/>
              </w:rPr>
              <w:t>浓度限值</w:t>
            </w:r>
            <w:r>
              <w:rPr>
                <w:sz w:val="24"/>
              </w:rPr>
              <w:t>，</w:t>
            </w:r>
            <w:r>
              <w:rPr>
                <w:rFonts w:hint="eastAsia"/>
                <w:sz w:val="24"/>
              </w:rPr>
              <w:t>非甲烷总烃参照执行</w:t>
            </w:r>
            <w:r>
              <w:rPr>
                <w:sz w:val="24"/>
              </w:rPr>
              <w:t>《大气污染物综合排放标准详解》中要求。</w:t>
            </w:r>
          </w:p>
          <w:p w14:paraId="3EE1EB97">
            <w:pPr>
              <w:adjustRightInd w:val="0"/>
              <w:snapToGrid w:val="0"/>
              <w:spacing w:line="360" w:lineRule="exact"/>
              <w:jc w:val="center"/>
              <w:rPr>
                <w:b/>
                <w:sz w:val="24"/>
              </w:rPr>
            </w:pPr>
            <w:r>
              <w:rPr>
                <w:b/>
                <w:spacing w:val="9"/>
                <w:sz w:val="24"/>
              </w:rPr>
              <w:t>表3-</w:t>
            </w:r>
            <w:r>
              <w:rPr>
                <w:rFonts w:hint="eastAsia"/>
                <w:b/>
                <w:spacing w:val="9"/>
                <w:sz w:val="24"/>
              </w:rPr>
              <w:t xml:space="preserve">6 </w:t>
            </w:r>
            <w:r>
              <w:rPr>
                <w:b/>
                <w:sz w:val="24"/>
              </w:rPr>
              <w:t>环境空气质量标准限值</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1844"/>
              <w:gridCol w:w="2195"/>
              <w:gridCol w:w="2914"/>
            </w:tblGrid>
            <w:tr w14:paraId="646D31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Align w:val="center"/>
                </w:tcPr>
                <w:p w14:paraId="18CBE611">
                  <w:pPr>
                    <w:jc w:val="center"/>
                    <w:rPr>
                      <w:szCs w:val="21"/>
                    </w:rPr>
                  </w:pPr>
                  <w:r>
                    <w:rPr>
                      <w:szCs w:val="21"/>
                    </w:rPr>
                    <w:t>污染物名称</w:t>
                  </w:r>
                </w:p>
              </w:tc>
              <w:tc>
                <w:tcPr>
                  <w:tcW w:w="1120" w:type="pct"/>
                  <w:vAlign w:val="center"/>
                </w:tcPr>
                <w:p w14:paraId="3872703E">
                  <w:pPr>
                    <w:jc w:val="center"/>
                    <w:rPr>
                      <w:szCs w:val="21"/>
                    </w:rPr>
                  </w:pPr>
                  <w:r>
                    <w:rPr>
                      <w:szCs w:val="21"/>
                    </w:rPr>
                    <w:t>取值时</w:t>
                  </w:r>
                </w:p>
              </w:tc>
              <w:tc>
                <w:tcPr>
                  <w:tcW w:w="1333" w:type="pct"/>
                  <w:vAlign w:val="center"/>
                </w:tcPr>
                <w:p w14:paraId="1B7898C9">
                  <w:pPr>
                    <w:jc w:val="center"/>
                    <w:rPr>
                      <w:szCs w:val="21"/>
                    </w:rPr>
                  </w:pPr>
                  <w:r>
                    <w:rPr>
                      <w:szCs w:val="21"/>
                    </w:rPr>
                    <w:t>浓度限值（二级标准）</w:t>
                  </w:r>
                </w:p>
              </w:tc>
              <w:tc>
                <w:tcPr>
                  <w:tcW w:w="1769" w:type="pct"/>
                  <w:vAlign w:val="center"/>
                </w:tcPr>
                <w:p w14:paraId="3E519634">
                  <w:pPr>
                    <w:jc w:val="center"/>
                    <w:rPr>
                      <w:szCs w:val="21"/>
                    </w:rPr>
                  </w:pPr>
                  <w:r>
                    <w:rPr>
                      <w:szCs w:val="21"/>
                    </w:rPr>
                    <w:t>执行标准</w:t>
                  </w:r>
                </w:p>
              </w:tc>
            </w:tr>
            <w:tr w14:paraId="67B872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vAlign w:val="center"/>
                </w:tcPr>
                <w:p w14:paraId="67BCBC88">
                  <w:pPr>
                    <w:jc w:val="center"/>
                    <w:rPr>
                      <w:szCs w:val="21"/>
                    </w:rPr>
                  </w:pPr>
                  <w:r>
                    <w:rPr>
                      <w:szCs w:val="21"/>
                    </w:rPr>
                    <w:t>PM</w:t>
                  </w:r>
                  <w:r>
                    <w:rPr>
                      <w:szCs w:val="21"/>
                      <w:vertAlign w:val="subscript"/>
                    </w:rPr>
                    <w:t>2.5</w:t>
                  </w:r>
                </w:p>
              </w:tc>
              <w:tc>
                <w:tcPr>
                  <w:tcW w:w="1120" w:type="pct"/>
                  <w:vAlign w:val="center"/>
                </w:tcPr>
                <w:p w14:paraId="5C4D5F8B">
                  <w:pPr>
                    <w:jc w:val="center"/>
                    <w:rPr>
                      <w:szCs w:val="21"/>
                    </w:rPr>
                  </w:pPr>
                  <w:r>
                    <w:rPr>
                      <w:szCs w:val="21"/>
                    </w:rPr>
                    <w:t>年</w:t>
                  </w:r>
                  <w:r>
                    <w:rPr>
                      <w:rFonts w:hint="eastAsia"/>
                      <w:szCs w:val="21"/>
                    </w:rPr>
                    <w:t>平</w:t>
                  </w:r>
                  <w:r>
                    <w:rPr>
                      <w:szCs w:val="21"/>
                    </w:rPr>
                    <w:t>均</w:t>
                  </w:r>
                </w:p>
              </w:tc>
              <w:tc>
                <w:tcPr>
                  <w:tcW w:w="1333" w:type="pct"/>
                  <w:vAlign w:val="center"/>
                </w:tcPr>
                <w:p w14:paraId="5D1037A4">
                  <w:pPr>
                    <w:jc w:val="center"/>
                    <w:rPr>
                      <w:szCs w:val="21"/>
                    </w:rPr>
                  </w:pPr>
                  <w:r>
                    <w:rPr>
                      <w:szCs w:val="21"/>
                    </w:rPr>
                    <w:t>3</w:t>
                  </w:r>
                  <w:r>
                    <w:rPr>
                      <w:rFonts w:hint="eastAsia"/>
                      <w:szCs w:val="21"/>
                    </w:rPr>
                    <w:t>0</w:t>
                  </w:r>
                  <w:r>
                    <w:rPr>
                      <w:szCs w:val="21"/>
                    </w:rPr>
                    <w:t>μg/m</w:t>
                  </w:r>
                  <w:r>
                    <w:rPr>
                      <w:szCs w:val="21"/>
                      <w:vertAlign w:val="superscript"/>
                    </w:rPr>
                    <w:t>3</w:t>
                  </w:r>
                </w:p>
              </w:tc>
              <w:tc>
                <w:tcPr>
                  <w:tcW w:w="1769" w:type="pct"/>
                  <w:vMerge w:val="restart"/>
                  <w:vAlign w:val="center"/>
                </w:tcPr>
                <w:p w14:paraId="14FB2B0E">
                  <w:pPr>
                    <w:autoSpaceDE w:val="0"/>
                    <w:autoSpaceDN w:val="0"/>
                    <w:adjustRightInd w:val="0"/>
                    <w:jc w:val="center"/>
                    <w:rPr>
                      <w:kern w:val="0"/>
                    </w:rPr>
                  </w:pPr>
                  <w:r>
                    <w:rPr>
                      <w:szCs w:val="21"/>
                    </w:rPr>
                    <w:t>《环境空气质量标准</w:t>
                  </w:r>
                  <w:r>
                    <w:rPr>
                      <w:rFonts w:hint="eastAsia"/>
                      <w:szCs w:val="21"/>
                    </w:rPr>
                    <w:t>》</w:t>
                  </w:r>
                  <w:r>
                    <w:rPr>
                      <w:szCs w:val="21"/>
                    </w:rPr>
                    <w:t>（GB3095-20</w:t>
                  </w:r>
                  <w:r>
                    <w:rPr>
                      <w:rFonts w:hint="eastAsia"/>
                      <w:szCs w:val="21"/>
                    </w:rPr>
                    <w:t>26</w:t>
                  </w:r>
                  <w:r>
                    <w:rPr>
                      <w:szCs w:val="21"/>
                    </w:rPr>
                    <w:t>）过渡阶段二级</w:t>
                  </w:r>
                  <w:r>
                    <w:rPr>
                      <w:rFonts w:hint="eastAsia"/>
                      <w:szCs w:val="21"/>
                    </w:rPr>
                    <w:t>浓度限值</w:t>
                  </w:r>
                </w:p>
              </w:tc>
            </w:tr>
            <w:tr w14:paraId="45319F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011192C9">
                  <w:pPr>
                    <w:jc w:val="center"/>
                    <w:rPr>
                      <w:szCs w:val="21"/>
                    </w:rPr>
                  </w:pPr>
                </w:p>
              </w:tc>
              <w:tc>
                <w:tcPr>
                  <w:tcW w:w="1120" w:type="pct"/>
                  <w:vAlign w:val="center"/>
                </w:tcPr>
                <w:p w14:paraId="64D3E6F0">
                  <w:pPr>
                    <w:jc w:val="center"/>
                    <w:rPr>
                      <w:szCs w:val="21"/>
                    </w:rPr>
                  </w:pPr>
                  <w:r>
                    <w:rPr>
                      <w:szCs w:val="21"/>
                    </w:rPr>
                    <w:t>24小时平均</w:t>
                  </w:r>
                </w:p>
              </w:tc>
              <w:tc>
                <w:tcPr>
                  <w:tcW w:w="1333" w:type="pct"/>
                  <w:vAlign w:val="center"/>
                </w:tcPr>
                <w:p w14:paraId="68066989">
                  <w:pPr>
                    <w:jc w:val="center"/>
                    <w:rPr>
                      <w:szCs w:val="21"/>
                    </w:rPr>
                  </w:pPr>
                  <w:r>
                    <w:rPr>
                      <w:rFonts w:hint="eastAsia"/>
                      <w:szCs w:val="21"/>
                    </w:rPr>
                    <w:t>60</w:t>
                  </w:r>
                  <w:r>
                    <w:rPr>
                      <w:szCs w:val="21"/>
                    </w:rPr>
                    <w:t>μg/m</w:t>
                  </w:r>
                  <w:r>
                    <w:rPr>
                      <w:szCs w:val="21"/>
                      <w:vertAlign w:val="superscript"/>
                    </w:rPr>
                    <w:t>3</w:t>
                  </w:r>
                </w:p>
              </w:tc>
              <w:tc>
                <w:tcPr>
                  <w:tcW w:w="1769" w:type="pct"/>
                  <w:vMerge w:val="continue"/>
                  <w:vAlign w:val="center"/>
                </w:tcPr>
                <w:p w14:paraId="213C1FFF">
                  <w:pPr>
                    <w:autoSpaceDE w:val="0"/>
                    <w:autoSpaceDN w:val="0"/>
                    <w:adjustRightInd w:val="0"/>
                    <w:jc w:val="center"/>
                    <w:rPr>
                      <w:kern w:val="0"/>
                    </w:rPr>
                  </w:pPr>
                </w:p>
              </w:tc>
            </w:tr>
            <w:tr w14:paraId="5AB279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vAlign w:val="center"/>
                </w:tcPr>
                <w:p w14:paraId="76082F67">
                  <w:pPr>
                    <w:jc w:val="center"/>
                    <w:rPr>
                      <w:szCs w:val="21"/>
                    </w:rPr>
                  </w:pPr>
                  <w:r>
                    <w:rPr>
                      <w:szCs w:val="21"/>
                    </w:rPr>
                    <w:t>PM</w:t>
                  </w:r>
                  <w:r>
                    <w:rPr>
                      <w:szCs w:val="21"/>
                      <w:vertAlign w:val="subscript"/>
                    </w:rPr>
                    <w:t>10</w:t>
                  </w:r>
                </w:p>
              </w:tc>
              <w:tc>
                <w:tcPr>
                  <w:tcW w:w="1120" w:type="pct"/>
                  <w:vAlign w:val="center"/>
                </w:tcPr>
                <w:p w14:paraId="223A565E">
                  <w:pPr>
                    <w:jc w:val="center"/>
                    <w:rPr>
                      <w:szCs w:val="21"/>
                    </w:rPr>
                  </w:pPr>
                  <w:r>
                    <w:rPr>
                      <w:szCs w:val="21"/>
                    </w:rPr>
                    <w:t>年平均</w:t>
                  </w:r>
                </w:p>
              </w:tc>
              <w:tc>
                <w:tcPr>
                  <w:tcW w:w="1333" w:type="pct"/>
                  <w:vAlign w:val="center"/>
                </w:tcPr>
                <w:p w14:paraId="1FF0ACCF">
                  <w:pPr>
                    <w:jc w:val="center"/>
                    <w:rPr>
                      <w:szCs w:val="21"/>
                    </w:rPr>
                  </w:pPr>
                  <w:r>
                    <w:rPr>
                      <w:rFonts w:hint="eastAsia"/>
                      <w:szCs w:val="21"/>
                    </w:rPr>
                    <w:t>60</w:t>
                  </w:r>
                  <w:r>
                    <w:rPr>
                      <w:szCs w:val="21"/>
                    </w:rPr>
                    <w:t>μg/m</w:t>
                  </w:r>
                  <w:r>
                    <w:rPr>
                      <w:szCs w:val="21"/>
                      <w:vertAlign w:val="superscript"/>
                    </w:rPr>
                    <w:t>3</w:t>
                  </w:r>
                </w:p>
              </w:tc>
              <w:tc>
                <w:tcPr>
                  <w:tcW w:w="1769" w:type="pct"/>
                  <w:vMerge w:val="continue"/>
                  <w:vAlign w:val="center"/>
                </w:tcPr>
                <w:p w14:paraId="66438696">
                  <w:pPr>
                    <w:autoSpaceDE w:val="0"/>
                    <w:autoSpaceDN w:val="0"/>
                    <w:adjustRightInd w:val="0"/>
                    <w:jc w:val="center"/>
                    <w:rPr>
                      <w:kern w:val="0"/>
                    </w:rPr>
                  </w:pPr>
                </w:p>
              </w:tc>
            </w:tr>
            <w:tr w14:paraId="24EB33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5F8D634C">
                  <w:pPr>
                    <w:jc w:val="center"/>
                    <w:rPr>
                      <w:szCs w:val="21"/>
                    </w:rPr>
                  </w:pPr>
                </w:p>
              </w:tc>
              <w:tc>
                <w:tcPr>
                  <w:tcW w:w="1120" w:type="pct"/>
                  <w:vAlign w:val="center"/>
                </w:tcPr>
                <w:p w14:paraId="7B2694B9">
                  <w:pPr>
                    <w:jc w:val="center"/>
                    <w:rPr>
                      <w:szCs w:val="21"/>
                    </w:rPr>
                  </w:pPr>
                  <w:r>
                    <w:rPr>
                      <w:szCs w:val="21"/>
                    </w:rPr>
                    <w:t>24小时平均</w:t>
                  </w:r>
                </w:p>
              </w:tc>
              <w:tc>
                <w:tcPr>
                  <w:tcW w:w="1333" w:type="pct"/>
                  <w:vAlign w:val="center"/>
                </w:tcPr>
                <w:p w14:paraId="3DD29BD6">
                  <w:pPr>
                    <w:jc w:val="center"/>
                    <w:rPr>
                      <w:szCs w:val="21"/>
                    </w:rPr>
                  </w:pPr>
                  <w:r>
                    <w:rPr>
                      <w:rFonts w:hint="eastAsia"/>
                      <w:szCs w:val="21"/>
                    </w:rPr>
                    <w:t>120</w:t>
                  </w:r>
                  <w:r>
                    <w:rPr>
                      <w:szCs w:val="21"/>
                    </w:rPr>
                    <w:t>μg/m</w:t>
                  </w:r>
                  <w:r>
                    <w:rPr>
                      <w:szCs w:val="21"/>
                      <w:vertAlign w:val="superscript"/>
                    </w:rPr>
                    <w:t>3</w:t>
                  </w:r>
                </w:p>
              </w:tc>
              <w:tc>
                <w:tcPr>
                  <w:tcW w:w="1769" w:type="pct"/>
                  <w:vMerge w:val="continue"/>
                  <w:vAlign w:val="center"/>
                </w:tcPr>
                <w:p w14:paraId="5103FC4B">
                  <w:pPr>
                    <w:autoSpaceDE w:val="0"/>
                    <w:autoSpaceDN w:val="0"/>
                    <w:adjustRightInd w:val="0"/>
                    <w:jc w:val="center"/>
                    <w:rPr>
                      <w:kern w:val="0"/>
                    </w:rPr>
                  </w:pPr>
                </w:p>
              </w:tc>
            </w:tr>
            <w:tr w14:paraId="64082F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vAlign w:val="center"/>
                </w:tcPr>
                <w:p w14:paraId="001C3421">
                  <w:pPr>
                    <w:jc w:val="center"/>
                    <w:rPr>
                      <w:szCs w:val="21"/>
                    </w:rPr>
                  </w:pPr>
                  <w:r>
                    <w:rPr>
                      <w:szCs w:val="21"/>
                    </w:rPr>
                    <w:t>SO</w:t>
                  </w:r>
                  <w:r>
                    <w:rPr>
                      <w:szCs w:val="21"/>
                      <w:vertAlign w:val="subscript"/>
                    </w:rPr>
                    <w:t>2</w:t>
                  </w:r>
                </w:p>
              </w:tc>
              <w:tc>
                <w:tcPr>
                  <w:tcW w:w="1120" w:type="pct"/>
                  <w:vAlign w:val="center"/>
                </w:tcPr>
                <w:p w14:paraId="3C337EA0">
                  <w:pPr>
                    <w:jc w:val="center"/>
                    <w:rPr>
                      <w:szCs w:val="21"/>
                    </w:rPr>
                  </w:pPr>
                  <w:r>
                    <w:rPr>
                      <w:szCs w:val="21"/>
                    </w:rPr>
                    <w:t>年</w:t>
                  </w:r>
                  <w:r>
                    <w:rPr>
                      <w:szCs w:val="21"/>
                    </w:rPr>
                    <w:cr/>
                  </w:r>
                  <w:r>
                    <w:rPr>
                      <w:szCs w:val="21"/>
                    </w:rPr>
                    <w:t>均</w:t>
                  </w:r>
                </w:p>
              </w:tc>
              <w:tc>
                <w:tcPr>
                  <w:tcW w:w="1333" w:type="pct"/>
                  <w:vAlign w:val="center"/>
                </w:tcPr>
                <w:p w14:paraId="13E457F3">
                  <w:pPr>
                    <w:jc w:val="center"/>
                    <w:rPr>
                      <w:szCs w:val="21"/>
                    </w:rPr>
                  </w:pPr>
                  <w:r>
                    <w:rPr>
                      <w:szCs w:val="21"/>
                    </w:rPr>
                    <w:t>60μg/m</w:t>
                  </w:r>
                  <w:r>
                    <w:rPr>
                      <w:szCs w:val="21"/>
                      <w:vertAlign w:val="superscript"/>
                    </w:rPr>
                    <w:t>3</w:t>
                  </w:r>
                </w:p>
              </w:tc>
              <w:tc>
                <w:tcPr>
                  <w:tcW w:w="1769" w:type="pct"/>
                  <w:vMerge w:val="continue"/>
                  <w:vAlign w:val="center"/>
                </w:tcPr>
                <w:p w14:paraId="1F6F9CB5">
                  <w:pPr>
                    <w:autoSpaceDE w:val="0"/>
                    <w:autoSpaceDN w:val="0"/>
                    <w:adjustRightInd w:val="0"/>
                    <w:jc w:val="center"/>
                    <w:rPr>
                      <w:kern w:val="0"/>
                    </w:rPr>
                  </w:pPr>
                </w:p>
              </w:tc>
            </w:tr>
            <w:tr w14:paraId="581AC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1415CB0B">
                  <w:pPr>
                    <w:jc w:val="center"/>
                    <w:rPr>
                      <w:szCs w:val="21"/>
                    </w:rPr>
                  </w:pPr>
                </w:p>
              </w:tc>
              <w:tc>
                <w:tcPr>
                  <w:tcW w:w="1120" w:type="pct"/>
                  <w:vAlign w:val="center"/>
                </w:tcPr>
                <w:p w14:paraId="08EA65F8">
                  <w:pPr>
                    <w:jc w:val="center"/>
                    <w:rPr>
                      <w:szCs w:val="21"/>
                    </w:rPr>
                  </w:pPr>
                  <w:r>
                    <w:rPr>
                      <w:szCs w:val="21"/>
                    </w:rPr>
                    <w:t>24小时平均</w:t>
                  </w:r>
                </w:p>
              </w:tc>
              <w:tc>
                <w:tcPr>
                  <w:tcW w:w="1333" w:type="pct"/>
                  <w:vAlign w:val="center"/>
                </w:tcPr>
                <w:p w14:paraId="3BAA452F">
                  <w:pPr>
                    <w:jc w:val="center"/>
                    <w:rPr>
                      <w:szCs w:val="21"/>
                    </w:rPr>
                  </w:pPr>
                  <w:r>
                    <w:rPr>
                      <w:rFonts w:hint="eastAsia"/>
                      <w:szCs w:val="21"/>
                    </w:rPr>
                    <w:t>150</w:t>
                  </w:r>
                  <w:r>
                    <w:rPr>
                      <w:szCs w:val="21"/>
                    </w:rPr>
                    <w:t>μg/m</w:t>
                  </w:r>
                  <w:r>
                    <w:rPr>
                      <w:szCs w:val="21"/>
                      <w:vertAlign w:val="superscript"/>
                    </w:rPr>
                    <w:t>3</w:t>
                  </w:r>
                </w:p>
              </w:tc>
              <w:tc>
                <w:tcPr>
                  <w:tcW w:w="1769" w:type="pct"/>
                  <w:vMerge w:val="continue"/>
                  <w:vAlign w:val="center"/>
                </w:tcPr>
                <w:p w14:paraId="59D35E7F">
                  <w:pPr>
                    <w:autoSpaceDE w:val="0"/>
                    <w:autoSpaceDN w:val="0"/>
                    <w:adjustRightInd w:val="0"/>
                    <w:jc w:val="center"/>
                    <w:rPr>
                      <w:kern w:val="0"/>
                    </w:rPr>
                  </w:pPr>
                </w:p>
              </w:tc>
            </w:tr>
            <w:tr w14:paraId="3713D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4F429379">
                  <w:pPr>
                    <w:jc w:val="center"/>
                    <w:rPr>
                      <w:szCs w:val="21"/>
                    </w:rPr>
                  </w:pPr>
                </w:p>
              </w:tc>
              <w:tc>
                <w:tcPr>
                  <w:tcW w:w="1120" w:type="pct"/>
                  <w:vAlign w:val="center"/>
                </w:tcPr>
                <w:p w14:paraId="0EDB86DA">
                  <w:pPr>
                    <w:jc w:val="center"/>
                    <w:rPr>
                      <w:szCs w:val="21"/>
                    </w:rPr>
                  </w:pPr>
                  <w:r>
                    <w:rPr>
                      <w:rFonts w:hint="eastAsia"/>
                      <w:szCs w:val="21"/>
                    </w:rPr>
                    <w:t>1小时平均</w:t>
                  </w:r>
                </w:p>
              </w:tc>
              <w:tc>
                <w:tcPr>
                  <w:tcW w:w="1333" w:type="pct"/>
                  <w:vAlign w:val="center"/>
                </w:tcPr>
                <w:p w14:paraId="335B16E3">
                  <w:pPr>
                    <w:jc w:val="center"/>
                    <w:rPr>
                      <w:szCs w:val="21"/>
                    </w:rPr>
                  </w:pPr>
                  <w:r>
                    <w:rPr>
                      <w:rFonts w:hint="eastAsia"/>
                      <w:szCs w:val="21"/>
                    </w:rPr>
                    <w:t>500</w:t>
                  </w:r>
                  <w:r>
                    <w:rPr>
                      <w:szCs w:val="21"/>
                    </w:rPr>
                    <w:t>μg/m</w:t>
                  </w:r>
                  <w:r>
                    <w:rPr>
                      <w:szCs w:val="21"/>
                      <w:vertAlign w:val="superscript"/>
                    </w:rPr>
                    <w:t>3</w:t>
                  </w:r>
                </w:p>
              </w:tc>
              <w:tc>
                <w:tcPr>
                  <w:tcW w:w="1769" w:type="pct"/>
                  <w:vMerge w:val="continue"/>
                  <w:vAlign w:val="center"/>
                </w:tcPr>
                <w:p w14:paraId="36436BCB">
                  <w:pPr>
                    <w:autoSpaceDE w:val="0"/>
                    <w:autoSpaceDN w:val="0"/>
                    <w:adjustRightInd w:val="0"/>
                    <w:jc w:val="center"/>
                    <w:rPr>
                      <w:kern w:val="0"/>
                    </w:rPr>
                  </w:pPr>
                </w:p>
              </w:tc>
            </w:tr>
            <w:tr w14:paraId="652258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vAlign w:val="center"/>
                </w:tcPr>
                <w:p w14:paraId="715902CE">
                  <w:pPr>
                    <w:jc w:val="center"/>
                    <w:rPr>
                      <w:szCs w:val="21"/>
                    </w:rPr>
                  </w:pPr>
                  <w:r>
                    <w:rPr>
                      <w:szCs w:val="21"/>
                    </w:rPr>
                    <w:t>NO</w:t>
                  </w:r>
                  <w:r>
                    <w:rPr>
                      <w:szCs w:val="21"/>
                      <w:vertAlign w:val="subscript"/>
                    </w:rPr>
                    <w:t>2</w:t>
                  </w:r>
                </w:p>
              </w:tc>
              <w:tc>
                <w:tcPr>
                  <w:tcW w:w="1120" w:type="pct"/>
                  <w:vAlign w:val="center"/>
                </w:tcPr>
                <w:p w14:paraId="679E1D23">
                  <w:pPr>
                    <w:jc w:val="center"/>
                    <w:rPr>
                      <w:szCs w:val="21"/>
                    </w:rPr>
                  </w:pPr>
                  <w:r>
                    <w:rPr>
                      <w:szCs w:val="21"/>
                    </w:rPr>
                    <w:t>年平均</w:t>
                  </w:r>
                </w:p>
              </w:tc>
              <w:tc>
                <w:tcPr>
                  <w:tcW w:w="1333" w:type="pct"/>
                  <w:vAlign w:val="center"/>
                </w:tcPr>
                <w:p w14:paraId="4AFA8ABB">
                  <w:pPr>
                    <w:jc w:val="center"/>
                    <w:rPr>
                      <w:szCs w:val="21"/>
                    </w:rPr>
                  </w:pPr>
                  <w:r>
                    <w:rPr>
                      <w:szCs w:val="21"/>
                    </w:rPr>
                    <w:t>40μg/m</w:t>
                  </w:r>
                  <w:r>
                    <w:rPr>
                      <w:szCs w:val="21"/>
                      <w:vertAlign w:val="superscript"/>
                    </w:rPr>
                    <w:t>3</w:t>
                  </w:r>
                </w:p>
              </w:tc>
              <w:tc>
                <w:tcPr>
                  <w:tcW w:w="1769" w:type="pct"/>
                  <w:vMerge w:val="continue"/>
                  <w:vAlign w:val="center"/>
                </w:tcPr>
                <w:p w14:paraId="310C21B7">
                  <w:pPr>
                    <w:autoSpaceDE w:val="0"/>
                    <w:autoSpaceDN w:val="0"/>
                    <w:adjustRightInd w:val="0"/>
                    <w:jc w:val="center"/>
                    <w:rPr>
                      <w:kern w:val="0"/>
                    </w:rPr>
                  </w:pPr>
                </w:p>
              </w:tc>
            </w:tr>
            <w:tr w14:paraId="32393B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36B72160">
                  <w:pPr>
                    <w:jc w:val="center"/>
                    <w:rPr>
                      <w:szCs w:val="21"/>
                    </w:rPr>
                  </w:pPr>
                </w:p>
              </w:tc>
              <w:tc>
                <w:tcPr>
                  <w:tcW w:w="1120" w:type="pct"/>
                  <w:vAlign w:val="center"/>
                </w:tcPr>
                <w:p w14:paraId="45C39637">
                  <w:pPr>
                    <w:jc w:val="center"/>
                    <w:rPr>
                      <w:szCs w:val="21"/>
                    </w:rPr>
                  </w:pPr>
                  <w:r>
                    <w:rPr>
                      <w:szCs w:val="21"/>
                    </w:rPr>
                    <w:t>24小时</w:t>
                  </w:r>
                </w:p>
              </w:tc>
              <w:tc>
                <w:tcPr>
                  <w:tcW w:w="1333" w:type="pct"/>
                  <w:vAlign w:val="center"/>
                </w:tcPr>
                <w:p w14:paraId="5C79C870">
                  <w:pPr>
                    <w:jc w:val="center"/>
                    <w:rPr>
                      <w:szCs w:val="21"/>
                    </w:rPr>
                  </w:pPr>
                  <w:r>
                    <w:rPr>
                      <w:rFonts w:hint="eastAsia"/>
                      <w:szCs w:val="21"/>
                    </w:rPr>
                    <w:t>8</w:t>
                  </w:r>
                  <w:r>
                    <w:rPr>
                      <w:szCs w:val="21"/>
                    </w:rPr>
                    <w:t>0μg/m</w:t>
                  </w:r>
                  <w:r>
                    <w:rPr>
                      <w:szCs w:val="21"/>
                      <w:vertAlign w:val="superscript"/>
                    </w:rPr>
                    <w:t>3</w:t>
                  </w:r>
                </w:p>
              </w:tc>
              <w:tc>
                <w:tcPr>
                  <w:tcW w:w="1769" w:type="pct"/>
                  <w:vMerge w:val="continue"/>
                  <w:vAlign w:val="center"/>
                </w:tcPr>
                <w:p w14:paraId="087E0C2C">
                  <w:pPr>
                    <w:autoSpaceDE w:val="0"/>
                    <w:autoSpaceDN w:val="0"/>
                    <w:adjustRightInd w:val="0"/>
                    <w:jc w:val="center"/>
                    <w:rPr>
                      <w:kern w:val="0"/>
                    </w:rPr>
                  </w:pPr>
                </w:p>
              </w:tc>
            </w:tr>
            <w:tr w14:paraId="562FB5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13CB3B8D">
                  <w:pPr>
                    <w:jc w:val="center"/>
                    <w:rPr>
                      <w:szCs w:val="21"/>
                    </w:rPr>
                  </w:pPr>
                </w:p>
              </w:tc>
              <w:tc>
                <w:tcPr>
                  <w:tcW w:w="1120" w:type="pct"/>
                  <w:vAlign w:val="center"/>
                </w:tcPr>
                <w:p w14:paraId="0B19B119">
                  <w:pPr>
                    <w:jc w:val="center"/>
                    <w:rPr>
                      <w:szCs w:val="21"/>
                    </w:rPr>
                  </w:pPr>
                  <w:r>
                    <w:rPr>
                      <w:rFonts w:hint="eastAsia"/>
                      <w:szCs w:val="21"/>
                    </w:rPr>
                    <w:t>1小时平均</w:t>
                  </w:r>
                </w:p>
              </w:tc>
              <w:tc>
                <w:tcPr>
                  <w:tcW w:w="1333" w:type="pct"/>
                  <w:vAlign w:val="center"/>
                </w:tcPr>
                <w:p w14:paraId="01E4C77B">
                  <w:pPr>
                    <w:jc w:val="center"/>
                    <w:rPr>
                      <w:szCs w:val="21"/>
                    </w:rPr>
                  </w:pPr>
                  <w:r>
                    <w:rPr>
                      <w:rFonts w:hint="eastAsia"/>
                      <w:szCs w:val="21"/>
                    </w:rPr>
                    <w:t>20</w:t>
                  </w:r>
                  <w:r>
                    <w:rPr>
                      <w:szCs w:val="21"/>
                    </w:rPr>
                    <w:t>0μg/m</w:t>
                  </w:r>
                  <w:r>
                    <w:rPr>
                      <w:szCs w:val="21"/>
                      <w:vertAlign w:val="superscript"/>
                    </w:rPr>
                    <w:t>3</w:t>
                  </w:r>
                </w:p>
              </w:tc>
              <w:tc>
                <w:tcPr>
                  <w:tcW w:w="1769" w:type="pct"/>
                  <w:vMerge w:val="continue"/>
                  <w:vAlign w:val="center"/>
                </w:tcPr>
                <w:p w14:paraId="09109109">
                  <w:pPr>
                    <w:autoSpaceDE w:val="0"/>
                    <w:autoSpaceDN w:val="0"/>
                    <w:adjustRightInd w:val="0"/>
                    <w:jc w:val="center"/>
                    <w:rPr>
                      <w:kern w:val="0"/>
                    </w:rPr>
                  </w:pPr>
                </w:p>
              </w:tc>
            </w:tr>
            <w:tr w14:paraId="68891A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vAlign w:val="center"/>
                </w:tcPr>
                <w:p w14:paraId="15860C37">
                  <w:pPr>
                    <w:jc w:val="center"/>
                    <w:rPr>
                      <w:szCs w:val="21"/>
                    </w:rPr>
                  </w:pPr>
                  <w:r>
                    <w:rPr>
                      <w:szCs w:val="21"/>
                    </w:rPr>
                    <w:t>CO</w:t>
                  </w:r>
                </w:p>
              </w:tc>
              <w:tc>
                <w:tcPr>
                  <w:tcW w:w="1120" w:type="pct"/>
                  <w:vAlign w:val="center"/>
                </w:tcPr>
                <w:p w14:paraId="12A3C3C5">
                  <w:pPr>
                    <w:jc w:val="center"/>
                    <w:rPr>
                      <w:szCs w:val="21"/>
                    </w:rPr>
                  </w:pPr>
                  <w:r>
                    <w:rPr>
                      <w:szCs w:val="21"/>
                    </w:rPr>
                    <w:t>24小时平均</w:t>
                  </w:r>
                </w:p>
              </w:tc>
              <w:tc>
                <w:tcPr>
                  <w:tcW w:w="1333" w:type="pct"/>
                  <w:vAlign w:val="center"/>
                </w:tcPr>
                <w:p w14:paraId="4A27709A">
                  <w:pPr>
                    <w:jc w:val="center"/>
                    <w:rPr>
                      <w:szCs w:val="21"/>
                    </w:rPr>
                  </w:pPr>
                  <w:r>
                    <w:rPr>
                      <w:szCs w:val="21"/>
                    </w:rPr>
                    <w:t>4mg/m</w:t>
                  </w:r>
                  <w:r>
                    <w:rPr>
                      <w:szCs w:val="21"/>
                      <w:vertAlign w:val="superscript"/>
                    </w:rPr>
                    <w:t>3</w:t>
                  </w:r>
                </w:p>
              </w:tc>
              <w:tc>
                <w:tcPr>
                  <w:tcW w:w="1769" w:type="pct"/>
                  <w:vMerge w:val="continue"/>
                  <w:vAlign w:val="center"/>
                </w:tcPr>
                <w:p w14:paraId="65310CEA">
                  <w:pPr>
                    <w:autoSpaceDE w:val="0"/>
                    <w:autoSpaceDN w:val="0"/>
                    <w:adjustRightInd w:val="0"/>
                    <w:jc w:val="center"/>
                    <w:rPr>
                      <w:kern w:val="0"/>
                    </w:rPr>
                  </w:pPr>
                </w:p>
              </w:tc>
            </w:tr>
            <w:tr w14:paraId="1660DB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4F390657">
                  <w:pPr>
                    <w:jc w:val="center"/>
                    <w:rPr>
                      <w:szCs w:val="21"/>
                    </w:rPr>
                  </w:pPr>
                </w:p>
              </w:tc>
              <w:tc>
                <w:tcPr>
                  <w:tcW w:w="1120" w:type="pct"/>
                  <w:vAlign w:val="center"/>
                </w:tcPr>
                <w:p w14:paraId="095C69D2">
                  <w:pPr>
                    <w:jc w:val="center"/>
                    <w:rPr>
                      <w:szCs w:val="21"/>
                    </w:rPr>
                  </w:pPr>
                  <w:r>
                    <w:rPr>
                      <w:rFonts w:hint="eastAsia"/>
                      <w:szCs w:val="21"/>
                    </w:rPr>
                    <w:t>1小时平均</w:t>
                  </w:r>
                </w:p>
              </w:tc>
              <w:tc>
                <w:tcPr>
                  <w:tcW w:w="1333" w:type="pct"/>
                  <w:vAlign w:val="center"/>
                </w:tcPr>
                <w:p w14:paraId="1633C8D9">
                  <w:pPr>
                    <w:jc w:val="center"/>
                    <w:rPr>
                      <w:szCs w:val="21"/>
                    </w:rPr>
                  </w:pPr>
                  <w:r>
                    <w:rPr>
                      <w:rFonts w:hint="eastAsia"/>
                      <w:szCs w:val="21"/>
                    </w:rPr>
                    <w:t>10</w:t>
                  </w:r>
                  <w:r>
                    <w:rPr>
                      <w:szCs w:val="21"/>
                    </w:rPr>
                    <w:t>mg/m</w:t>
                  </w:r>
                  <w:r>
                    <w:rPr>
                      <w:szCs w:val="21"/>
                      <w:vertAlign w:val="superscript"/>
                    </w:rPr>
                    <w:t>3</w:t>
                  </w:r>
                </w:p>
              </w:tc>
              <w:tc>
                <w:tcPr>
                  <w:tcW w:w="1769" w:type="pct"/>
                  <w:vMerge w:val="continue"/>
                  <w:vAlign w:val="center"/>
                </w:tcPr>
                <w:p w14:paraId="23E5368D">
                  <w:pPr>
                    <w:autoSpaceDE w:val="0"/>
                    <w:autoSpaceDN w:val="0"/>
                    <w:adjustRightInd w:val="0"/>
                    <w:jc w:val="center"/>
                    <w:rPr>
                      <w:kern w:val="0"/>
                    </w:rPr>
                  </w:pPr>
                </w:p>
              </w:tc>
            </w:tr>
            <w:tr w14:paraId="0E45D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vAlign w:val="center"/>
                </w:tcPr>
                <w:p w14:paraId="4EABBD4D">
                  <w:pPr>
                    <w:jc w:val="center"/>
                    <w:rPr>
                      <w:szCs w:val="21"/>
                    </w:rPr>
                  </w:pPr>
                  <w:r>
                    <w:rPr>
                      <w:szCs w:val="21"/>
                    </w:rPr>
                    <w:t>O</w:t>
                  </w:r>
                  <w:r>
                    <w:rPr>
                      <w:szCs w:val="21"/>
                      <w:vertAlign w:val="subscript"/>
                    </w:rPr>
                    <w:t>3</w:t>
                  </w:r>
                </w:p>
              </w:tc>
              <w:tc>
                <w:tcPr>
                  <w:tcW w:w="1120" w:type="pct"/>
                  <w:vAlign w:val="center"/>
                </w:tcPr>
                <w:p w14:paraId="02793BFD">
                  <w:pPr>
                    <w:jc w:val="center"/>
                    <w:rPr>
                      <w:szCs w:val="21"/>
                    </w:rPr>
                  </w:pPr>
                  <w:r>
                    <w:rPr>
                      <w:szCs w:val="21"/>
                    </w:rPr>
                    <w:t>日最大8小时平均</w:t>
                  </w:r>
                </w:p>
              </w:tc>
              <w:tc>
                <w:tcPr>
                  <w:tcW w:w="1333" w:type="pct"/>
                  <w:vAlign w:val="center"/>
                </w:tcPr>
                <w:p w14:paraId="240058A8">
                  <w:pPr>
                    <w:jc w:val="center"/>
                    <w:rPr>
                      <w:szCs w:val="21"/>
                    </w:rPr>
                  </w:pPr>
                  <w:r>
                    <w:rPr>
                      <w:szCs w:val="21"/>
                    </w:rPr>
                    <w:t>160μg/m</w:t>
                  </w:r>
                  <w:r>
                    <w:rPr>
                      <w:szCs w:val="21"/>
                      <w:vertAlign w:val="superscript"/>
                    </w:rPr>
                    <w:t>3</w:t>
                  </w:r>
                </w:p>
              </w:tc>
              <w:tc>
                <w:tcPr>
                  <w:tcW w:w="1769" w:type="pct"/>
                  <w:vMerge w:val="continue"/>
                  <w:vAlign w:val="center"/>
                </w:tcPr>
                <w:p w14:paraId="7E3AE83D">
                  <w:pPr>
                    <w:autoSpaceDE w:val="0"/>
                    <w:autoSpaceDN w:val="0"/>
                    <w:adjustRightInd w:val="0"/>
                    <w:jc w:val="center"/>
                    <w:rPr>
                      <w:kern w:val="0"/>
                    </w:rPr>
                  </w:pPr>
                </w:p>
              </w:tc>
            </w:tr>
            <w:tr w14:paraId="266B4A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4BBC8B1B">
                  <w:pPr>
                    <w:jc w:val="center"/>
                    <w:rPr>
                      <w:szCs w:val="21"/>
                    </w:rPr>
                  </w:pPr>
                </w:p>
              </w:tc>
              <w:tc>
                <w:tcPr>
                  <w:tcW w:w="1120" w:type="pct"/>
                  <w:vAlign w:val="center"/>
                </w:tcPr>
                <w:p w14:paraId="2A812EA2">
                  <w:pPr>
                    <w:jc w:val="center"/>
                    <w:rPr>
                      <w:szCs w:val="21"/>
                    </w:rPr>
                  </w:pPr>
                  <w:r>
                    <w:rPr>
                      <w:rFonts w:hint="eastAsia"/>
                      <w:szCs w:val="21"/>
                    </w:rPr>
                    <w:t>1小时平均</w:t>
                  </w:r>
                </w:p>
              </w:tc>
              <w:tc>
                <w:tcPr>
                  <w:tcW w:w="1333" w:type="pct"/>
                  <w:vAlign w:val="center"/>
                </w:tcPr>
                <w:p w14:paraId="7E0DE392">
                  <w:pPr>
                    <w:jc w:val="center"/>
                    <w:rPr>
                      <w:szCs w:val="21"/>
                    </w:rPr>
                  </w:pPr>
                  <w:r>
                    <w:rPr>
                      <w:rFonts w:hint="eastAsia"/>
                      <w:szCs w:val="21"/>
                    </w:rPr>
                    <w:t>200</w:t>
                  </w:r>
                  <w:r>
                    <w:rPr>
                      <w:szCs w:val="21"/>
                    </w:rPr>
                    <w:t>μg/m</w:t>
                  </w:r>
                  <w:r>
                    <w:rPr>
                      <w:szCs w:val="21"/>
                      <w:vertAlign w:val="superscript"/>
                    </w:rPr>
                    <w:t>3</w:t>
                  </w:r>
                </w:p>
              </w:tc>
              <w:tc>
                <w:tcPr>
                  <w:tcW w:w="1769" w:type="pct"/>
                  <w:vMerge w:val="continue"/>
                  <w:vAlign w:val="center"/>
                </w:tcPr>
                <w:p w14:paraId="586D82B1">
                  <w:pPr>
                    <w:autoSpaceDE w:val="0"/>
                    <w:autoSpaceDN w:val="0"/>
                    <w:adjustRightInd w:val="0"/>
                    <w:jc w:val="center"/>
                    <w:rPr>
                      <w:kern w:val="0"/>
                    </w:rPr>
                  </w:pPr>
                </w:p>
              </w:tc>
            </w:tr>
            <w:tr w14:paraId="38623F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restart"/>
                  <w:vAlign w:val="center"/>
                </w:tcPr>
                <w:p w14:paraId="417C7A09">
                  <w:pPr>
                    <w:jc w:val="center"/>
                    <w:rPr>
                      <w:szCs w:val="21"/>
                    </w:rPr>
                  </w:pPr>
                  <w:r>
                    <w:rPr>
                      <w:rFonts w:hint="eastAsia"/>
                      <w:szCs w:val="21"/>
                    </w:rPr>
                    <w:t>TSP</w:t>
                  </w:r>
                </w:p>
              </w:tc>
              <w:tc>
                <w:tcPr>
                  <w:tcW w:w="1120" w:type="pct"/>
                  <w:vAlign w:val="center"/>
                </w:tcPr>
                <w:p w14:paraId="35384421">
                  <w:pPr>
                    <w:jc w:val="center"/>
                    <w:rPr>
                      <w:szCs w:val="21"/>
                    </w:rPr>
                  </w:pPr>
                  <w:r>
                    <w:rPr>
                      <w:rFonts w:hint="eastAsia"/>
                      <w:szCs w:val="21"/>
                    </w:rPr>
                    <w:t>年平均</w:t>
                  </w:r>
                </w:p>
              </w:tc>
              <w:tc>
                <w:tcPr>
                  <w:tcW w:w="1333" w:type="pct"/>
                  <w:vAlign w:val="center"/>
                </w:tcPr>
                <w:p w14:paraId="2F9B41BD">
                  <w:pPr>
                    <w:jc w:val="center"/>
                    <w:rPr>
                      <w:szCs w:val="21"/>
                    </w:rPr>
                  </w:pPr>
                  <w:r>
                    <w:rPr>
                      <w:szCs w:val="21"/>
                    </w:rPr>
                    <w:t>200μg/m</w:t>
                  </w:r>
                  <w:r>
                    <w:rPr>
                      <w:szCs w:val="21"/>
                      <w:vertAlign w:val="superscript"/>
                    </w:rPr>
                    <w:t>3</w:t>
                  </w:r>
                </w:p>
              </w:tc>
              <w:tc>
                <w:tcPr>
                  <w:tcW w:w="1769" w:type="pct"/>
                  <w:vMerge w:val="continue"/>
                  <w:vAlign w:val="center"/>
                </w:tcPr>
                <w:p w14:paraId="0B3C461E">
                  <w:pPr>
                    <w:autoSpaceDE w:val="0"/>
                    <w:autoSpaceDN w:val="0"/>
                    <w:adjustRightInd w:val="0"/>
                    <w:jc w:val="center"/>
                    <w:rPr>
                      <w:kern w:val="0"/>
                    </w:rPr>
                  </w:pPr>
                </w:p>
              </w:tc>
            </w:tr>
            <w:tr w14:paraId="2CFF7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Merge w:val="continue"/>
                  <w:vAlign w:val="center"/>
                </w:tcPr>
                <w:p w14:paraId="4C674866">
                  <w:pPr>
                    <w:jc w:val="center"/>
                    <w:rPr>
                      <w:szCs w:val="21"/>
                    </w:rPr>
                  </w:pPr>
                </w:p>
              </w:tc>
              <w:tc>
                <w:tcPr>
                  <w:tcW w:w="1120" w:type="pct"/>
                  <w:vAlign w:val="center"/>
                </w:tcPr>
                <w:p w14:paraId="027BFE18">
                  <w:pPr>
                    <w:jc w:val="center"/>
                    <w:rPr>
                      <w:szCs w:val="21"/>
                    </w:rPr>
                  </w:pPr>
                  <w:r>
                    <w:rPr>
                      <w:szCs w:val="21"/>
                    </w:rPr>
                    <w:t>24小时平均</w:t>
                  </w:r>
                </w:p>
              </w:tc>
              <w:tc>
                <w:tcPr>
                  <w:tcW w:w="1333" w:type="pct"/>
                  <w:vAlign w:val="center"/>
                </w:tcPr>
                <w:p w14:paraId="2A99DC36">
                  <w:pPr>
                    <w:jc w:val="center"/>
                    <w:rPr>
                      <w:szCs w:val="21"/>
                    </w:rPr>
                  </w:pPr>
                  <w:r>
                    <w:rPr>
                      <w:szCs w:val="21"/>
                    </w:rPr>
                    <w:t>300μg/m</w:t>
                  </w:r>
                  <w:r>
                    <w:rPr>
                      <w:szCs w:val="21"/>
                      <w:vertAlign w:val="superscript"/>
                    </w:rPr>
                    <w:t>3</w:t>
                  </w:r>
                </w:p>
              </w:tc>
              <w:tc>
                <w:tcPr>
                  <w:tcW w:w="1769" w:type="pct"/>
                  <w:vMerge w:val="continue"/>
                  <w:vAlign w:val="center"/>
                </w:tcPr>
                <w:p w14:paraId="7D1C8C4B">
                  <w:pPr>
                    <w:autoSpaceDE w:val="0"/>
                    <w:autoSpaceDN w:val="0"/>
                    <w:adjustRightInd w:val="0"/>
                    <w:jc w:val="center"/>
                    <w:rPr>
                      <w:kern w:val="0"/>
                    </w:rPr>
                  </w:pPr>
                </w:p>
              </w:tc>
            </w:tr>
            <w:tr w14:paraId="68647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vAlign w:val="center"/>
                </w:tcPr>
                <w:p w14:paraId="1B5BD1DB">
                  <w:pPr>
                    <w:jc w:val="center"/>
                    <w:rPr>
                      <w:szCs w:val="21"/>
                    </w:rPr>
                  </w:pPr>
                  <w:r>
                    <w:rPr>
                      <w:szCs w:val="21"/>
                    </w:rPr>
                    <w:t>非甲烷总烃</w:t>
                  </w:r>
                </w:p>
              </w:tc>
              <w:tc>
                <w:tcPr>
                  <w:tcW w:w="1120" w:type="pct"/>
                  <w:vAlign w:val="center"/>
                </w:tcPr>
                <w:p w14:paraId="2EC935B0">
                  <w:pPr>
                    <w:jc w:val="center"/>
                    <w:rPr>
                      <w:szCs w:val="21"/>
                    </w:rPr>
                  </w:pPr>
                  <w:r>
                    <w:rPr>
                      <w:szCs w:val="21"/>
                    </w:rPr>
                    <w:t>1小时平均</w:t>
                  </w:r>
                </w:p>
              </w:tc>
              <w:tc>
                <w:tcPr>
                  <w:tcW w:w="1333" w:type="pct"/>
                  <w:vAlign w:val="center"/>
                </w:tcPr>
                <w:p w14:paraId="03ABFB55">
                  <w:pPr>
                    <w:jc w:val="center"/>
                    <w:rPr>
                      <w:szCs w:val="21"/>
                    </w:rPr>
                  </w:pPr>
                  <w:r>
                    <w:rPr>
                      <w:szCs w:val="21"/>
                    </w:rPr>
                    <w:t>2.0mg/m</w:t>
                  </w:r>
                  <w:r>
                    <w:rPr>
                      <w:szCs w:val="21"/>
                      <w:vertAlign w:val="superscript"/>
                    </w:rPr>
                    <w:t>3</w:t>
                  </w:r>
                </w:p>
              </w:tc>
              <w:tc>
                <w:tcPr>
                  <w:tcW w:w="1769" w:type="pct"/>
                  <w:vAlign w:val="center"/>
                </w:tcPr>
                <w:p w14:paraId="5643BFAE">
                  <w:pPr>
                    <w:autoSpaceDE w:val="0"/>
                    <w:autoSpaceDN w:val="0"/>
                    <w:adjustRightInd w:val="0"/>
                    <w:jc w:val="center"/>
                    <w:rPr>
                      <w:kern w:val="0"/>
                    </w:rPr>
                  </w:pPr>
                  <w:r>
                    <w:rPr>
                      <w:rFonts w:hint="eastAsia"/>
                      <w:kern w:val="0"/>
                    </w:rPr>
                    <w:t>《大气污染物综合排放标准详解》</w:t>
                  </w:r>
                </w:p>
              </w:tc>
            </w:tr>
          </w:tbl>
          <w:p w14:paraId="131D791A">
            <w:pPr>
              <w:spacing w:line="360" w:lineRule="auto"/>
              <w:ind w:firstLine="456" w:firstLineChars="200"/>
              <w:rPr>
                <w:spacing w:val="-6"/>
                <w:sz w:val="24"/>
              </w:rPr>
            </w:pPr>
            <w:r>
              <w:rPr>
                <w:spacing w:val="-6"/>
                <w:sz w:val="24"/>
              </w:rPr>
              <w:t>2、声环境</w:t>
            </w:r>
          </w:p>
          <w:p w14:paraId="2DF21F7D">
            <w:pPr>
              <w:spacing w:line="360" w:lineRule="auto"/>
              <w:ind w:firstLine="456" w:firstLineChars="200"/>
              <w:rPr>
                <w:spacing w:val="-6"/>
                <w:sz w:val="24"/>
              </w:rPr>
            </w:pPr>
            <w:r>
              <w:rPr>
                <w:spacing w:val="-6"/>
                <w:sz w:val="24"/>
              </w:rPr>
              <w:t>声环境质量执行《声环境质量标准》（GB3096-2008）</w:t>
            </w:r>
            <w:r>
              <w:rPr>
                <w:rFonts w:hint="eastAsia"/>
                <w:spacing w:val="-6"/>
                <w:sz w:val="24"/>
              </w:rPr>
              <w:t>1</w:t>
            </w:r>
            <w:r>
              <w:rPr>
                <w:spacing w:val="-6"/>
                <w:sz w:val="24"/>
              </w:rPr>
              <w:t>类区标准。</w:t>
            </w:r>
          </w:p>
          <w:p w14:paraId="4E39B29F">
            <w:pPr>
              <w:adjustRightInd w:val="0"/>
              <w:snapToGrid w:val="0"/>
              <w:spacing w:line="360" w:lineRule="exact"/>
              <w:jc w:val="center"/>
              <w:rPr>
                <w:b/>
                <w:sz w:val="24"/>
              </w:rPr>
            </w:pPr>
            <w:r>
              <w:rPr>
                <w:b/>
                <w:sz w:val="24"/>
              </w:rPr>
              <w:t>表3-</w:t>
            </w:r>
            <w:r>
              <w:rPr>
                <w:rFonts w:hint="eastAsia"/>
                <w:b/>
                <w:sz w:val="24"/>
              </w:rPr>
              <w:t xml:space="preserve">7 </w:t>
            </w:r>
            <w:r>
              <w:rPr>
                <w:b/>
                <w:sz w:val="24"/>
              </w:rPr>
              <w:t>声环境质量标准</w:t>
            </w:r>
            <w:r>
              <w:rPr>
                <w:rFonts w:hint="eastAsia"/>
                <w:b/>
                <w:sz w:val="24"/>
              </w:rPr>
              <w:t xml:space="preserve"> </w:t>
            </w:r>
            <w:r>
              <w:rPr>
                <w:b/>
                <w:sz w:val="24"/>
              </w:rPr>
              <w:t>单位：dB（A）</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2058"/>
              <w:gridCol w:w="2059"/>
              <w:gridCol w:w="2059"/>
            </w:tblGrid>
            <w:tr w14:paraId="6298DF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50" w:type="pct"/>
                  <w:vAlign w:val="center"/>
                </w:tcPr>
                <w:p w14:paraId="5B4FA9F2">
                  <w:pPr>
                    <w:jc w:val="center"/>
                    <w:rPr>
                      <w:szCs w:val="21"/>
                    </w:rPr>
                  </w:pPr>
                  <w:r>
                    <w:rPr>
                      <w:szCs w:val="21"/>
                    </w:rPr>
                    <w:t>点位</w:t>
                  </w:r>
                </w:p>
              </w:tc>
              <w:tc>
                <w:tcPr>
                  <w:tcW w:w="1250" w:type="pct"/>
                  <w:vAlign w:val="center"/>
                </w:tcPr>
                <w:p w14:paraId="532EAAF7">
                  <w:pPr>
                    <w:jc w:val="center"/>
                    <w:rPr>
                      <w:szCs w:val="21"/>
                    </w:rPr>
                  </w:pPr>
                  <w:r>
                    <w:rPr>
                      <w:szCs w:val="21"/>
                    </w:rPr>
                    <w:t>类别</w:t>
                  </w:r>
                </w:p>
              </w:tc>
              <w:tc>
                <w:tcPr>
                  <w:tcW w:w="1250" w:type="pct"/>
                  <w:vAlign w:val="center"/>
                </w:tcPr>
                <w:p w14:paraId="08EC327F">
                  <w:pPr>
                    <w:jc w:val="center"/>
                    <w:rPr>
                      <w:szCs w:val="21"/>
                    </w:rPr>
                  </w:pPr>
                  <w:r>
                    <w:rPr>
                      <w:rFonts w:hint="eastAsia"/>
                      <w:szCs w:val="21"/>
                    </w:rPr>
                    <w:t>昼间</w:t>
                  </w:r>
                </w:p>
              </w:tc>
              <w:tc>
                <w:tcPr>
                  <w:tcW w:w="1250" w:type="pct"/>
                  <w:vAlign w:val="center"/>
                </w:tcPr>
                <w:p w14:paraId="048B627B">
                  <w:pPr>
                    <w:jc w:val="center"/>
                    <w:rPr>
                      <w:szCs w:val="21"/>
                    </w:rPr>
                  </w:pPr>
                  <w:r>
                    <w:rPr>
                      <w:szCs w:val="21"/>
                    </w:rPr>
                    <w:t>夜间</w:t>
                  </w:r>
                </w:p>
              </w:tc>
            </w:tr>
            <w:tr w14:paraId="3708A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50" w:type="pct"/>
                  <w:vAlign w:val="center"/>
                </w:tcPr>
                <w:p w14:paraId="770850D2">
                  <w:pPr>
                    <w:jc w:val="center"/>
                    <w:rPr>
                      <w:szCs w:val="21"/>
                    </w:rPr>
                  </w:pPr>
                  <w:r>
                    <w:rPr>
                      <w:szCs w:val="21"/>
                    </w:rPr>
                    <w:t>区域声环境</w:t>
                  </w:r>
                </w:p>
              </w:tc>
              <w:tc>
                <w:tcPr>
                  <w:tcW w:w="1250" w:type="pct"/>
                  <w:vAlign w:val="center"/>
                </w:tcPr>
                <w:p w14:paraId="76BB35BE">
                  <w:pPr>
                    <w:jc w:val="center"/>
                    <w:rPr>
                      <w:szCs w:val="21"/>
                    </w:rPr>
                  </w:pPr>
                  <w:r>
                    <w:rPr>
                      <w:rFonts w:hint="eastAsia"/>
                      <w:szCs w:val="21"/>
                    </w:rPr>
                    <w:t>1</w:t>
                  </w:r>
                </w:p>
              </w:tc>
              <w:tc>
                <w:tcPr>
                  <w:tcW w:w="1250" w:type="pct"/>
                  <w:vAlign w:val="center"/>
                </w:tcPr>
                <w:p w14:paraId="2C975B79">
                  <w:pPr>
                    <w:jc w:val="center"/>
                    <w:rPr>
                      <w:szCs w:val="21"/>
                    </w:rPr>
                  </w:pPr>
                  <w:r>
                    <w:rPr>
                      <w:rFonts w:hint="eastAsia"/>
                      <w:szCs w:val="21"/>
                    </w:rPr>
                    <w:t>55</w:t>
                  </w:r>
                </w:p>
              </w:tc>
              <w:tc>
                <w:tcPr>
                  <w:tcW w:w="1250" w:type="pct"/>
                  <w:vAlign w:val="center"/>
                </w:tcPr>
                <w:p w14:paraId="22BB02C7">
                  <w:pPr>
                    <w:jc w:val="center"/>
                    <w:rPr>
                      <w:szCs w:val="21"/>
                    </w:rPr>
                  </w:pPr>
                  <w:r>
                    <w:rPr>
                      <w:rFonts w:hint="eastAsia"/>
                      <w:szCs w:val="21"/>
                    </w:rPr>
                    <w:t>45</w:t>
                  </w:r>
                </w:p>
              </w:tc>
            </w:tr>
          </w:tbl>
          <w:p w14:paraId="05BCDB97">
            <w:pPr>
              <w:spacing w:before="120" w:beforeLines="50" w:line="360" w:lineRule="auto"/>
              <w:ind w:firstLine="482" w:firstLineChars="200"/>
              <w:rPr>
                <w:b/>
                <w:sz w:val="24"/>
              </w:rPr>
            </w:pPr>
            <w:r>
              <w:rPr>
                <w:rFonts w:hint="eastAsia"/>
                <w:b/>
                <w:sz w:val="24"/>
              </w:rPr>
              <w:t>二、污染物排放标准</w:t>
            </w:r>
          </w:p>
          <w:p w14:paraId="5A0B88CE">
            <w:pPr>
              <w:adjustRightInd w:val="0"/>
              <w:snapToGrid w:val="0"/>
              <w:spacing w:line="360" w:lineRule="auto"/>
              <w:ind w:firstLine="480" w:firstLineChars="200"/>
              <w:rPr>
                <w:sz w:val="24"/>
              </w:rPr>
            </w:pPr>
            <w:r>
              <w:rPr>
                <w:rFonts w:hint="eastAsia"/>
                <w:sz w:val="24"/>
              </w:rPr>
              <w:t>1、废气</w:t>
            </w:r>
          </w:p>
          <w:p w14:paraId="232A6455">
            <w:pPr>
              <w:adjustRightInd w:val="0"/>
              <w:snapToGrid w:val="0"/>
              <w:spacing w:line="360" w:lineRule="auto"/>
              <w:ind w:firstLine="480" w:firstLineChars="200"/>
              <w:rPr>
                <w:sz w:val="24"/>
              </w:rPr>
            </w:pPr>
            <w:r>
              <w:rPr>
                <w:sz w:val="24"/>
              </w:rPr>
              <w:t>施工扬尘：施工过程中扬尘排放执行《大气污染物综合排放标准》（GB16297-1996）表2</w:t>
            </w:r>
            <w:r>
              <w:rPr>
                <w:rFonts w:hint="eastAsia"/>
                <w:sz w:val="24"/>
              </w:rPr>
              <w:t>新污染源大气污染物排放限值中的颗粒物无组织排放监控浓度限值</w:t>
            </w:r>
            <w:r>
              <w:rPr>
                <w:sz w:val="24"/>
              </w:rPr>
              <w:t>。</w:t>
            </w:r>
          </w:p>
          <w:p w14:paraId="1E9C8C0E">
            <w:pPr>
              <w:adjustRightInd w:val="0"/>
              <w:snapToGrid w:val="0"/>
              <w:spacing w:line="360" w:lineRule="auto"/>
              <w:ind w:firstLine="480" w:firstLineChars="200"/>
              <w:rPr>
                <w:sz w:val="24"/>
              </w:rPr>
            </w:pPr>
            <w:r>
              <w:rPr>
                <w:sz w:val="24"/>
              </w:rPr>
              <w:t>柴油发电机</w:t>
            </w:r>
            <w:r>
              <w:rPr>
                <w:rFonts w:hint="eastAsia"/>
                <w:sz w:val="24"/>
              </w:rPr>
              <w:t>尾气：</w:t>
            </w:r>
            <w:r>
              <w:rPr>
                <w:sz w:val="24"/>
              </w:rPr>
              <w:t>根据国家环境保护总局《关于柴油发电机排气执行标准的复函》（环函</w:t>
            </w:r>
            <w:r>
              <w:rPr>
                <w:rFonts w:hint="eastAsia"/>
                <w:sz w:val="24"/>
              </w:rPr>
              <w:t>〔</w:t>
            </w:r>
            <w:r>
              <w:rPr>
                <w:sz w:val="24"/>
              </w:rPr>
              <w:t>2005</w:t>
            </w:r>
            <w:r>
              <w:rPr>
                <w:rFonts w:hint="eastAsia"/>
                <w:sz w:val="24"/>
              </w:rPr>
              <w:t>〕</w:t>
            </w:r>
            <w:r>
              <w:rPr>
                <w:sz w:val="24"/>
              </w:rPr>
              <w:t>350号）</w:t>
            </w:r>
            <w:r>
              <w:rPr>
                <w:rFonts w:hint="eastAsia"/>
                <w:sz w:val="24"/>
              </w:rPr>
              <w:t>及2017年1月11日生态环境部部长信箱关于GB16297-1996的适用范围的回复</w:t>
            </w:r>
            <w:r>
              <w:rPr>
                <w:sz w:val="24"/>
              </w:rPr>
              <w:t>，柴油发电机尾气排放执行《大气污染物综合排放标准》（GB16297-1996）中表2最高允许排放浓度限值</w:t>
            </w:r>
            <w:r>
              <w:rPr>
                <w:rFonts w:hint="eastAsia"/>
                <w:sz w:val="24"/>
              </w:rPr>
              <w:t>，对排气筒高度和排放速率暂不作要求</w:t>
            </w:r>
            <w:r>
              <w:rPr>
                <w:sz w:val="24"/>
              </w:rPr>
              <w:t>。</w:t>
            </w:r>
          </w:p>
          <w:p w14:paraId="62AE3732">
            <w:pPr>
              <w:adjustRightInd w:val="0"/>
              <w:snapToGrid w:val="0"/>
              <w:spacing w:line="360" w:lineRule="auto"/>
              <w:ind w:firstLine="480" w:firstLineChars="200"/>
              <w:rPr>
                <w:sz w:val="24"/>
              </w:rPr>
            </w:pPr>
            <w:r>
              <w:rPr>
                <w:sz w:val="24"/>
              </w:rPr>
              <w:t>非甲烷总烃：场界执行</w:t>
            </w:r>
            <w:r>
              <w:rPr>
                <w:rFonts w:hint="eastAsia"/>
                <w:sz w:val="24"/>
              </w:rPr>
              <w:t>《陆上石油天然气开采工业大气污染物排放标准》（</w:t>
            </w:r>
            <w:r>
              <w:rPr>
                <w:sz w:val="24"/>
              </w:rPr>
              <w:t>GB39728</w:t>
            </w:r>
            <w:r>
              <w:rPr>
                <w:rFonts w:hint="eastAsia"/>
                <w:sz w:val="24"/>
              </w:rPr>
              <w:t>-</w:t>
            </w:r>
            <w:r>
              <w:rPr>
                <w:sz w:val="24"/>
              </w:rPr>
              <w:t>2020</w:t>
            </w:r>
            <w:r>
              <w:rPr>
                <w:rFonts w:hint="eastAsia"/>
                <w:sz w:val="24"/>
              </w:rPr>
              <w:t>）企业边界污染物控制要求；</w:t>
            </w:r>
            <w:r>
              <w:rPr>
                <w:sz w:val="24"/>
              </w:rPr>
              <w:t>场内</w:t>
            </w:r>
            <w:r>
              <w:rPr>
                <w:rFonts w:hint="eastAsia"/>
                <w:sz w:val="24"/>
              </w:rPr>
              <w:t>执行《挥发性有机物无组织排放控制标准》（GB37822-2019）表A.1要求</w:t>
            </w:r>
            <w:r>
              <w:rPr>
                <w:sz w:val="24"/>
              </w:rPr>
              <w:t>。</w:t>
            </w:r>
          </w:p>
          <w:p w14:paraId="03A8A341">
            <w:pPr>
              <w:autoSpaceDE w:val="0"/>
              <w:autoSpaceDN w:val="0"/>
              <w:adjustRightInd w:val="0"/>
              <w:jc w:val="center"/>
              <w:rPr>
                <w:b/>
                <w:kern w:val="0"/>
                <w:sz w:val="24"/>
              </w:rPr>
            </w:pPr>
            <w:r>
              <w:rPr>
                <w:b/>
                <w:kern w:val="0"/>
                <w:sz w:val="24"/>
              </w:rPr>
              <w:t>表</w:t>
            </w:r>
            <w:r>
              <w:rPr>
                <w:rFonts w:hint="eastAsia"/>
                <w:b/>
                <w:kern w:val="0"/>
                <w:sz w:val="24"/>
              </w:rPr>
              <w:t>3-8</w:t>
            </w:r>
            <w:r>
              <w:rPr>
                <w:b/>
                <w:kern w:val="0"/>
                <w:sz w:val="24"/>
              </w:rPr>
              <w:t xml:space="preserve"> 污染物排放标准</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950"/>
              <w:gridCol w:w="2126"/>
              <w:gridCol w:w="4259"/>
            </w:tblGrid>
            <w:tr w14:paraId="56966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46" w:type="pct"/>
                  <w:tcMar>
                    <w:left w:w="28" w:type="dxa"/>
                    <w:right w:w="28" w:type="dxa"/>
                  </w:tcMar>
                  <w:vAlign w:val="center"/>
                </w:tcPr>
                <w:p w14:paraId="02DAFE8F">
                  <w:pPr>
                    <w:pStyle w:val="7"/>
                    <w:adjustRightInd w:val="0"/>
                    <w:snapToGrid w:val="0"/>
                    <w:ind w:firstLine="0" w:firstLineChars="0"/>
                    <w:jc w:val="center"/>
                    <w:rPr>
                      <w:szCs w:val="21"/>
                    </w:rPr>
                  </w:pPr>
                  <w:r>
                    <w:rPr>
                      <w:szCs w:val="21"/>
                    </w:rPr>
                    <w:t>污染物名称</w:t>
                  </w:r>
                </w:p>
              </w:tc>
              <w:tc>
                <w:tcPr>
                  <w:tcW w:w="577" w:type="pct"/>
                  <w:tcMar>
                    <w:left w:w="28" w:type="dxa"/>
                    <w:right w:w="28" w:type="dxa"/>
                  </w:tcMar>
                  <w:vAlign w:val="center"/>
                </w:tcPr>
                <w:p w14:paraId="6D2FFFD0">
                  <w:pPr>
                    <w:pStyle w:val="7"/>
                    <w:adjustRightInd w:val="0"/>
                    <w:snapToGrid w:val="0"/>
                    <w:ind w:firstLine="0" w:firstLineChars="0"/>
                    <w:jc w:val="center"/>
                    <w:rPr>
                      <w:szCs w:val="21"/>
                    </w:rPr>
                  </w:pPr>
                  <w:r>
                    <w:rPr>
                      <w:rFonts w:hint="eastAsia"/>
                      <w:szCs w:val="21"/>
                    </w:rPr>
                    <w:t>取值</w:t>
                  </w:r>
                  <w:r>
                    <w:rPr>
                      <w:szCs w:val="21"/>
                    </w:rPr>
                    <w:t>时</w:t>
                  </w:r>
                </w:p>
              </w:tc>
              <w:tc>
                <w:tcPr>
                  <w:tcW w:w="1291" w:type="pct"/>
                  <w:tcMar>
                    <w:left w:w="28" w:type="dxa"/>
                    <w:right w:w="28" w:type="dxa"/>
                  </w:tcMar>
                  <w:vAlign w:val="center"/>
                </w:tcPr>
                <w:p w14:paraId="71DAC339">
                  <w:pPr>
                    <w:pStyle w:val="7"/>
                    <w:adjustRightInd w:val="0"/>
                    <w:snapToGrid w:val="0"/>
                    <w:ind w:firstLine="0" w:firstLineChars="0"/>
                    <w:jc w:val="center"/>
                    <w:rPr>
                      <w:szCs w:val="21"/>
                    </w:rPr>
                  </w:pPr>
                  <w:r>
                    <w:rPr>
                      <w:szCs w:val="21"/>
                    </w:rPr>
                    <w:t>浓度限值（mg/</w:t>
                  </w:r>
                  <w:r>
                    <w:rPr>
                      <w:rFonts w:hint="eastAsia"/>
                      <w:szCs w:val="21"/>
                    </w:rPr>
                    <w:t>m</w:t>
                  </w:r>
                  <w:r>
                    <w:rPr>
                      <w:szCs w:val="21"/>
                      <w:vertAlign w:val="superscript"/>
                    </w:rPr>
                    <w:t>3</w:t>
                  </w:r>
                  <w:r>
                    <w:rPr>
                      <w:szCs w:val="21"/>
                    </w:rPr>
                    <w:t>）</w:t>
                  </w:r>
                </w:p>
              </w:tc>
              <w:tc>
                <w:tcPr>
                  <w:tcW w:w="2586" w:type="pct"/>
                  <w:tcMar>
                    <w:left w:w="28" w:type="dxa"/>
                    <w:right w:w="28" w:type="dxa"/>
                  </w:tcMar>
                  <w:vAlign w:val="center"/>
                </w:tcPr>
                <w:p w14:paraId="107E8189">
                  <w:pPr>
                    <w:pStyle w:val="7"/>
                    <w:adjustRightInd w:val="0"/>
                    <w:snapToGrid w:val="0"/>
                    <w:ind w:firstLine="0" w:firstLineChars="0"/>
                    <w:jc w:val="center"/>
                    <w:rPr>
                      <w:szCs w:val="21"/>
                    </w:rPr>
                  </w:pPr>
                  <w:r>
                    <w:rPr>
                      <w:szCs w:val="21"/>
                    </w:rPr>
                    <w:t>执行标准</w:t>
                  </w:r>
                </w:p>
              </w:tc>
            </w:tr>
            <w:tr w14:paraId="46F24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546" w:type="pct"/>
                  <w:tcMar>
                    <w:left w:w="28" w:type="dxa"/>
                    <w:right w:w="28" w:type="dxa"/>
                  </w:tcMar>
                  <w:vAlign w:val="center"/>
                </w:tcPr>
                <w:p w14:paraId="6CDA6AE0">
                  <w:pPr>
                    <w:jc w:val="center"/>
                    <w:rPr>
                      <w:szCs w:val="21"/>
                    </w:rPr>
                  </w:pPr>
                  <w:r>
                    <w:rPr>
                      <w:szCs w:val="21"/>
                    </w:rPr>
                    <w:t>颗粒物</w:t>
                  </w:r>
                </w:p>
              </w:tc>
              <w:tc>
                <w:tcPr>
                  <w:tcW w:w="577" w:type="pct"/>
                  <w:tcMar>
                    <w:left w:w="28" w:type="dxa"/>
                    <w:right w:w="28" w:type="dxa"/>
                  </w:tcMar>
                  <w:vAlign w:val="center"/>
                </w:tcPr>
                <w:p w14:paraId="45357610">
                  <w:pPr>
                    <w:jc w:val="center"/>
                    <w:rPr>
                      <w:szCs w:val="21"/>
                    </w:rPr>
                  </w:pPr>
                  <w:r>
                    <w:rPr>
                      <w:szCs w:val="21"/>
                    </w:rPr>
                    <w:t>周界外浓度最高点</w:t>
                  </w:r>
                </w:p>
              </w:tc>
              <w:tc>
                <w:tcPr>
                  <w:tcW w:w="1291" w:type="pct"/>
                  <w:tcMar>
                    <w:left w:w="28" w:type="dxa"/>
                    <w:right w:w="28" w:type="dxa"/>
                  </w:tcMar>
                  <w:vAlign w:val="center"/>
                </w:tcPr>
                <w:p w14:paraId="0FE20668">
                  <w:pPr>
                    <w:jc w:val="center"/>
                    <w:rPr>
                      <w:szCs w:val="21"/>
                    </w:rPr>
                  </w:pPr>
                  <w:r>
                    <w:rPr>
                      <w:szCs w:val="21"/>
                    </w:rPr>
                    <w:t>1.0</w:t>
                  </w:r>
                </w:p>
              </w:tc>
              <w:tc>
                <w:tcPr>
                  <w:tcW w:w="2586" w:type="pct"/>
                  <w:tcMar>
                    <w:left w:w="28" w:type="dxa"/>
                    <w:right w:w="28" w:type="dxa"/>
                  </w:tcMar>
                  <w:vAlign w:val="center"/>
                </w:tcPr>
                <w:p w14:paraId="49D00A0B">
                  <w:pPr>
                    <w:jc w:val="center"/>
                    <w:rPr>
                      <w:szCs w:val="21"/>
                    </w:rPr>
                  </w:pPr>
                  <w:r>
                    <w:rPr>
                      <w:szCs w:val="21"/>
                    </w:rPr>
                    <w:t>《大气污染物综合排放标准》（GB16297-1996）</w:t>
                  </w:r>
                </w:p>
              </w:tc>
            </w:tr>
            <w:tr w14:paraId="34B3FE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546" w:type="pct"/>
                  <w:vMerge w:val="restart"/>
                  <w:tcMar>
                    <w:left w:w="28" w:type="dxa"/>
                    <w:right w:w="28" w:type="dxa"/>
                  </w:tcMar>
                  <w:vAlign w:val="center"/>
                </w:tcPr>
                <w:p w14:paraId="6A79960B">
                  <w:pPr>
                    <w:jc w:val="center"/>
                    <w:rPr>
                      <w:szCs w:val="21"/>
                    </w:rPr>
                  </w:pPr>
                  <w:r>
                    <w:rPr>
                      <w:szCs w:val="21"/>
                    </w:rPr>
                    <w:t>非甲烷</w:t>
                  </w:r>
                  <w:r>
                    <w:rPr>
                      <w:rFonts w:hint="eastAsia"/>
                      <w:szCs w:val="21"/>
                    </w:rPr>
                    <w:t>总</w:t>
                  </w:r>
                  <w:r>
                    <w:rPr>
                      <w:szCs w:val="21"/>
                    </w:rPr>
                    <w:t>烃</w:t>
                  </w:r>
                </w:p>
              </w:tc>
              <w:tc>
                <w:tcPr>
                  <w:tcW w:w="577" w:type="pct"/>
                  <w:tcMar>
                    <w:left w:w="28" w:type="dxa"/>
                    <w:right w:w="28" w:type="dxa"/>
                  </w:tcMar>
                  <w:vAlign w:val="center"/>
                </w:tcPr>
                <w:p w14:paraId="42755840">
                  <w:pPr>
                    <w:jc w:val="center"/>
                    <w:rPr>
                      <w:szCs w:val="21"/>
                    </w:rPr>
                  </w:pPr>
                  <w:r>
                    <w:rPr>
                      <w:rFonts w:hint="eastAsia"/>
                      <w:szCs w:val="21"/>
                    </w:rPr>
                    <w:t>井场场界</w:t>
                  </w:r>
                </w:p>
              </w:tc>
              <w:tc>
                <w:tcPr>
                  <w:tcW w:w="1291" w:type="pct"/>
                  <w:tcMar>
                    <w:left w:w="28" w:type="dxa"/>
                    <w:right w:w="28" w:type="dxa"/>
                  </w:tcMar>
                  <w:vAlign w:val="center"/>
                </w:tcPr>
                <w:p w14:paraId="52EAE9F6">
                  <w:pPr>
                    <w:jc w:val="center"/>
                    <w:rPr>
                      <w:szCs w:val="21"/>
                    </w:rPr>
                  </w:pPr>
                  <w:r>
                    <w:rPr>
                      <w:rFonts w:hint="eastAsia"/>
                      <w:szCs w:val="21"/>
                    </w:rPr>
                    <w:t>4.0</w:t>
                  </w:r>
                </w:p>
              </w:tc>
              <w:tc>
                <w:tcPr>
                  <w:tcW w:w="2586" w:type="pct"/>
                  <w:tcMar>
                    <w:left w:w="28" w:type="dxa"/>
                    <w:right w:w="28" w:type="dxa"/>
                  </w:tcMar>
                  <w:vAlign w:val="center"/>
                </w:tcPr>
                <w:p w14:paraId="75342F03">
                  <w:pPr>
                    <w:jc w:val="center"/>
                    <w:rPr>
                      <w:szCs w:val="21"/>
                    </w:rPr>
                  </w:pPr>
                  <w:r>
                    <w:rPr>
                      <w:rFonts w:hint="eastAsia"/>
                      <w:szCs w:val="21"/>
                    </w:rPr>
                    <w:t>《陆上石油天然气开采工业大气污染物排放标准》（GB39728-2020）</w:t>
                  </w:r>
                </w:p>
              </w:tc>
            </w:tr>
            <w:tr w14:paraId="4A9E82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546" w:type="pct"/>
                  <w:vMerge w:val="continue"/>
                  <w:tcMar>
                    <w:left w:w="28" w:type="dxa"/>
                    <w:right w:w="28" w:type="dxa"/>
                  </w:tcMar>
                  <w:vAlign w:val="center"/>
                </w:tcPr>
                <w:p w14:paraId="4689757D">
                  <w:pPr>
                    <w:jc w:val="center"/>
                    <w:rPr>
                      <w:szCs w:val="21"/>
                    </w:rPr>
                  </w:pPr>
                </w:p>
              </w:tc>
              <w:tc>
                <w:tcPr>
                  <w:tcW w:w="577" w:type="pct"/>
                  <w:vMerge w:val="restart"/>
                  <w:tcMar>
                    <w:left w:w="28" w:type="dxa"/>
                    <w:right w:w="28" w:type="dxa"/>
                  </w:tcMar>
                  <w:vAlign w:val="center"/>
                </w:tcPr>
                <w:p w14:paraId="5C751809">
                  <w:pPr>
                    <w:jc w:val="center"/>
                    <w:rPr>
                      <w:szCs w:val="21"/>
                    </w:rPr>
                  </w:pPr>
                  <w:r>
                    <w:rPr>
                      <w:rFonts w:hint="eastAsia"/>
                      <w:szCs w:val="21"/>
                    </w:rPr>
                    <w:t>井场内监控点</w:t>
                  </w:r>
                </w:p>
              </w:tc>
              <w:tc>
                <w:tcPr>
                  <w:tcW w:w="1291" w:type="pct"/>
                  <w:tcMar>
                    <w:left w:w="28" w:type="dxa"/>
                    <w:right w:w="28" w:type="dxa"/>
                  </w:tcMar>
                  <w:vAlign w:val="center"/>
                </w:tcPr>
                <w:p w14:paraId="075736F0">
                  <w:pPr>
                    <w:jc w:val="center"/>
                    <w:rPr>
                      <w:szCs w:val="21"/>
                    </w:rPr>
                  </w:pPr>
                  <w:r>
                    <w:rPr>
                      <w:rFonts w:hint="eastAsia"/>
                      <w:szCs w:val="21"/>
                    </w:rPr>
                    <w:t>任意一次浓度值特别排放限值20mg/m</w:t>
                  </w:r>
                  <w:r>
                    <w:rPr>
                      <w:rFonts w:hint="eastAsia"/>
                      <w:szCs w:val="21"/>
                      <w:vertAlign w:val="superscript"/>
                    </w:rPr>
                    <w:t>3</w:t>
                  </w:r>
                </w:p>
              </w:tc>
              <w:tc>
                <w:tcPr>
                  <w:tcW w:w="2586" w:type="pct"/>
                  <w:vMerge w:val="restart"/>
                  <w:tcMar>
                    <w:left w:w="28" w:type="dxa"/>
                    <w:right w:w="28" w:type="dxa"/>
                  </w:tcMar>
                  <w:vAlign w:val="center"/>
                </w:tcPr>
                <w:p w14:paraId="10C8D93E">
                  <w:pPr>
                    <w:jc w:val="center"/>
                    <w:rPr>
                      <w:szCs w:val="21"/>
                    </w:rPr>
                  </w:pPr>
                  <w:r>
                    <w:rPr>
                      <w:rFonts w:hint="eastAsia"/>
                      <w:szCs w:val="21"/>
                    </w:rPr>
                    <w:t>《挥发性有机物无组织排放控制标准》（GB37822-2019）</w:t>
                  </w:r>
                </w:p>
              </w:tc>
            </w:tr>
            <w:tr w14:paraId="6F12B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546" w:type="pct"/>
                  <w:vMerge w:val="continue"/>
                  <w:tcMar>
                    <w:left w:w="28" w:type="dxa"/>
                    <w:right w:w="28" w:type="dxa"/>
                  </w:tcMar>
                  <w:vAlign w:val="center"/>
                </w:tcPr>
                <w:p w14:paraId="097C346E">
                  <w:pPr>
                    <w:jc w:val="center"/>
                    <w:rPr>
                      <w:szCs w:val="21"/>
                    </w:rPr>
                  </w:pPr>
                </w:p>
              </w:tc>
              <w:tc>
                <w:tcPr>
                  <w:tcW w:w="577" w:type="pct"/>
                  <w:vMerge w:val="continue"/>
                  <w:tcMar>
                    <w:left w:w="28" w:type="dxa"/>
                    <w:right w:w="28" w:type="dxa"/>
                  </w:tcMar>
                  <w:vAlign w:val="center"/>
                </w:tcPr>
                <w:p w14:paraId="4BD0B413">
                  <w:pPr>
                    <w:jc w:val="center"/>
                    <w:rPr>
                      <w:szCs w:val="21"/>
                    </w:rPr>
                  </w:pPr>
                </w:p>
              </w:tc>
              <w:tc>
                <w:tcPr>
                  <w:tcW w:w="1291" w:type="pct"/>
                  <w:tcMar>
                    <w:left w:w="28" w:type="dxa"/>
                    <w:right w:w="28" w:type="dxa"/>
                  </w:tcMar>
                  <w:vAlign w:val="center"/>
                </w:tcPr>
                <w:p w14:paraId="7CF19385">
                  <w:pPr>
                    <w:jc w:val="center"/>
                    <w:rPr>
                      <w:szCs w:val="21"/>
                    </w:rPr>
                  </w:pPr>
                  <w:r>
                    <w:rPr>
                      <w:rFonts w:hint="eastAsia"/>
                      <w:szCs w:val="21"/>
                    </w:rPr>
                    <w:t>1h平均浓度值特别排放限值6mg/m</w:t>
                  </w:r>
                  <w:r>
                    <w:rPr>
                      <w:rFonts w:hint="eastAsia"/>
                      <w:szCs w:val="21"/>
                      <w:vertAlign w:val="superscript"/>
                    </w:rPr>
                    <w:t>3</w:t>
                  </w:r>
                </w:p>
              </w:tc>
              <w:tc>
                <w:tcPr>
                  <w:tcW w:w="2586" w:type="pct"/>
                  <w:vMerge w:val="continue"/>
                  <w:tcMar>
                    <w:left w:w="28" w:type="dxa"/>
                    <w:right w:w="28" w:type="dxa"/>
                  </w:tcMar>
                  <w:vAlign w:val="center"/>
                </w:tcPr>
                <w:p w14:paraId="0BA8D044">
                  <w:pPr>
                    <w:jc w:val="center"/>
                    <w:rPr>
                      <w:szCs w:val="21"/>
                    </w:rPr>
                  </w:pPr>
                </w:p>
              </w:tc>
            </w:tr>
          </w:tbl>
          <w:p w14:paraId="241B2976">
            <w:pPr>
              <w:autoSpaceDE w:val="0"/>
              <w:autoSpaceDN w:val="0"/>
              <w:adjustRightInd w:val="0"/>
              <w:jc w:val="center"/>
              <w:rPr>
                <w:b/>
                <w:kern w:val="0"/>
                <w:sz w:val="24"/>
              </w:rPr>
            </w:pPr>
            <w:r>
              <w:rPr>
                <w:b/>
                <w:kern w:val="0"/>
                <w:sz w:val="24"/>
              </w:rPr>
              <w:t>表</w:t>
            </w:r>
            <w:r>
              <w:rPr>
                <w:rFonts w:hint="eastAsia"/>
                <w:b/>
                <w:kern w:val="0"/>
                <w:sz w:val="24"/>
              </w:rPr>
              <w:t xml:space="preserve">3-9 </w:t>
            </w:r>
            <w:r>
              <w:rPr>
                <w:b/>
                <w:kern w:val="0"/>
                <w:sz w:val="24"/>
              </w:rPr>
              <w:t>柴油机</w:t>
            </w:r>
            <w:r>
              <w:rPr>
                <w:rFonts w:hint="eastAsia"/>
                <w:b/>
                <w:kern w:val="0"/>
                <w:sz w:val="24"/>
              </w:rPr>
              <w:t>尾气</w:t>
            </w:r>
            <w:r>
              <w:rPr>
                <w:b/>
                <w:kern w:val="0"/>
                <w:sz w:val="24"/>
              </w:rPr>
              <w:t>排放标准</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2724"/>
              <w:gridCol w:w="4343"/>
            </w:tblGrid>
            <w:tr w14:paraId="1A124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Align w:val="center"/>
                </w:tcPr>
                <w:p w14:paraId="1452E352">
                  <w:pPr>
                    <w:jc w:val="center"/>
                    <w:rPr>
                      <w:szCs w:val="21"/>
                    </w:rPr>
                  </w:pPr>
                  <w:r>
                    <w:rPr>
                      <w:szCs w:val="21"/>
                    </w:rPr>
                    <w:t>污染物</w:t>
                  </w:r>
                </w:p>
              </w:tc>
              <w:tc>
                <w:tcPr>
                  <w:tcW w:w="1654" w:type="pct"/>
                  <w:vAlign w:val="center"/>
                </w:tcPr>
                <w:p w14:paraId="26C4E528">
                  <w:pPr>
                    <w:autoSpaceDE w:val="0"/>
                    <w:autoSpaceDN w:val="0"/>
                    <w:adjustRightInd w:val="0"/>
                    <w:jc w:val="center"/>
                    <w:rPr>
                      <w:szCs w:val="21"/>
                    </w:rPr>
                  </w:pPr>
                  <w:r>
                    <w:rPr>
                      <w:szCs w:val="21"/>
                    </w:rPr>
                    <w:t>最高允许排放浓度（mg/m</w:t>
                  </w:r>
                  <w:r>
                    <w:rPr>
                      <w:szCs w:val="21"/>
                      <w:vertAlign w:val="superscript"/>
                    </w:rPr>
                    <w:t>3</w:t>
                  </w:r>
                  <w:r>
                    <w:rPr>
                      <w:szCs w:val="21"/>
                    </w:rPr>
                    <w:t>）</w:t>
                  </w:r>
                </w:p>
              </w:tc>
              <w:tc>
                <w:tcPr>
                  <w:tcW w:w="2637" w:type="pct"/>
                  <w:vAlign w:val="center"/>
                </w:tcPr>
                <w:p w14:paraId="2B5F5BEF">
                  <w:pPr>
                    <w:jc w:val="center"/>
                    <w:rPr>
                      <w:szCs w:val="21"/>
                    </w:rPr>
                  </w:pPr>
                  <w:r>
                    <w:rPr>
                      <w:rFonts w:hint="eastAsia"/>
                      <w:szCs w:val="21"/>
                    </w:rPr>
                    <w:t>执行标准</w:t>
                  </w:r>
                </w:p>
              </w:tc>
            </w:tr>
            <w:tr w14:paraId="786A3F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Align w:val="center"/>
                </w:tcPr>
                <w:p w14:paraId="7F27E285">
                  <w:pPr>
                    <w:jc w:val="center"/>
                    <w:rPr>
                      <w:szCs w:val="21"/>
                    </w:rPr>
                  </w:pPr>
                  <w:r>
                    <w:rPr>
                      <w:szCs w:val="21"/>
                    </w:rPr>
                    <w:t>SO</w:t>
                  </w:r>
                  <w:r>
                    <w:rPr>
                      <w:szCs w:val="21"/>
                      <w:vertAlign w:val="subscript"/>
                    </w:rPr>
                    <w:t>2</w:t>
                  </w:r>
                </w:p>
              </w:tc>
              <w:tc>
                <w:tcPr>
                  <w:tcW w:w="1654" w:type="pct"/>
                  <w:vAlign w:val="center"/>
                </w:tcPr>
                <w:p w14:paraId="5E762D4B">
                  <w:pPr>
                    <w:jc w:val="center"/>
                    <w:rPr>
                      <w:szCs w:val="21"/>
                    </w:rPr>
                  </w:pPr>
                  <w:r>
                    <w:rPr>
                      <w:rFonts w:hint="eastAsia"/>
                      <w:szCs w:val="21"/>
                    </w:rPr>
                    <w:t>55</w:t>
                  </w:r>
                  <w:r>
                    <w:rPr>
                      <w:szCs w:val="21"/>
                    </w:rPr>
                    <w:t>0</w:t>
                  </w:r>
                </w:p>
              </w:tc>
              <w:tc>
                <w:tcPr>
                  <w:tcW w:w="2637" w:type="pct"/>
                  <w:vMerge w:val="restart"/>
                  <w:tcMar>
                    <w:left w:w="0" w:type="dxa"/>
                    <w:right w:w="0" w:type="dxa"/>
                  </w:tcMar>
                  <w:vAlign w:val="center"/>
                </w:tcPr>
                <w:p w14:paraId="67A1F2A4">
                  <w:pPr>
                    <w:jc w:val="center"/>
                    <w:rPr>
                      <w:szCs w:val="21"/>
                    </w:rPr>
                  </w:pPr>
                  <w:r>
                    <w:rPr>
                      <w:rFonts w:hint="eastAsia"/>
                      <w:szCs w:val="21"/>
                    </w:rPr>
                    <w:t>《大气污染物综合排放标准》（GB16297-1996）中表2最高允许排放浓度限值</w:t>
                  </w:r>
                </w:p>
              </w:tc>
            </w:tr>
            <w:tr w14:paraId="22D35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Align w:val="center"/>
                </w:tcPr>
                <w:p w14:paraId="288D668F">
                  <w:pPr>
                    <w:jc w:val="center"/>
                    <w:rPr>
                      <w:szCs w:val="21"/>
                    </w:rPr>
                  </w:pPr>
                  <w:r>
                    <w:rPr>
                      <w:szCs w:val="21"/>
                    </w:rPr>
                    <w:t>NO</w:t>
                  </w:r>
                  <w:r>
                    <w:rPr>
                      <w:szCs w:val="21"/>
                      <w:vertAlign w:val="subscript"/>
                    </w:rPr>
                    <w:t>X</w:t>
                  </w:r>
                </w:p>
              </w:tc>
              <w:tc>
                <w:tcPr>
                  <w:tcW w:w="1654" w:type="pct"/>
                  <w:vAlign w:val="center"/>
                </w:tcPr>
                <w:p w14:paraId="34119A27">
                  <w:pPr>
                    <w:jc w:val="center"/>
                    <w:rPr>
                      <w:szCs w:val="21"/>
                    </w:rPr>
                  </w:pPr>
                  <w:r>
                    <w:rPr>
                      <w:szCs w:val="21"/>
                    </w:rPr>
                    <w:t>240</w:t>
                  </w:r>
                </w:p>
              </w:tc>
              <w:tc>
                <w:tcPr>
                  <w:tcW w:w="2637" w:type="pct"/>
                  <w:vMerge w:val="continue"/>
                  <w:vAlign w:val="center"/>
                </w:tcPr>
                <w:p w14:paraId="4FAB6EE2">
                  <w:pPr>
                    <w:rPr>
                      <w:szCs w:val="21"/>
                    </w:rPr>
                  </w:pPr>
                </w:p>
              </w:tc>
            </w:tr>
            <w:tr w14:paraId="7FEF86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pct"/>
                  <w:vAlign w:val="center"/>
                </w:tcPr>
                <w:p w14:paraId="3B27D84A">
                  <w:pPr>
                    <w:jc w:val="center"/>
                    <w:rPr>
                      <w:szCs w:val="21"/>
                    </w:rPr>
                  </w:pPr>
                  <w:r>
                    <w:rPr>
                      <w:szCs w:val="21"/>
                    </w:rPr>
                    <w:t>烟尘</w:t>
                  </w:r>
                </w:p>
              </w:tc>
              <w:tc>
                <w:tcPr>
                  <w:tcW w:w="1654" w:type="pct"/>
                  <w:vAlign w:val="center"/>
                </w:tcPr>
                <w:p w14:paraId="4EBC93D7">
                  <w:pPr>
                    <w:jc w:val="center"/>
                    <w:rPr>
                      <w:szCs w:val="21"/>
                    </w:rPr>
                  </w:pPr>
                  <w:r>
                    <w:rPr>
                      <w:szCs w:val="21"/>
                    </w:rPr>
                    <w:t>120</w:t>
                  </w:r>
                </w:p>
              </w:tc>
              <w:tc>
                <w:tcPr>
                  <w:tcW w:w="2637" w:type="pct"/>
                  <w:vMerge w:val="continue"/>
                  <w:vAlign w:val="center"/>
                </w:tcPr>
                <w:p w14:paraId="26CDCC85">
                  <w:pPr>
                    <w:rPr>
                      <w:szCs w:val="21"/>
                    </w:rPr>
                  </w:pPr>
                </w:p>
              </w:tc>
            </w:tr>
          </w:tbl>
          <w:p w14:paraId="4239A174">
            <w:pPr>
              <w:adjustRightInd w:val="0"/>
              <w:snapToGrid w:val="0"/>
              <w:spacing w:line="360" w:lineRule="auto"/>
              <w:ind w:firstLine="480" w:firstLineChars="200"/>
              <w:rPr>
                <w:sz w:val="24"/>
              </w:rPr>
            </w:pPr>
            <w:r>
              <w:rPr>
                <w:sz w:val="24"/>
              </w:rPr>
              <w:t>2、噪声</w:t>
            </w:r>
          </w:p>
          <w:p w14:paraId="34557506">
            <w:pPr>
              <w:adjustRightInd w:val="0"/>
              <w:snapToGrid w:val="0"/>
              <w:spacing w:line="360" w:lineRule="auto"/>
              <w:ind w:firstLine="480" w:firstLineChars="200"/>
              <w:rPr>
                <w:sz w:val="24"/>
              </w:rPr>
            </w:pPr>
            <w:r>
              <w:rPr>
                <w:sz w:val="24"/>
              </w:rPr>
              <w:t>噪声执行《</w:t>
            </w:r>
            <w:r>
              <w:rPr>
                <w:rFonts w:hint="eastAsia"/>
                <w:sz w:val="24"/>
              </w:rPr>
              <w:t>建筑施工噪声排放标准</w:t>
            </w:r>
            <w:r>
              <w:rPr>
                <w:sz w:val="24"/>
              </w:rPr>
              <w:t>》（GB12523-20</w:t>
            </w:r>
            <w:r>
              <w:rPr>
                <w:rFonts w:hint="eastAsia"/>
                <w:sz w:val="24"/>
              </w:rPr>
              <w:t>25</w:t>
            </w:r>
            <w:r>
              <w:rPr>
                <w:sz w:val="24"/>
              </w:rPr>
              <w:t>）中各施工时间段的作业噪声限值。</w:t>
            </w:r>
          </w:p>
          <w:p w14:paraId="61C4B714">
            <w:pPr>
              <w:autoSpaceDE w:val="0"/>
              <w:autoSpaceDN w:val="0"/>
              <w:adjustRightInd w:val="0"/>
              <w:jc w:val="center"/>
              <w:rPr>
                <w:b/>
                <w:kern w:val="0"/>
                <w:sz w:val="24"/>
              </w:rPr>
            </w:pPr>
            <w:r>
              <w:rPr>
                <w:b/>
                <w:kern w:val="0"/>
                <w:sz w:val="24"/>
              </w:rPr>
              <w:t>表</w:t>
            </w:r>
            <w:r>
              <w:rPr>
                <w:rFonts w:hint="eastAsia"/>
                <w:b/>
                <w:kern w:val="0"/>
                <w:sz w:val="24"/>
              </w:rPr>
              <w:t>3-10</w:t>
            </w:r>
            <w:r>
              <w:rPr>
                <w:b/>
                <w:kern w:val="0"/>
                <w:sz w:val="24"/>
              </w:rPr>
              <w:t xml:space="preserve"> 噪声排放限值 单位：dB（A）</w:t>
            </w:r>
          </w:p>
          <w:tbl>
            <w:tblPr>
              <w:tblStyle w:val="30"/>
              <w:tblW w:w="5000" w:type="pct"/>
              <w:jc w:val="center"/>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741"/>
              <w:gridCol w:w="700"/>
              <w:gridCol w:w="5462"/>
            </w:tblGrid>
            <w:tr w14:paraId="64FFD34B">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08" w:type="pct"/>
                  <w:vAlign w:val="center"/>
                </w:tcPr>
                <w:p w14:paraId="6972443A">
                  <w:pPr>
                    <w:jc w:val="center"/>
                    <w:rPr>
                      <w:szCs w:val="21"/>
                    </w:rPr>
                  </w:pPr>
                  <w:r>
                    <w:rPr>
                      <w:rFonts w:hint="eastAsia"/>
                      <w:szCs w:val="21"/>
                    </w:rPr>
                    <w:t>污染工序</w:t>
                  </w:r>
                </w:p>
              </w:tc>
              <w:tc>
                <w:tcPr>
                  <w:tcW w:w="450" w:type="pct"/>
                  <w:vAlign w:val="center"/>
                </w:tcPr>
                <w:p w14:paraId="6A146F87">
                  <w:pPr>
                    <w:jc w:val="center"/>
                    <w:rPr>
                      <w:szCs w:val="21"/>
                    </w:rPr>
                  </w:pPr>
                  <w:r>
                    <w:rPr>
                      <w:rFonts w:hint="eastAsia"/>
                      <w:szCs w:val="21"/>
                    </w:rPr>
                    <w:t>昼间</w:t>
                  </w:r>
                </w:p>
              </w:tc>
              <w:tc>
                <w:tcPr>
                  <w:tcW w:w="425" w:type="pct"/>
                  <w:vAlign w:val="center"/>
                </w:tcPr>
                <w:p w14:paraId="39DD5FDF">
                  <w:pPr>
                    <w:jc w:val="center"/>
                    <w:rPr>
                      <w:szCs w:val="21"/>
                    </w:rPr>
                  </w:pPr>
                  <w:r>
                    <w:rPr>
                      <w:rFonts w:hint="eastAsia"/>
                      <w:szCs w:val="21"/>
                    </w:rPr>
                    <w:t>夜间</w:t>
                  </w:r>
                </w:p>
              </w:tc>
              <w:tc>
                <w:tcPr>
                  <w:tcW w:w="3317" w:type="pct"/>
                  <w:vAlign w:val="center"/>
                </w:tcPr>
                <w:p w14:paraId="585E2C91">
                  <w:pPr>
                    <w:jc w:val="center"/>
                    <w:rPr>
                      <w:szCs w:val="21"/>
                    </w:rPr>
                  </w:pPr>
                  <w:r>
                    <w:rPr>
                      <w:rFonts w:hint="eastAsia"/>
                      <w:szCs w:val="21"/>
                    </w:rPr>
                    <w:t>标准</w:t>
                  </w:r>
                </w:p>
              </w:tc>
            </w:tr>
            <w:tr w14:paraId="5EBE7194">
              <w:tblPrEx>
                <w:tblBorders>
                  <w:top w:val="single" w:color="auto" w:sz="12"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08" w:type="pct"/>
                  <w:vAlign w:val="center"/>
                </w:tcPr>
                <w:p w14:paraId="2AD49AEE">
                  <w:pPr>
                    <w:jc w:val="center"/>
                    <w:rPr>
                      <w:szCs w:val="21"/>
                    </w:rPr>
                  </w:pPr>
                  <w:r>
                    <w:rPr>
                      <w:rFonts w:hint="eastAsia"/>
                      <w:szCs w:val="21"/>
                    </w:rPr>
                    <w:t>施工</w:t>
                  </w:r>
                  <w:r>
                    <w:rPr>
                      <w:szCs w:val="21"/>
                    </w:rPr>
                    <w:t>期</w:t>
                  </w:r>
                </w:p>
              </w:tc>
              <w:tc>
                <w:tcPr>
                  <w:tcW w:w="450" w:type="pct"/>
                  <w:vAlign w:val="center"/>
                </w:tcPr>
                <w:p w14:paraId="1C42FDFB">
                  <w:pPr>
                    <w:adjustRightInd w:val="0"/>
                    <w:jc w:val="center"/>
                    <w:textAlignment w:val="baseline"/>
                    <w:rPr>
                      <w:szCs w:val="21"/>
                    </w:rPr>
                  </w:pPr>
                  <w:r>
                    <w:rPr>
                      <w:szCs w:val="21"/>
                    </w:rPr>
                    <w:t>70</w:t>
                  </w:r>
                </w:p>
              </w:tc>
              <w:tc>
                <w:tcPr>
                  <w:tcW w:w="425" w:type="pct"/>
                  <w:vAlign w:val="center"/>
                </w:tcPr>
                <w:p w14:paraId="00283A6E">
                  <w:pPr>
                    <w:adjustRightInd w:val="0"/>
                    <w:jc w:val="center"/>
                    <w:textAlignment w:val="baseline"/>
                    <w:rPr>
                      <w:szCs w:val="21"/>
                    </w:rPr>
                  </w:pPr>
                  <w:r>
                    <w:rPr>
                      <w:szCs w:val="21"/>
                    </w:rPr>
                    <w:t>55</w:t>
                  </w:r>
                </w:p>
              </w:tc>
              <w:tc>
                <w:tcPr>
                  <w:tcW w:w="3317" w:type="pct"/>
                  <w:vAlign w:val="center"/>
                </w:tcPr>
                <w:p w14:paraId="5E168C8B">
                  <w:pPr>
                    <w:adjustRightInd w:val="0"/>
                    <w:jc w:val="center"/>
                    <w:textAlignment w:val="baseline"/>
                    <w:rPr>
                      <w:szCs w:val="21"/>
                    </w:rPr>
                  </w:pPr>
                  <w:r>
                    <w:rPr>
                      <w:szCs w:val="21"/>
                    </w:rPr>
                    <w:t>《</w:t>
                  </w:r>
                  <w:r>
                    <w:rPr>
                      <w:rFonts w:hint="eastAsia"/>
                      <w:szCs w:val="21"/>
                    </w:rPr>
                    <w:t>建筑施工噪声排放标准</w:t>
                  </w:r>
                  <w:r>
                    <w:rPr>
                      <w:szCs w:val="21"/>
                    </w:rPr>
                    <w:t>》（GB12523-20</w:t>
                  </w:r>
                  <w:r>
                    <w:rPr>
                      <w:rFonts w:hint="eastAsia"/>
                      <w:szCs w:val="21"/>
                    </w:rPr>
                    <w:t>25</w:t>
                  </w:r>
                  <w:r>
                    <w:rPr>
                      <w:szCs w:val="21"/>
                    </w:rPr>
                    <w:t>）</w:t>
                  </w:r>
                </w:p>
              </w:tc>
            </w:tr>
          </w:tbl>
          <w:p w14:paraId="21CF1B86">
            <w:pPr>
              <w:spacing w:line="360" w:lineRule="auto"/>
              <w:ind w:firstLine="480" w:firstLineChars="200"/>
              <w:rPr>
                <w:sz w:val="24"/>
              </w:rPr>
            </w:pPr>
            <w:r>
              <w:rPr>
                <w:sz w:val="24"/>
              </w:rPr>
              <w:t>3、固体废物</w:t>
            </w:r>
          </w:p>
          <w:p w14:paraId="79C9519B">
            <w:pPr>
              <w:spacing w:line="360" w:lineRule="auto"/>
              <w:ind w:firstLine="480" w:firstLineChars="200"/>
              <w:rPr>
                <w:sz w:val="24"/>
              </w:rPr>
            </w:pPr>
            <w:r>
              <w:rPr>
                <w:sz w:val="24"/>
              </w:rPr>
              <w:t>固体废物执行</w:t>
            </w:r>
            <w:r>
              <w:rPr>
                <w:rFonts w:hint="eastAsia"/>
                <w:sz w:val="24"/>
              </w:rPr>
              <w:t>《中华人民共和国固体废物污染环境防治法》（2020年9月1日实施）、</w:t>
            </w:r>
            <w:r>
              <w:rPr>
                <w:sz w:val="24"/>
              </w:rPr>
              <w:t>《一般工业固体废物贮存</w:t>
            </w:r>
            <w:r>
              <w:rPr>
                <w:rFonts w:hint="eastAsia"/>
                <w:sz w:val="24"/>
              </w:rPr>
              <w:t>和填埋污染控制标准</w:t>
            </w:r>
            <w:r>
              <w:rPr>
                <w:sz w:val="24"/>
              </w:rPr>
              <w:t>》（GB18599-20</w:t>
            </w:r>
            <w:r>
              <w:rPr>
                <w:rFonts w:hint="eastAsia"/>
                <w:sz w:val="24"/>
              </w:rPr>
              <w:t>20）、</w:t>
            </w:r>
            <w:r>
              <w:rPr>
                <w:sz w:val="24"/>
              </w:rPr>
              <w:t>《危险废物贮存污染控制标准》（GB185</w:t>
            </w:r>
            <w:r>
              <w:rPr>
                <w:rFonts w:hint="eastAsia"/>
                <w:sz w:val="24"/>
              </w:rPr>
              <w:t>97</w:t>
            </w:r>
            <w:r>
              <w:rPr>
                <w:sz w:val="24"/>
              </w:rPr>
              <w:t>-20</w:t>
            </w:r>
            <w:r>
              <w:rPr>
                <w:rFonts w:hint="eastAsia"/>
                <w:sz w:val="24"/>
              </w:rPr>
              <w:t>23</w:t>
            </w:r>
            <w:r>
              <w:rPr>
                <w:sz w:val="24"/>
              </w:rPr>
              <w:t>）等有关规定。</w:t>
            </w:r>
          </w:p>
        </w:tc>
      </w:tr>
      <w:tr w14:paraId="3342B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457" w:type="dxa"/>
            <w:vAlign w:val="center"/>
          </w:tcPr>
          <w:p w14:paraId="484A1BB8">
            <w:pPr>
              <w:adjustRightInd w:val="0"/>
              <w:snapToGrid w:val="0"/>
              <w:jc w:val="center"/>
              <w:rPr>
                <w:b/>
                <w:kern w:val="0"/>
                <w:sz w:val="24"/>
              </w:rPr>
            </w:pPr>
            <w:r>
              <w:rPr>
                <w:b/>
                <w:kern w:val="0"/>
                <w:sz w:val="24"/>
              </w:rPr>
              <w:t>其他</w:t>
            </w:r>
          </w:p>
        </w:tc>
        <w:tc>
          <w:tcPr>
            <w:tcW w:w="8450" w:type="dxa"/>
            <w:vAlign w:val="center"/>
          </w:tcPr>
          <w:p w14:paraId="41BD9E63">
            <w:pPr>
              <w:spacing w:line="360" w:lineRule="auto"/>
              <w:ind w:firstLine="480" w:firstLineChars="200"/>
              <w:jc w:val="left"/>
              <w:rPr>
                <w:sz w:val="24"/>
              </w:rPr>
            </w:pPr>
            <w:r>
              <w:rPr>
                <w:sz w:val="24"/>
              </w:rPr>
              <w:t>本次评价仅对勘探过程中对环境的影响进行分析，不包括开采。项目在满足达标排放和环境功能区划达标的前提下，不核定总量指标。</w:t>
            </w:r>
          </w:p>
        </w:tc>
      </w:tr>
    </w:tbl>
    <w:p w14:paraId="270DDE13">
      <w:pPr>
        <w:pStyle w:val="25"/>
        <w:spacing w:before="0" w:beforeAutospacing="0" w:after="0" w:afterAutospacing="0"/>
        <w:jc w:val="center"/>
        <w:outlineLvl w:val="0"/>
        <w:rPr>
          <w:b/>
          <w:snapToGrid w:val="0"/>
          <w:kern w:val="2"/>
          <w:sz w:val="30"/>
          <w:szCs w:val="30"/>
        </w:rPr>
        <w:sectPr>
          <w:pgSz w:w="11906" w:h="16838"/>
          <w:pgMar w:top="1588" w:right="1531" w:bottom="1418" w:left="1531" w:header="851" w:footer="1077" w:gutter="0"/>
          <w:cols w:space="720" w:num="1"/>
          <w:docGrid w:linePitch="312" w:charSpace="0"/>
        </w:sectPr>
      </w:pPr>
    </w:p>
    <w:p w14:paraId="31FF2DDB">
      <w:pPr>
        <w:pStyle w:val="25"/>
        <w:spacing w:before="0" w:beforeAutospacing="0" w:after="0" w:afterAutospacing="0"/>
        <w:jc w:val="center"/>
        <w:outlineLvl w:val="0"/>
        <w:rPr>
          <w:rFonts w:ascii="黑体" w:hAnsi="黑体" w:eastAsia="黑体"/>
          <w:b/>
          <w:snapToGrid w:val="0"/>
          <w:kern w:val="2"/>
          <w:sz w:val="30"/>
          <w:szCs w:val="30"/>
        </w:rPr>
      </w:pPr>
      <w:bookmarkStart w:id="8" w:name="_Toc214007548"/>
      <w:r>
        <w:rPr>
          <w:rFonts w:ascii="黑体" w:hAnsi="黑体" w:eastAsia="黑体"/>
          <w:b/>
          <w:snapToGrid w:val="0"/>
          <w:kern w:val="2"/>
          <w:sz w:val="30"/>
          <w:szCs w:val="30"/>
        </w:rPr>
        <w:t>四、生态环境影响分析</w:t>
      </w:r>
      <w:bookmarkEnd w:id="8"/>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8411"/>
      </w:tblGrid>
      <w:tr w14:paraId="16E5A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486" w:type="dxa"/>
            <w:tcMar>
              <w:left w:w="28" w:type="dxa"/>
              <w:right w:w="28" w:type="dxa"/>
            </w:tcMar>
            <w:vAlign w:val="center"/>
          </w:tcPr>
          <w:p w14:paraId="2401C2E9">
            <w:pPr>
              <w:pStyle w:val="25"/>
              <w:adjustRightInd w:val="0"/>
              <w:snapToGrid w:val="0"/>
              <w:spacing w:before="0" w:beforeAutospacing="0" w:after="0" w:afterAutospacing="0"/>
              <w:jc w:val="center"/>
              <w:rPr>
                <w:rFonts w:ascii="Times New Roman" w:hAnsi="Times New Roman"/>
                <w:b/>
                <w:bCs/>
                <w:kern w:val="2"/>
              </w:rPr>
            </w:pPr>
            <w:bookmarkStart w:id="9" w:name="_Hlk49796138"/>
            <w:r>
              <w:rPr>
                <w:rFonts w:ascii="Times New Roman" w:hAnsi="Times New Roman"/>
                <w:b/>
                <w:bCs/>
                <w:spacing w:val="10"/>
                <w:kern w:val="2"/>
              </w:rPr>
              <w:t>施工期生态环境影响分析</w:t>
            </w:r>
            <w:bookmarkEnd w:id="9"/>
          </w:p>
        </w:tc>
        <w:tc>
          <w:tcPr>
            <w:tcW w:w="8411" w:type="dxa"/>
          </w:tcPr>
          <w:p w14:paraId="3904F211">
            <w:pPr>
              <w:spacing w:line="360" w:lineRule="auto"/>
              <w:ind w:firstLine="480" w:firstLineChars="200"/>
              <w:rPr>
                <w:bCs/>
                <w:sz w:val="24"/>
              </w:rPr>
            </w:pPr>
            <w:r>
              <w:rPr>
                <w:rFonts w:hint="eastAsia"/>
                <w:bCs/>
                <w:sz w:val="24"/>
              </w:rPr>
              <w:t>项目施工期可能产生生态破坏和环境污染的主要环节、因素，影响的对象、途径、性质，影响范围和影响程度见下表。</w:t>
            </w:r>
          </w:p>
          <w:p w14:paraId="2B877B94">
            <w:pPr>
              <w:autoSpaceDE w:val="0"/>
              <w:autoSpaceDN w:val="0"/>
              <w:adjustRightInd w:val="0"/>
              <w:jc w:val="center"/>
              <w:rPr>
                <w:b/>
                <w:kern w:val="0"/>
                <w:sz w:val="24"/>
              </w:rPr>
            </w:pPr>
            <w:r>
              <w:rPr>
                <w:b/>
                <w:kern w:val="0"/>
                <w:sz w:val="24"/>
              </w:rPr>
              <w:t>表</w:t>
            </w:r>
            <w:r>
              <w:rPr>
                <w:rFonts w:hint="eastAsia"/>
                <w:b/>
                <w:kern w:val="0"/>
                <w:sz w:val="24"/>
              </w:rPr>
              <w:t>4-1 施工期生态破坏和环境污染一览表</w:t>
            </w:r>
          </w:p>
          <w:tbl>
            <w:tblPr>
              <w:tblStyle w:val="30"/>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55"/>
              <w:gridCol w:w="479"/>
              <w:gridCol w:w="1192"/>
              <w:gridCol w:w="580"/>
              <w:gridCol w:w="1369"/>
              <w:gridCol w:w="1113"/>
              <w:gridCol w:w="697"/>
              <w:gridCol w:w="508"/>
              <w:gridCol w:w="1133"/>
              <w:gridCol w:w="569"/>
            </w:tblGrid>
            <w:tr w14:paraId="324990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tcMar>
                    <w:left w:w="0" w:type="dxa"/>
                    <w:right w:w="0" w:type="dxa"/>
                  </w:tcMar>
                  <w:vAlign w:val="center"/>
                </w:tcPr>
                <w:p w14:paraId="45FE473C">
                  <w:pPr>
                    <w:jc w:val="center"/>
                    <w:rPr>
                      <w:bCs/>
                      <w:szCs w:val="21"/>
                    </w:rPr>
                  </w:pPr>
                  <w:r>
                    <w:rPr>
                      <w:bCs/>
                      <w:szCs w:val="21"/>
                    </w:rPr>
                    <w:t>阶段</w:t>
                  </w:r>
                </w:p>
              </w:tc>
              <w:tc>
                <w:tcPr>
                  <w:tcW w:w="292" w:type="pct"/>
                  <w:tcMar>
                    <w:left w:w="0" w:type="dxa"/>
                    <w:right w:w="0" w:type="dxa"/>
                  </w:tcMar>
                  <w:vAlign w:val="center"/>
                </w:tcPr>
                <w:p w14:paraId="3462E337">
                  <w:pPr>
                    <w:jc w:val="center"/>
                    <w:rPr>
                      <w:bCs/>
                      <w:szCs w:val="21"/>
                    </w:rPr>
                  </w:pPr>
                  <w:r>
                    <w:rPr>
                      <w:rFonts w:hint="eastAsia"/>
                      <w:bCs/>
                      <w:szCs w:val="21"/>
                    </w:rPr>
                    <w:t>类别</w:t>
                  </w:r>
                </w:p>
              </w:tc>
              <w:tc>
                <w:tcPr>
                  <w:tcW w:w="727" w:type="pct"/>
                  <w:tcMar>
                    <w:left w:w="0" w:type="dxa"/>
                    <w:right w:w="0" w:type="dxa"/>
                  </w:tcMar>
                  <w:vAlign w:val="center"/>
                </w:tcPr>
                <w:p w14:paraId="4391E562">
                  <w:pPr>
                    <w:jc w:val="center"/>
                    <w:rPr>
                      <w:bCs/>
                      <w:szCs w:val="21"/>
                    </w:rPr>
                  </w:pPr>
                  <w:r>
                    <w:rPr>
                      <w:rFonts w:hint="eastAsia"/>
                      <w:bCs/>
                      <w:szCs w:val="21"/>
                    </w:rPr>
                    <w:t>污染环节</w:t>
                  </w:r>
                </w:p>
              </w:tc>
              <w:tc>
                <w:tcPr>
                  <w:tcW w:w="1189" w:type="pct"/>
                  <w:gridSpan w:val="2"/>
                  <w:tcMar>
                    <w:left w:w="0" w:type="dxa"/>
                    <w:right w:w="0" w:type="dxa"/>
                  </w:tcMar>
                  <w:vAlign w:val="center"/>
                </w:tcPr>
                <w:p w14:paraId="74EB543E">
                  <w:pPr>
                    <w:jc w:val="center"/>
                    <w:rPr>
                      <w:bCs/>
                      <w:szCs w:val="21"/>
                    </w:rPr>
                  </w:pPr>
                  <w:r>
                    <w:rPr>
                      <w:rFonts w:hint="eastAsia"/>
                      <w:bCs/>
                      <w:szCs w:val="21"/>
                    </w:rPr>
                    <w:t>污染</w:t>
                  </w:r>
                  <w:r>
                    <w:rPr>
                      <w:bCs/>
                      <w:szCs w:val="21"/>
                    </w:rPr>
                    <w:t>因素</w:t>
                  </w:r>
                </w:p>
              </w:tc>
              <w:tc>
                <w:tcPr>
                  <w:tcW w:w="679" w:type="pct"/>
                  <w:tcMar>
                    <w:left w:w="0" w:type="dxa"/>
                    <w:right w:w="0" w:type="dxa"/>
                  </w:tcMar>
                  <w:vAlign w:val="center"/>
                </w:tcPr>
                <w:p w14:paraId="188EDC92">
                  <w:pPr>
                    <w:jc w:val="center"/>
                    <w:rPr>
                      <w:bCs/>
                      <w:szCs w:val="21"/>
                    </w:rPr>
                  </w:pPr>
                  <w:r>
                    <w:rPr>
                      <w:bCs/>
                      <w:szCs w:val="21"/>
                    </w:rPr>
                    <w:t>影响对象</w:t>
                  </w:r>
                </w:p>
              </w:tc>
              <w:tc>
                <w:tcPr>
                  <w:tcW w:w="425" w:type="pct"/>
                  <w:tcMar>
                    <w:left w:w="0" w:type="dxa"/>
                    <w:right w:w="0" w:type="dxa"/>
                  </w:tcMar>
                  <w:vAlign w:val="center"/>
                </w:tcPr>
                <w:p w14:paraId="70F8C79D">
                  <w:pPr>
                    <w:jc w:val="center"/>
                    <w:rPr>
                      <w:bCs/>
                      <w:szCs w:val="21"/>
                    </w:rPr>
                  </w:pPr>
                  <w:r>
                    <w:rPr>
                      <w:bCs/>
                      <w:szCs w:val="21"/>
                    </w:rPr>
                    <w:t>影响途径</w:t>
                  </w:r>
                </w:p>
              </w:tc>
              <w:tc>
                <w:tcPr>
                  <w:tcW w:w="310" w:type="pct"/>
                  <w:tcMar>
                    <w:left w:w="0" w:type="dxa"/>
                    <w:right w:w="0" w:type="dxa"/>
                  </w:tcMar>
                  <w:vAlign w:val="center"/>
                </w:tcPr>
                <w:p w14:paraId="43644C17">
                  <w:pPr>
                    <w:jc w:val="center"/>
                    <w:rPr>
                      <w:bCs/>
                      <w:szCs w:val="21"/>
                    </w:rPr>
                  </w:pPr>
                  <w:r>
                    <w:rPr>
                      <w:bCs/>
                      <w:szCs w:val="21"/>
                    </w:rPr>
                    <w:t>影响性质</w:t>
                  </w:r>
                </w:p>
              </w:tc>
              <w:tc>
                <w:tcPr>
                  <w:tcW w:w="691" w:type="pct"/>
                  <w:tcMar>
                    <w:left w:w="0" w:type="dxa"/>
                    <w:right w:w="0" w:type="dxa"/>
                  </w:tcMar>
                  <w:vAlign w:val="center"/>
                </w:tcPr>
                <w:p w14:paraId="2FAD931A">
                  <w:pPr>
                    <w:jc w:val="center"/>
                    <w:rPr>
                      <w:bCs/>
                      <w:szCs w:val="21"/>
                    </w:rPr>
                  </w:pPr>
                  <w:r>
                    <w:rPr>
                      <w:bCs/>
                      <w:szCs w:val="21"/>
                    </w:rPr>
                    <w:t>影响范围</w:t>
                  </w:r>
                </w:p>
              </w:tc>
              <w:tc>
                <w:tcPr>
                  <w:tcW w:w="347" w:type="pct"/>
                  <w:tcMar>
                    <w:left w:w="0" w:type="dxa"/>
                    <w:right w:w="0" w:type="dxa"/>
                  </w:tcMar>
                  <w:vAlign w:val="center"/>
                </w:tcPr>
                <w:p w14:paraId="5AB5E7D4">
                  <w:pPr>
                    <w:jc w:val="center"/>
                    <w:rPr>
                      <w:bCs/>
                      <w:szCs w:val="21"/>
                    </w:rPr>
                  </w:pPr>
                  <w:r>
                    <w:rPr>
                      <w:bCs/>
                      <w:szCs w:val="21"/>
                    </w:rPr>
                    <w:t>影响程度</w:t>
                  </w:r>
                </w:p>
              </w:tc>
            </w:tr>
            <w:tr w14:paraId="62CC98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restart"/>
                  <w:tcMar>
                    <w:left w:w="0" w:type="dxa"/>
                    <w:right w:w="0" w:type="dxa"/>
                  </w:tcMar>
                  <w:vAlign w:val="center"/>
                </w:tcPr>
                <w:p w14:paraId="7B2A21D0">
                  <w:pPr>
                    <w:jc w:val="center"/>
                    <w:rPr>
                      <w:szCs w:val="21"/>
                    </w:rPr>
                  </w:pPr>
                  <w:r>
                    <w:rPr>
                      <w:szCs w:val="21"/>
                    </w:rPr>
                    <w:t>钻前工</w:t>
                  </w:r>
                </w:p>
              </w:tc>
              <w:tc>
                <w:tcPr>
                  <w:tcW w:w="292" w:type="pct"/>
                  <w:tcMar>
                    <w:left w:w="0" w:type="dxa"/>
                    <w:right w:w="0" w:type="dxa"/>
                  </w:tcMar>
                  <w:vAlign w:val="center"/>
                </w:tcPr>
                <w:p w14:paraId="4015F19F">
                  <w:pPr>
                    <w:jc w:val="center"/>
                    <w:rPr>
                      <w:szCs w:val="21"/>
                    </w:rPr>
                  </w:pPr>
                  <w:r>
                    <w:rPr>
                      <w:rFonts w:hint="eastAsia"/>
                      <w:szCs w:val="21"/>
                    </w:rPr>
                    <w:t>生态环境</w:t>
                  </w:r>
                </w:p>
              </w:tc>
              <w:tc>
                <w:tcPr>
                  <w:tcW w:w="727" w:type="pct"/>
                  <w:tcMar>
                    <w:left w:w="0" w:type="dxa"/>
                    <w:right w:w="0" w:type="dxa"/>
                  </w:tcMar>
                  <w:vAlign w:val="center"/>
                </w:tcPr>
                <w:p w14:paraId="7856C44F">
                  <w:pPr>
                    <w:jc w:val="center"/>
                    <w:rPr>
                      <w:spacing w:val="-10"/>
                      <w:szCs w:val="21"/>
                    </w:rPr>
                  </w:pPr>
                  <w:r>
                    <w:rPr>
                      <w:spacing w:val="-10"/>
                      <w:szCs w:val="21"/>
                    </w:rPr>
                    <w:t>工程占地、土石方开发、活动干扰</w:t>
                  </w:r>
                  <w:r>
                    <w:rPr>
                      <w:rFonts w:hint="eastAsia"/>
                      <w:spacing w:val="-10"/>
                      <w:szCs w:val="21"/>
                    </w:rPr>
                    <w:t>等</w:t>
                  </w:r>
                </w:p>
              </w:tc>
              <w:tc>
                <w:tcPr>
                  <w:tcW w:w="1189" w:type="pct"/>
                  <w:gridSpan w:val="2"/>
                  <w:tcMar>
                    <w:left w:w="0" w:type="dxa"/>
                    <w:right w:w="0" w:type="dxa"/>
                  </w:tcMar>
                  <w:vAlign w:val="center"/>
                </w:tcPr>
                <w:p w14:paraId="0C1F9C54">
                  <w:pPr>
                    <w:jc w:val="center"/>
                    <w:rPr>
                      <w:szCs w:val="21"/>
                    </w:rPr>
                  </w:pPr>
                  <w:r>
                    <w:rPr>
                      <w:rFonts w:hint="eastAsia"/>
                      <w:szCs w:val="21"/>
                    </w:rPr>
                    <w:t>植被减少、生境破坏、水土流失等</w:t>
                  </w:r>
                </w:p>
              </w:tc>
              <w:tc>
                <w:tcPr>
                  <w:tcW w:w="679" w:type="pct"/>
                  <w:tcMar>
                    <w:left w:w="0" w:type="dxa"/>
                    <w:right w:w="0" w:type="dxa"/>
                  </w:tcMar>
                  <w:vAlign w:val="center"/>
                </w:tcPr>
                <w:p w14:paraId="71735C8C">
                  <w:pPr>
                    <w:jc w:val="center"/>
                    <w:rPr>
                      <w:szCs w:val="21"/>
                    </w:rPr>
                  </w:pPr>
                  <w:r>
                    <w:rPr>
                      <w:rFonts w:hint="eastAsia"/>
                      <w:szCs w:val="21"/>
                    </w:rPr>
                    <w:t>地表结构、动植物、生境等</w:t>
                  </w:r>
                </w:p>
              </w:tc>
              <w:tc>
                <w:tcPr>
                  <w:tcW w:w="425" w:type="pct"/>
                  <w:tcMar>
                    <w:left w:w="0" w:type="dxa"/>
                    <w:right w:w="0" w:type="dxa"/>
                  </w:tcMar>
                  <w:vAlign w:val="center"/>
                </w:tcPr>
                <w:p w14:paraId="5BE46DAA">
                  <w:pPr>
                    <w:jc w:val="center"/>
                    <w:rPr>
                      <w:szCs w:val="21"/>
                    </w:rPr>
                  </w:pPr>
                  <w:r>
                    <w:rPr>
                      <w:rFonts w:hint="eastAsia"/>
                      <w:szCs w:val="21"/>
                    </w:rPr>
                    <w:t>剥离、开挖、压占</w:t>
                  </w:r>
                </w:p>
              </w:tc>
              <w:tc>
                <w:tcPr>
                  <w:tcW w:w="310" w:type="pct"/>
                  <w:tcMar>
                    <w:left w:w="0" w:type="dxa"/>
                    <w:right w:w="0" w:type="dxa"/>
                  </w:tcMar>
                  <w:vAlign w:val="center"/>
                </w:tcPr>
                <w:p w14:paraId="606AFB49">
                  <w:pPr>
                    <w:jc w:val="center"/>
                    <w:rPr>
                      <w:szCs w:val="21"/>
                    </w:rPr>
                  </w:pPr>
                  <w:r>
                    <w:rPr>
                      <w:szCs w:val="21"/>
                    </w:rPr>
                    <w:t>短期可逆</w:t>
                  </w:r>
                </w:p>
              </w:tc>
              <w:tc>
                <w:tcPr>
                  <w:tcW w:w="691" w:type="pct"/>
                  <w:tcMar>
                    <w:left w:w="0" w:type="dxa"/>
                    <w:right w:w="0" w:type="dxa"/>
                  </w:tcMar>
                  <w:vAlign w:val="center"/>
                </w:tcPr>
                <w:p w14:paraId="719B7FEB">
                  <w:pPr>
                    <w:jc w:val="center"/>
                    <w:rPr>
                      <w:szCs w:val="21"/>
                    </w:rPr>
                  </w:pPr>
                  <w:r>
                    <w:rPr>
                      <w:szCs w:val="21"/>
                    </w:rPr>
                    <w:t>井场范围</w:t>
                  </w:r>
                </w:p>
              </w:tc>
              <w:tc>
                <w:tcPr>
                  <w:tcW w:w="347" w:type="pct"/>
                  <w:tcMar>
                    <w:left w:w="0" w:type="dxa"/>
                    <w:right w:w="0" w:type="dxa"/>
                  </w:tcMar>
                  <w:vAlign w:val="center"/>
                </w:tcPr>
                <w:p w14:paraId="466E42C4">
                  <w:pPr>
                    <w:jc w:val="center"/>
                    <w:rPr>
                      <w:szCs w:val="21"/>
                    </w:rPr>
                  </w:pPr>
                  <w:r>
                    <w:rPr>
                      <w:szCs w:val="21"/>
                    </w:rPr>
                    <w:t>弱</w:t>
                  </w:r>
                </w:p>
              </w:tc>
            </w:tr>
            <w:tr w14:paraId="38B417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5A2A29C1">
                  <w:pPr>
                    <w:jc w:val="center"/>
                    <w:rPr>
                      <w:szCs w:val="21"/>
                    </w:rPr>
                  </w:pPr>
                </w:p>
              </w:tc>
              <w:tc>
                <w:tcPr>
                  <w:tcW w:w="292" w:type="pct"/>
                  <w:tcMar>
                    <w:left w:w="0" w:type="dxa"/>
                    <w:right w:w="0" w:type="dxa"/>
                  </w:tcMar>
                  <w:vAlign w:val="center"/>
                </w:tcPr>
                <w:p w14:paraId="04615919">
                  <w:pPr>
                    <w:jc w:val="center"/>
                    <w:rPr>
                      <w:spacing w:val="-8"/>
                      <w:szCs w:val="21"/>
                    </w:rPr>
                  </w:pPr>
                  <w:r>
                    <w:rPr>
                      <w:rFonts w:hint="eastAsia"/>
                      <w:spacing w:val="-8"/>
                      <w:szCs w:val="21"/>
                    </w:rPr>
                    <w:t>废气</w:t>
                  </w:r>
                </w:p>
              </w:tc>
              <w:tc>
                <w:tcPr>
                  <w:tcW w:w="727" w:type="pct"/>
                  <w:tcMar>
                    <w:left w:w="0" w:type="dxa"/>
                    <w:right w:w="0" w:type="dxa"/>
                  </w:tcMar>
                  <w:vAlign w:val="center"/>
                </w:tcPr>
                <w:p w14:paraId="0C3EBCBB">
                  <w:pPr>
                    <w:jc w:val="center"/>
                    <w:rPr>
                      <w:szCs w:val="21"/>
                    </w:rPr>
                  </w:pPr>
                  <w:r>
                    <w:rPr>
                      <w:rFonts w:hint="eastAsia"/>
                      <w:szCs w:val="21"/>
                    </w:rPr>
                    <w:t>表土剥离、场地平整等</w:t>
                  </w:r>
                </w:p>
              </w:tc>
              <w:tc>
                <w:tcPr>
                  <w:tcW w:w="354" w:type="pct"/>
                  <w:tcMar>
                    <w:left w:w="0" w:type="dxa"/>
                    <w:right w:w="0" w:type="dxa"/>
                  </w:tcMar>
                  <w:vAlign w:val="center"/>
                </w:tcPr>
                <w:p w14:paraId="5B0C693A">
                  <w:pPr>
                    <w:jc w:val="center"/>
                    <w:rPr>
                      <w:szCs w:val="21"/>
                    </w:rPr>
                  </w:pPr>
                  <w:r>
                    <w:rPr>
                      <w:szCs w:val="21"/>
                    </w:rPr>
                    <w:t>施工扬尘</w:t>
                  </w:r>
                </w:p>
              </w:tc>
              <w:tc>
                <w:tcPr>
                  <w:tcW w:w="835" w:type="pct"/>
                  <w:tcMar>
                    <w:left w:w="0" w:type="dxa"/>
                    <w:right w:w="0" w:type="dxa"/>
                  </w:tcMar>
                  <w:vAlign w:val="center"/>
                </w:tcPr>
                <w:p w14:paraId="7E627AEC">
                  <w:pPr>
                    <w:jc w:val="center"/>
                    <w:rPr>
                      <w:szCs w:val="21"/>
                    </w:rPr>
                  </w:pPr>
                  <w:r>
                    <w:rPr>
                      <w:rFonts w:hint="eastAsia"/>
                      <w:szCs w:val="21"/>
                    </w:rPr>
                    <w:t>颗粒物</w:t>
                  </w:r>
                </w:p>
              </w:tc>
              <w:tc>
                <w:tcPr>
                  <w:tcW w:w="679" w:type="pct"/>
                  <w:tcMar>
                    <w:left w:w="0" w:type="dxa"/>
                    <w:right w:w="0" w:type="dxa"/>
                  </w:tcMar>
                  <w:vAlign w:val="center"/>
                </w:tcPr>
                <w:p w14:paraId="45F356CC">
                  <w:pPr>
                    <w:jc w:val="center"/>
                    <w:rPr>
                      <w:szCs w:val="21"/>
                    </w:rPr>
                  </w:pPr>
                  <w:r>
                    <w:rPr>
                      <w:szCs w:val="21"/>
                    </w:rPr>
                    <w:t>大气环境</w:t>
                  </w:r>
                </w:p>
              </w:tc>
              <w:tc>
                <w:tcPr>
                  <w:tcW w:w="425" w:type="pct"/>
                  <w:tcMar>
                    <w:left w:w="0" w:type="dxa"/>
                    <w:right w:w="0" w:type="dxa"/>
                  </w:tcMar>
                  <w:vAlign w:val="center"/>
                </w:tcPr>
                <w:p w14:paraId="448D80B0">
                  <w:pPr>
                    <w:tabs>
                      <w:tab w:val="left" w:pos="433"/>
                    </w:tabs>
                    <w:jc w:val="center"/>
                    <w:rPr>
                      <w:kern w:val="0"/>
                      <w:szCs w:val="21"/>
                      <w:lang w:bidi="ar"/>
                    </w:rPr>
                  </w:pPr>
                  <w:r>
                    <w:rPr>
                      <w:kern w:val="0"/>
                      <w:szCs w:val="21"/>
                      <w:lang w:bidi="ar"/>
                    </w:rPr>
                    <w:t>污染物扩散</w:t>
                  </w:r>
                </w:p>
              </w:tc>
              <w:tc>
                <w:tcPr>
                  <w:tcW w:w="310" w:type="pct"/>
                  <w:tcMar>
                    <w:left w:w="0" w:type="dxa"/>
                    <w:right w:w="0" w:type="dxa"/>
                  </w:tcMar>
                  <w:vAlign w:val="center"/>
                </w:tcPr>
                <w:p w14:paraId="4B2E3E1E">
                  <w:pPr>
                    <w:jc w:val="center"/>
                    <w:rPr>
                      <w:szCs w:val="21"/>
                    </w:rPr>
                  </w:pPr>
                  <w:r>
                    <w:rPr>
                      <w:szCs w:val="21"/>
                    </w:rPr>
                    <w:t>短期</w:t>
                  </w:r>
                </w:p>
              </w:tc>
              <w:tc>
                <w:tcPr>
                  <w:tcW w:w="691" w:type="pct"/>
                  <w:tcMar>
                    <w:left w:w="0" w:type="dxa"/>
                    <w:right w:w="0" w:type="dxa"/>
                  </w:tcMar>
                  <w:vAlign w:val="center"/>
                </w:tcPr>
                <w:p w14:paraId="461DFF8B">
                  <w:pPr>
                    <w:tabs>
                      <w:tab w:val="left" w:pos="433"/>
                    </w:tabs>
                    <w:jc w:val="center"/>
                    <w:rPr>
                      <w:kern w:val="0"/>
                      <w:szCs w:val="21"/>
                      <w:lang w:bidi="ar"/>
                    </w:rPr>
                  </w:pPr>
                  <w:r>
                    <w:rPr>
                      <w:kern w:val="0"/>
                      <w:szCs w:val="21"/>
                      <w:lang w:bidi="ar"/>
                    </w:rPr>
                    <w:t>井场及周边受影响区域</w:t>
                  </w:r>
                </w:p>
              </w:tc>
              <w:tc>
                <w:tcPr>
                  <w:tcW w:w="347" w:type="pct"/>
                  <w:tcMar>
                    <w:left w:w="0" w:type="dxa"/>
                    <w:right w:w="0" w:type="dxa"/>
                  </w:tcMar>
                  <w:vAlign w:val="center"/>
                </w:tcPr>
                <w:p w14:paraId="289BA95B">
                  <w:pPr>
                    <w:jc w:val="center"/>
                    <w:rPr>
                      <w:szCs w:val="21"/>
                    </w:rPr>
                  </w:pPr>
                  <w:r>
                    <w:rPr>
                      <w:szCs w:val="21"/>
                    </w:rPr>
                    <w:t>弱</w:t>
                  </w:r>
                </w:p>
              </w:tc>
            </w:tr>
            <w:tr w14:paraId="6CF891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4B5512CE">
                  <w:pPr>
                    <w:jc w:val="center"/>
                    <w:rPr>
                      <w:szCs w:val="21"/>
                    </w:rPr>
                  </w:pPr>
                </w:p>
              </w:tc>
              <w:tc>
                <w:tcPr>
                  <w:tcW w:w="292" w:type="pct"/>
                  <w:tcMar>
                    <w:left w:w="0" w:type="dxa"/>
                    <w:right w:w="0" w:type="dxa"/>
                  </w:tcMar>
                  <w:vAlign w:val="center"/>
                </w:tcPr>
                <w:p w14:paraId="0C682690">
                  <w:pPr>
                    <w:jc w:val="center"/>
                    <w:rPr>
                      <w:szCs w:val="21"/>
                    </w:rPr>
                  </w:pPr>
                  <w:r>
                    <w:rPr>
                      <w:rFonts w:hint="eastAsia"/>
                      <w:szCs w:val="21"/>
                    </w:rPr>
                    <w:t>废水</w:t>
                  </w:r>
                </w:p>
              </w:tc>
              <w:tc>
                <w:tcPr>
                  <w:tcW w:w="727" w:type="pct"/>
                  <w:tcMar>
                    <w:left w:w="0" w:type="dxa"/>
                    <w:right w:w="0" w:type="dxa"/>
                  </w:tcMar>
                  <w:vAlign w:val="center"/>
                </w:tcPr>
                <w:p w14:paraId="5BBC7A61">
                  <w:pPr>
                    <w:jc w:val="center"/>
                    <w:rPr>
                      <w:szCs w:val="21"/>
                    </w:rPr>
                  </w:pPr>
                  <w:r>
                    <w:rPr>
                      <w:rFonts w:hint="eastAsia"/>
                      <w:szCs w:val="21"/>
                    </w:rPr>
                    <w:t>职工生活</w:t>
                  </w:r>
                </w:p>
              </w:tc>
              <w:tc>
                <w:tcPr>
                  <w:tcW w:w="354" w:type="pct"/>
                  <w:tcMar>
                    <w:left w:w="0" w:type="dxa"/>
                    <w:right w:w="0" w:type="dxa"/>
                  </w:tcMar>
                  <w:vAlign w:val="center"/>
                </w:tcPr>
                <w:p w14:paraId="631580A6">
                  <w:pPr>
                    <w:jc w:val="center"/>
                    <w:rPr>
                      <w:szCs w:val="21"/>
                    </w:rPr>
                  </w:pPr>
                  <w:r>
                    <w:rPr>
                      <w:rFonts w:hint="eastAsia"/>
                      <w:szCs w:val="21"/>
                    </w:rPr>
                    <w:t>盥洗废水</w:t>
                  </w:r>
                </w:p>
              </w:tc>
              <w:tc>
                <w:tcPr>
                  <w:tcW w:w="835" w:type="pct"/>
                  <w:tcMar>
                    <w:left w:w="0" w:type="dxa"/>
                    <w:right w:w="0" w:type="dxa"/>
                  </w:tcMar>
                  <w:vAlign w:val="center"/>
                </w:tcPr>
                <w:p w14:paraId="76D2A288">
                  <w:pPr>
                    <w:jc w:val="center"/>
                    <w:rPr>
                      <w:szCs w:val="21"/>
                    </w:rPr>
                  </w:pPr>
                  <w:r>
                    <w:rPr>
                      <w:rFonts w:hint="eastAsia"/>
                      <w:szCs w:val="21"/>
                    </w:rPr>
                    <w:t>COD、BOD</w:t>
                  </w:r>
                  <w:r>
                    <w:rPr>
                      <w:rFonts w:hint="eastAsia"/>
                      <w:szCs w:val="21"/>
                      <w:vertAlign w:val="subscript"/>
                    </w:rPr>
                    <w:t>5</w:t>
                  </w:r>
                  <w:r>
                    <w:rPr>
                      <w:rFonts w:hint="eastAsia"/>
                      <w:szCs w:val="21"/>
                    </w:rPr>
                    <w:t>、SS、氨氮等</w:t>
                  </w:r>
                </w:p>
              </w:tc>
              <w:tc>
                <w:tcPr>
                  <w:tcW w:w="679" w:type="pct"/>
                  <w:tcMar>
                    <w:left w:w="0" w:type="dxa"/>
                    <w:right w:w="0" w:type="dxa"/>
                  </w:tcMar>
                  <w:vAlign w:val="center"/>
                </w:tcPr>
                <w:p w14:paraId="7537FD77">
                  <w:pPr>
                    <w:jc w:val="center"/>
                    <w:rPr>
                      <w:szCs w:val="21"/>
                    </w:rPr>
                  </w:pPr>
                  <w:r>
                    <w:rPr>
                      <w:rFonts w:hint="eastAsia"/>
                      <w:szCs w:val="21"/>
                    </w:rPr>
                    <w:t>-</w:t>
                  </w:r>
                  <w:r>
                    <w:rPr>
                      <w:szCs w:val="21"/>
                    </w:rPr>
                    <w:t>-</w:t>
                  </w:r>
                </w:p>
              </w:tc>
              <w:tc>
                <w:tcPr>
                  <w:tcW w:w="425" w:type="pct"/>
                  <w:tcMar>
                    <w:left w:w="0" w:type="dxa"/>
                    <w:right w:w="0" w:type="dxa"/>
                  </w:tcMar>
                  <w:vAlign w:val="center"/>
                </w:tcPr>
                <w:p w14:paraId="246B4BA1">
                  <w:pPr>
                    <w:tabs>
                      <w:tab w:val="left" w:pos="433"/>
                    </w:tabs>
                    <w:jc w:val="center"/>
                    <w:rPr>
                      <w:kern w:val="0"/>
                      <w:szCs w:val="21"/>
                      <w:lang w:bidi="ar"/>
                    </w:rPr>
                  </w:pPr>
                  <w:r>
                    <w:rPr>
                      <w:rFonts w:hint="eastAsia"/>
                      <w:kern w:val="0"/>
                      <w:szCs w:val="21"/>
                      <w:lang w:bidi="ar"/>
                    </w:rPr>
                    <w:t>-</w:t>
                  </w:r>
                  <w:r>
                    <w:rPr>
                      <w:kern w:val="0"/>
                      <w:szCs w:val="21"/>
                      <w:lang w:bidi="ar"/>
                    </w:rPr>
                    <w:t>-</w:t>
                  </w:r>
                </w:p>
              </w:tc>
              <w:tc>
                <w:tcPr>
                  <w:tcW w:w="310" w:type="pct"/>
                  <w:tcMar>
                    <w:left w:w="0" w:type="dxa"/>
                    <w:right w:w="0" w:type="dxa"/>
                  </w:tcMar>
                  <w:vAlign w:val="center"/>
                </w:tcPr>
                <w:p w14:paraId="7343FAEA">
                  <w:pPr>
                    <w:jc w:val="center"/>
                    <w:rPr>
                      <w:szCs w:val="21"/>
                    </w:rPr>
                  </w:pPr>
                  <w:r>
                    <w:rPr>
                      <w:rFonts w:hint="eastAsia"/>
                      <w:szCs w:val="21"/>
                    </w:rPr>
                    <w:t>短期</w:t>
                  </w:r>
                </w:p>
              </w:tc>
              <w:tc>
                <w:tcPr>
                  <w:tcW w:w="691" w:type="pct"/>
                  <w:tcMar>
                    <w:left w:w="0" w:type="dxa"/>
                    <w:right w:w="0" w:type="dxa"/>
                  </w:tcMar>
                  <w:vAlign w:val="center"/>
                </w:tcPr>
                <w:p w14:paraId="1F3914AB">
                  <w:pPr>
                    <w:tabs>
                      <w:tab w:val="left" w:pos="433"/>
                    </w:tabs>
                    <w:jc w:val="center"/>
                    <w:rPr>
                      <w:kern w:val="0"/>
                      <w:szCs w:val="21"/>
                      <w:lang w:bidi="ar"/>
                    </w:rPr>
                  </w:pPr>
                  <w:r>
                    <w:rPr>
                      <w:rFonts w:hint="eastAsia"/>
                      <w:kern w:val="0"/>
                      <w:szCs w:val="21"/>
                      <w:lang w:bidi="ar"/>
                    </w:rPr>
                    <w:t>--</w:t>
                  </w:r>
                </w:p>
              </w:tc>
              <w:tc>
                <w:tcPr>
                  <w:tcW w:w="347" w:type="pct"/>
                  <w:tcMar>
                    <w:left w:w="0" w:type="dxa"/>
                    <w:right w:w="0" w:type="dxa"/>
                  </w:tcMar>
                  <w:vAlign w:val="center"/>
                </w:tcPr>
                <w:p w14:paraId="4BD170ED">
                  <w:pPr>
                    <w:jc w:val="center"/>
                    <w:rPr>
                      <w:szCs w:val="21"/>
                    </w:rPr>
                  </w:pPr>
                  <w:r>
                    <w:rPr>
                      <w:rFonts w:hint="eastAsia"/>
                      <w:szCs w:val="21"/>
                    </w:rPr>
                    <w:t>弱</w:t>
                  </w:r>
                </w:p>
              </w:tc>
            </w:tr>
            <w:tr w14:paraId="79371F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1DD380C6">
                  <w:pPr>
                    <w:jc w:val="center"/>
                    <w:rPr>
                      <w:szCs w:val="21"/>
                    </w:rPr>
                  </w:pPr>
                </w:p>
              </w:tc>
              <w:tc>
                <w:tcPr>
                  <w:tcW w:w="292" w:type="pct"/>
                  <w:tcMar>
                    <w:left w:w="0" w:type="dxa"/>
                    <w:right w:w="0" w:type="dxa"/>
                  </w:tcMar>
                  <w:vAlign w:val="center"/>
                </w:tcPr>
                <w:p w14:paraId="687113C0">
                  <w:pPr>
                    <w:jc w:val="center"/>
                    <w:rPr>
                      <w:szCs w:val="21"/>
                    </w:rPr>
                  </w:pPr>
                  <w:r>
                    <w:rPr>
                      <w:rFonts w:hint="eastAsia"/>
                      <w:szCs w:val="21"/>
                    </w:rPr>
                    <w:t>噪声</w:t>
                  </w:r>
                </w:p>
              </w:tc>
              <w:tc>
                <w:tcPr>
                  <w:tcW w:w="727" w:type="pct"/>
                  <w:tcMar>
                    <w:left w:w="0" w:type="dxa"/>
                    <w:right w:w="0" w:type="dxa"/>
                  </w:tcMar>
                  <w:vAlign w:val="center"/>
                </w:tcPr>
                <w:p w14:paraId="15693344">
                  <w:pPr>
                    <w:jc w:val="center"/>
                    <w:rPr>
                      <w:szCs w:val="21"/>
                    </w:rPr>
                  </w:pPr>
                  <w:r>
                    <w:rPr>
                      <w:rFonts w:hint="eastAsia"/>
                      <w:szCs w:val="21"/>
                    </w:rPr>
                    <w:t>表土剥离、场地平整等</w:t>
                  </w:r>
                </w:p>
              </w:tc>
              <w:tc>
                <w:tcPr>
                  <w:tcW w:w="1189" w:type="pct"/>
                  <w:gridSpan w:val="2"/>
                  <w:tcMar>
                    <w:left w:w="0" w:type="dxa"/>
                    <w:right w:w="0" w:type="dxa"/>
                  </w:tcMar>
                  <w:vAlign w:val="center"/>
                </w:tcPr>
                <w:p w14:paraId="012DA5CB">
                  <w:pPr>
                    <w:jc w:val="center"/>
                    <w:rPr>
                      <w:szCs w:val="21"/>
                    </w:rPr>
                  </w:pPr>
                  <w:r>
                    <w:rPr>
                      <w:rFonts w:hint="eastAsia"/>
                      <w:szCs w:val="21"/>
                    </w:rPr>
                    <w:t>施工设备噪声</w:t>
                  </w:r>
                </w:p>
              </w:tc>
              <w:tc>
                <w:tcPr>
                  <w:tcW w:w="679" w:type="pct"/>
                  <w:tcMar>
                    <w:left w:w="0" w:type="dxa"/>
                    <w:right w:w="0" w:type="dxa"/>
                  </w:tcMar>
                  <w:vAlign w:val="center"/>
                </w:tcPr>
                <w:p w14:paraId="16C1EDF0">
                  <w:pPr>
                    <w:jc w:val="center"/>
                    <w:rPr>
                      <w:szCs w:val="21"/>
                    </w:rPr>
                  </w:pPr>
                  <w:r>
                    <w:rPr>
                      <w:rFonts w:hint="eastAsia"/>
                      <w:szCs w:val="21"/>
                    </w:rPr>
                    <w:t>声环境</w:t>
                  </w:r>
                </w:p>
              </w:tc>
              <w:tc>
                <w:tcPr>
                  <w:tcW w:w="425" w:type="pct"/>
                  <w:tcMar>
                    <w:left w:w="0" w:type="dxa"/>
                    <w:right w:w="0" w:type="dxa"/>
                  </w:tcMar>
                  <w:vAlign w:val="center"/>
                </w:tcPr>
                <w:p w14:paraId="52C69655">
                  <w:pPr>
                    <w:tabs>
                      <w:tab w:val="left" w:pos="433"/>
                    </w:tabs>
                    <w:jc w:val="center"/>
                    <w:rPr>
                      <w:kern w:val="0"/>
                      <w:szCs w:val="21"/>
                      <w:lang w:bidi="ar"/>
                    </w:rPr>
                  </w:pPr>
                  <w:r>
                    <w:rPr>
                      <w:rFonts w:hint="eastAsia"/>
                      <w:kern w:val="0"/>
                      <w:szCs w:val="21"/>
                      <w:lang w:bidi="ar"/>
                    </w:rPr>
                    <w:t>声传播</w:t>
                  </w:r>
                </w:p>
              </w:tc>
              <w:tc>
                <w:tcPr>
                  <w:tcW w:w="310" w:type="pct"/>
                  <w:tcMar>
                    <w:left w:w="0" w:type="dxa"/>
                    <w:right w:w="0" w:type="dxa"/>
                  </w:tcMar>
                  <w:vAlign w:val="center"/>
                </w:tcPr>
                <w:p w14:paraId="34F0FB9B">
                  <w:pPr>
                    <w:jc w:val="center"/>
                    <w:rPr>
                      <w:szCs w:val="21"/>
                    </w:rPr>
                  </w:pPr>
                  <w:r>
                    <w:rPr>
                      <w:rFonts w:hint="eastAsia"/>
                      <w:szCs w:val="21"/>
                    </w:rPr>
                    <w:t>短期</w:t>
                  </w:r>
                </w:p>
              </w:tc>
              <w:tc>
                <w:tcPr>
                  <w:tcW w:w="691" w:type="pct"/>
                  <w:tcMar>
                    <w:left w:w="0" w:type="dxa"/>
                    <w:right w:w="0" w:type="dxa"/>
                  </w:tcMar>
                  <w:vAlign w:val="center"/>
                </w:tcPr>
                <w:p w14:paraId="41DAE3B8">
                  <w:pPr>
                    <w:tabs>
                      <w:tab w:val="left" w:pos="433"/>
                    </w:tabs>
                    <w:jc w:val="center"/>
                    <w:rPr>
                      <w:kern w:val="0"/>
                      <w:szCs w:val="21"/>
                      <w:lang w:bidi="ar"/>
                    </w:rPr>
                  </w:pPr>
                  <w:r>
                    <w:rPr>
                      <w:kern w:val="0"/>
                      <w:szCs w:val="21"/>
                      <w:lang w:bidi="ar"/>
                    </w:rPr>
                    <w:t>井场及周边受影响区域</w:t>
                  </w:r>
                </w:p>
              </w:tc>
              <w:tc>
                <w:tcPr>
                  <w:tcW w:w="347" w:type="pct"/>
                  <w:tcMar>
                    <w:left w:w="0" w:type="dxa"/>
                    <w:right w:w="0" w:type="dxa"/>
                  </w:tcMar>
                  <w:vAlign w:val="center"/>
                </w:tcPr>
                <w:p w14:paraId="6F4EB210">
                  <w:pPr>
                    <w:jc w:val="center"/>
                    <w:rPr>
                      <w:szCs w:val="21"/>
                    </w:rPr>
                  </w:pPr>
                  <w:r>
                    <w:rPr>
                      <w:rFonts w:hint="eastAsia"/>
                      <w:szCs w:val="21"/>
                    </w:rPr>
                    <w:t>弱</w:t>
                  </w:r>
                </w:p>
              </w:tc>
            </w:tr>
            <w:tr w14:paraId="549693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22B5EE19">
                  <w:pPr>
                    <w:jc w:val="center"/>
                    <w:rPr>
                      <w:szCs w:val="21"/>
                    </w:rPr>
                  </w:pPr>
                </w:p>
              </w:tc>
              <w:tc>
                <w:tcPr>
                  <w:tcW w:w="292" w:type="pct"/>
                  <w:tcMar>
                    <w:left w:w="0" w:type="dxa"/>
                    <w:right w:w="0" w:type="dxa"/>
                  </w:tcMar>
                  <w:vAlign w:val="center"/>
                </w:tcPr>
                <w:p w14:paraId="4EE4F859">
                  <w:pPr>
                    <w:jc w:val="center"/>
                    <w:rPr>
                      <w:szCs w:val="21"/>
                    </w:rPr>
                  </w:pPr>
                  <w:r>
                    <w:rPr>
                      <w:rFonts w:hint="eastAsia"/>
                      <w:szCs w:val="21"/>
                    </w:rPr>
                    <w:t>固废</w:t>
                  </w:r>
                </w:p>
              </w:tc>
              <w:tc>
                <w:tcPr>
                  <w:tcW w:w="727" w:type="pct"/>
                  <w:tcMar>
                    <w:left w:w="0" w:type="dxa"/>
                    <w:right w:w="0" w:type="dxa"/>
                  </w:tcMar>
                  <w:vAlign w:val="center"/>
                </w:tcPr>
                <w:p w14:paraId="639D5733">
                  <w:pPr>
                    <w:jc w:val="center"/>
                    <w:rPr>
                      <w:szCs w:val="21"/>
                    </w:rPr>
                  </w:pPr>
                  <w:r>
                    <w:rPr>
                      <w:rFonts w:hint="eastAsia"/>
                      <w:szCs w:val="21"/>
                    </w:rPr>
                    <w:t>职工生活</w:t>
                  </w:r>
                </w:p>
              </w:tc>
              <w:tc>
                <w:tcPr>
                  <w:tcW w:w="1189" w:type="pct"/>
                  <w:gridSpan w:val="2"/>
                  <w:tcMar>
                    <w:left w:w="0" w:type="dxa"/>
                    <w:right w:w="0" w:type="dxa"/>
                  </w:tcMar>
                  <w:vAlign w:val="center"/>
                </w:tcPr>
                <w:p w14:paraId="474AB6E7">
                  <w:pPr>
                    <w:jc w:val="center"/>
                    <w:rPr>
                      <w:szCs w:val="21"/>
                    </w:rPr>
                  </w:pPr>
                  <w:r>
                    <w:rPr>
                      <w:rFonts w:hint="eastAsia"/>
                      <w:szCs w:val="21"/>
                    </w:rPr>
                    <w:t>生活垃圾</w:t>
                  </w:r>
                </w:p>
              </w:tc>
              <w:tc>
                <w:tcPr>
                  <w:tcW w:w="679" w:type="pct"/>
                  <w:tcMar>
                    <w:left w:w="0" w:type="dxa"/>
                    <w:right w:w="0" w:type="dxa"/>
                  </w:tcMar>
                  <w:vAlign w:val="center"/>
                </w:tcPr>
                <w:p w14:paraId="6DCAF0C1">
                  <w:pPr>
                    <w:jc w:val="center"/>
                    <w:rPr>
                      <w:szCs w:val="21"/>
                    </w:rPr>
                  </w:pPr>
                  <w:r>
                    <w:rPr>
                      <w:rFonts w:hint="eastAsia"/>
                      <w:szCs w:val="21"/>
                    </w:rPr>
                    <w:t>-</w:t>
                  </w:r>
                  <w:r>
                    <w:rPr>
                      <w:szCs w:val="21"/>
                    </w:rPr>
                    <w:t>-</w:t>
                  </w:r>
                </w:p>
              </w:tc>
              <w:tc>
                <w:tcPr>
                  <w:tcW w:w="425" w:type="pct"/>
                  <w:tcMar>
                    <w:left w:w="0" w:type="dxa"/>
                    <w:right w:w="0" w:type="dxa"/>
                  </w:tcMar>
                  <w:vAlign w:val="center"/>
                </w:tcPr>
                <w:p w14:paraId="2A284ADE">
                  <w:pPr>
                    <w:tabs>
                      <w:tab w:val="left" w:pos="433"/>
                    </w:tabs>
                    <w:jc w:val="center"/>
                    <w:rPr>
                      <w:kern w:val="0"/>
                      <w:szCs w:val="21"/>
                      <w:lang w:bidi="ar"/>
                    </w:rPr>
                  </w:pPr>
                  <w:r>
                    <w:rPr>
                      <w:rFonts w:hint="eastAsia"/>
                      <w:kern w:val="0"/>
                      <w:szCs w:val="21"/>
                      <w:lang w:bidi="ar"/>
                    </w:rPr>
                    <w:t>-</w:t>
                  </w:r>
                  <w:r>
                    <w:rPr>
                      <w:kern w:val="0"/>
                      <w:szCs w:val="21"/>
                      <w:lang w:bidi="ar"/>
                    </w:rPr>
                    <w:t>-</w:t>
                  </w:r>
                </w:p>
              </w:tc>
              <w:tc>
                <w:tcPr>
                  <w:tcW w:w="310" w:type="pct"/>
                  <w:tcMar>
                    <w:left w:w="0" w:type="dxa"/>
                    <w:right w:w="0" w:type="dxa"/>
                  </w:tcMar>
                  <w:vAlign w:val="center"/>
                </w:tcPr>
                <w:p w14:paraId="32B353FD">
                  <w:pPr>
                    <w:jc w:val="center"/>
                    <w:rPr>
                      <w:szCs w:val="21"/>
                    </w:rPr>
                  </w:pPr>
                  <w:r>
                    <w:rPr>
                      <w:rFonts w:hint="eastAsia"/>
                      <w:szCs w:val="21"/>
                    </w:rPr>
                    <w:t>短期</w:t>
                  </w:r>
                </w:p>
              </w:tc>
              <w:tc>
                <w:tcPr>
                  <w:tcW w:w="691" w:type="pct"/>
                  <w:tcMar>
                    <w:left w:w="0" w:type="dxa"/>
                    <w:right w:w="0" w:type="dxa"/>
                  </w:tcMar>
                  <w:vAlign w:val="center"/>
                </w:tcPr>
                <w:p w14:paraId="7AF041AE">
                  <w:pPr>
                    <w:tabs>
                      <w:tab w:val="left" w:pos="433"/>
                    </w:tabs>
                    <w:jc w:val="center"/>
                    <w:rPr>
                      <w:kern w:val="0"/>
                      <w:szCs w:val="21"/>
                      <w:lang w:bidi="ar"/>
                    </w:rPr>
                  </w:pPr>
                  <w:r>
                    <w:rPr>
                      <w:rFonts w:hint="eastAsia"/>
                      <w:szCs w:val="21"/>
                    </w:rPr>
                    <w:t>--</w:t>
                  </w:r>
                </w:p>
              </w:tc>
              <w:tc>
                <w:tcPr>
                  <w:tcW w:w="347" w:type="pct"/>
                  <w:tcMar>
                    <w:left w:w="0" w:type="dxa"/>
                    <w:right w:w="0" w:type="dxa"/>
                  </w:tcMar>
                  <w:vAlign w:val="center"/>
                </w:tcPr>
                <w:p w14:paraId="2B7524CA">
                  <w:pPr>
                    <w:jc w:val="center"/>
                    <w:rPr>
                      <w:szCs w:val="21"/>
                    </w:rPr>
                  </w:pPr>
                  <w:r>
                    <w:rPr>
                      <w:rFonts w:hint="eastAsia"/>
                      <w:szCs w:val="21"/>
                    </w:rPr>
                    <w:t>弱</w:t>
                  </w:r>
                </w:p>
              </w:tc>
            </w:tr>
            <w:tr w14:paraId="632022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restart"/>
                  <w:tcMar>
                    <w:left w:w="0" w:type="dxa"/>
                    <w:right w:w="0" w:type="dxa"/>
                  </w:tcMar>
                  <w:vAlign w:val="center"/>
                </w:tcPr>
                <w:p w14:paraId="487F70DA">
                  <w:pPr>
                    <w:jc w:val="center"/>
                    <w:rPr>
                      <w:szCs w:val="21"/>
                    </w:rPr>
                  </w:pPr>
                  <w:r>
                    <w:rPr>
                      <w:szCs w:val="21"/>
                    </w:rPr>
                    <w:t>钻井工程</w:t>
                  </w:r>
                </w:p>
              </w:tc>
              <w:tc>
                <w:tcPr>
                  <w:tcW w:w="292" w:type="pct"/>
                  <w:vMerge w:val="restart"/>
                  <w:tcMar>
                    <w:left w:w="0" w:type="dxa"/>
                    <w:right w:w="0" w:type="dxa"/>
                  </w:tcMar>
                  <w:vAlign w:val="center"/>
                </w:tcPr>
                <w:p w14:paraId="47B7510B">
                  <w:pPr>
                    <w:jc w:val="center"/>
                    <w:rPr>
                      <w:szCs w:val="21"/>
                    </w:rPr>
                  </w:pPr>
                  <w:r>
                    <w:rPr>
                      <w:rFonts w:hint="eastAsia"/>
                      <w:szCs w:val="21"/>
                    </w:rPr>
                    <w:t>废气</w:t>
                  </w:r>
                </w:p>
              </w:tc>
              <w:tc>
                <w:tcPr>
                  <w:tcW w:w="727" w:type="pct"/>
                  <w:tcMar>
                    <w:left w:w="0" w:type="dxa"/>
                    <w:right w:w="0" w:type="dxa"/>
                  </w:tcMar>
                  <w:vAlign w:val="center"/>
                </w:tcPr>
                <w:p w14:paraId="4C786D09">
                  <w:pPr>
                    <w:jc w:val="center"/>
                    <w:rPr>
                      <w:szCs w:val="21"/>
                    </w:rPr>
                  </w:pPr>
                  <w:r>
                    <w:rPr>
                      <w:rFonts w:hint="eastAsia"/>
                      <w:szCs w:val="21"/>
                    </w:rPr>
                    <w:t>柴油发电机组</w:t>
                  </w:r>
                </w:p>
              </w:tc>
              <w:tc>
                <w:tcPr>
                  <w:tcW w:w="354" w:type="pct"/>
                  <w:tcMar>
                    <w:left w:w="0" w:type="dxa"/>
                    <w:right w:w="0" w:type="dxa"/>
                  </w:tcMar>
                  <w:vAlign w:val="center"/>
                </w:tcPr>
                <w:p w14:paraId="6D8D20A3">
                  <w:pPr>
                    <w:jc w:val="center"/>
                    <w:rPr>
                      <w:szCs w:val="21"/>
                    </w:rPr>
                  </w:pPr>
                  <w:r>
                    <w:rPr>
                      <w:rFonts w:hint="eastAsia"/>
                      <w:szCs w:val="21"/>
                    </w:rPr>
                    <w:t>尾气</w:t>
                  </w:r>
                </w:p>
              </w:tc>
              <w:tc>
                <w:tcPr>
                  <w:tcW w:w="835" w:type="pct"/>
                  <w:tcMar>
                    <w:left w:w="0" w:type="dxa"/>
                    <w:right w:w="0" w:type="dxa"/>
                  </w:tcMar>
                  <w:vAlign w:val="center"/>
                </w:tcPr>
                <w:p w14:paraId="125B95A5">
                  <w:pPr>
                    <w:jc w:val="center"/>
                    <w:rPr>
                      <w:szCs w:val="21"/>
                    </w:rPr>
                  </w:pPr>
                  <w:r>
                    <w:rPr>
                      <w:rFonts w:hint="eastAsia"/>
                      <w:szCs w:val="21"/>
                    </w:rPr>
                    <w:t>颗粒物、S</w:t>
                  </w:r>
                  <w:r>
                    <w:rPr>
                      <w:szCs w:val="21"/>
                    </w:rPr>
                    <w:t>O</w:t>
                  </w:r>
                  <w:r>
                    <w:rPr>
                      <w:szCs w:val="21"/>
                      <w:vertAlign w:val="subscript"/>
                    </w:rPr>
                    <w:t>2</w:t>
                  </w:r>
                  <w:r>
                    <w:rPr>
                      <w:rFonts w:hint="eastAsia"/>
                      <w:szCs w:val="21"/>
                    </w:rPr>
                    <w:t>、N</w:t>
                  </w:r>
                  <w:r>
                    <w:rPr>
                      <w:szCs w:val="21"/>
                    </w:rPr>
                    <w:t>O</w:t>
                  </w:r>
                  <w:r>
                    <w:rPr>
                      <w:szCs w:val="21"/>
                      <w:vertAlign w:val="subscript"/>
                    </w:rPr>
                    <w:t>X</w:t>
                  </w:r>
                </w:p>
              </w:tc>
              <w:tc>
                <w:tcPr>
                  <w:tcW w:w="679" w:type="pct"/>
                  <w:tcMar>
                    <w:left w:w="0" w:type="dxa"/>
                    <w:right w:w="0" w:type="dxa"/>
                  </w:tcMar>
                  <w:vAlign w:val="center"/>
                </w:tcPr>
                <w:p w14:paraId="300F7A6D">
                  <w:pPr>
                    <w:jc w:val="center"/>
                    <w:rPr>
                      <w:szCs w:val="21"/>
                    </w:rPr>
                  </w:pPr>
                  <w:r>
                    <w:rPr>
                      <w:szCs w:val="21"/>
                    </w:rPr>
                    <w:t>大气环境</w:t>
                  </w:r>
                </w:p>
              </w:tc>
              <w:tc>
                <w:tcPr>
                  <w:tcW w:w="425" w:type="pct"/>
                  <w:tcMar>
                    <w:left w:w="0" w:type="dxa"/>
                    <w:right w:w="0" w:type="dxa"/>
                  </w:tcMar>
                  <w:vAlign w:val="center"/>
                </w:tcPr>
                <w:p w14:paraId="5FC52FB9">
                  <w:pPr>
                    <w:tabs>
                      <w:tab w:val="left" w:pos="433"/>
                    </w:tabs>
                    <w:jc w:val="center"/>
                    <w:rPr>
                      <w:szCs w:val="21"/>
                    </w:rPr>
                  </w:pPr>
                  <w:r>
                    <w:rPr>
                      <w:kern w:val="0"/>
                      <w:szCs w:val="21"/>
                      <w:lang w:bidi="ar"/>
                    </w:rPr>
                    <w:t>污染物扩散</w:t>
                  </w:r>
                </w:p>
              </w:tc>
              <w:tc>
                <w:tcPr>
                  <w:tcW w:w="310" w:type="pct"/>
                  <w:tcMar>
                    <w:left w:w="0" w:type="dxa"/>
                    <w:right w:w="0" w:type="dxa"/>
                  </w:tcMar>
                  <w:vAlign w:val="center"/>
                </w:tcPr>
                <w:p w14:paraId="6769A81F">
                  <w:pPr>
                    <w:jc w:val="center"/>
                    <w:rPr>
                      <w:szCs w:val="21"/>
                    </w:rPr>
                  </w:pPr>
                  <w:r>
                    <w:rPr>
                      <w:szCs w:val="21"/>
                    </w:rPr>
                    <w:t>短期</w:t>
                  </w:r>
                </w:p>
              </w:tc>
              <w:tc>
                <w:tcPr>
                  <w:tcW w:w="691" w:type="pct"/>
                  <w:vMerge w:val="restart"/>
                  <w:tcMar>
                    <w:left w:w="0" w:type="dxa"/>
                    <w:right w:w="0" w:type="dxa"/>
                  </w:tcMar>
                  <w:vAlign w:val="center"/>
                </w:tcPr>
                <w:p w14:paraId="7DB03F8F">
                  <w:pPr>
                    <w:tabs>
                      <w:tab w:val="left" w:pos="433"/>
                    </w:tabs>
                    <w:jc w:val="center"/>
                    <w:rPr>
                      <w:szCs w:val="21"/>
                    </w:rPr>
                  </w:pPr>
                  <w:r>
                    <w:rPr>
                      <w:kern w:val="0"/>
                      <w:szCs w:val="21"/>
                      <w:lang w:bidi="ar"/>
                    </w:rPr>
                    <w:t>井场及周边受影响区域</w:t>
                  </w:r>
                </w:p>
              </w:tc>
              <w:tc>
                <w:tcPr>
                  <w:tcW w:w="347" w:type="pct"/>
                  <w:tcMar>
                    <w:left w:w="0" w:type="dxa"/>
                    <w:right w:w="0" w:type="dxa"/>
                  </w:tcMar>
                  <w:vAlign w:val="center"/>
                </w:tcPr>
                <w:p w14:paraId="2F8400E1">
                  <w:pPr>
                    <w:jc w:val="center"/>
                    <w:rPr>
                      <w:szCs w:val="21"/>
                    </w:rPr>
                  </w:pPr>
                  <w:r>
                    <w:rPr>
                      <w:szCs w:val="21"/>
                    </w:rPr>
                    <w:t>弱</w:t>
                  </w:r>
                </w:p>
              </w:tc>
            </w:tr>
            <w:tr w14:paraId="2AE41BF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217F902E">
                  <w:pPr>
                    <w:jc w:val="center"/>
                    <w:rPr>
                      <w:szCs w:val="21"/>
                    </w:rPr>
                  </w:pPr>
                </w:p>
              </w:tc>
              <w:tc>
                <w:tcPr>
                  <w:tcW w:w="292" w:type="pct"/>
                  <w:vMerge w:val="continue"/>
                  <w:tcMar>
                    <w:left w:w="0" w:type="dxa"/>
                    <w:right w:w="0" w:type="dxa"/>
                  </w:tcMar>
                  <w:vAlign w:val="center"/>
                </w:tcPr>
                <w:p w14:paraId="529D9C8D">
                  <w:pPr>
                    <w:jc w:val="center"/>
                    <w:rPr>
                      <w:szCs w:val="21"/>
                    </w:rPr>
                  </w:pPr>
                </w:p>
              </w:tc>
              <w:tc>
                <w:tcPr>
                  <w:tcW w:w="727" w:type="pct"/>
                  <w:tcMar>
                    <w:left w:w="0" w:type="dxa"/>
                    <w:right w:w="0" w:type="dxa"/>
                  </w:tcMar>
                  <w:vAlign w:val="center"/>
                </w:tcPr>
                <w:p w14:paraId="072E560E">
                  <w:pPr>
                    <w:jc w:val="center"/>
                    <w:rPr>
                      <w:szCs w:val="21"/>
                    </w:rPr>
                  </w:pPr>
                  <w:r>
                    <w:rPr>
                      <w:rFonts w:hint="eastAsia"/>
                      <w:szCs w:val="21"/>
                    </w:rPr>
                    <w:t>柴油罐暂存柴油</w:t>
                  </w:r>
                </w:p>
              </w:tc>
              <w:tc>
                <w:tcPr>
                  <w:tcW w:w="354" w:type="pct"/>
                  <w:tcMar>
                    <w:left w:w="0" w:type="dxa"/>
                    <w:right w:w="0" w:type="dxa"/>
                  </w:tcMar>
                  <w:vAlign w:val="center"/>
                </w:tcPr>
                <w:p w14:paraId="31D2B735">
                  <w:pPr>
                    <w:jc w:val="center"/>
                    <w:rPr>
                      <w:szCs w:val="21"/>
                    </w:rPr>
                  </w:pPr>
                  <w:r>
                    <w:rPr>
                      <w:rFonts w:hint="eastAsia"/>
                      <w:szCs w:val="21"/>
                    </w:rPr>
                    <w:t>挥发废气</w:t>
                  </w:r>
                </w:p>
              </w:tc>
              <w:tc>
                <w:tcPr>
                  <w:tcW w:w="835" w:type="pct"/>
                  <w:tcMar>
                    <w:left w:w="0" w:type="dxa"/>
                    <w:right w:w="0" w:type="dxa"/>
                  </w:tcMar>
                  <w:vAlign w:val="center"/>
                </w:tcPr>
                <w:p w14:paraId="2CE77972">
                  <w:pPr>
                    <w:jc w:val="center"/>
                    <w:rPr>
                      <w:szCs w:val="21"/>
                    </w:rPr>
                  </w:pPr>
                  <w:r>
                    <w:rPr>
                      <w:rFonts w:hint="eastAsia"/>
                      <w:szCs w:val="21"/>
                    </w:rPr>
                    <w:t>非甲烷总烃</w:t>
                  </w:r>
                </w:p>
              </w:tc>
              <w:tc>
                <w:tcPr>
                  <w:tcW w:w="679" w:type="pct"/>
                  <w:tcMar>
                    <w:left w:w="0" w:type="dxa"/>
                    <w:right w:w="0" w:type="dxa"/>
                  </w:tcMar>
                  <w:vAlign w:val="center"/>
                </w:tcPr>
                <w:p w14:paraId="0D571F82">
                  <w:pPr>
                    <w:jc w:val="center"/>
                    <w:rPr>
                      <w:szCs w:val="21"/>
                    </w:rPr>
                  </w:pPr>
                  <w:r>
                    <w:rPr>
                      <w:rFonts w:hint="eastAsia"/>
                      <w:szCs w:val="21"/>
                    </w:rPr>
                    <w:t>大气环境</w:t>
                  </w:r>
                </w:p>
              </w:tc>
              <w:tc>
                <w:tcPr>
                  <w:tcW w:w="425" w:type="pct"/>
                  <w:tcMar>
                    <w:left w:w="0" w:type="dxa"/>
                    <w:right w:w="0" w:type="dxa"/>
                  </w:tcMar>
                  <w:vAlign w:val="center"/>
                </w:tcPr>
                <w:p w14:paraId="4AA8AC50">
                  <w:pPr>
                    <w:jc w:val="center"/>
                    <w:rPr>
                      <w:szCs w:val="21"/>
                    </w:rPr>
                  </w:pPr>
                  <w:r>
                    <w:rPr>
                      <w:kern w:val="0"/>
                      <w:szCs w:val="21"/>
                      <w:lang w:bidi="ar"/>
                    </w:rPr>
                    <w:t>污染物扩散</w:t>
                  </w:r>
                </w:p>
              </w:tc>
              <w:tc>
                <w:tcPr>
                  <w:tcW w:w="310" w:type="pct"/>
                  <w:tcMar>
                    <w:left w:w="0" w:type="dxa"/>
                    <w:right w:w="0" w:type="dxa"/>
                  </w:tcMar>
                  <w:vAlign w:val="center"/>
                </w:tcPr>
                <w:p w14:paraId="37515975">
                  <w:pPr>
                    <w:jc w:val="center"/>
                    <w:rPr>
                      <w:szCs w:val="21"/>
                    </w:rPr>
                  </w:pPr>
                  <w:r>
                    <w:rPr>
                      <w:rFonts w:hint="eastAsia"/>
                      <w:szCs w:val="21"/>
                    </w:rPr>
                    <w:t>短期</w:t>
                  </w:r>
                </w:p>
              </w:tc>
              <w:tc>
                <w:tcPr>
                  <w:tcW w:w="691" w:type="pct"/>
                  <w:vMerge w:val="continue"/>
                  <w:tcMar>
                    <w:left w:w="0" w:type="dxa"/>
                    <w:right w:w="0" w:type="dxa"/>
                  </w:tcMar>
                  <w:vAlign w:val="center"/>
                </w:tcPr>
                <w:p w14:paraId="264F1FA8">
                  <w:pPr>
                    <w:tabs>
                      <w:tab w:val="left" w:pos="433"/>
                    </w:tabs>
                    <w:jc w:val="center"/>
                    <w:rPr>
                      <w:kern w:val="0"/>
                      <w:szCs w:val="21"/>
                      <w:lang w:bidi="ar"/>
                    </w:rPr>
                  </w:pPr>
                </w:p>
              </w:tc>
              <w:tc>
                <w:tcPr>
                  <w:tcW w:w="347" w:type="pct"/>
                  <w:tcMar>
                    <w:left w:w="0" w:type="dxa"/>
                    <w:right w:w="0" w:type="dxa"/>
                  </w:tcMar>
                  <w:vAlign w:val="center"/>
                </w:tcPr>
                <w:p w14:paraId="0A0FFC4B">
                  <w:pPr>
                    <w:jc w:val="center"/>
                    <w:rPr>
                      <w:szCs w:val="21"/>
                    </w:rPr>
                  </w:pPr>
                  <w:r>
                    <w:rPr>
                      <w:szCs w:val="21"/>
                    </w:rPr>
                    <w:t>弱</w:t>
                  </w:r>
                </w:p>
              </w:tc>
            </w:tr>
            <w:tr w14:paraId="7A3BD5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3472D3B9">
                  <w:pPr>
                    <w:jc w:val="center"/>
                    <w:rPr>
                      <w:szCs w:val="21"/>
                    </w:rPr>
                  </w:pPr>
                </w:p>
              </w:tc>
              <w:tc>
                <w:tcPr>
                  <w:tcW w:w="292" w:type="pct"/>
                  <w:vMerge w:val="restart"/>
                  <w:tcMar>
                    <w:left w:w="0" w:type="dxa"/>
                    <w:right w:w="0" w:type="dxa"/>
                  </w:tcMar>
                  <w:vAlign w:val="center"/>
                </w:tcPr>
                <w:p w14:paraId="78F26CFE">
                  <w:pPr>
                    <w:jc w:val="center"/>
                    <w:rPr>
                      <w:szCs w:val="21"/>
                    </w:rPr>
                  </w:pPr>
                  <w:r>
                    <w:rPr>
                      <w:rFonts w:hint="eastAsia"/>
                      <w:szCs w:val="21"/>
                    </w:rPr>
                    <w:t>废水</w:t>
                  </w:r>
                </w:p>
              </w:tc>
              <w:tc>
                <w:tcPr>
                  <w:tcW w:w="727" w:type="pct"/>
                  <w:tcMar>
                    <w:left w:w="0" w:type="dxa"/>
                    <w:right w:w="0" w:type="dxa"/>
                  </w:tcMar>
                  <w:vAlign w:val="center"/>
                </w:tcPr>
                <w:p w14:paraId="6A7208B3">
                  <w:pPr>
                    <w:jc w:val="center"/>
                    <w:rPr>
                      <w:szCs w:val="21"/>
                    </w:rPr>
                  </w:pPr>
                  <w:r>
                    <w:rPr>
                      <w:rFonts w:hint="eastAsia"/>
                      <w:szCs w:val="21"/>
                    </w:rPr>
                    <w:t>钻井过程</w:t>
                  </w:r>
                </w:p>
              </w:tc>
              <w:tc>
                <w:tcPr>
                  <w:tcW w:w="354" w:type="pct"/>
                  <w:tcMar>
                    <w:left w:w="0" w:type="dxa"/>
                    <w:right w:w="0" w:type="dxa"/>
                  </w:tcMar>
                  <w:vAlign w:val="center"/>
                </w:tcPr>
                <w:p w14:paraId="3AAD9435">
                  <w:pPr>
                    <w:jc w:val="center"/>
                    <w:rPr>
                      <w:szCs w:val="21"/>
                    </w:rPr>
                  </w:pPr>
                  <w:r>
                    <w:rPr>
                      <w:szCs w:val="21"/>
                    </w:rPr>
                    <w:t>钻井废水</w:t>
                  </w:r>
                </w:p>
              </w:tc>
              <w:tc>
                <w:tcPr>
                  <w:tcW w:w="835" w:type="pct"/>
                  <w:tcMar>
                    <w:left w:w="0" w:type="dxa"/>
                    <w:right w:w="0" w:type="dxa"/>
                  </w:tcMar>
                  <w:vAlign w:val="center"/>
                </w:tcPr>
                <w:p w14:paraId="67978BA0">
                  <w:pPr>
                    <w:jc w:val="center"/>
                    <w:rPr>
                      <w:szCs w:val="21"/>
                    </w:rPr>
                  </w:pPr>
                  <w:r>
                    <w:rPr>
                      <w:rFonts w:hint="eastAsia"/>
                      <w:szCs w:val="21"/>
                    </w:rPr>
                    <w:t>COD、SS、BOD</w:t>
                  </w:r>
                  <w:r>
                    <w:rPr>
                      <w:rFonts w:hint="eastAsia"/>
                      <w:szCs w:val="21"/>
                      <w:vertAlign w:val="subscript"/>
                    </w:rPr>
                    <w:t>5</w:t>
                  </w:r>
                  <w:r>
                    <w:rPr>
                      <w:rFonts w:hint="eastAsia"/>
                      <w:szCs w:val="21"/>
                    </w:rPr>
                    <w:t>、氨氮、石油类等</w:t>
                  </w:r>
                </w:p>
              </w:tc>
              <w:tc>
                <w:tcPr>
                  <w:tcW w:w="679" w:type="pct"/>
                  <w:tcMar>
                    <w:left w:w="0" w:type="dxa"/>
                    <w:right w:w="0" w:type="dxa"/>
                  </w:tcMar>
                  <w:vAlign w:val="center"/>
                </w:tcPr>
                <w:p w14:paraId="1889ED51">
                  <w:pPr>
                    <w:jc w:val="center"/>
                    <w:rPr>
                      <w:szCs w:val="21"/>
                    </w:rPr>
                  </w:pPr>
                  <w:r>
                    <w:rPr>
                      <w:szCs w:val="21"/>
                    </w:rPr>
                    <w:t>地下水环境</w:t>
                  </w:r>
                </w:p>
              </w:tc>
              <w:tc>
                <w:tcPr>
                  <w:tcW w:w="425" w:type="pct"/>
                  <w:tcMar>
                    <w:left w:w="0" w:type="dxa"/>
                    <w:right w:w="0" w:type="dxa"/>
                  </w:tcMar>
                  <w:vAlign w:val="center"/>
                </w:tcPr>
                <w:p w14:paraId="1B74B3A1">
                  <w:pPr>
                    <w:tabs>
                      <w:tab w:val="left" w:pos="433"/>
                    </w:tabs>
                    <w:jc w:val="center"/>
                    <w:rPr>
                      <w:kern w:val="0"/>
                      <w:szCs w:val="21"/>
                      <w:lang w:bidi="ar"/>
                    </w:rPr>
                  </w:pPr>
                  <w:r>
                    <w:rPr>
                      <w:kern w:val="0"/>
                      <w:szCs w:val="21"/>
                      <w:lang w:bidi="ar"/>
                    </w:rPr>
                    <w:t>井漏</w:t>
                  </w:r>
                </w:p>
              </w:tc>
              <w:tc>
                <w:tcPr>
                  <w:tcW w:w="310" w:type="pct"/>
                  <w:tcMar>
                    <w:left w:w="0" w:type="dxa"/>
                    <w:right w:w="0" w:type="dxa"/>
                  </w:tcMar>
                  <w:vAlign w:val="center"/>
                </w:tcPr>
                <w:p w14:paraId="136C8540">
                  <w:pPr>
                    <w:jc w:val="center"/>
                    <w:rPr>
                      <w:szCs w:val="21"/>
                    </w:rPr>
                  </w:pPr>
                  <w:r>
                    <w:rPr>
                      <w:szCs w:val="21"/>
                    </w:rPr>
                    <w:t>短期</w:t>
                  </w:r>
                </w:p>
              </w:tc>
              <w:tc>
                <w:tcPr>
                  <w:tcW w:w="691" w:type="pct"/>
                  <w:tcMar>
                    <w:left w:w="0" w:type="dxa"/>
                    <w:right w:w="0" w:type="dxa"/>
                  </w:tcMar>
                  <w:vAlign w:val="center"/>
                </w:tcPr>
                <w:p w14:paraId="0B77DE6C">
                  <w:pPr>
                    <w:jc w:val="center"/>
                    <w:rPr>
                      <w:bCs/>
                      <w:szCs w:val="21"/>
                    </w:rPr>
                  </w:pPr>
                  <w:r>
                    <w:rPr>
                      <w:bCs/>
                      <w:szCs w:val="21"/>
                    </w:rPr>
                    <w:t>周边含水层</w:t>
                  </w:r>
                </w:p>
              </w:tc>
              <w:tc>
                <w:tcPr>
                  <w:tcW w:w="347" w:type="pct"/>
                  <w:tcMar>
                    <w:left w:w="0" w:type="dxa"/>
                    <w:right w:w="0" w:type="dxa"/>
                  </w:tcMar>
                  <w:vAlign w:val="center"/>
                </w:tcPr>
                <w:p w14:paraId="4B3AEA77">
                  <w:pPr>
                    <w:tabs>
                      <w:tab w:val="left" w:pos="433"/>
                    </w:tabs>
                    <w:jc w:val="center"/>
                    <w:rPr>
                      <w:szCs w:val="21"/>
                    </w:rPr>
                  </w:pPr>
                  <w:r>
                    <w:rPr>
                      <w:szCs w:val="21"/>
                    </w:rPr>
                    <w:t>弱</w:t>
                  </w:r>
                </w:p>
              </w:tc>
            </w:tr>
            <w:tr w14:paraId="06F3F4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269B7D11">
                  <w:pPr>
                    <w:jc w:val="center"/>
                    <w:rPr>
                      <w:szCs w:val="21"/>
                    </w:rPr>
                  </w:pPr>
                </w:p>
              </w:tc>
              <w:tc>
                <w:tcPr>
                  <w:tcW w:w="292" w:type="pct"/>
                  <w:vMerge w:val="continue"/>
                  <w:tcMar>
                    <w:left w:w="0" w:type="dxa"/>
                    <w:right w:w="0" w:type="dxa"/>
                  </w:tcMar>
                  <w:vAlign w:val="center"/>
                </w:tcPr>
                <w:p w14:paraId="4F95B646">
                  <w:pPr>
                    <w:jc w:val="center"/>
                    <w:rPr>
                      <w:szCs w:val="21"/>
                    </w:rPr>
                  </w:pPr>
                </w:p>
              </w:tc>
              <w:tc>
                <w:tcPr>
                  <w:tcW w:w="727" w:type="pct"/>
                  <w:tcMar>
                    <w:left w:w="0" w:type="dxa"/>
                    <w:right w:w="0" w:type="dxa"/>
                  </w:tcMar>
                  <w:vAlign w:val="center"/>
                </w:tcPr>
                <w:p w14:paraId="4BAC8484">
                  <w:pPr>
                    <w:jc w:val="center"/>
                    <w:rPr>
                      <w:szCs w:val="21"/>
                    </w:rPr>
                  </w:pPr>
                  <w:r>
                    <w:rPr>
                      <w:rFonts w:hint="eastAsia"/>
                      <w:szCs w:val="21"/>
                    </w:rPr>
                    <w:t>职工生活</w:t>
                  </w:r>
                </w:p>
              </w:tc>
              <w:tc>
                <w:tcPr>
                  <w:tcW w:w="354" w:type="pct"/>
                  <w:tcMar>
                    <w:left w:w="0" w:type="dxa"/>
                    <w:right w:w="0" w:type="dxa"/>
                  </w:tcMar>
                  <w:vAlign w:val="center"/>
                </w:tcPr>
                <w:p w14:paraId="31983E91">
                  <w:pPr>
                    <w:jc w:val="center"/>
                    <w:rPr>
                      <w:szCs w:val="21"/>
                    </w:rPr>
                  </w:pPr>
                  <w:r>
                    <w:rPr>
                      <w:rFonts w:hint="eastAsia"/>
                      <w:szCs w:val="21"/>
                    </w:rPr>
                    <w:t>盥洗废水</w:t>
                  </w:r>
                </w:p>
              </w:tc>
              <w:tc>
                <w:tcPr>
                  <w:tcW w:w="835" w:type="pct"/>
                  <w:tcMar>
                    <w:left w:w="0" w:type="dxa"/>
                    <w:right w:w="0" w:type="dxa"/>
                  </w:tcMar>
                  <w:vAlign w:val="center"/>
                </w:tcPr>
                <w:p w14:paraId="737A8B28">
                  <w:pPr>
                    <w:jc w:val="center"/>
                    <w:rPr>
                      <w:szCs w:val="21"/>
                    </w:rPr>
                  </w:pPr>
                  <w:r>
                    <w:rPr>
                      <w:rFonts w:hint="eastAsia"/>
                      <w:szCs w:val="21"/>
                    </w:rPr>
                    <w:t>COD、BOD</w:t>
                  </w:r>
                  <w:r>
                    <w:rPr>
                      <w:rFonts w:hint="eastAsia"/>
                      <w:szCs w:val="21"/>
                      <w:vertAlign w:val="subscript"/>
                    </w:rPr>
                    <w:t>5</w:t>
                  </w:r>
                  <w:r>
                    <w:rPr>
                      <w:rFonts w:hint="eastAsia"/>
                      <w:szCs w:val="21"/>
                    </w:rPr>
                    <w:t>、SS、氨氮等</w:t>
                  </w:r>
                </w:p>
              </w:tc>
              <w:tc>
                <w:tcPr>
                  <w:tcW w:w="679" w:type="pct"/>
                  <w:tcMar>
                    <w:left w:w="0" w:type="dxa"/>
                    <w:right w:w="0" w:type="dxa"/>
                  </w:tcMar>
                  <w:vAlign w:val="center"/>
                </w:tcPr>
                <w:p w14:paraId="06AE04D4">
                  <w:pPr>
                    <w:jc w:val="center"/>
                    <w:rPr>
                      <w:szCs w:val="21"/>
                    </w:rPr>
                  </w:pPr>
                  <w:r>
                    <w:rPr>
                      <w:rFonts w:hint="eastAsia"/>
                      <w:szCs w:val="21"/>
                    </w:rPr>
                    <w:t>--</w:t>
                  </w:r>
                </w:p>
              </w:tc>
              <w:tc>
                <w:tcPr>
                  <w:tcW w:w="425" w:type="pct"/>
                  <w:tcMar>
                    <w:left w:w="0" w:type="dxa"/>
                    <w:right w:w="0" w:type="dxa"/>
                  </w:tcMar>
                  <w:vAlign w:val="center"/>
                </w:tcPr>
                <w:p w14:paraId="5AF41B92">
                  <w:pPr>
                    <w:tabs>
                      <w:tab w:val="left" w:pos="433"/>
                    </w:tabs>
                    <w:jc w:val="center"/>
                    <w:rPr>
                      <w:szCs w:val="21"/>
                    </w:rPr>
                  </w:pPr>
                  <w:r>
                    <w:rPr>
                      <w:rFonts w:hint="eastAsia"/>
                      <w:szCs w:val="21"/>
                    </w:rPr>
                    <w:t>-</w:t>
                  </w:r>
                  <w:r>
                    <w:rPr>
                      <w:szCs w:val="21"/>
                    </w:rPr>
                    <w:t>-</w:t>
                  </w:r>
                </w:p>
              </w:tc>
              <w:tc>
                <w:tcPr>
                  <w:tcW w:w="310" w:type="pct"/>
                  <w:tcMar>
                    <w:left w:w="0" w:type="dxa"/>
                    <w:right w:w="0" w:type="dxa"/>
                  </w:tcMar>
                  <w:vAlign w:val="center"/>
                </w:tcPr>
                <w:p w14:paraId="155BBAEC">
                  <w:pPr>
                    <w:jc w:val="center"/>
                    <w:rPr>
                      <w:szCs w:val="21"/>
                    </w:rPr>
                  </w:pPr>
                  <w:r>
                    <w:rPr>
                      <w:szCs w:val="21"/>
                    </w:rPr>
                    <w:t>短期</w:t>
                  </w:r>
                </w:p>
              </w:tc>
              <w:tc>
                <w:tcPr>
                  <w:tcW w:w="691" w:type="pct"/>
                  <w:tcMar>
                    <w:left w:w="0" w:type="dxa"/>
                    <w:right w:w="0" w:type="dxa"/>
                  </w:tcMar>
                  <w:vAlign w:val="center"/>
                </w:tcPr>
                <w:p w14:paraId="04CD6FE1">
                  <w:pPr>
                    <w:jc w:val="center"/>
                    <w:rPr>
                      <w:szCs w:val="21"/>
                    </w:rPr>
                  </w:pPr>
                  <w:r>
                    <w:rPr>
                      <w:szCs w:val="21"/>
                    </w:rPr>
                    <w:t>--</w:t>
                  </w:r>
                </w:p>
              </w:tc>
              <w:tc>
                <w:tcPr>
                  <w:tcW w:w="347" w:type="pct"/>
                  <w:tcMar>
                    <w:left w:w="0" w:type="dxa"/>
                    <w:right w:w="0" w:type="dxa"/>
                  </w:tcMar>
                  <w:vAlign w:val="center"/>
                </w:tcPr>
                <w:p w14:paraId="29BF22F0">
                  <w:pPr>
                    <w:jc w:val="center"/>
                    <w:rPr>
                      <w:szCs w:val="21"/>
                    </w:rPr>
                  </w:pPr>
                  <w:r>
                    <w:rPr>
                      <w:szCs w:val="21"/>
                    </w:rPr>
                    <w:t>弱</w:t>
                  </w:r>
                </w:p>
              </w:tc>
            </w:tr>
            <w:tr w14:paraId="432F0F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67A3B9EF">
                  <w:pPr>
                    <w:jc w:val="center"/>
                    <w:rPr>
                      <w:szCs w:val="21"/>
                    </w:rPr>
                  </w:pPr>
                </w:p>
              </w:tc>
              <w:tc>
                <w:tcPr>
                  <w:tcW w:w="292" w:type="pct"/>
                  <w:tcMar>
                    <w:left w:w="0" w:type="dxa"/>
                    <w:right w:w="0" w:type="dxa"/>
                  </w:tcMar>
                  <w:vAlign w:val="center"/>
                </w:tcPr>
                <w:p w14:paraId="710E6535">
                  <w:pPr>
                    <w:jc w:val="center"/>
                    <w:rPr>
                      <w:szCs w:val="21"/>
                    </w:rPr>
                  </w:pPr>
                  <w:r>
                    <w:rPr>
                      <w:rFonts w:hint="eastAsia"/>
                      <w:szCs w:val="21"/>
                    </w:rPr>
                    <w:t>噪声</w:t>
                  </w:r>
                </w:p>
              </w:tc>
              <w:tc>
                <w:tcPr>
                  <w:tcW w:w="727" w:type="pct"/>
                  <w:tcMar>
                    <w:left w:w="0" w:type="dxa"/>
                    <w:right w:w="0" w:type="dxa"/>
                  </w:tcMar>
                  <w:vAlign w:val="center"/>
                </w:tcPr>
                <w:p w14:paraId="677A8D97">
                  <w:pPr>
                    <w:jc w:val="center"/>
                    <w:rPr>
                      <w:szCs w:val="21"/>
                    </w:rPr>
                  </w:pPr>
                  <w:r>
                    <w:rPr>
                      <w:rFonts w:hint="eastAsia"/>
                      <w:szCs w:val="21"/>
                    </w:rPr>
                    <w:t>钻井设备运行</w:t>
                  </w:r>
                </w:p>
              </w:tc>
              <w:tc>
                <w:tcPr>
                  <w:tcW w:w="1189" w:type="pct"/>
                  <w:gridSpan w:val="2"/>
                  <w:tcMar>
                    <w:left w:w="0" w:type="dxa"/>
                    <w:right w:w="0" w:type="dxa"/>
                  </w:tcMar>
                  <w:vAlign w:val="center"/>
                </w:tcPr>
                <w:p w14:paraId="29208932">
                  <w:pPr>
                    <w:jc w:val="center"/>
                    <w:rPr>
                      <w:szCs w:val="21"/>
                    </w:rPr>
                  </w:pPr>
                  <w:r>
                    <w:rPr>
                      <w:szCs w:val="21"/>
                    </w:rPr>
                    <w:t>钻井设备噪声</w:t>
                  </w:r>
                </w:p>
              </w:tc>
              <w:tc>
                <w:tcPr>
                  <w:tcW w:w="679" w:type="pct"/>
                  <w:tcMar>
                    <w:left w:w="0" w:type="dxa"/>
                    <w:right w:w="0" w:type="dxa"/>
                  </w:tcMar>
                  <w:vAlign w:val="center"/>
                </w:tcPr>
                <w:p w14:paraId="6B8C9BA9">
                  <w:pPr>
                    <w:jc w:val="center"/>
                    <w:rPr>
                      <w:szCs w:val="21"/>
                    </w:rPr>
                  </w:pPr>
                  <w:r>
                    <w:rPr>
                      <w:szCs w:val="21"/>
                    </w:rPr>
                    <w:t>声环境</w:t>
                  </w:r>
                </w:p>
              </w:tc>
              <w:tc>
                <w:tcPr>
                  <w:tcW w:w="425" w:type="pct"/>
                  <w:tcMar>
                    <w:left w:w="0" w:type="dxa"/>
                    <w:right w:w="0" w:type="dxa"/>
                  </w:tcMar>
                  <w:vAlign w:val="center"/>
                </w:tcPr>
                <w:p w14:paraId="3F8F0916">
                  <w:pPr>
                    <w:tabs>
                      <w:tab w:val="left" w:pos="433"/>
                    </w:tabs>
                    <w:jc w:val="center"/>
                    <w:rPr>
                      <w:kern w:val="0"/>
                      <w:szCs w:val="21"/>
                      <w:lang w:bidi="ar"/>
                    </w:rPr>
                  </w:pPr>
                  <w:r>
                    <w:rPr>
                      <w:rFonts w:hint="eastAsia"/>
                      <w:kern w:val="0"/>
                      <w:szCs w:val="21"/>
                      <w:lang w:bidi="ar"/>
                    </w:rPr>
                    <w:t>声传播</w:t>
                  </w:r>
                </w:p>
              </w:tc>
              <w:tc>
                <w:tcPr>
                  <w:tcW w:w="310" w:type="pct"/>
                  <w:tcMar>
                    <w:left w:w="0" w:type="dxa"/>
                    <w:right w:w="0" w:type="dxa"/>
                  </w:tcMar>
                  <w:vAlign w:val="center"/>
                </w:tcPr>
                <w:p w14:paraId="7222D60E">
                  <w:pPr>
                    <w:jc w:val="center"/>
                    <w:rPr>
                      <w:szCs w:val="21"/>
                    </w:rPr>
                  </w:pPr>
                  <w:r>
                    <w:rPr>
                      <w:szCs w:val="21"/>
                    </w:rPr>
                    <w:t>短期</w:t>
                  </w:r>
                </w:p>
              </w:tc>
              <w:tc>
                <w:tcPr>
                  <w:tcW w:w="691" w:type="pct"/>
                  <w:tcMar>
                    <w:left w:w="0" w:type="dxa"/>
                    <w:right w:w="0" w:type="dxa"/>
                  </w:tcMar>
                  <w:vAlign w:val="center"/>
                </w:tcPr>
                <w:p w14:paraId="07208E7B">
                  <w:pPr>
                    <w:jc w:val="center"/>
                    <w:rPr>
                      <w:szCs w:val="21"/>
                    </w:rPr>
                  </w:pPr>
                  <w:r>
                    <w:rPr>
                      <w:szCs w:val="21"/>
                    </w:rPr>
                    <w:t>井场及周边受影响区域</w:t>
                  </w:r>
                </w:p>
              </w:tc>
              <w:tc>
                <w:tcPr>
                  <w:tcW w:w="347" w:type="pct"/>
                  <w:tcMar>
                    <w:left w:w="0" w:type="dxa"/>
                    <w:right w:w="0" w:type="dxa"/>
                  </w:tcMar>
                  <w:vAlign w:val="center"/>
                </w:tcPr>
                <w:p w14:paraId="1D1B31A2">
                  <w:pPr>
                    <w:tabs>
                      <w:tab w:val="left" w:pos="433"/>
                    </w:tabs>
                    <w:jc w:val="center"/>
                    <w:rPr>
                      <w:szCs w:val="21"/>
                    </w:rPr>
                  </w:pPr>
                  <w:r>
                    <w:rPr>
                      <w:szCs w:val="21"/>
                    </w:rPr>
                    <w:t>弱</w:t>
                  </w:r>
                </w:p>
              </w:tc>
            </w:tr>
            <w:tr w14:paraId="350BF7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0613C490">
                  <w:pPr>
                    <w:jc w:val="center"/>
                    <w:rPr>
                      <w:szCs w:val="21"/>
                    </w:rPr>
                  </w:pPr>
                </w:p>
              </w:tc>
              <w:tc>
                <w:tcPr>
                  <w:tcW w:w="292" w:type="pct"/>
                  <w:vMerge w:val="restart"/>
                  <w:tcMar>
                    <w:left w:w="0" w:type="dxa"/>
                    <w:right w:w="0" w:type="dxa"/>
                  </w:tcMar>
                  <w:vAlign w:val="center"/>
                </w:tcPr>
                <w:p w14:paraId="53218B79">
                  <w:pPr>
                    <w:jc w:val="center"/>
                    <w:rPr>
                      <w:szCs w:val="21"/>
                    </w:rPr>
                  </w:pPr>
                  <w:r>
                    <w:rPr>
                      <w:rFonts w:hint="eastAsia"/>
                      <w:szCs w:val="21"/>
                    </w:rPr>
                    <w:t>固废</w:t>
                  </w:r>
                </w:p>
              </w:tc>
              <w:tc>
                <w:tcPr>
                  <w:tcW w:w="727" w:type="pct"/>
                  <w:tcMar>
                    <w:left w:w="0" w:type="dxa"/>
                    <w:right w:w="0" w:type="dxa"/>
                  </w:tcMar>
                  <w:vAlign w:val="center"/>
                </w:tcPr>
                <w:p w14:paraId="4FC1409C">
                  <w:pPr>
                    <w:jc w:val="center"/>
                    <w:rPr>
                      <w:szCs w:val="21"/>
                    </w:rPr>
                  </w:pPr>
                  <w:r>
                    <w:rPr>
                      <w:rFonts w:hint="eastAsia"/>
                      <w:szCs w:val="21"/>
                    </w:rPr>
                    <w:t>钻井过程</w:t>
                  </w:r>
                </w:p>
              </w:tc>
              <w:tc>
                <w:tcPr>
                  <w:tcW w:w="1189" w:type="pct"/>
                  <w:gridSpan w:val="2"/>
                  <w:tcMar>
                    <w:left w:w="0" w:type="dxa"/>
                    <w:right w:w="0" w:type="dxa"/>
                  </w:tcMar>
                  <w:vAlign w:val="center"/>
                </w:tcPr>
                <w:p w14:paraId="491A1706">
                  <w:pPr>
                    <w:jc w:val="center"/>
                    <w:rPr>
                      <w:szCs w:val="21"/>
                    </w:rPr>
                  </w:pPr>
                  <w:r>
                    <w:rPr>
                      <w:szCs w:val="21"/>
                    </w:rPr>
                    <w:t>废弃泥浆及岩屑</w:t>
                  </w:r>
                  <w:r>
                    <w:rPr>
                      <w:rFonts w:hint="eastAsia"/>
                      <w:szCs w:val="21"/>
                    </w:rPr>
                    <w:t>、废润滑油、落地</w:t>
                  </w:r>
                  <w:r>
                    <w:rPr>
                      <w:szCs w:val="21"/>
                    </w:rPr>
                    <w:t>油、</w:t>
                  </w:r>
                  <w:r>
                    <w:rPr>
                      <w:szCs w:val="21"/>
                    </w:rPr>
                    <w:cr/>
                  </w:r>
                  <w:r>
                    <w:rPr>
                      <w:szCs w:val="21"/>
                    </w:rPr>
                    <w:t>防渗材料</w:t>
                  </w:r>
                </w:p>
              </w:tc>
              <w:tc>
                <w:tcPr>
                  <w:tcW w:w="679" w:type="pct"/>
                  <w:tcMar>
                    <w:left w:w="0" w:type="dxa"/>
                    <w:right w:w="0" w:type="dxa"/>
                  </w:tcMar>
                  <w:vAlign w:val="center"/>
                </w:tcPr>
                <w:p w14:paraId="11554D9B">
                  <w:pPr>
                    <w:jc w:val="center"/>
                    <w:rPr>
                      <w:szCs w:val="21"/>
                    </w:rPr>
                  </w:pPr>
                  <w:r>
                    <w:rPr>
                      <w:szCs w:val="21"/>
                    </w:rPr>
                    <w:t>地下水及</w:t>
                  </w:r>
                  <w:r>
                    <w:rPr>
                      <w:rFonts w:hint="eastAsia"/>
                      <w:szCs w:val="21"/>
                    </w:rPr>
                    <w:t>土壤环境</w:t>
                  </w:r>
                </w:p>
              </w:tc>
              <w:tc>
                <w:tcPr>
                  <w:tcW w:w="425" w:type="pct"/>
                  <w:tcMar>
                    <w:left w:w="0" w:type="dxa"/>
                    <w:right w:w="0" w:type="dxa"/>
                  </w:tcMar>
                  <w:vAlign w:val="center"/>
                </w:tcPr>
                <w:p w14:paraId="4E2ADD8A">
                  <w:pPr>
                    <w:jc w:val="center"/>
                    <w:rPr>
                      <w:szCs w:val="21"/>
                    </w:rPr>
                  </w:pPr>
                  <w:r>
                    <w:rPr>
                      <w:szCs w:val="21"/>
                    </w:rPr>
                    <w:t>泄漏</w:t>
                  </w:r>
                </w:p>
              </w:tc>
              <w:tc>
                <w:tcPr>
                  <w:tcW w:w="310" w:type="pct"/>
                  <w:tcMar>
                    <w:left w:w="0" w:type="dxa"/>
                    <w:right w:w="0" w:type="dxa"/>
                  </w:tcMar>
                  <w:vAlign w:val="center"/>
                </w:tcPr>
                <w:p w14:paraId="25F8C02C">
                  <w:pPr>
                    <w:jc w:val="center"/>
                    <w:rPr>
                      <w:szCs w:val="21"/>
                    </w:rPr>
                  </w:pPr>
                  <w:r>
                    <w:rPr>
                      <w:szCs w:val="21"/>
                    </w:rPr>
                    <w:t>短期</w:t>
                  </w:r>
                </w:p>
              </w:tc>
              <w:tc>
                <w:tcPr>
                  <w:tcW w:w="691" w:type="pct"/>
                  <w:tcMar>
                    <w:left w:w="0" w:type="dxa"/>
                    <w:right w:w="0" w:type="dxa"/>
                  </w:tcMar>
                  <w:vAlign w:val="center"/>
                </w:tcPr>
                <w:p w14:paraId="782D0003">
                  <w:pPr>
                    <w:jc w:val="center"/>
                    <w:rPr>
                      <w:szCs w:val="21"/>
                    </w:rPr>
                  </w:pPr>
                  <w:r>
                    <w:rPr>
                      <w:szCs w:val="21"/>
                    </w:rPr>
                    <w:t>井场及周边受影响区域</w:t>
                  </w:r>
                </w:p>
              </w:tc>
              <w:tc>
                <w:tcPr>
                  <w:tcW w:w="347" w:type="pct"/>
                  <w:tcMar>
                    <w:left w:w="0" w:type="dxa"/>
                    <w:right w:w="0" w:type="dxa"/>
                  </w:tcMar>
                  <w:vAlign w:val="center"/>
                </w:tcPr>
                <w:p w14:paraId="3ACA11B4">
                  <w:pPr>
                    <w:jc w:val="center"/>
                    <w:rPr>
                      <w:szCs w:val="21"/>
                    </w:rPr>
                  </w:pPr>
                  <w:r>
                    <w:rPr>
                      <w:szCs w:val="21"/>
                    </w:rPr>
                    <w:t>弱</w:t>
                  </w:r>
                </w:p>
              </w:tc>
            </w:tr>
            <w:tr w14:paraId="4FCE86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447C9148">
                  <w:pPr>
                    <w:jc w:val="center"/>
                    <w:rPr>
                      <w:szCs w:val="21"/>
                    </w:rPr>
                  </w:pPr>
                </w:p>
              </w:tc>
              <w:tc>
                <w:tcPr>
                  <w:tcW w:w="292" w:type="pct"/>
                  <w:vMerge w:val="continue"/>
                  <w:tcMar>
                    <w:left w:w="0" w:type="dxa"/>
                    <w:right w:w="0" w:type="dxa"/>
                  </w:tcMar>
                  <w:vAlign w:val="center"/>
                </w:tcPr>
                <w:p w14:paraId="50DAF44A">
                  <w:pPr>
                    <w:jc w:val="center"/>
                    <w:rPr>
                      <w:szCs w:val="21"/>
                    </w:rPr>
                  </w:pPr>
                </w:p>
              </w:tc>
              <w:tc>
                <w:tcPr>
                  <w:tcW w:w="727" w:type="pct"/>
                  <w:tcMar>
                    <w:left w:w="0" w:type="dxa"/>
                    <w:right w:w="0" w:type="dxa"/>
                  </w:tcMar>
                  <w:vAlign w:val="center"/>
                </w:tcPr>
                <w:p w14:paraId="0051C2D9">
                  <w:pPr>
                    <w:jc w:val="center"/>
                    <w:rPr>
                      <w:szCs w:val="21"/>
                    </w:rPr>
                  </w:pPr>
                  <w:r>
                    <w:rPr>
                      <w:rFonts w:hint="eastAsia"/>
                      <w:szCs w:val="21"/>
                    </w:rPr>
                    <w:t>职工生活</w:t>
                  </w:r>
                </w:p>
              </w:tc>
              <w:tc>
                <w:tcPr>
                  <w:tcW w:w="1189" w:type="pct"/>
                  <w:gridSpan w:val="2"/>
                  <w:tcMar>
                    <w:left w:w="0" w:type="dxa"/>
                    <w:right w:w="0" w:type="dxa"/>
                  </w:tcMar>
                  <w:vAlign w:val="center"/>
                </w:tcPr>
                <w:p w14:paraId="1151BF09">
                  <w:pPr>
                    <w:jc w:val="center"/>
                    <w:rPr>
                      <w:szCs w:val="21"/>
                    </w:rPr>
                  </w:pPr>
                  <w:r>
                    <w:rPr>
                      <w:szCs w:val="21"/>
                    </w:rPr>
                    <w:t>生活垃圾</w:t>
                  </w:r>
                </w:p>
              </w:tc>
              <w:tc>
                <w:tcPr>
                  <w:tcW w:w="679" w:type="pct"/>
                  <w:tcMar>
                    <w:left w:w="0" w:type="dxa"/>
                    <w:right w:w="0" w:type="dxa"/>
                  </w:tcMar>
                  <w:vAlign w:val="center"/>
                </w:tcPr>
                <w:p w14:paraId="44ED4DFF">
                  <w:pPr>
                    <w:jc w:val="center"/>
                    <w:rPr>
                      <w:szCs w:val="21"/>
                    </w:rPr>
                  </w:pPr>
                  <w:r>
                    <w:rPr>
                      <w:szCs w:val="21"/>
                    </w:rPr>
                    <w:t>--</w:t>
                  </w:r>
                </w:p>
              </w:tc>
              <w:tc>
                <w:tcPr>
                  <w:tcW w:w="425" w:type="pct"/>
                  <w:tcMar>
                    <w:left w:w="0" w:type="dxa"/>
                    <w:right w:w="0" w:type="dxa"/>
                  </w:tcMar>
                  <w:vAlign w:val="center"/>
                </w:tcPr>
                <w:p w14:paraId="6F8436D3">
                  <w:pPr>
                    <w:jc w:val="center"/>
                    <w:rPr>
                      <w:szCs w:val="21"/>
                    </w:rPr>
                  </w:pPr>
                  <w:r>
                    <w:rPr>
                      <w:szCs w:val="21"/>
                    </w:rPr>
                    <w:t>--</w:t>
                  </w:r>
                </w:p>
              </w:tc>
              <w:tc>
                <w:tcPr>
                  <w:tcW w:w="310" w:type="pct"/>
                  <w:tcMar>
                    <w:left w:w="0" w:type="dxa"/>
                    <w:right w:w="0" w:type="dxa"/>
                  </w:tcMar>
                  <w:vAlign w:val="center"/>
                </w:tcPr>
                <w:p w14:paraId="66A58490">
                  <w:pPr>
                    <w:jc w:val="center"/>
                    <w:rPr>
                      <w:szCs w:val="21"/>
                    </w:rPr>
                  </w:pPr>
                  <w:r>
                    <w:rPr>
                      <w:szCs w:val="21"/>
                    </w:rPr>
                    <w:t>短期</w:t>
                  </w:r>
                </w:p>
              </w:tc>
              <w:tc>
                <w:tcPr>
                  <w:tcW w:w="691" w:type="pct"/>
                  <w:tcMar>
                    <w:left w:w="0" w:type="dxa"/>
                    <w:right w:w="0" w:type="dxa"/>
                  </w:tcMar>
                  <w:vAlign w:val="center"/>
                </w:tcPr>
                <w:p w14:paraId="28FA433C">
                  <w:pPr>
                    <w:jc w:val="center"/>
                    <w:rPr>
                      <w:szCs w:val="21"/>
                    </w:rPr>
                  </w:pPr>
                  <w:r>
                    <w:rPr>
                      <w:szCs w:val="21"/>
                    </w:rPr>
                    <w:t>--</w:t>
                  </w:r>
                </w:p>
              </w:tc>
              <w:tc>
                <w:tcPr>
                  <w:tcW w:w="347" w:type="pct"/>
                  <w:tcMar>
                    <w:left w:w="0" w:type="dxa"/>
                    <w:right w:w="0" w:type="dxa"/>
                  </w:tcMar>
                  <w:vAlign w:val="center"/>
                </w:tcPr>
                <w:p w14:paraId="14515275">
                  <w:pPr>
                    <w:jc w:val="center"/>
                    <w:rPr>
                      <w:szCs w:val="21"/>
                    </w:rPr>
                  </w:pPr>
                  <w:r>
                    <w:rPr>
                      <w:szCs w:val="21"/>
                    </w:rPr>
                    <w:t>弱</w:t>
                  </w:r>
                </w:p>
              </w:tc>
            </w:tr>
            <w:tr w14:paraId="0AE875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restart"/>
                  <w:tcMar>
                    <w:left w:w="0" w:type="dxa"/>
                    <w:right w:w="0" w:type="dxa"/>
                  </w:tcMar>
                  <w:vAlign w:val="center"/>
                </w:tcPr>
                <w:p w14:paraId="3219C850">
                  <w:pPr>
                    <w:jc w:val="center"/>
                    <w:rPr>
                      <w:szCs w:val="21"/>
                    </w:rPr>
                  </w:pPr>
                  <w:r>
                    <w:rPr>
                      <w:rFonts w:hint="eastAsia"/>
                      <w:szCs w:val="21"/>
                    </w:rPr>
                    <w:t>试油</w:t>
                  </w:r>
                </w:p>
                <w:p w14:paraId="5E0268AD">
                  <w:pPr>
                    <w:jc w:val="center"/>
                    <w:rPr>
                      <w:szCs w:val="21"/>
                    </w:rPr>
                  </w:pPr>
                  <w:r>
                    <w:rPr>
                      <w:szCs w:val="21"/>
                    </w:rPr>
                    <w:t>工程</w:t>
                  </w:r>
                </w:p>
              </w:tc>
              <w:tc>
                <w:tcPr>
                  <w:tcW w:w="292" w:type="pct"/>
                  <w:vMerge w:val="restart"/>
                  <w:tcMar>
                    <w:left w:w="0" w:type="dxa"/>
                    <w:right w:w="0" w:type="dxa"/>
                  </w:tcMar>
                  <w:vAlign w:val="center"/>
                </w:tcPr>
                <w:p w14:paraId="4F47E5BB">
                  <w:pPr>
                    <w:jc w:val="center"/>
                    <w:rPr>
                      <w:szCs w:val="21"/>
                    </w:rPr>
                  </w:pPr>
                  <w:r>
                    <w:rPr>
                      <w:rFonts w:hint="eastAsia"/>
                      <w:szCs w:val="21"/>
                    </w:rPr>
                    <w:t>废气</w:t>
                  </w:r>
                </w:p>
              </w:tc>
              <w:tc>
                <w:tcPr>
                  <w:tcW w:w="727" w:type="pct"/>
                  <w:tcMar>
                    <w:left w:w="0" w:type="dxa"/>
                    <w:right w:w="0" w:type="dxa"/>
                  </w:tcMar>
                  <w:vAlign w:val="center"/>
                </w:tcPr>
                <w:p w14:paraId="39DB645C">
                  <w:pPr>
                    <w:jc w:val="center"/>
                    <w:rPr>
                      <w:szCs w:val="21"/>
                    </w:rPr>
                  </w:pPr>
                  <w:r>
                    <w:rPr>
                      <w:rFonts w:hint="eastAsia"/>
                      <w:szCs w:val="21"/>
                    </w:rPr>
                    <w:t>柴油发电机组</w:t>
                  </w:r>
                </w:p>
              </w:tc>
              <w:tc>
                <w:tcPr>
                  <w:tcW w:w="354" w:type="pct"/>
                  <w:tcMar>
                    <w:left w:w="0" w:type="dxa"/>
                    <w:right w:w="0" w:type="dxa"/>
                  </w:tcMar>
                  <w:vAlign w:val="center"/>
                </w:tcPr>
                <w:p w14:paraId="543F5F8C">
                  <w:pPr>
                    <w:jc w:val="center"/>
                    <w:rPr>
                      <w:szCs w:val="21"/>
                    </w:rPr>
                  </w:pPr>
                  <w:r>
                    <w:rPr>
                      <w:rFonts w:hint="eastAsia"/>
                      <w:szCs w:val="21"/>
                    </w:rPr>
                    <w:t>尾气</w:t>
                  </w:r>
                </w:p>
              </w:tc>
              <w:tc>
                <w:tcPr>
                  <w:tcW w:w="835" w:type="pct"/>
                  <w:tcMar>
                    <w:left w:w="0" w:type="dxa"/>
                    <w:right w:w="0" w:type="dxa"/>
                  </w:tcMar>
                  <w:vAlign w:val="center"/>
                </w:tcPr>
                <w:p w14:paraId="4827FAC0">
                  <w:pPr>
                    <w:jc w:val="center"/>
                    <w:rPr>
                      <w:szCs w:val="21"/>
                    </w:rPr>
                  </w:pPr>
                  <w:r>
                    <w:rPr>
                      <w:rFonts w:hint="eastAsia"/>
                      <w:szCs w:val="21"/>
                    </w:rPr>
                    <w:t>颗粒物、S</w:t>
                  </w:r>
                  <w:r>
                    <w:rPr>
                      <w:szCs w:val="21"/>
                    </w:rPr>
                    <w:t>O</w:t>
                  </w:r>
                  <w:r>
                    <w:rPr>
                      <w:szCs w:val="21"/>
                      <w:vertAlign w:val="subscript"/>
                    </w:rPr>
                    <w:t>2</w:t>
                  </w:r>
                  <w:r>
                    <w:rPr>
                      <w:rFonts w:hint="eastAsia"/>
                      <w:szCs w:val="21"/>
                    </w:rPr>
                    <w:t>、N</w:t>
                  </w:r>
                  <w:r>
                    <w:rPr>
                      <w:szCs w:val="21"/>
                    </w:rPr>
                    <w:t>O</w:t>
                  </w:r>
                  <w:r>
                    <w:rPr>
                      <w:szCs w:val="21"/>
                      <w:vertAlign w:val="subscript"/>
                    </w:rPr>
                    <w:t>X</w:t>
                  </w:r>
                </w:p>
              </w:tc>
              <w:tc>
                <w:tcPr>
                  <w:tcW w:w="679" w:type="pct"/>
                  <w:tcMar>
                    <w:left w:w="0" w:type="dxa"/>
                    <w:right w:w="0" w:type="dxa"/>
                  </w:tcMar>
                  <w:vAlign w:val="center"/>
                </w:tcPr>
                <w:p w14:paraId="7A320301">
                  <w:pPr>
                    <w:jc w:val="center"/>
                    <w:rPr>
                      <w:szCs w:val="21"/>
                    </w:rPr>
                  </w:pPr>
                  <w:r>
                    <w:rPr>
                      <w:szCs w:val="21"/>
                    </w:rPr>
                    <w:t>大气环境</w:t>
                  </w:r>
                </w:p>
              </w:tc>
              <w:tc>
                <w:tcPr>
                  <w:tcW w:w="425" w:type="pct"/>
                  <w:tcMar>
                    <w:left w:w="0" w:type="dxa"/>
                    <w:right w:w="0" w:type="dxa"/>
                  </w:tcMar>
                  <w:vAlign w:val="center"/>
                </w:tcPr>
                <w:p w14:paraId="14C77C22">
                  <w:pPr>
                    <w:tabs>
                      <w:tab w:val="left" w:pos="433"/>
                    </w:tabs>
                    <w:jc w:val="center"/>
                    <w:rPr>
                      <w:szCs w:val="21"/>
                    </w:rPr>
                  </w:pPr>
                  <w:r>
                    <w:rPr>
                      <w:kern w:val="0"/>
                      <w:szCs w:val="21"/>
                      <w:lang w:bidi="ar"/>
                    </w:rPr>
                    <w:t>污染物扩散</w:t>
                  </w:r>
                </w:p>
              </w:tc>
              <w:tc>
                <w:tcPr>
                  <w:tcW w:w="310" w:type="pct"/>
                  <w:tcMar>
                    <w:left w:w="0" w:type="dxa"/>
                    <w:right w:w="0" w:type="dxa"/>
                  </w:tcMar>
                  <w:vAlign w:val="center"/>
                </w:tcPr>
                <w:p w14:paraId="7E754841">
                  <w:pPr>
                    <w:jc w:val="center"/>
                    <w:rPr>
                      <w:szCs w:val="21"/>
                    </w:rPr>
                  </w:pPr>
                  <w:r>
                    <w:rPr>
                      <w:szCs w:val="21"/>
                    </w:rPr>
                    <w:t>短期</w:t>
                  </w:r>
                </w:p>
              </w:tc>
              <w:tc>
                <w:tcPr>
                  <w:tcW w:w="691" w:type="pct"/>
                  <w:vMerge w:val="restart"/>
                  <w:tcMar>
                    <w:left w:w="0" w:type="dxa"/>
                    <w:right w:w="0" w:type="dxa"/>
                  </w:tcMar>
                  <w:vAlign w:val="center"/>
                </w:tcPr>
                <w:p w14:paraId="6F85C34C">
                  <w:pPr>
                    <w:jc w:val="center"/>
                    <w:rPr>
                      <w:szCs w:val="21"/>
                    </w:rPr>
                  </w:pPr>
                  <w:r>
                    <w:rPr>
                      <w:kern w:val="0"/>
                      <w:szCs w:val="21"/>
                      <w:lang w:bidi="ar"/>
                    </w:rPr>
                    <w:t>井场及周边受影响区域</w:t>
                  </w:r>
                </w:p>
              </w:tc>
              <w:tc>
                <w:tcPr>
                  <w:tcW w:w="347" w:type="pct"/>
                  <w:tcMar>
                    <w:left w:w="0" w:type="dxa"/>
                    <w:right w:w="0" w:type="dxa"/>
                  </w:tcMar>
                  <w:vAlign w:val="center"/>
                </w:tcPr>
                <w:p w14:paraId="76C1987A">
                  <w:pPr>
                    <w:tabs>
                      <w:tab w:val="left" w:pos="433"/>
                    </w:tabs>
                    <w:jc w:val="center"/>
                    <w:rPr>
                      <w:szCs w:val="21"/>
                    </w:rPr>
                  </w:pPr>
                  <w:r>
                    <w:rPr>
                      <w:szCs w:val="21"/>
                    </w:rPr>
                    <w:t>弱</w:t>
                  </w:r>
                </w:p>
              </w:tc>
            </w:tr>
            <w:tr w14:paraId="22AFBD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7C923A61">
                  <w:pPr>
                    <w:jc w:val="center"/>
                    <w:rPr>
                      <w:szCs w:val="21"/>
                    </w:rPr>
                  </w:pPr>
                </w:p>
              </w:tc>
              <w:tc>
                <w:tcPr>
                  <w:tcW w:w="292" w:type="pct"/>
                  <w:vMerge w:val="continue"/>
                  <w:tcMar>
                    <w:left w:w="0" w:type="dxa"/>
                    <w:right w:w="0" w:type="dxa"/>
                  </w:tcMar>
                  <w:vAlign w:val="center"/>
                </w:tcPr>
                <w:p w14:paraId="26895C48">
                  <w:pPr>
                    <w:jc w:val="center"/>
                    <w:rPr>
                      <w:szCs w:val="21"/>
                    </w:rPr>
                  </w:pPr>
                </w:p>
              </w:tc>
              <w:tc>
                <w:tcPr>
                  <w:tcW w:w="727" w:type="pct"/>
                  <w:tcMar>
                    <w:left w:w="0" w:type="dxa"/>
                    <w:right w:w="0" w:type="dxa"/>
                  </w:tcMar>
                  <w:vAlign w:val="center"/>
                </w:tcPr>
                <w:p w14:paraId="2B631410">
                  <w:pPr>
                    <w:jc w:val="center"/>
                    <w:rPr>
                      <w:szCs w:val="21"/>
                    </w:rPr>
                  </w:pPr>
                  <w:r>
                    <w:rPr>
                      <w:rFonts w:hint="eastAsia"/>
                      <w:szCs w:val="21"/>
                    </w:rPr>
                    <w:t>柴油罐暂存柴油</w:t>
                  </w:r>
                </w:p>
              </w:tc>
              <w:tc>
                <w:tcPr>
                  <w:tcW w:w="354" w:type="pct"/>
                  <w:tcMar>
                    <w:left w:w="0" w:type="dxa"/>
                    <w:right w:w="0" w:type="dxa"/>
                  </w:tcMar>
                  <w:vAlign w:val="center"/>
                </w:tcPr>
                <w:p w14:paraId="3956B45F">
                  <w:pPr>
                    <w:jc w:val="center"/>
                    <w:rPr>
                      <w:szCs w:val="21"/>
                    </w:rPr>
                  </w:pPr>
                  <w:r>
                    <w:rPr>
                      <w:rFonts w:hint="eastAsia"/>
                      <w:szCs w:val="21"/>
                    </w:rPr>
                    <w:t>挥发废气</w:t>
                  </w:r>
                </w:p>
              </w:tc>
              <w:tc>
                <w:tcPr>
                  <w:tcW w:w="835" w:type="pct"/>
                  <w:tcMar>
                    <w:left w:w="0" w:type="dxa"/>
                    <w:right w:w="0" w:type="dxa"/>
                  </w:tcMar>
                  <w:vAlign w:val="center"/>
                </w:tcPr>
                <w:p w14:paraId="2E0FAE6B">
                  <w:pPr>
                    <w:jc w:val="center"/>
                    <w:rPr>
                      <w:szCs w:val="21"/>
                    </w:rPr>
                  </w:pPr>
                  <w:r>
                    <w:rPr>
                      <w:rFonts w:hint="eastAsia"/>
                      <w:szCs w:val="21"/>
                    </w:rPr>
                    <w:t>非甲烷总烃</w:t>
                  </w:r>
                </w:p>
              </w:tc>
              <w:tc>
                <w:tcPr>
                  <w:tcW w:w="679" w:type="pct"/>
                  <w:tcMar>
                    <w:left w:w="0" w:type="dxa"/>
                    <w:right w:w="0" w:type="dxa"/>
                  </w:tcMar>
                  <w:vAlign w:val="center"/>
                </w:tcPr>
                <w:p w14:paraId="10499DD5">
                  <w:pPr>
                    <w:jc w:val="center"/>
                    <w:rPr>
                      <w:szCs w:val="21"/>
                    </w:rPr>
                  </w:pPr>
                  <w:r>
                    <w:rPr>
                      <w:rFonts w:hint="eastAsia"/>
                      <w:szCs w:val="21"/>
                    </w:rPr>
                    <w:t>大气环境</w:t>
                  </w:r>
                </w:p>
              </w:tc>
              <w:tc>
                <w:tcPr>
                  <w:tcW w:w="425" w:type="pct"/>
                  <w:tcMar>
                    <w:left w:w="0" w:type="dxa"/>
                    <w:right w:w="0" w:type="dxa"/>
                  </w:tcMar>
                  <w:vAlign w:val="center"/>
                </w:tcPr>
                <w:p w14:paraId="62082358">
                  <w:pPr>
                    <w:jc w:val="center"/>
                    <w:rPr>
                      <w:szCs w:val="21"/>
                    </w:rPr>
                  </w:pPr>
                  <w:r>
                    <w:rPr>
                      <w:kern w:val="0"/>
                      <w:szCs w:val="21"/>
                      <w:lang w:bidi="ar"/>
                    </w:rPr>
                    <w:t>污染物扩散</w:t>
                  </w:r>
                </w:p>
              </w:tc>
              <w:tc>
                <w:tcPr>
                  <w:tcW w:w="310" w:type="pct"/>
                  <w:tcMar>
                    <w:left w:w="0" w:type="dxa"/>
                    <w:right w:w="0" w:type="dxa"/>
                  </w:tcMar>
                  <w:vAlign w:val="center"/>
                </w:tcPr>
                <w:p w14:paraId="639019E4">
                  <w:pPr>
                    <w:jc w:val="center"/>
                    <w:rPr>
                      <w:szCs w:val="21"/>
                    </w:rPr>
                  </w:pPr>
                  <w:r>
                    <w:rPr>
                      <w:rFonts w:hint="eastAsia"/>
                      <w:szCs w:val="21"/>
                    </w:rPr>
                    <w:t>短期</w:t>
                  </w:r>
                </w:p>
              </w:tc>
              <w:tc>
                <w:tcPr>
                  <w:tcW w:w="691" w:type="pct"/>
                  <w:vMerge w:val="continue"/>
                  <w:tcMar>
                    <w:left w:w="0" w:type="dxa"/>
                    <w:right w:w="0" w:type="dxa"/>
                  </w:tcMar>
                  <w:vAlign w:val="center"/>
                </w:tcPr>
                <w:p w14:paraId="35148C4D">
                  <w:pPr>
                    <w:jc w:val="center"/>
                    <w:rPr>
                      <w:kern w:val="0"/>
                      <w:szCs w:val="21"/>
                      <w:lang w:bidi="ar"/>
                    </w:rPr>
                  </w:pPr>
                </w:p>
              </w:tc>
              <w:tc>
                <w:tcPr>
                  <w:tcW w:w="347" w:type="pct"/>
                  <w:tcMar>
                    <w:left w:w="0" w:type="dxa"/>
                    <w:right w:w="0" w:type="dxa"/>
                  </w:tcMar>
                  <w:vAlign w:val="center"/>
                </w:tcPr>
                <w:p w14:paraId="6B01D752">
                  <w:pPr>
                    <w:tabs>
                      <w:tab w:val="left" w:pos="433"/>
                    </w:tabs>
                    <w:jc w:val="center"/>
                    <w:rPr>
                      <w:szCs w:val="21"/>
                    </w:rPr>
                  </w:pPr>
                  <w:r>
                    <w:rPr>
                      <w:szCs w:val="21"/>
                    </w:rPr>
                    <w:t>弱</w:t>
                  </w:r>
                </w:p>
              </w:tc>
            </w:tr>
            <w:tr w14:paraId="2C347B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5E5BF991">
                  <w:pPr>
                    <w:jc w:val="center"/>
                    <w:rPr>
                      <w:szCs w:val="21"/>
                    </w:rPr>
                  </w:pPr>
                </w:p>
              </w:tc>
              <w:tc>
                <w:tcPr>
                  <w:tcW w:w="292" w:type="pct"/>
                  <w:vMerge w:val="continue"/>
                  <w:tcMar>
                    <w:left w:w="0" w:type="dxa"/>
                    <w:right w:w="0" w:type="dxa"/>
                  </w:tcMar>
                  <w:vAlign w:val="center"/>
                </w:tcPr>
                <w:p w14:paraId="601EC913">
                  <w:pPr>
                    <w:jc w:val="center"/>
                    <w:rPr>
                      <w:szCs w:val="21"/>
                    </w:rPr>
                  </w:pPr>
                </w:p>
              </w:tc>
              <w:tc>
                <w:tcPr>
                  <w:tcW w:w="727" w:type="pct"/>
                  <w:tcMar>
                    <w:left w:w="0" w:type="dxa"/>
                    <w:right w:w="0" w:type="dxa"/>
                  </w:tcMar>
                  <w:vAlign w:val="center"/>
                </w:tcPr>
                <w:p w14:paraId="6E5A6C99">
                  <w:pPr>
                    <w:jc w:val="center"/>
                    <w:rPr>
                      <w:szCs w:val="21"/>
                    </w:rPr>
                  </w:pPr>
                  <w:r>
                    <w:rPr>
                      <w:rFonts w:hint="eastAsia"/>
                      <w:szCs w:val="21"/>
                    </w:rPr>
                    <w:t>储液罐暂存采出液</w:t>
                  </w:r>
                </w:p>
              </w:tc>
              <w:tc>
                <w:tcPr>
                  <w:tcW w:w="354" w:type="pct"/>
                  <w:tcMar>
                    <w:left w:w="0" w:type="dxa"/>
                    <w:right w:w="0" w:type="dxa"/>
                  </w:tcMar>
                  <w:vAlign w:val="center"/>
                </w:tcPr>
                <w:p w14:paraId="4D9A02F2">
                  <w:pPr>
                    <w:jc w:val="center"/>
                    <w:rPr>
                      <w:szCs w:val="21"/>
                    </w:rPr>
                  </w:pPr>
                  <w:r>
                    <w:rPr>
                      <w:rFonts w:hint="eastAsia"/>
                      <w:szCs w:val="21"/>
                    </w:rPr>
                    <w:t>挥发废气</w:t>
                  </w:r>
                </w:p>
              </w:tc>
              <w:tc>
                <w:tcPr>
                  <w:tcW w:w="835" w:type="pct"/>
                  <w:tcMar>
                    <w:left w:w="0" w:type="dxa"/>
                    <w:right w:w="0" w:type="dxa"/>
                  </w:tcMar>
                  <w:vAlign w:val="center"/>
                </w:tcPr>
                <w:p w14:paraId="539D0365">
                  <w:pPr>
                    <w:jc w:val="center"/>
                    <w:rPr>
                      <w:szCs w:val="21"/>
                    </w:rPr>
                  </w:pPr>
                  <w:r>
                    <w:rPr>
                      <w:rFonts w:hint="eastAsia"/>
                      <w:szCs w:val="21"/>
                    </w:rPr>
                    <w:t>非甲烷总烃</w:t>
                  </w:r>
                </w:p>
              </w:tc>
              <w:tc>
                <w:tcPr>
                  <w:tcW w:w="679" w:type="pct"/>
                  <w:tcMar>
                    <w:left w:w="0" w:type="dxa"/>
                    <w:right w:w="0" w:type="dxa"/>
                  </w:tcMar>
                  <w:vAlign w:val="center"/>
                </w:tcPr>
                <w:p w14:paraId="46E5EBB3">
                  <w:pPr>
                    <w:jc w:val="center"/>
                    <w:rPr>
                      <w:szCs w:val="21"/>
                    </w:rPr>
                  </w:pPr>
                  <w:r>
                    <w:rPr>
                      <w:rFonts w:hint="eastAsia"/>
                      <w:szCs w:val="21"/>
                    </w:rPr>
                    <w:t>大气环境</w:t>
                  </w:r>
                </w:p>
              </w:tc>
              <w:tc>
                <w:tcPr>
                  <w:tcW w:w="425" w:type="pct"/>
                  <w:tcMar>
                    <w:left w:w="0" w:type="dxa"/>
                    <w:right w:w="0" w:type="dxa"/>
                  </w:tcMar>
                  <w:vAlign w:val="center"/>
                </w:tcPr>
                <w:p w14:paraId="28A19353">
                  <w:pPr>
                    <w:jc w:val="center"/>
                    <w:rPr>
                      <w:kern w:val="0"/>
                      <w:szCs w:val="21"/>
                      <w:lang w:bidi="ar"/>
                    </w:rPr>
                  </w:pPr>
                  <w:r>
                    <w:rPr>
                      <w:kern w:val="0"/>
                      <w:szCs w:val="21"/>
                      <w:lang w:bidi="ar"/>
                    </w:rPr>
                    <w:t>污染物扩散</w:t>
                  </w:r>
                </w:p>
              </w:tc>
              <w:tc>
                <w:tcPr>
                  <w:tcW w:w="310" w:type="pct"/>
                  <w:tcMar>
                    <w:left w:w="0" w:type="dxa"/>
                    <w:right w:w="0" w:type="dxa"/>
                  </w:tcMar>
                  <w:vAlign w:val="center"/>
                </w:tcPr>
                <w:p w14:paraId="09E2C9E7">
                  <w:pPr>
                    <w:jc w:val="center"/>
                    <w:rPr>
                      <w:szCs w:val="21"/>
                    </w:rPr>
                  </w:pPr>
                  <w:r>
                    <w:rPr>
                      <w:rFonts w:hint="eastAsia"/>
                      <w:szCs w:val="21"/>
                    </w:rPr>
                    <w:t>短期</w:t>
                  </w:r>
                </w:p>
              </w:tc>
              <w:tc>
                <w:tcPr>
                  <w:tcW w:w="691" w:type="pct"/>
                  <w:vMerge w:val="continue"/>
                  <w:tcMar>
                    <w:left w:w="0" w:type="dxa"/>
                    <w:right w:w="0" w:type="dxa"/>
                  </w:tcMar>
                  <w:vAlign w:val="center"/>
                </w:tcPr>
                <w:p w14:paraId="394F279A">
                  <w:pPr>
                    <w:jc w:val="center"/>
                    <w:rPr>
                      <w:kern w:val="0"/>
                      <w:szCs w:val="21"/>
                      <w:lang w:bidi="ar"/>
                    </w:rPr>
                  </w:pPr>
                </w:p>
              </w:tc>
              <w:tc>
                <w:tcPr>
                  <w:tcW w:w="347" w:type="pct"/>
                  <w:tcMar>
                    <w:left w:w="0" w:type="dxa"/>
                    <w:right w:w="0" w:type="dxa"/>
                  </w:tcMar>
                  <w:vAlign w:val="center"/>
                </w:tcPr>
                <w:p w14:paraId="418707BD">
                  <w:pPr>
                    <w:tabs>
                      <w:tab w:val="left" w:pos="433"/>
                    </w:tabs>
                    <w:jc w:val="center"/>
                    <w:rPr>
                      <w:szCs w:val="21"/>
                    </w:rPr>
                  </w:pPr>
                  <w:r>
                    <w:rPr>
                      <w:rFonts w:hint="eastAsia"/>
                      <w:szCs w:val="21"/>
                    </w:rPr>
                    <w:t>弱</w:t>
                  </w:r>
                </w:p>
              </w:tc>
            </w:tr>
            <w:tr w14:paraId="309A0B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71D9F225">
                  <w:pPr>
                    <w:jc w:val="center"/>
                    <w:rPr>
                      <w:szCs w:val="21"/>
                    </w:rPr>
                  </w:pPr>
                </w:p>
              </w:tc>
              <w:tc>
                <w:tcPr>
                  <w:tcW w:w="292" w:type="pct"/>
                  <w:vMerge w:val="continue"/>
                  <w:tcMar>
                    <w:left w:w="0" w:type="dxa"/>
                    <w:right w:w="0" w:type="dxa"/>
                  </w:tcMar>
                  <w:vAlign w:val="center"/>
                </w:tcPr>
                <w:p w14:paraId="1635B024">
                  <w:pPr>
                    <w:jc w:val="center"/>
                    <w:rPr>
                      <w:szCs w:val="21"/>
                    </w:rPr>
                  </w:pPr>
                </w:p>
              </w:tc>
              <w:tc>
                <w:tcPr>
                  <w:tcW w:w="727" w:type="pct"/>
                  <w:tcMar>
                    <w:left w:w="0" w:type="dxa"/>
                    <w:right w:w="0" w:type="dxa"/>
                  </w:tcMar>
                  <w:vAlign w:val="center"/>
                </w:tcPr>
                <w:p w14:paraId="7086F01B">
                  <w:pPr>
                    <w:jc w:val="center"/>
                    <w:rPr>
                      <w:szCs w:val="21"/>
                    </w:rPr>
                  </w:pPr>
                  <w:r>
                    <w:rPr>
                      <w:rFonts w:hint="eastAsia"/>
                      <w:szCs w:val="21"/>
                    </w:rPr>
                    <w:t>伴生气放喷</w:t>
                  </w:r>
                </w:p>
              </w:tc>
              <w:tc>
                <w:tcPr>
                  <w:tcW w:w="354" w:type="pct"/>
                  <w:tcMar>
                    <w:left w:w="0" w:type="dxa"/>
                    <w:right w:w="0" w:type="dxa"/>
                  </w:tcMar>
                  <w:vAlign w:val="center"/>
                </w:tcPr>
                <w:p w14:paraId="0AE4337B">
                  <w:pPr>
                    <w:jc w:val="center"/>
                    <w:rPr>
                      <w:szCs w:val="21"/>
                    </w:rPr>
                  </w:pPr>
                  <w:r>
                    <w:rPr>
                      <w:rFonts w:hint="eastAsia"/>
                      <w:szCs w:val="21"/>
                    </w:rPr>
                    <w:t>燃烧</w:t>
                  </w:r>
                </w:p>
                <w:p w14:paraId="44CD0BE4">
                  <w:pPr>
                    <w:jc w:val="center"/>
                    <w:rPr>
                      <w:szCs w:val="21"/>
                    </w:rPr>
                  </w:pPr>
                  <w:r>
                    <w:rPr>
                      <w:rFonts w:hint="eastAsia"/>
                      <w:szCs w:val="21"/>
                    </w:rPr>
                    <w:t>废气</w:t>
                  </w:r>
                </w:p>
              </w:tc>
              <w:tc>
                <w:tcPr>
                  <w:tcW w:w="835" w:type="pct"/>
                  <w:tcMar>
                    <w:left w:w="0" w:type="dxa"/>
                    <w:right w:w="0" w:type="dxa"/>
                  </w:tcMar>
                  <w:vAlign w:val="center"/>
                </w:tcPr>
                <w:p w14:paraId="3AB9EFFB">
                  <w:pPr>
                    <w:jc w:val="center"/>
                    <w:rPr>
                      <w:szCs w:val="21"/>
                    </w:rPr>
                  </w:pPr>
                  <w:r>
                    <w:rPr>
                      <w:rFonts w:hint="eastAsia"/>
                      <w:szCs w:val="21"/>
                    </w:rPr>
                    <w:t>CO</w:t>
                  </w:r>
                  <w:r>
                    <w:rPr>
                      <w:rFonts w:hint="eastAsia"/>
                      <w:szCs w:val="21"/>
                      <w:vertAlign w:val="subscript"/>
                    </w:rPr>
                    <w:t>2</w:t>
                  </w:r>
                  <w:r>
                    <w:rPr>
                      <w:rFonts w:hint="eastAsia"/>
                      <w:szCs w:val="21"/>
                    </w:rPr>
                    <w:t>、水等</w:t>
                  </w:r>
                </w:p>
              </w:tc>
              <w:tc>
                <w:tcPr>
                  <w:tcW w:w="679" w:type="pct"/>
                  <w:tcMar>
                    <w:left w:w="0" w:type="dxa"/>
                    <w:right w:w="0" w:type="dxa"/>
                  </w:tcMar>
                  <w:vAlign w:val="center"/>
                </w:tcPr>
                <w:p w14:paraId="41FBE1E4">
                  <w:pPr>
                    <w:jc w:val="center"/>
                    <w:rPr>
                      <w:szCs w:val="21"/>
                    </w:rPr>
                  </w:pPr>
                  <w:r>
                    <w:rPr>
                      <w:rFonts w:hint="eastAsia"/>
                      <w:szCs w:val="21"/>
                    </w:rPr>
                    <w:t>大气环境</w:t>
                  </w:r>
                </w:p>
              </w:tc>
              <w:tc>
                <w:tcPr>
                  <w:tcW w:w="425" w:type="pct"/>
                  <w:tcMar>
                    <w:left w:w="0" w:type="dxa"/>
                    <w:right w:w="0" w:type="dxa"/>
                  </w:tcMar>
                  <w:vAlign w:val="center"/>
                </w:tcPr>
                <w:p w14:paraId="1717084B">
                  <w:pPr>
                    <w:jc w:val="center"/>
                    <w:rPr>
                      <w:kern w:val="0"/>
                      <w:szCs w:val="21"/>
                      <w:lang w:bidi="ar"/>
                    </w:rPr>
                  </w:pPr>
                  <w:r>
                    <w:rPr>
                      <w:kern w:val="0"/>
                      <w:szCs w:val="21"/>
                      <w:lang w:bidi="ar"/>
                    </w:rPr>
                    <w:t>污染物扩散</w:t>
                  </w:r>
                </w:p>
              </w:tc>
              <w:tc>
                <w:tcPr>
                  <w:tcW w:w="310" w:type="pct"/>
                  <w:tcMar>
                    <w:left w:w="0" w:type="dxa"/>
                    <w:right w:w="0" w:type="dxa"/>
                  </w:tcMar>
                  <w:vAlign w:val="center"/>
                </w:tcPr>
                <w:p w14:paraId="1C93D609">
                  <w:pPr>
                    <w:jc w:val="center"/>
                    <w:rPr>
                      <w:szCs w:val="21"/>
                    </w:rPr>
                  </w:pPr>
                  <w:r>
                    <w:rPr>
                      <w:rFonts w:hint="eastAsia"/>
                      <w:szCs w:val="21"/>
                    </w:rPr>
                    <w:t>短期</w:t>
                  </w:r>
                </w:p>
              </w:tc>
              <w:tc>
                <w:tcPr>
                  <w:tcW w:w="691" w:type="pct"/>
                  <w:vMerge w:val="continue"/>
                  <w:tcMar>
                    <w:left w:w="0" w:type="dxa"/>
                    <w:right w:w="0" w:type="dxa"/>
                  </w:tcMar>
                  <w:vAlign w:val="center"/>
                </w:tcPr>
                <w:p w14:paraId="17833D2C">
                  <w:pPr>
                    <w:jc w:val="center"/>
                    <w:rPr>
                      <w:kern w:val="0"/>
                      <w:szCs w:val="21"/>
                      <w:lang w:bidi="ar"/>
                    </w:rPr>
                  </w:pPr>
                </w:p>
              </w:tc>
              <w:tc>
                <w:tcPr>
                  <w:tcW w:w="347" w:type="pct"/>
                  <w:tcMar>
                    <w:left w:w="0" w:type="dxa"/>
                    <w:right w:w="0" w:type="dxa"/>
                  </w:tcMar>
                  <w:vAlign w:val="center"/>
                </w:tcPr>
                <w:p w14:paraId="43B952C2">
                  <w:pPr>
                    <w:tabs>
                      <w:tab w:val="left" w:pos="433"/>
                    </w:tabs>
                    <w:jc w:val="center"/>
                    <w:rPr>
                      <w:szCs w:val="21"/>
                    </w:rPr>
                  </w:pPr>
                  <w:r>
                    <w:rPr>
                      <w:rFonts w:hint="eastAsia"/>
                      <w:szCs w:val="21"/>
                    </w:rPr>
                    <w:t>弱</w:t>
                  </w:r>
                </w:p>
              </w:tc>
            </w:tr>
            <w:tr w14:paraId="016B2D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6C044A1D">
                  <w:pPr>
                    <w:jc w:val="center"/>
                    <w:rPr>
                      <w:szCs w:val="21"/>
                    </w:rPr>
                  </w:pPr>
                </w:p>
              </w:tc>
              <w:tc>
                <w:tcPr>
                  <w:tcW w:w="292" w:type="pct"/>
                  <w:tcMar>
                    <w:left w:w="0" w:type="dxa"/>
                    <w:right w:w="0" w:type="dxa"/>
                  </w:tcMar>
                  <w:vAlign w:val="center"/>
                </w:tcPr>
                <w:p w14:paraId="2D43CBEF">
                  <w:pPr>
                    <w:jc w:val="center"/>
                    <w:rPr>
                      <w:szCs w:val="21"/>
                    </w:rPr>
                  </w:pPr>
                  <w:r>
                    <w:rPr>
                      <w:rFonts w:hint="eastAsia"/>
                      <w:szCs w:val="21"/>
                    </w:rPr>
                    <w:t>废水</w:t>
                  </w:r>
                </w:p>
              </w:tc>
              <w:tc>
                <w:tcPr>
                  <w:tcW w:w="727" w:type="pct"/>
                  <w:tcMar>
                    <w:left w:w="0" w:type="dxa"/>
                    <w:right w:w="0" w:type="dxa"/>
                  </w:tcMar>
                  <w:vAlign w:val="center"/>
                </w:tcPr>
                <w:p w14:paraId="21DD0218">
                  <w:pPr>
                    <w:jc w:val="center"/>
                    <w:rPr>
                      <w:szCs w:val="21"/>
                    </w:rPr>
                  </w:pPr>
                  <w:r>
                    <w:rPr>
                      <w:rFonts w:hint="eastAsia"/>
                      <w:szCs w:val="21"/>
                    </w:rPr>
                    <w:t>职工生活</w:t>
                  </w:r>
                </w:p>
              </w:tc>
              <w:tc>
                <w:tcPr>
                  <w:tcW w:w="354" w:type="pct"/>
                  <w:tcMar>
                    <w:left w:w="0" w:type="dxa"/>
                    <w:right w:w="0" w:type="dxa"/>
                  </w:tcMar>
                  <w:vAlign w:val="center"/>
                </w:tcPr>
                <w:p w14:paraId="1ADFCD5C">
                  <w:pPr>
                    <w:jc w:val="center"/>
                    <w:rPr>
                      <w:szCs w:val="21"/>
                    </w:rPr>
                  </w:pPr>
                  <w:r>
                    <w:rPr>
                      <w:rFonts w:hint="eastAsia"/>
                      <w:szCs w:val="21"/>
                    </w:rPr>
                    <w:t>盥洗废水</w:t>
                  </w:r>
                </w:p>
              </w:tc>
              <w:tc>
                <w:tcPr>
                  <w:tcW w:w="835" w:type="pct"/>
                  <w:tcMar>
                    <w:left w:w="0" w:type="dxa"/>
                    <w:right w:w="0" w:type="dxa"/>
                  </w:tcMar>
                  <w:vAlign w:val="center"/>
                </w:tcPr>
                <w:p w14:paraId="000876C6">
                  <w:pPr>
                    <w:jc w:val="center"/>
                    <w:rPr>
                      <w:szCs w:val="21"/>
                    </w:rPr>
                  </w:pPr>
                  <w:r>
                    <w:rPr>
                      <w:rFonts w:hint="eastAsia"/>
                      <w:szCs w:val="21"/>
                    </w:rPr>
                    <w:t>COD、BOD</w:t>
                  </w:r>
                  <w:r>
                    <w:rPr>
                      <w:rFonts w:hint="eastAsia"/>
                      <w:szCs w:val="21"/>
                      <w:vertAlign w:val="subscript"/>
                    </w:rPr>
                    <w:t>5</w:t>
                  </w:r>
                  <w:r>
                    <w:rPr>
                      <w:rFonts w:hint="eastAsia"/>
                      <w:szCs w:val="21"/>
                    </w:rPr>
                    <w:t>、SS、氨氮等</w:t>
                  </w:r>
                </w:p>
              </w:tc>
              <w:tc>
                <w:tcPr>
                  <w:tcW w:w="679" w:type="pct"/>
                  <w:tcMar>
                    <w:left w:w="0" w:type="dxa"/>
                    <w:right w:w="0" w:type="dxa"/>
                  </w:tcMar>
                  <w:vAlign w:val="center"/>
                </w:tcPr>
                <w:p w14:paraId="639F1E15">
                  <w:pPr>
                    <w:jc w:val="center"/>
                    <w:rPr>
                      <w:szCs w:val="21"/>
                    </w:rPr>
                  </w:pPr>
                  <w:r>
                    <w:rPr>
                      <w:rFonts w:hint="eastAsia"/>
                      <w:szCs w:val="21"/>
                    </w:rPr>
                    <w:t>-</w:t>
                  </w:r>
                  <w:r>
                    <w:rPr>
                      <w:szCs w:val="21"/>
                    </w:rPr>
                    <w:t>-</w:t>
                  </w:r>
                </w:p>
              </w:tc>
              <w:tc>
                <w:tcPr>
                  <w:tcW w:w="425" w:type="pct"/>
                  <w:tcMar>
                    <w:left w:w="0" w:type="dxa"/>
                    <w:right w:w="0" w:type="dxa"/>
                  </w:tcMar>
                  <w:vAlign w:val="center"/>
                </w:tcPr>
                <w:p w14:paraId="61F099B3">
                  <w:pPr>
                    <w:jc w:val="center"/>
                    <w:rPr>
                      <w:kern w:val="0"/>
                      <w:szCs w:val="21"/>
                      <w:lang w:bidi="ar"/>
                    </w:rPr>
                  </w:pPr>
                  <w:r>
                    <w:rPr>
                      <w:rFonts w:hint="eastAsia"/>
                      <w:kern w:val="0"/>
                      <w:szCs w:val="21"/>
                      <w:lang w:bidi="ar"/>
                    </w:rPr>
                    <w:t>-</w:t>
                  </w:r>
                  <w:r>
                    <w:rPr>
                      <w:kern w:val="0"/>
                      <w:szCs w:val="21"/>
                      <w:lang w:bidi="ar"/>
                    </w:rPr>
                    <w:t>-</w:t>
                  </w:r>
                </w:p>
              </w:tc>
              <w:tc>
                <w:tcPr>
                  <w:tcW w:w="310" w:type="pct"/>
                  <w:tcMar>
                    <w:left w:w="0" w:type="dxa"/>
                    <w:right w:w="0" w:type="dxa"/>
                  </w:tcMar>
                  <w:vAlign w:val="center"/>
                </w:tcPr>
                <w:p w14:paraId="36EB7EC8">
                  <w:pPr>
                    <w:jc w:val="center"/>
                    <w:rPr>
                      <w:szCs w:val="21"/>
                    </w:rPr>
                  </w:pPr>
                  <w:r>
                    <w:rPr>
                      <w:rFonts w:hint="eastAsia"/>
                      <w:szCs w:val="21"/>
                    </w:rPr>
                    <w:t>短期</w:t>
                  </w:r>
                </w:p>
              </w:tc>
              <w:tc>
                <w:tcPr>
                  <w:tcW w:w="691" w:type="pct"/>
                  <w:tcMar>
                    <w:left w:w="0" w:type="dxa"/>
                    <w:right w:w="0" w:type="dxa"/>
                  </w:tcMar>
                  <w:vAlign w:val="center"/>
                </w:tcPr>
                <w:p w14:paraId="00AA0E9C">
                  <w:pPr>
                    <w:jc w:val="center"/>
                    <w:rPr>
                      <w:kern w:val="0"/>
                      <w:szCs w:val="21"/>
                      <w:lang w:bidi="ar"/>
                    </w:rPr>
                  </w:pPr>
                  <w:r>
                    <w:rPr>
                      <w:rFonts w:hint="eastAsia"/>
                      <w:kern w:val="0"/>
                      <w:szCs w:val="21"/>
                      <w:lang w:bidi="ar"/>
                    </w:rPr>
                    <w:t>--</w:t>
                  </w:r>
                </w:p>
              </w:tc>
              <w:tc>
                <w:tcPr>
                  <w:tcW w:w="347" w:type="pct"/>
                  <w:tcMar>
                    <w:left w:w="0" w:type="dxa"/>
                    <w:right w:w="0" w:type="dxa"/>
                  </w:tcMar>
                  <w:vAlign w:val="center"/>
                </w:tcPr>
                <w:p w14:paraId="171C47EA">
                  <w:pPr>
                    <w:tabs>
                      <w:tab w:val="left" w:pos="433"/>
                    </w:tabs>
                    <w:jc w:val="center"/>
                    <w:rPr>
                      <w:szCs w:val="21"/>
                    </w:rPr>
                  </w:pPr>
                  <w:r>
                    <w:rPr>
                      <w:rFonts w:hint="eastAsia"/>
                      <w:szCs w:val="21"/>
                    </w:rPr>
                    <w:t>弱</w:t>
                  </w:r>
                </w:p>
              </w:tc>
            </w:tr>
            <w:tr w14:paraId="5D4667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284B6530">
                  <w:pPr>
                    <w:jc w:val="center"/>
                    <w:rPr>
                      <w:szCs w:val="21"/>
                    </w:rPr>
                  </w:pPr>
                </w:p>
              </w:tc>
              <w:tc>
                <w:tcPr>
                  <w:tcW w:w="292" w:type="pct"/>
                  <w:tcMar>
                    <w:left w:w="0" w:type="dxa"/>
                    <w:right w:w="0" w:type="dxa"/>
                  </w:tcMar>
                  <w:vAlign w:val="center"/>
                </w:tcPr>
                <w:p w14:paraId="2C0B9F71">
                  <w:pPr>
                    <w:jc w:val="center"/>
                    <w:rPr>
                      <w:szCs w:val="21"/>
                    </w:rPr>
                  </w:pPr>
                  <w:r>
                    <w:rPr>
                      <w:rFonts w:hint="eastAsia"/>
                      <w:szCs w:val="21"/>
                    </w:rPr>
                    <w:t>噪声</w:t>
                  </w:r>
                </w:p>
              </w:tc>
              <w:tc>
                <w:tcPr>
                  <w:tcW w:w="727" w:type="pct"/>
                  <w:tcMar>
                    <w:left w:w="0" w:type="dxa"/>
                    <w:right w:w="0" w:type="dxa"/>
                  </w:tcMar>
                  <w:vAlign w:val="center"/>
                </w:tcPr>
                <w:p w14:paraId="16851420">
                  <w:pPr>
                    <w:jc w:val="center"/>
                    <w:rPr>
                      <w:szCs w:val="21"/>
                    </w:rPr>
                  </w:pPr>
                  <w:r>
                    <w:rPr>
                      <w:rFonts w:hint="eastAsia"/>
                      <w:szCs w:val="21"/>
                    </w:rPr>
                    <w:t>试油设备运行</w:t>
                  </w:r>
                </w:p>
              </w:tc>
              <w:tc>
                <w:tcPr>
                  <w:tcW w:w="1189" w:type="pct"/>
                  <w:gridSpan w:val="2"/>
                  <w:tcMar>
                    <w:left w:w="0" w:type="dxa"/>
                    <w:right w:w="0" w:type="dxa"/>
                  </w:tcMar>
                  <w:vAlign w:val="center"/>
                </w:tcPr>
                <w:p w14:paraId="76FECC86">
                  <w:pPr>
                    <w:jc w:val="center"/>
                    <w:rPr>
                      <w:szCs w:val="21"/>
                    </w:rPr>
                  </w:pPr>
                  <w:r>
                    <w:rPr>
                      <w:szCs w:val="21"/>
                    </w:rPr>
                    <w:t>试油设备噪声</w:t>
                  </w:r>
                </w:p>
              </w:tc>
              <w:tc>
                <w:tcPr>
                  <w:tcW w:w="679" w:type="pct"/>
                  <w:tcMar>
                    <w:left w:w="0" w:type="dxa"/>
                    <w:right w:w="0" w:type="dxa"/>
                  </w:tcMar>
                  <w:vAlign w:val="center"/>
                </w:tcPr>
                <w:p w14:paraId="3CC3778D">
                  <w:pPr>
                    <w:jc w:val="center"/>
                    <w:rPr>
                      <w:szCs w:val="21"/>
                    </w:rPr>
                  </w:pPr>
                  <w:r>
                    <w:rPr>
                      <w:szCs w:val="21"/>
                    </w:rPr>
                    <w:t>声环境</w:t>
                  </w:r>
                </w:p>
              </w:tc>
              <w:tc>
                <w:tcPr>
                  <w:tcW w:w="425" w:type="pct"/>
                  <w:tcMar>
                    <w:left w:w="0" w:type="dxa"/>
                    <w:right w:w="0" w:type="dxa"/>
                  </w:tcMar>
                  <w:vAlign w:val="center"/>
                </w:tcPr>
                <w:p w14:paraId="29555FE6">
                  <w:pPr>
                    <w:jc w:val="center"/>
                    <w:rPr>
                      <w:szCs w:val="21"/>
                    </w:rPr>
                  </w:pPr>
                  <w:r>
                    <w:rPr>
                      <w:rFonts w:hint="eastAsia"/>
                      <w:kern w:val="0"/>
                      <w:szCs w:val="21"/>
                      <w:lang w:bidi="ar"/>
                    </w:rPr>
                    <w:t>声传播</w:t>
                  </w:r>
                </w:p>
              </w:tc>
              <w:tc>
                <w:tcPr>
                  <w:tcW w:w="310" w:type="pct"/>
                  <w:tcMar>
                    <w:left w:w="0" w:type="dxa"/>
                    <w:right w:w="0" w:type="dxa"/>
                  </w:tcMar>
                  <w:vAlign w:val="center"/>
                </w:tcPr>
                <w:p w14:paraId="2C8F70C7">
                  <w:pPr>
                    <w:jc w:val="center"/>
                    <w:rPr>
                      <w:szCs w:val="21"/>
                    </w:rPr>
                  </w:pPr>
                  <w:r>
                    <w:rPr>
                      <w:szCs w:val="21"/>
                    </w:rPr>
                    <w:t>短期</w:t>
                  </w:r>
                </w:p>
              </w:tc>
              <w:tc>
                <w:tcPr>
                  <w:tcW w:w="691" w:type="pct"/>
                  <w:tcMar>
                    <w:left w:w="0" w:type="dxa"/>
                    <w:right w:w="0" w:type="dxa"/>
                  </w:tcMar>
                  <w:vAlign w:val="center"/>
                </w:tcPr>
                <w:p w14:paraId="33475227">
                  <w:pPr>
                    <w:jc w:val="center"/>
                    <w:rPr>
                      <w:szCs w:val="21"/>
                    </w:rPr>
                  </w:pPr>
                  <w:r>
                    <w:rPr>
                      <w:szCs w:val="21"/>
                    </w:rPr>
                    <w:t>井场及周边受影响区域</w:t>
                  </w:r>
                </w:p>
              </w:tc>
              <w:tc>
                <w:tcPr>
                  <w:tcW w:w="347" w:type="pct"/>
                  <w:tcMar>
                    <w:left w:w="0" w:type="dxa"/>
                    <w:right w:w="0" w:type="dxa"/>
                  </w:tcMar>
                  <w:vAlign w:val="center"/>
                </w:tcPr>
                <w:p w14:paraId="39EFE838">
                  <w:pPr>
                    <w:jc w:val="center"/>
                    <w:rPr>
                      <w:szCs w:val="21"/>
                    </w:rPr>
                  </w:pPr>
                  <w:r>
                    <w:rPr>
                      <w:szCs w:val="21"/>
                    </w:rPr>
                    <w:t>弱</w:t>
                  </w:r>
                </w:p>
              </w:tc>
            </w:tr>
            <w:tr w14:paraId="052094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3BD53F07">
                  <w:pPr>
                    <w:jc w:val="center"/>
                    <w:rPr>
                      <w:szCs w:val="21"/>
                    </w:rPr>
                  </w:pPr>
                </w:p>
              </w:tc>
              <w:tc>
                <w:tcPr>
                  <w:tcW w:w="292" w:type="pct"/>
                  <w:vMerge w:val="restart"/>
                  <w:tcMar>
                    <w:left w:w="0" w:type="dxa"/>
                    <w:right w:w="0" w:type="dxa"/>
                  </w:tcMar>
                  <w:vAlign w:val="center"/>
                </w:tcPr>
                <w:p w14:paraId="644A04F4">
                  <w:pPr>
                    <w:jc w:val="center"/>
                    <w:rPr>
                      <w:szCs w:val="21"/>
                    </w:rPr>
                  </w:pPr>
                  <w:r>
                    <w:rPr>
                      <w:rFonts w:hint="eastAsia"/>
                      <w:szCs w:val="21"/>
                    </w:rPr>
                    <w:t>固废</w:t>
                  </w:r>
                </w:p>
              </w:tc>
              <w:tc>
                <w:tcPr>
                  <w:tcW w:w="727" w:type="pct"/>
                  <w:tcMar>
                    <w:left w:w="0" w:type="dxa"/>
                    <w:right w:w="0" w:type="dxa"/>
                  </w:tcMar>
                  <w:vAlign w:val="center"/>
                </w:tcPr>
                <w:p w14:paraId="3BFEF271">
                  <w:pPr>
                    <w:jc w:val="center"/>
                    <w:rPr>
                      <w:szCs w:val="21"/>
                    </w:rPr>
                  </w:pPr>
                  <w:r>
                    <w:rPr>
                      <w:rFonts w:hint="eastAsia"/>
                      <w:szCs w:val="21"/>
                    </w:rPr>
                    <w:t>试油过程</w:t>
                  </w:r>
                </w:p>
              </w:tc>
              <w:tc>
                <w:tcPr>
                  <w:tcW w:w="1189" w:type="pct"/>
                  <w:gridSpan w:val="2"/>
                  <w:tcMar>
                    <w:left w:w="0" w:type="dxa"/>
                    <w:right w:w="0" w:type="dxa"/>
                  </w:tcMar>
                  <w:vAlign w:val="center"/>
                </w:tcPr>
                <w:p w14:paraId="452E36A9">
                  <w:pPr>
                    <w:jc w:val="center"/>
                    <w:rPr>
                      <w:szCs w:val="21"/>
                    </w:rPr>
                  </w:pPr>
                  <w:r>
                    <w:rPr>
                      <w:rFonts w:hint="eastAsia"/>
                      <w:szCs w:val="21"/>
                    </w:rPr>
                    <w:t>废润滑油、</w:t>
                  </w:r>
                  <w:r>
                    <w:rPr>
                      <w:szCs w:val="21"/>
                    </w:rPr>
                    <w:t>落地油</w:t>
                  </w:r>
                  <w:r>
                    <w:rPr>
                      <w:rFonts w:hint="eastAsia"/>
                      <w:szCs w:val="21"/>
                    </w:rPr>
                    <w:t>、</w:t>
                  </w:r>
                  <w:r>
                    <w:rPr>
                      <w:szCs w:val="21"/>
                    </w:rPr>
                    <w:t>废防渗材料</w:t>
                  </w:r>
                </w:p>
              </w:tc>
              <w:tc>
                <w:tcPr>
                  <w:tcW w:w="679" w:type="pct"/>
                  <w:tcMar>
                    <w:left w:w="0" w:type="dxa"/>
                    <w:right w:w="0" w:type="dxa"/>
                  </w:tcMar>
                  <w:vAlign w:val="center"/>
                </w:tcPr>
                <w:p w14:paraId="3BAAC9CC">
                  <w:pPr>
                    <w:jc w:val="center"/>
                    <w:rPr>
                      <w:szCs w:val="21"/>
                    </w:rPr>
                  </w:pPr>
                  <w:r>
                    <w:rPr>
                      <w:rFonts w:hint="eastAsia"/>
                      <w:szCs w:val="21"/>
                    </w:rPr>
                    <w:t>地下水及</w:t>
                  </w:r>
                  <w:r>
                    <w:rPr>
                      <w:szCs w:val="21"/>
                    </w:rPr>
                    <w:t>土壤环境</w:t>
                  </w:r>
                </w:p>
              </w:tc>
              <w:tc>
                <w:tcPr>
                  <w:tcW w:w="425" w:type="pct"/>
                  <w:tcMar>
                    <w:left w:w="0" w:type="dxa"/>
                    <w:right w:w="0" w:type="dxa"/>
                  </w:tcMar>
                  <w:vAlign w:val="center"/>
                </w:tcPr>
                <w:p w14:paraId="0B69085C">
                  <w:pPr>
                    <w:jc w:val="center"/>
                    <w:rPr>
                      <w:szCs w:val="21"/>
                    </w:rPr>
                  </w:pPr>
                  <w:r>
                    <w:rPr>
                      <w:szCs w:val="21"/>
                    </w:rPr>
                    <w:t>泄漏</w:t>
                  </w:r>
                </w:p>
              </w:tc>
              <w:tc>
                <w:tcPr>
                  <w:tcW w:w="310" w:type="pct"/>
                  <w:tcMar>
                    <w:left w:w="0" w:type="dxa"/>
                    <w:right w:w="0" w:type="dxa"/>
                  </w:tcMar>
                  <w:vAlign w:val="center"/>
                </w:tcPr>
                <w:p w14:paraId="3257979F">
                  <w:pPr>
                    <w:jc w:val="center"/>
                    <w:rPr>
                      <w:szCs w:val="21"/>
                    </w:rPr>
                  </w:pPr>
                  <w:r>
                    <w:rPr>
                      <w:szCs w:val="21"/>
                    </w:rPr>
                    <w:t>短期</w:t>
                  </w:r>
                </w:p>
              </w:tc>
              <w:tc>
                <w:tcPr>
                  <w:tcW w:w="691" w:type="pct"/>
                  <w:tcMar>
                    <w:left w:w="0" w:type="dxa"/>
                    <w:right w:w="0" w:type="dxa"/>
                  </w:tcMar>
                  <w:vAlign w:val="center"/>
                </w:tcPr>
                <w:p w14:paraId="7D5124F3">
                  <w:pPr>
                    <w:jc w:val="center"/>
                    <w:rPr>
                      <w:szCs w:val="21"/>
                    </w:rPr>
                  </w:pPr>
                  <w:r>
                    <w:rPr>
                      <w:szCs w:val="21"/>
                    </w:rPr>
                    <w:t>井场及周边受影响区域</w:t>
                  </w:r>
                </w:p>
              </w:tc>
              <w:tc>
                <w:tcPr>
                  <w:tcW w:w="347" w:type="pct"/>
                  <w:tcMar>
                    <w:left w:w="0" w:type="dxa"/>
                    <w:right w:w="0" w:type="dxa"/>
                  </w:tcMar>
                  <w:vAlign w:val="center"/>
                </w:tcPr>
                <w:p w14:paraId="4492D99B">
                  <w:pPr>
                    <w:tabs>
                      <w:tab w:val="left" w:pos="433"/>
                    </w:tabs>
                    <w:jc w:val="center"/>
                    <w:rPr>
                      <w:szCs w:val="21"/>
                    </w:rPr>
                  </w:pPr>
                  <w:r>
                    <w:rPr>
                      <w:szCs w:val="21"/>
                    </w:rPr>
                    <w:t>弱</w:t>
                  </w:r>
                </w:p>
              </w:tc>
            </w:tr>
            <w:tr w14:paraId="4B5935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vMerge w:val="continue"/>
                  <w:tcMar>
                    <w:left w:w="0" w:type="dxa"/>
                    <w:right w:w="0" w:type="dxa"/>
                  </w:tcMar>
                  <w:vAlign w:val="center"/>
                </w:tcPr>
                <w:p w14:paraId="6D3580D7">
                  <w:pPr>
                    <w:jc w:val="center"/>
                    <w:rPr>
                      <w:szCs w:val="21"/>
                    </w:rPr>
                  </w:pPr>
                </w:p>
              </w:tc>
              <w:tc>
                <w:tcPr>
                  <w:tcW w:w="292" w:type="pct"/>
                  <w:vMerge w:val="continue"/>
                  <w:tcMar>
                    <w:left w:w="0" w:type="dxa"/>
                    <w:right w:w="0" w:type="dxa"/>
                  </w:tcMar>
                  <w:vAlign w:val="center"/>
                </w:tcPr>
                <w:p w14:paraId="3CCAF503">
                  <w:pPr>
                    <w:jc w:val="center"/>
                    <w:rPr>
                      <w:szCs w:val="21"/>
                    </w:rPr>
                  </w:pPr>
                </w:p>
              </w:tc>
              <w:tc>
                <w:tcPr>
                  <w:tcW w:w="727" w:type="pct"/>
                  <w:tcMar>
                    <w:left w:w="0" w:type="dxa"/>
                    <w:right w:w="0" w:type="dxa"/>
                  </w:tcMar>
                  <w:vAlign w:val="center"/>
                </w:tcPr>
                <w:p w14:paraId="1333B11F">
                  <w:pPr>
                    <w:jc w:val="center"/>
                    <w:rPr>
                      <w:szCs w:val="21"/>
                    </w:rPr>
                  </w:pPr>
                  <w:r>
                    <w:rPr>
                      <w:rFonts w:hint="eastAsia"/>
                      <w:szCs w:val="21"/>
                    </w:rPr>
                    <w:t>职工生活</w:t>
                  </w:r>
                </w:p>
              </w:tc>
              <w:tc>
                <w:tcPr>
                  <w:tcW w:w="1189" w:type="pct"/>
                  <w:gridSpan w:val="2"/>
                  <w:tcMar>
                    <w:left w:w="0" w:type="dxa"/>
                    <w:right w:w="0" w:type="dxa"/>
                  </w:tcMar>
                  <w:vAlign w:val="center"/>
                </w:tcPr>
                <w:p w14:paraId="3E472E08">
                  <w:pPr>
                    <w:jc w:val="center"/>
                    <w:rPr>
                      <w:szCs w:val="21"/>
                    </w:rPr>
                  </w:pPr>
                  <w:r>
                    <w:rPr>
                      <w:rFonts w:hint="eastAsia"/>
                      <w:szCs w:val="21"/>
                    </w:rPr>
                    <w:t>生活</w:t>
                  </w:r>
                  <w:r>
                    <w:rPr>
                      <w:szCs w:val="21"/>
                    </w:rPr>
                    <w:t>垃圾</w:t>
                  </w:r>
                </w:p>
              </w:tc>
              <w:tc>
                <w:tcPr>
                  <w:tcW w:w="679" w:type="pct"/>
                  <w:tcMar>
                    <w:left w:w="0" w:type="dxa"/>
                    <w:right w:w="0" w:type="dxa"/>
                  </w:tcMar>
                  <w:vAlign w:val="center"/>
                </w:tcPr>
                <w:p w14:paraId="603805B8">
                  <w:pPr>
                    <w:jc w:val="center"/>
                    <w:rPr>
                      <w:szCs w:val="21"/>
                    </w:rPr>
                  </w:pPr>
                  <w:r>
                    <w:rPr>
                      <w:szCs w:val="21"/>
                    </w:rPr>
                    <w:t>--</w:t>
                  </w:r>
                </w:p>
              </w:tc>
              <w:tc>
                <w:tcPr>
                  <w:tcW w:w="425" w:type="pct"/>
                  <w:tcMar>
                    <w:left w:w="0" w:type="dxa"/>
                    <w:right w:w="0" w:type="dxa"/>
                  </w:tcMar>
                  <w:vAlign w:val="center"/>
                </w:tcPr>
                <w:p w14:paraId="4C40F17C">
                  <w:pPr>
                    <w:jc w:val="center"/>
                    <w:rPr>
                      <w:szCs w:val="21"/>
                    </w:rPr>
                  </w:pPr>
                  <w:r>
                    <w:rPr>
                      <w:szCs w:val="21"/>
                    </w:rPr>
                    <w:t>--</w:t>
                  </w:r>
                </w:p>
              </w:tc>
              <w:tc>
                <w:tcPr>
                  <w:tcW w:w="310" w:type="pct"/>
                  <w:tcMar>
                    <w:left w:w="0" w:type="dxa"/>
                    <w:right w:w="0" w:type="dxa"/>
                  </w:tcMar>
                  <w:vAlign w:val="center"/>
                </w:tcPr>
                <w:p w14:paraId="0ACA6C50">
                  <w:pPr>
                    <w:jc w:val="center"/>
                    <w:rPr>
                      <w:szCs w:val="21"/>
                    </w:rPr>
                  </w:pPr>
                  <w:r>
                    <w:rPr>
                      <w:szCs w:val="21"/>
                    </w:rPr>
                    <w:t>短期</w:t>
                  </w:r>
                </w:p>
              </w:tc>
              <w:tc>
                <w:tcPr>
                  <w:tcW w:w="691" w:type="pct"/>
                  <w:tcMar>
                    <w:left w:w="0" w:type="dxa"/>
                    <w:right w:w="0" w:type="dxa"/>
                  </w:tcMar>
                  <w:vAlign w:val="center"/>
                </w:tcPr>
                <w:p w14:paraId="04BB3501">
                  <w:pPr>
                    <w:jc w:val="center"/>
                    <w:rPr>
                      <w:szCs w:val="21"/>
                    </w:rPr>
                  </w:pPr>
                  <w:r>
                    <w:rPr>
                      <w:szCs w:val="21"/>
                    </w:rPr>
                    <w:t>--</w:t>
                  </w:r>
                </w:p>
              </w:tc>
              <w:tc>
                <w:tcPr>
                  <w:tcW w:w="347" w:type="pct"/>
                  <w:tcMar>
                    <w:left w:w="0" w:type="dxa"/>
                    <w:right w:w="0" w:type="dxa"/>
                  </w:tcMar>
                  <w:vAlign w:val="center"/>
                </w:tcPr>
                <w:p w14:paraId="14BAC10E">
                  <w:pPr>
                    <w:jc w:val="center"/>
                    <w:rPr>
                      <w:szCs w:val="21"/>
                    </w:rPr>
                  </w:pPr>
                  <w:r>
                    <w:rPr>
                      <w:szCs w:val="21"/>
                    </w:rPr>
                    <w:t>弱</w:t>
                  </w:r>
                </w:p>
              </w:tc>
            </w:tr>
            <w:tr w14:paraId="128033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39" w:type="pct"/>
                  <w:tcMar>
                    <w:left w:w="0" w:type="dxa"/>
                    <w:right w:w="0" w:type="dxa"/>
                  </w:tcMar>
                  <w:vAlign w:val="center"/>
                </w:tcPr>
                <w:p w14:paraId="6E94F388">
                  <w:pPr>
                    <w:jc w:val="center"/>
                    <w:rPr>
                      <w:szCs w:val="21"/>
                    </w:rPr>
                  </w:pPr>
                  <w:r>
                    <w:rPr>
                      <w:rFonts w:hint="eastAsia"/>
                      <w:szCs w:val="21"/>
                    </w:rPr>
                    <w:t>封井</w:t>
                  </w:r>
                  <w:r>
                    <w:rPr>
                      <w:szCs w:val="21"/>
                    </w:rPr>
                    <w:t>工程</w:t>
                  </w:r>
                </w:p>
              </w:tc>
              <w:tc>
                <w:tcPr>
                  <w:tcW w:w="292" w:type="pct"/>
                  <w:tcMar>
                    <w:left w:w="0" w:type="dxa"/>
                    <w:right w:w="0" w:type="dxa"/>
                  </w:tcMar>
                  <w:vAlign w:val="center"/>
                </w:tcPr>
                <w:p w14:paraId="49A8BEBB">
                  <w:pPr>
                    <w:jc w:val="center"/>
                    <w:rPr>
                      <w:szCs w:val="21"/>
                    </w:rPr>
                  </w:pPr>
                  <w:r>
                    <w:rPr>
                      <w:rFonts w:hint="eastAsia"/>
                      <w:szCs w:val="21"/>
                    </w:rPr>
                    <w:t>生态环境</w:t>
                  </w:r>
                </w:p>
              </w:tc>
              <w:tc>
                <w:tcPr>
                  <w:tcW w:w="727" w:type="pct"/>
                  <w:tcMar>
                    <w:left w:w="0" w:type="dxa"/>
                    <w:right w:w="0" w:type="dxa"/>
                  </w:tcMar>
                  <w:vAlign w:val="center"/>
                </w:tcPr>
                <w:p w14:paraId="45B2FD12">
                  <w:pPr>
                    <w:jc w:val="center"/>
                    <w:rPr>
                      <w:szCs w:val="21"/>
                    </w:rPr>
                  </w:pPr>
                  <w:r>
                    <w:rPr>
                      <w:rFonts w:hint="eastAsia"/>
                      <w:szCs w:val="21"/>
                    </w:rPr>
                    <w:t>临时或永久封井</w:t>
                  </w:r>
                </w:p>
              </w:tc>
              <w:tc>
                <w:tcPr>
                  <w:tcW w:w="1189" w:type="pct"/>
                  <w:gridSpan w:val="2"/>
                  <w:tcMar>
                    <w:left w:w="0" w:type="dxa"/>
                    <w:right w:w="0" w:type="dxa"/>
                  </w:tcMar>
                  <w:vAlign w:val="center"/>
                </w:tcPr>
                <w:p w14:paraId="243371C2">
                  <w:pPr>
                    <w:jc w:val="center"/>
                    <w:rPr>
                      <w:szCs w:val="21"/>
                    </w:rPr>
                  </w:pPr>
                  <w:r>
                    <w:rPr>
                      <w:rFonts w:hint="eastAsia"/>
                      <w:szCs w:val="21"/>
                    </w:rPr>
                    <w:t>地表扰动等</w:t>
                  </w:r>
                </w:p>
              </w:tc>
              <w:tc>
                <w:tcPr>
                  <w:tcW w:w="679" w:type="pct"/>
                  <w:tcMar>
                    <w:left w:w="0" w:type="dxa"/>
                    <w:right w:w="0" w:type="dxa"/>
                  </w:tcMar>
                  <w:vAlign w:val="center"/>
                </w:tcPr>
                <w:p w14:paraId="7F77C002">
                  <w:pPr>
                    <w:jc w:val="center"/>
                    <w:rPr>
                      <w:szCs w:val="21"/>
                    </w:rPr>
                  </w:pPr>
                  <w:r>
                    <w:rPr>
                      <w:rFonts w:hint="eastAsia"/>
                      <w:szCs w:val="21"/>
                    </w:rPr>
                    <w:t>生态</w:t>
                  </w:r>
                  <w:r>
                    <w:rPr>
                      <w:szCs w:val="21"/>
                    </w:rPr>
                    <w:t>环境</w:t>
                  </w:r>
                </w:p>
              </w:tc>
              <w:tc>
                <w:tcPr>
                  <w:tcW w:w="425" w:type="pct"/>
                  <w:tcMar>
                    <w:left w:w="0" w:type="dxa"/>
                    <w:right w:w="0" w:type="dxa"/>
                  </w:tcMar>
                  <w:vAlign w:val="center"/>
                </w:tcPr>
                <w:p w14:paraId="77203912">
                  <w:pPr>
                    <w:jc w:val="center"/>
                    <w:rPr>
                      <w:szCs w:val="21"/>
                    </w:rPr>
                  </w:pPr>
                  <w:r>
                    <w:rPr>
                      <w:szCs w:val="21"/>
                    </w:rPr>
                    <w:t>--</w:t>
                  </w:r>
                </w:p>
              </w:tc>
              <w:tc>
                <w:tcPr>
                  <w:tcW w:w="310" w:type="pct"/>
                  <w:tcMar>
                    <w:left w:w="0" w:type="dxa"/>
                    <w:right w:w="0" w:type="dxa"/>
                  </w:tcMar>
                  <w:vAlign w:val="center"/>
                </w:tcPr>
                <w:p w14:paraId="6D415683">
                  <w:pPr>
                    <w:jc w:val="center"/>
                    <w:rPr>
                      <w:szCs w:val="21"/>
                    </w:rPr>
                  </w:pPr>
                  <w:r>
                    <w:rPr>
                      <w:szCs w:val="21"/>
                    </w:rPr>
                    <w:t>短期可逆</w:t>
                  </w:r>
                </w:p>
              </w:tc>
              <w:tc>
                <w:tcPr>
                  <w:tcW w:w="691" w:type="pct"/>
                  <w:tcMar>
                    <w:left w:w="0" w:type="dxa"/>
                    <w:right w:w="0" w:type="dxa"/>
                  </w:tcMar>
                  <w:vAlign w:val="center"/>
                </w:tcPr>
                <w:p w14:paraId="0D1077E8">
                  <w:pPr>
                    <w:jc w:val="center"/>
                    <w:rPr>
                      <w:szCs w:val="21"/>
                    </w:rPr>
                  </w:pPr>
                  <w:r>
                    <w:rPr>
                      <w:szCs w:val="21"/>
                    </w:rPr>
                    <w:t>井场范围</w:t>
                  </w:r>
                </w:p>
              </w:tc>
              <w:tc>
                <w:tcPr>
                  <w:tcW w:w="347" w:type="pct"/>
                  <w:tcMar>
                    <w:left w:w="0" w:type="dxa"/>
                    <w:right w:w="0" w:type="dxa"/>
                  </w:tcMar>
                  <w:vAlign w:val="center"/>
                </w:tcPr>
                <w:p w14:paraId="3778B60C">
                  <w:pPr>
                    <w:jc w:val="center"/>
                    <w:rPr>
                      <w:szCs w:val="21"/>
                    </w:rPr>
                  </w:pPr>
                  <w:r>
                    <w:rPr>
                      <w:rFonts w:hint="eastAsia"/>
                      <w:szCs w:val="21"/>
                    </w:rPr>
                    <w:t>弱</w:t>
                  </w:r>
                </w:p>
              </w:tc>
            </w:tr>
          </w:tbl>
          <w:p w14:paraId="126D9ED8">
            <w:pPr>
              <w:spacing w:line="360" w:lineRule="auto"/>
              <w:ind w:firstLine="480"/>
              <w:rPr>
                <w:b/>
                <w:sz w:val="24"/>
              </w:rPr>
            </w:pPr>
            <w:r>
              <w:rPr>
                <w:rFonts w:hint="eastAsia"/>
                <w:b/>
                <w:sz w:val="24"/>
              </w:rPr>
              <w:t>一、施工期废气影响分析</w:t>
            </w:r>
          </w:p>
          <w:p w14:paraId="6C22D934">
            <w:pPr>
              <w:spacing w:line="360" w:lineRule="auto"/>
              <w:ind w:firstLine="480"/>
              <w:rPr>
                <w:sz w:val="24"/>
              </w:rPr>
            </w:pPr>
            <w:r>
              <w:rPr>
                <w:sz w:val="24"/>
              </w:rPr>
              <w:t>1、</w:t>
            </w:r>
            <w:r>
              <w:rPr>
                <w:rFonts w:hint="eastAsia"/>
                <w:sz w:val="24"/>
              </w:rPr>
              <w:t>扬尘</w:t>
            </w:r>
          </w:p>
          <w:p w14:paraId="40730D54">
            <w:pPr>
              <w:spacing w:line="360" w:lineRule="auto"/>
              <w:ind w:firstLine="480"/>
              <w:rPr>
                <w:sz w:val="24"/>
              </w:rPr>
            </w:pPr>
            <w:r>
              <w:rPr>
                <w:rFonts w:hint="eastAsia"/>
                <w:sz w:val="24"/>
              </w:rPr>
              <w:t>在钻前准备过程中，首先要对施工场地进行表土剥离和平整、运输和堆放钻井设备、原材料等。项目施工期的扬尘污染主要取决于施工作业方式、设备材料的堆放以及风力等因素，其中受风力因素影响最大，随着风速的增大，施工扬尘的污染程度和超标范围也将随之增大。车辆运输产生的扬尘量、粒径大小等与多种因素（如路面状况、车辆行驶速度、车辆载重量和天气情况等）相关。其中风速、风向直接影响扬尘的传输方向和距离。</w:t>
            </w:r>
            <w:r>
              <w:rPr>
                <w:sz w:val="24"/>
              </w:rPr>
              <w:t>这些扬尘粒径在3~80μm之间，比重在1.2~1.3。</w:t>
            </w:r>
            <w:r>
              <w:rPr>
                <w:rFonts w:hint="eastAsia"/>
                <w:sz w:val="24"/>
              </w:rPr>
              <w:t>从粒径分析，施工扬尘易于沉降，在当地平均风速较小的情况下，扬尘飞扬距离较小。</w:t>
            </w:r>
          </w:p>
          <w:p w14:paraId="2B4CDA0C">
            <w:pPr>
              <w:spacing w:line="360" w:lineRule="auto"/>
              <w:ind w:firstLine="480"/>
              <w:rPr>
                <w:sz w:val="24"/>
              </w:rPr>
            </w:pPr>
            <w:r>
              <w:rPr>
                <w:sz w:val="24"/>
              </w:rPr>
              <w:t>针对施工扬尘污染问题，勘探期间采取洒水</w:t>
            </w:r>
            <w:r>
              <w:rPr>
                <w:rFonts w:hint="eastAsia"/>
                <w:sz w:val="24"/>
              </w:rPr>
              <w:t>抑尘，</w:t>
            </w:r>
            <w:r>
              <w:rPr>
                <w:sz w:val="24"/>
              </w:rPr>
              <w:t>表土</w:t>
            </w:r>
            <w:r>
              <w:rPr>
                <w:rFonts w:hint="eastAsia"/>
                <w:sz w:val="24"/>
              </w:rPr>
              <w:t>堆存区、原材料堆存区等遮盖密目网</w:t>
            </w:r>
            <w:r>
              <w:rPr>
                <w:sz w:val="24"/>
              </w:rPr>
              <w:t>，以抑制无组织扬尘的产生。通过上述措施后污染物排放情况满足《大气污染物综合排放标准》（GB16297-1996）中</w:t>
            </w:r>
            <w:r>
              <w:rPr>
                <w:rFonts w:hint="eastAsia"/>
                <w:sz w:val="24"/>
              </w:rPr>
              <w:t>表2新污染源大气污染物排放限值中的颗粒物无组织排放监控浓度限值</w:t>
            </w:r>
            <w:r>
              <w:rPr>
                <w:sz w:val="24"/>
              </w:rPr>
              <w:t>。</w:t>
            </w:r>
          </w:p>
          <w:p w14:paraId="7D6F8A7C">
            <w:pPr>
              <w:spacing w:line="360" w:lineRule="auto"/>
              <w:ind w:firstLine="480"/>
              <w:rPr>
                <w:sz w:val="24"/>
              </w:rPr>
            </w:pPr>
            <w:r>
              <w:rPr>
                <w:sz w:val="24"/>
              </w:rPr>
              <w:t>2、</w:t>
            </w:r>
            <w:r>
              <w:rPr>
                <w:rFonts w:hint="eastAsia"/>
                <w:sz w:val="24"/>
              </w:rPr>
              <w:t>柴油发电机组尾气</w:t>
            </w:r>
          </w:p>
          <w:p w14:paraId="5DD6A60E">
            <w:pPr>
              <w:spacing w:line="360" w:lineRule="auto"/>
              <w:ind w:firstLine="480"/>
              <w:rPr>
                <w:sz w:val="24"/>
              </w:rPr>
            </w:pPr>
            <w:r>
              <w:rPr>
                <w:sz w:val="24"/>
              </w:rPr>
              <w:t>施工过程中由柴油发电机组提供动力</w:t>
            </w:r>
            <w:r>
              <w:rPr>
                <w:rFonts w:hint="eastAsia"/>
                <w:sz w:val="24"/>
              </w:rPr>
              <w:t>和电力</w:t>
            </w:r>
            <w:r>
              <w:rPr>
                <w:sz w:val="24"/>
              </w:rPr>
              <w:t>，柴油机使用符合国标的0#或-35#轻质柴油，产生燃烧废气，污染因子为SO</w:t>
            </w:r>
            <w:r>
              <w:rPr>
                <w:sz w:val="24"/>
                <w:vertAlign w:val="subscript"/>
              </w:rPr>
              <w:t>2</w:t>
            </w:r>
            <w:r>
              <w:rPr>
                <w:sz w:val="24"/>
              </w:rPr>
              <w:t>、NO</w:t>
            </w:r>
            <w:r>
              <w:rPr>
                <w:sz w:val="24"/>
                <w:vertAlign w:val="subscript"/>
              </w:rPr>
              <w:t>x</w:t>
            </w:r>
            <w:r>
              <w:rPr>
                <w:sz w:val="24"/>
              </w:rPr>
              <w:t>、烟尘（PM）等。</w:t>
            </w:r>
          </w:p>
          <w:p w14:paraId="0DC46022">
            <w:pPr>
              <w:spacing w:line="360" w:lineRule="auto"/>
              <w:ind w:firstLine="480"/>
              <w:rPr>
                <w:sz w:val="24"/>
              </w:rPr>
            </w:pPr>
            <w:r>
              <w:rPr>
                <w:sz w:val="24"/>
              </w:rPr>
              <w:t>依据华北油田生产统计资料，</w:t>
            </w:r>
            <w:r>
              <w:rPr>
                <w:rFonts w:hint="eastAsia"/>
                <w:sz w:val="24"/>
              </w:rPr>
              <w:t>正常</w:t>
            </w:r>
            <w:r>
              <w:rPr>
                <w:sz w:val="24"/>
              </w:rPr>
              <w:t>钻进时</w:t>
            </w:r>
            <w:r>
              <w:rPr>
                <w:rFonts w:hint="eastAsia"/>
                <w:sz w:val="24"/>
              </w:rPr>
              <w:t>，</w:t>
            </w:r>
            <w:r>
              <w:rPr>
                <w:sz w:val="24"/>
              </w:rPr>
              <w:t>平均每天消耗柴油量为</w:t>
            </w:r>
            <w:r>
              <w:rPr>
                <w:rFonts w:hint="eastAsia"/>
                <w:sz w:val="24"/>
              </w:rPr>
              <w:t>4</w:t>
            </w:r>
            <w:r>
              <w:rPr>
                <w:sz w:val="24"/>
              </w:rPr>
              <w:t>t/</w:t>
            </w:r>
            <w:r>
              <w:rPr>
                <w:rFonts w:hint="eastAsia"/>
                <w:sz w:val="24"/>
              </w:rPr>
              <w:t>d</w:t>
            </w:r>
            <w:r>
              <w:rPr>
                <w:sz w:val="24"/>
              </w:rPr>
              <w:t>，</w:t>
            </w:r>
            <w:r>
              <w:rPr>
                <w:rFonts w:hint="eastAsia"/>
                <w:sz w:val="24"/>
              </w:rPr>
              <w:t>柴油密度约0</w:t>
            </w:r>
            <w:r>
              <w:rPr>
                <w:sz w:val="24"/>
              </w:rPr>
              <w:t>.85</w:t>
            </w:r>
            <w:r>
              <w:rPr>
                <w:rFonts w:hint="eastAsia"/>
                <w:sz w:val="24"/>
              </w:rPr>
              <w:t>t</w:t>
            </w:r>
            <w:r>
              <w:rPr>
                <w:sz w:val="24"/>
              </w:rPr>
              <w:t>/</w:t>
            </w:r>
            <w:r>
              <w:rPr>
                <w:rFonts w:hint="eastAsia"/>
                <w:sz w:val="24"/>
              </w:rPr>
              <w:t>m</w:t>
            </w:r>
            <w:r>
              <w:rPr>
                <w:sz w:val="24"/>
                <w:vertAlign w:val="superscript"/>
              </w:rPr>
              <w:t>3</w:t>
            </w:r>
            <w:r>
              <w:rPr>
                <w:rFonts w:hint="eastAsia"/>
                <w:sz w:val="24"/>
              </w:rPr>
              <w:t>，项目勘探期180天，则</w:t>
            </w:r>
            <w:r>
              <w:rPr>
                <w:sz w:val="24"/>
              </w:rPr>
              <w:t>消耗柴油量为</w:t>
            </w:r>
            <w:r>
              <w:rPr>
                <w:rFonts w:hint="eastAsia"/>
                <w:sz w:val="24"/>
              </w:rPr>
              <w:t>720</w:t>
            </w:r>
            <w:r>
              <w:rPr>
                <w:sz w:val="24"/>
              </w:rPr>
              <w:t>t（</w:t>
            </w:r>
            <w:r>
              <w:rPr>
                <w:rFonts w:hint="eastAsia"/>
                <w:sz w:val="24"/>
              </w:rPr>
              <w:t>847.06</w:t>
            </w:r>
            <w:r>
              <w:rPr>
                <w:sz w:val="24"/>
              </w:rPr>
              <w:t>m</w:t>
            </w:r>
            <w:r>
              <w:rPr>
                <w:sz w:val="24"/>
                <w:vertAlign w:val="superscript"/>
              </w:rPr>
              <w:t>3</w:t>
            </w:r>
            <w:r>
              <w:rPr>
                <w:sz w:val="24"/>
              </w:rPr>
              <w:t>）</w:t>
            </w:r>
            <w:r>
              <w:rPr>
                <w:rFonts w:hint="eastAsia"/>
                <w:sz w:val="24"/>
              </w:rPr>
              <w:t>。</w:t>
            </w:r>
            <w:r>
              <w:rPr>
                <w:sz w:val="24"/>
              </w:rPr>
              <w:t>根据环评工程师注册培训教材《社会区域》给出的计算参数：发电机运行污染物排放系数为：SO</w:t>
            </w:r>
            <w:r>
              <w:rPr>
                <w:sz w:val="24"/>
                <w:vertAlign w:val="subscript"/>
              </w:rPr>
              <w:t>2</w:t>
            </w:r>
            <w:r>
              <w:rPr>
                <w:rFonts w:hint="eastAsia"/>
                <w:sz w:val="24"/>
                <w:vertAlign w:val="subscript"/>
              </w:rPr>
              <w:t xml:space="preserve"> </w:t>
            </w:r>
            <w:r>
              <w:rPr>
                <w:sz w:val="24"/>
              </w:rPr>
              <w:t>4g/L，NO</w:t>
            </w:r>
            <w:r>
              <w:rPr>
                <w:sz w:val="24"/>
                <w:vertAlign w:val="subscript"/>
              </w:rPr>
              <w:t>X</w:t>
            </w:r>
            <w:r>
              <w:rPr>
                <w:sz w:val="24"/>
              </w:rPr>
              <w:t xml:space="preserve"> 2.56g/L，烟尘</w:t>
            </w:r>
            <w:r>
              <w:rPr>
                <w:rFonts w:hint="eastAsia"/>
                <w:sz w:val="24"/>
              </w:rPr>
              <w:t xml:space="preserve"> </w:t>
            </w:r>
            <w:r>
              <w:rPr>
                <w:sz w:val="24"/>
              </w:rPr>
              <w:t>0.714g/L。烟气量可按20m</w:t>
            </w:r>
            <w:r>
              <w:rPr>
                <w:sz w:val="24"/>
                <w:vertAlign w:val="superscript"/>
              </w:rPr>
              <w:t>3</w:t>
            </w:r>
            <w:r>
              <w:rPr>
                <w:sz w:val="24"/>
              </w:rPr>
              <w:t>/kg计。排气筒高度5m，根据原环保部部长信箱中《关于GB16297-1996</w:t>
            </w:r>
            <w:r>
              <w:rPr>
                <w:rFonts w:hint="eastAsia"/>
                <w:sz w:val="24"/>
              </w:rPr>
              <w:t>〈</w:t>
            </w:r>
            <w:r>
              <w:rPr>
                <w:sz w:val="24"/>
              </w:rPr>
              <w:t>大气污染物综合排放标准</w:t>
            </w:r>
            <w:r>
              <w:rPr>
                <w:rFonts w:hint="eastAsia"/>
                <w:sz w:val="24"/>
              </w:rPr>
              <w:t>〉</w:t>
            </w:r>
            <w:r>
              <w:rPr>
                <w:sz w:val="24"/>
              </w:rPr>
              <w:t>的适用范围的回复》，对于固定式柴油发电机污染物排放浓度按照《大气污染物综合排放标准》（GB16297-1996）中的最高允许排放浓度指标进行控制，对排气筒高度和排放速率暂不作要求。则主要污染物排放情况见下表。</w:t>
            </w:r>
          </w:p>
          <w:p w14:paraId="4A5D505F">
            <w:pPr>
              <w:spacing w:line="320" w:lineRule="exact"/>
              <w:jc w:val="center"/>
              <w:rPr>
                <w:b/>
                <w:sz w:val="24"/>
              </w:rPr>
            </w:pPr>
            <w:r>
              <w:rPr>
                <w:b/>
                <w:sz w:val="24"/>
              </w:rPr>
              <w:t>表</w:t>
            </w:r>
            <w:r>
              <w:rPr>
                <w:rFonts w:hint="eastAsia"/>
                <w:b/>
                <w:sz w:val="24"/>
              </w:rPr>
              <w:t>4</w:t>
            </w:r>
            <w:r>
              <w:rPr>
                <w:b/>
                <w:sz w:val="24"/>
              </w:rPr>
              <w:t>-</w:t>
            </w:r>
            <w:r>
              <w:rPr>
                <w:rFonts w:hint="eastAsia"/>
                <w:b/>
                <w:sz w:val="24"/>
              </w:rPr>
              <w:t>2</w:t>
            </w:r>
            <w:r>
              <w:rPr>
                <w:b/>
                <w:sz w:val="24"/>
              </w:rPr>
              <w:t xml:space="preserve"> 燃油废气污染物排放情况</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593"/>
              <w:gridCol w:w="1047"/>
              <w:gridCol w:w="1741"/>
              <w:gridCol w:w="1442"/>
              <w:gridCol w:w="2372"/>
            </w:tblGrid>
            <w:tr w14:paraId="532FF20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2" w:type="pct"/>
                  <w:vAlign w:val="center"/>
                </w:tcPr>
                <w:p w14:paraId="722C2FA3">
                  <w:pPr>
                    <w:jc w:val="center"/>
                    <w:rPr>
                      <w:szCs w:val="21"/>
                    </w:rPr>
                  </w:pPr>
                  <w:r>
                    <w:rPr>
                      <w:rFonts w:hint="eastAsia"/>
                      <w:szCs w:val="21"/>
                    </w:rPr>
                    <w:t>污染源</w:t>
                  </w:r>
                </w:p>
              </w:tc>
              <w:tc>
                <w:tcPr>
                  <w:tcW w:w="639" w:type="pct"/>
                  <w:vAlign w:val="center"/>
                </w:tcPr>
                <w:p w14:paraId="2AD203C0">
                  <w:pPr>
                    <w:jc w:val="center"/>
                    <w:rPr>
                      <w:szCs w:val="21"/>
                    </w:rPr>
                  </w:pPr>
                  <w:r>
                    <w:rPr>
                      <w:szCs w:val="21"/>
                    </w:rPr>
                    <w:t>油耗kg/h</w:t>
                  </w:r>
                </w:p>
              </w:tc>
              <w:tc>
                <w:tcPr>
                  <w:tcW w:w="1062" w:type="pct"/>
                  <w:vAlign w:val="center"/>
                </w:tcPr>
                <w:p w14:paraId="41E9A50E">
                  <w:pPr>
                    <w:jc w:val="center"/>
                    <w:rPr>
                      <w:szCs w:val="21"/>
                    </w:rPr>
                  </w:pPr>
                  <w:r>
                    <w:rPr>
                      <w:szCs w:val="21"/>
                    </w:rPr>
                    <w:t>烟气量m</w:t>
                  </w:r>
                  <w:r>
                    <w:rPr>
                      <w:szCs w:val="21"/>
                      <w:vertAlign w:val="superscript"/>
                    </w:rPr>
                    <w:t>3</w:t>
                  </w:r>
                  <w:r>
                    <w:rPr>
                      <w:szCs w:val="21"/>
                    </w:rPr>
                    <w:t>/h</w:t>
                  </w:r>
                </w:p>
              </w:tc>
              <w:tc>
                <w:tcPr>
                  <w:tcW w:w="880" w:type="pct"/>
                  <w:vAlign w:val="center"/>
                </w:tcPr>
                <w:p w14:paraId="4BC3E0EA">
                  <w:pPr>
                    <w:jc w:val="center"/>
                    <w:rPr>
                      <w:szCs w:val="21"/>
                    </w:rPr>
                  </w:pPr>
                  <w:r>
                    <w:rPr>
                      <w:szCs w:val="21"/>
                    </w:rPr>
                    <w:t>污染物名称</w:t>
                  </w:r>
                </w:p>
              </w:tc>
              <w:tc>
                <w:tcPr>
                  <w:tcW w:w="1447" w:type="pct"/>
                  <w:vAlign w:val="center"/>
                </w:tcPr>
                <w:p w14:paraId="65CFF4BD">
                  <w:pPr>
                    <w:jc w:val="center"/>
                    <w:rPr>
                      <w:szCs w:val="21"/>
                    </w:rPr>
                  </w:pPr>
                  <w:r>
                    <w:rPr>
                      <w:szCs w:val="21"/>
                    </w:rPr>
                    <w:t>排放浓度mg/m</w:t>
                  </w:r>
                  <w:r>
                    <w:rPr>
                      <w:szCs w:val="21"/>
                      <w:vertAlign w:val="superscript"/>
                    </w:rPr>
                    <w:t>3</w:t>
                  </w:r>
                </w:p>
              </w:tc>
            </w:tr>
            <w:tr w14:paraId="57F985C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2" w:type="pct"/>
                  <w:vMerge w:val="restart"/>
                  <w:vAlign w:val="center"/>
                </w:tcPr>
                <w:p w14:paraId="0352BB1A">
                  <w:pPr>
                    <w:jc w:val="center"/>
                    <w:rPr>
                      <w:szCs w:val="21"/>
                    </w:rPr>
                  </w:pPr>
                  <w:r>
                    <w:rPr>
                      <w:szCs w:val="21"/>
                    </w:rPr>
                    <w:t>柴油发电机组</w:t>
                  </w:r>
                </w:p>
              </w:tc>
              <w:tc>
                <w:tcPr>
                  <w:tcW w:w="639" w:type="pct"/>
                  <w:vMerge w:val="restart"/>
                  <w:vAlign w:val="center"/>
                </w:tcPr>
                <w:p w14:paraId="46CF1B21">
                  <w:pPr>
                    <w:jc w:val="center"/>
                    <w:rPr>
                      <w:szCs w:val="21"/>
                    </w:rPr>
                  </w:pPr>
                  <w:r>
                    <w:rPr>
                      <w:rFonts w:hint="eastAsia"/>
                      <w:szCs w:val="21"/>
                    </w:rPr>
                    <w:t>166.67</w:t>
                  </w:r>
                </w:p>
              </w:tc>
              <w:tc>
                <w:tcPr>
                  <w:tcW w:w="1062" w:type="pct"/>
                  <w:vMerge w:val="restart"/>
                  <w:vAlign w:val="center"/>
                </w:tcPr>
                <w:p w14:paraId="7D5A1D51">
                  <w:pPr>
                    <w:jc w:val="center"/>
                    <w:rPr>
                      <w:szCs w:val="21"/>
                    </w:rPr>
                  </w:pPr>
                  <w:r>
                    <w:rPr>
                      <w:rFonts w:hint="eastAsia"/>
                      <w:szCs w:val="21"/>
                    </w:rPr>
                    <w:t>3333.33</w:t>
                  </w:r>
                </w:p>
              </w:tc>
              <w:tc>
                <w:tcPr>
                  <w:tcW w:w="880" w:type="pct"/>
                  <w:vAlign w:val="center"/>
                </w:tcPr>
                <w:p w14:paraId="642AD9FE">
                  <w:pPr>
                    <w:jc w:val="center"/>
                    <w:rPr>
                      <w:szCs w:val="21"/>
                    </w:rPr>
                  </w:pPr>
                  <w:r>
                    <w:rPr>
                      <w:szCs w:val="21"/>
                    </w:rPr>
                    <w:t>SO</w:t>
                  </w:r>
                  <w:r>
                    <w:rPr>
                      <w:szCs w:val="21"/>
                      <w:vertAlign w:val="subscript"/>
                    </w:rPr>
                    <w:t>2</w:t>
                  </w:r>
                </w:p>
              </w:tc>
              <w:tc>
                <w:tcPr>
                  <w:tcW w:w="1447" w:type="pct"/>
                  <w:vAlign w:val="center"/>
                </w:tcPr>
                <w:p w14:paraId="23BECE0A">
                  <w:pPr>
                    <w:jc w:val="center"/>
                    <w:rPr>
                      <w:szCs w:val="21"/>
                    </w:rPr>
                  </w:pPr>
                  <w:r>
                    <w:rPr>
                      <w:szCs w:val="21"/>
                    </w:rPr>
                    <w:t>23</w:t>
                  </w:r>
                  <w:r>
                    <w:rPr>
                      <w:rFonts w:hint="eastAsia"/>
                      <w:szCs w:val="21"/>
                    </w:rPr>
                    <w:t>5</w:t>
                  </w:r>
                </w:p>
              </w:tc>
            </w:tr>
            <w:tr w14:paraId="1D29E1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2" w:type="pct"/>
                  <w:vMerge w:val="continue"/>
                  <w:vAlign w:val="center"/>
                </w:tcPr>
                <w:p w14:paraId="4749E92A">
                  <w:pPr>
                    <w:jc w:val="center"/>
                    <w:rPr>
                      <w:szCs w:val="21"/>
                    </w:rPr>
                  </w:pPr>
                </w:p>
              </w:tc>
              <w:tc>
                <w:tcPr>
                  <w:tcW w:w="639" w:type="pct"/>
                  <w:vMerge w:val="continue"/>
                  <w:vAlign w:val="center"/>
                </w:tcPr>
                <w:p w14:paraId="200F5D06">
                  <w:pPr>
                    <w:jc w:val="center"/>
                    <w:rPr>
                      <w:szCs w:val="21"/>
                    </w:rPr>
                  </w:pPr>
                </w:p>
              </w:tc>
              <w:tc>
                <w:tcPr>
                  <w:tcW w:w="1062" w:type="pct"/>
                  <w:vMerge w:val="continue"/>
                  <w:vAlign w:val="center"/>
                </w:tcPr>
                <w:p w14:paraId="5D90CA7C">
                  <w:pPr>
                    <w:jc w:val="center"/>
                    <w:rPr>
                      <w:szCs w:val="21"/>
                    </w:rPr>
                  </w:pPr>
                </w:p>
              </w:tc>
              <w:tc>
                <w:tcPr>
                  <w:tcW w:w="880" w:type="pct"/>
                  <w:vAlign w:val="center"/>
                </w:tcPr>
                <w:p w14:paraId="5AB0AEA6">
                  <w:pPr>
                    <w:jc w:val="center"/>
                    <w:rPr>
                      <w:szCs w:val="21"/>
                    </w:rPr>
                  </w:pPr>
                  <w:r>
                    <w:rPr>
                      <w:rFonts w:hint="eastAsia"/>
                      <w:szCs w:val="21"/>
                    </w:rPr>
                    <w:t>N</w:t>
                  </w:r>
                  <w:r>
                    <w:rPr>
                      <w:szCs w:val="21"/>
                    </w:rPr>
                    <w:t>Ox</w:t>
                  </w:r>
                </w:p>
              </w:tc>
              <w:tc>
                <w:tcPr>
                  <w:tcW w:w="1447" w:type="pct"/>
                  <w:vAlign w:val="center"/>
                </w:tcPr>
                <w:p w14:paraId="2586C6E2">
                  <w:pPr>
                    <w:jc w:val="center"/>
                    <w:rPr>
                      <w:szCs w:val="21"/>
                    </w:rPr>
                  </w:pPr>
                  <w:r>
                    <w:rPr>
                      <w:szCs w:val="21"/>
                    </w:rPr>
                    <w:t>15</w:t>
                  </w:r>
                  <w:r>
                    <w:rPr>
                      <w:rFonts w:hint="eastAsia"/>
                      <w:szCs w:val="21"/>
                    </w:rPr>
                    <w:t>1</w:t>
                  </w:r>
                </w:p>
              </w:tc>
            </w:tr>
            <w:tr w14:paraId="5FB0E68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2" w:type="pct"/>
                  <w:vMerge w:val="continue"/>
                  <w:vAlign w:val="center"/>
                </w:tcPr>
                <w:p w14:paraId="54CF1C7D">
                  <w:pPr>
                    <w:jc w:val="center"/>
                    <w:rPr>
                      <w:szCs w:val="21"/>
                    </w:rPr>
                  </w:pPr>
                </w:p>
              </w:tc>
              <w:tc>
                <w:tcPr>
                  <w:tcW w:w="639" w:type="pct"/>
                  <w:vMerge w:val="continue"/>
                  <w:vAlign w:val="center"/>
                </w:tcPr>
                <w:p w14:paraId="29EDFD08">
                  <w:pPr>
                    <w:jc w:val="center"/>
                    <w:rPr>
                      <w:szCs w:val="21"/>
                    </w:rPr>
                  </w:pPr>
                </w:p>
              </w:tc>
              <w:tc>
                <w:tcPr>
                  <w:tcW w:w="1062" w:type="pct"/>
                  <w:vMerge w:val="continue"/>
                  <w:vAlign w:val="center"/>
                </w:tcPr>
                <w:p w14:paraId="062CAF71">
                  <w:pPr>
                    <w:jc w:val="center"/>
                    <w:rPr>
                      <w:szCs w:val="21"/>
                    </w:rPr>
                  </w:pPr>
                </w:p>
              </w:tc>
              <w:tc>
                <w:tcPr>
                  <w:tcW w:w="880" w:type="pct"/>
                  <w:vAlign w:val="center"/>
                </w:tcPr>
                <w:p w14:paraId="3A0589D4">
                  <w:pPr>
                    <w:jc w:val="center"/>
                    <w:rPr>
                      <w:szCs w:val="21"/>
                    </w:rPr>
                  </w:pPr>
                  <w:r>
                    <w:rPr>
                      <w:szCs w:val="21"/>
                    </w:rPr>
                    <w:t>烟尘</w:t>
                  </w:r>
                </w:p>
              </w:tc>
              <w:tc>
                <w:tcPr>
                  <w:tcW w:w="1447" w:type="pct"/>
                  <w:vAlign w:val="center"/>
                </w:tcPr>
                <w:p w14:paraId="6772B6AE">
                  <w:pPr>
                    <w:jc w:val="center"/>
                    <w:rPr>
                      <w:szCs w:val="21"/>
                    </w:rPr>
                  </w:pPr>
                  <w:r>
                    <w:rPr>
                      <w:szCs w:val="21"/>
                    </w:rPr>
                    <w:t>4</w:t>
                  </w:r>
                  <w:r>
                    <w:rPr>
                      <w:rFonts w:hint="eastAsia"/>
                      <w:szCs w:val="21"/>
                    </w:rPr>
                    <w:t>2</w:t>
                  </w:r>
                </w:p>
              </w:tc>
            </w:tr>
          </w:tbl>
          <w:p w14:paraId="2711FBFD">
            <w:pPr>
              <w:widowControl/>
              <w:adjustRightInd w:val="0"/>
              <w:snapToGrid w:val="0"/>
              <w:spacing w:line="360" w:lineRule="auto"/>
              <w:ind w:firstLine="480" w:firstLineChars="200"/>
              <w:rPr>
                <w:sz w:val="24"/>
              </w:rPr>
            </w:pPr>
            <w:r>
              <w:rPr>
                <w:sz w:val="24"/>
              </w:rPr>
              <w:t>项目勘探期污染物总排放量SO</w:t>
            </w:r>
            <w:r>
              <w:rPr>
                <w:sz w:val="24"/>
                <w:vertAlign w:val="subscript"/>
              </w:rPr>
              <w:t>2</w:t>
            </w:r>
            <w:r>
              <w:rPr>
                <w:sz w:val="24"/>
              </w:rPr>
              <w:t>为</w:t>
            </w:r>
            <w:r>
              <w:rPr>
                <w:rFonts w:hint="eastAsia"/>
                <w:sz w:val="24"/>
              </w:rPr>
              <w:t>3.388</w:t>
            </w:r>
            <w:r>
              <w:rPr>
                <w:sz w:val="24"/>
              </w:rPr>
              <w:t>t/勘探期、NOx为</w:t>
            </w:r>
            <w:r>
              <w:rPr>
                <w:rFonts w:hint="eastAsia"/>
                <w:sz w:val="24"/>
              </w:rPr>
              <w:t>2.168</w:t>
            </w:r>
            <w:r>
              <w:rPr>
                <w:sz w:val="24"/>
              </w:rPr>
              <w:t>t/勘探期、颗粒物（烟尘）为</w:t>
            </w:r>
            <w:r>
              <w:rPr>
                <w:rFonts w:hint="eastAsia"/>
                <w:sz w:val="24"/>
              </w:rPr>
              <w:t>0.605</w:t>
            </w:r>
            <w:r>
              <w:rPr>
                <w:sz w:val="24"/>
              </w:rPr>
              <w:t>t/勘探期</w:t>
            </w:r>
            <w:r>
              <w:rPr>
                <w:rFonts w:hint="eastAsia"/>
                <w:sz w:val="24"/>
              </w:rPr>
              <w:t>，</w:t>
            </w:r>
            <w:r>
              <w:rPr>
                <w:sz w:val="24"/>
              </w:rPr>
              <w:t>排放浓度SO</w:t>
            </w:r>
            <w:r>
              <w:rPr>
                <w:sz w:val="24"/>
                <w:vertAlign w:val="subscript"/>
              </w:rPr>
              <w:t>2</w:t>
            </w:r>
            <w:r>
              <w:rPr>
                <w:sz w:val="24"/>
              </w:rPr>
              <w:t>为235mg/m</w:t>
            </w:r>
            <w:r>
              <w:rPr>
                <w:sz w:val="24"/>
                <w:vertAlign w:val="superscript"/>
              </w:rPr>
              <w:t>3</w:t>
            </w:r>
            <w:r>
              <w:rPr>
                <w:sz w:val="24"/>
              </w:rPr>
              <w:t>、NOx为15</w:t>
            </w:r>
            <w:r>
              <w:rPr>
                <w:rFonts w:hint="eastAsia"/>
                <w:sz w:val="24"/>
              </w:rPr>
              <w:t>1</w:t>
            </w:r>
            <w:r>
              <w:rPr>
                <w:sz w:val="24"/>
              </w:rPr>
              <w:t>mg/m</w:t>
            </w:r>
            <w:r>
              <w:rPr>
                <w:sz w:val="24"/>
                <w:vertAlign w:val="superscript"/>
              </w:rPr>
              <w:t>3</w:t>
            </w:r>
            <w:r>
              <w:rPr>
                <w:sz w:val="24"/>
              </w:rPr>
              <w:t>、颗粒物（烟尘）为42mg/m</w:t>
            </w:r>
            <w:r>
              <w:rPr>
                <w:sz w:val="24"/>
                <w:vertAlign w:val="superscript"/>
              </w:rPr>
              <w:t>3</w:t>
            </w:r>
            <w:r>
              <w:rPr>
                <w:sz w:val="24"/>
              </w:rPr>
              <w:t>。污染物排放情况满足《大气污染物综合排放标准》（GB16297-1996）中表2最高允许排放浓度指标要求。</w:t>
            </w:r>
          </w:p>
          <w:p w14:paraId="10F8F955">
            <w:pPr>
              <w:spacing w:line="360" w:lineRule="auto"/>
              <w:ind w:firstLine="480"/>
              <w:rPr>
                <w:sz w:val="24"/>
              </w:rPr>
            </w:pPr>
            <w:r>
              <w:rPr>
                <w:sz w:val="24"/>
              </w:rPr>
              <w:t>3、柴油罐挥发废气</w:t>
            </w:r>
          </w:p>
          <w:p w14:paraId="27CE5E15">
            <w:pPr>
              <w:spacing w:line="360" w:lineRule="auto"/>
              <w:ind w:firstLine="480"/>
              <w:rPr>
                <w:sz w:val="24"/>
              </w:rPr>
            </w:pPr>
            <w:r>
              <w:rPr>
                <w:sz w:val="24"/>
              </w:rPr>
              <w:t>项目设40m</w:t>
            </w:r>
            <w:r>
              <w:rPr>
                <w:sz w:val="24"/>
                <w:vertAlign w:val="superscript"/>
              </w:rPr>
              <w:t>3</w:t>
            </w:r>
            <w:r>
              <w:rPr>
                <w:sz w:val="24"/>
              </w:rPr>
              <w:t>卧式固定柴油罐，柴油最大存储量为</w:t>
            </w:r>
            <w:r>
              <w:rPr>
                <w:rFonts w:hint="eastAsia"/>
                <w:sz w:val="24"/>
              </w:rPr>
              <w:t>30.6</w:t>
            </w:r>
            <w:r>
              <w:rPr>
                <w:sz w:val="24"/>
              </w:rPr>
              <w:t>t</w:t>
            </w:r>
            <w:r>
              <w:rPr>
                <w:rFonts w:hint="eastAsia"/>
                <w:sz w:val="24"/>
              </w:rPr>
              <w:t>，用量720t（周转次数约24次）</w:t>
            </w:r>
            <w:r>
              <w:rPr>
                <w:sz w:val="24"/>
              </w:rPr>
              <w:t>。根据《散装液态石油产品损耗标准》（GB11085-89），卸油过程中柴油会产生0.05%的油气（非甲烷总烃），储存过程中柴油会产生0.01%的油气（非甲烷总烃），则卸油过程中非甲烷总烃产生量为0.</w:t>
            </w:r>
            <w:r>
              <w:rPr>
                <w:rFonts w:hint="eastAsia"/>
                <w:sz w:val="24"/>
              </w:rPr>
              <w:t>36</w:t>
            </w:r>
            <w:r>
              <w:rPr>
                <w:sz w:val="24"/>
              </w:rPr>
              <w:t>t/勘探周期，储存过程中非甲烷总烃产生量为0.</w:t>
            </w:r>
            <w:r>
              <w:rPr>
                <w:rFonts w:hint="eastAsia"/>
                <w:sz w:val="24"/>
              </w:rPr>
              <w:t>072</w:t>
            </w:r>
            <w:r>
              <w:rPr>
                <w:sz w:val="24"/>
              </w:rPr>
              <w:t>t/勘探期，则非甲烷总烃产生量为0.</w:t>
            </w:r>
            <w:r>
              <w:rPr>
                <w:rFonts w:hint="eastAsia"/>
                <w:sz w:val="24"/>
              </w:rPr>
              <w:t>432</w:t>
            </w:r>
            <w:r>
              <w:rPr>
                <w:sz w:val="24"/>
              </w:rPr>
              <w:t>t/勘探期，产生速率约0.</w:t>
            </w:r>
            <w:r>
              <w:rPr>
                <w:rFonts w:hint="eastAsia"/>
                <w:sz w:val="24"/>
              </w:rPr>
              <w:t>1</w:t>
            </w:r>
            <w:r>
              <w:rPr>
                <w:sz w:val="24"/>
              </w:rPr>
              <w:t>kg/h。</w:t>
            </w:r>
          </w:p>
          <w:p w14:paraId="687508B0">
            <w:pPr>
              <w:spacing w:line="360" w:lineRule="auto"/>
              <w:ind w:firstLine="480"/>
              <w:rPr>
                <w:sz w:val="24"/>
              </w:rPr>
            </w:pPr>
            <w:r>
              <w:rPr>
                <w:sz w:val="24"/>
              </w:rPr>
              <w:t>依据《环境影响评价技术导则大气环境》</w:t>
            </w:r>
            <w:r>
              <w:rPr>
                <w:rFonts w:hint="eastAsia"/>
                <w:sz w:val="24"/>
              </w:rPr>
              <w:t>（</w:t>
            </w:r>
            <w:r>
              <w:rPr>
                <w:sz w:val="24"/>
              </w:rPr>
              <w:t>HJ2.2</w:t>
            </w:r>
            <w:r>
              <w:rPr>
                <w:rFonts w:hint="eastAsia"/>
                <w:sz w:val="24"/>
              </w:rPr>
              <w:t>-</w:t>
            </w:r>
            <w:r>
              <w:rPr>
                <w:sz w:val="24"/>
              </w:rPr>
              <w:t>2018</w:t>
            </w:r>
            <w:r>
              <w:rPr>
                <w:rFonts w:hint="eastAsia"/>
                <w:sz w:val="24"/>
              </w:rPr>
              <w:t>）</w:t>
            </w:r>
            <w:r>
              <w:rPr>
                <w:sz w:val="24"/>
              </w:rPr>
              <w:t>中相关要求，结合项目工程分析结果，选择正常排放的主要污染物及排放参数，采用附录A推荐模型中的AERSCREEN估算模式计算项目污染源的最大环境影响，估算结果可知，柴油罐区无组织排放非甲烷总烃最大</w:t>
            </w:r>
            <w:r>
              <w:rPr>
                <w:rFonts w:hint="eastAsia"/>
                <w:sz w:val="24"/>
              </w:rPr>
              <w:t>落地</w:t>
            </w:r>
            <w:r>
              <w:rPr>
                <w:sz w:val="24"/>
              </w:rPr>
              <w:t>浓度为</w:t>
            </w:r>
            <w:r>
              <w:rPr>
                <w:rFonts w:hint="eastAsia"/>
                <w:sz w:val="24"/>
              </w:rPr>
              <w:t>1.68m</w:t>
            </w:r>
            <w:r>
              <w:rPr>
                <w:sz w:val="24"/>
              </w:rPr>
              <w:t>g/m</w:t>
            </w:r>
            <w:r>
              <w:rPr>
                <w:sz w:val="24"/>
                <w:vertAlign w:val="superscript"/>
              </w:rPr>
              <w:t>3</w:t>
            </w:r>
            <w:r>
              <w:rPr>
                <w:sz w:val="24"/>
              </w:rPr>
              <w:t>；因此项目无组织排放废气对周围大气环境影响很小。</w:t>
            </w:r>
          </w:p>
          <w:p w14:paraId="5AE279FC">
            <w:pPr>
              <w:spacing w:line="360" w:lineRule="auto"/>
              <w:ind w:firstLine="480"/>
              <w:rPr>
                <w:sz w:val="24"/>
              </w:rPr>
            </w:pPr>
            <w:r>
              <w:rPr>
                <w:sz w:val="24"/>
              </w:rPr>
              <w:t>由于项目勘探期短，且周边扩散条件较好，因此，柴油罐</w:t>
            </w:r>
            <w:r>
              <w:rPr>
                <w:rFonts w:hint="eastAsia"/>
                <w:sz w:val="24"/>
              </w:rPr>
              <w:t>挥发</w:t>
            </w:r>
            <w:r>
              <w:rPr>
                <w:sz w:val="24"/>
              </w:rPr>
              <w:t>废气对周围环境的影响时间短</w:t>
            </w:r>
            <w:r>
              <w:rPr>
                <w:rFonts w:hint="eastAsia"/>
                <w:sz w:val="24"/>
              </w:rPr>
              <w:t>且</w:t>
            </w:r>
            <w:r>
              <w:rPr>
                <w:sz w:val="24"/>
              </w:rPr>
              <w:t>影响范围小</w:t>
            </w:r>
            <w:r>
              <w:rPr>
                <w:rFonts w:hint="eastAsia"/>
                <w:sz w:val="24"/>
              </w:rPr>
              <w:t>。</w:t>
            </w:r>
          </w:p>
          <w:p w14:paraId="21C3C640">
            <w:pPr>
              <w:spacing w:line="360" w:lineRule="auto"/>
              <w:ind w:firstLine="480"/>
              <w:rPr>
                <w:rFonts w:ascii="宋体" w:hAnsi="宋体"/>
                <w:sz w:val="24"/>
              </w:rPr>
            </w:pPr>
            <w:r>
              <w:rPr>
                <w:rFonts w:hint="eastAsia"/>
                <w:sz w:val="24"/>
              </w:rPr>
              <w:t>4</w:t>
            </w:r>
            <w:r>
              <w:rPr>
                <w:sz w:val="24"/>
              </w:rPr>
              <w:t>、</w:t>
            </w:r>
            <w:r>
              <w:rPr>
                <w:rFonts w:hint="eastAsia" w:ascii="宋体" w:hAnsi="宋体"/>
                <w:sz w:val="24"/>
              </w:rPr>
              <w:t>储液罐</w:t>
            </w:r>
            <w:r>
              <w:rPr>
                <w:rFonts w:ascii="宋体" w:hAnsi="宋体"/>
                <w:sz w:val="24"/>
              </w:rPr>
              <w:t>挥发废气</w:t>
            </w:r>
          </w:p>
          <w:p w14:paraId="3861FD76">
            <w:pPr>
              <w:widowControl/>
              <w:adjustRightInd w:val="0"/>
              <w:snapToGrid w:val="0"/>
              <w:spacing w:line="360" w:lineRule="auto"/>
              <w:ind w:firstLine="480" w:firstLineChars="200"/>
              <w:jc w:val="left"/>
              <w:rPr>
                <w:kern w:val="0"/>
                <w:sz w:val="24"/>
              </w:rPr>
            </w:pPr>
            <w:r>
              <w:rPr>
                <w:rFonts w:hint="eastAsia"/>
                <w:sz w:val="24"/>
              </w:rPr>
              <w:t>项目</w:t>
            </w:r>
            <w:r>
              <w:rPr>
                <w:sz w:val="24"/>
              </w:rPr>
              <w:t>利用单井罐贮运</w:t>
            </w:r>
            <w:r>
              <w:rPr>
                <w:rFonts w:hint="eastAsia"/>
                <w:sz w:val="24"/>
              </w:rPr>
              <w:t>采出液（</w:t>
            </w:r>
            <w:r>
              <w:rPr>
                <w:sz w:val="24"/>
              </w:rPr>
              <w:t>原油</w:t>
            </w:r>
            <w:r>
              <w:rPr>
                <w:rFonts w:hint="eastAsia"/>
                <w:sz w:val="24"/>
              </w:rPr>
              <w:t>）</w:t>
            </w:r>
            <w:r>
              <w:rPr>
                <w:sz w:val="24"/>
              </w:rPr>
              <w:t>，油罐类型为卧式固定顶储液罐，</w:t>
            </w:r>
            <w:r>
              <w:rPr>
                <w:rFonts w:hint="eastAsia"/>
                <w:sz w:val="24"/>
              </w:rPr>
              <w:t>采出液（</w:t>
            </w:r>
            <w:r>
              <w:rPr>
                <w:sz w:val="24"/>
              </w:rPr>
              <w:t>原油</w:t>
            </w:r>
            <w:r>
              <w:rPr>
                <w:rFonts w:hint="eastAsia"/>
                <w:sz w:val="24"/>
              </w:rPr>
              <w:t>）在</w:t>
            </w:r>
            <w:r>
              <w:rPr>
                <w:kern w:val="0"/>
                <w:sz w:val="24"/>
              </w:rPr>
              <w:t>存储、转运</w:t>
            </w:r>
            <w:r>
              <w:rPr>
                <w:rFonts w:hint="eastAsia"/>
                <w:sz w:val="24"/>
              </w:rPr>
              <w:t>过程</w:t>
            </w:r>
            <w:r>
              <w:rPr>
                <w:sz w:val="24"/>
              </w:rPr>
              <w:t>中</w:t>
            </w:r>
            <w:r>
              <w:rPr>
                <w:kern w:val="0"/>
                <w:sz w:val="24"/>
              </w:rPr>
              <w:t>会产生烃类废气。</w:t>
            </w:r>
            <w:r>
              <w:rPr>
                <w:rFonts w:hint="eastAsia"/>
                <w:sz w:val="24"/>
              </w:rPr>
              <w:t>采出液（</w:t>
            </w:r>
            <w:r>
              <w:rPr>
                <w:sz w:val="24"/>
              </w:rPr>
              <w:t>原油</w:t>
            </w:r>
            <w:r>
              <w:rPr>
                <w:rFonts w:hint="eastAsia"/>
                <w:sz w:val="24"/>
              </w:rPr>
              <w:t>）</w:t>
            </w:r>
            <w:r>
              <w:rPr>
                <w:kern w:val="0"/>
                <w:sz w:val="24"/>
              </w:rPr>
              <w:t>存储于高架油罐内，由于罐内气体空间温度差异，引起可挥发烃类气体经呼吸阀排出，被称为</w:t>
            </w:r>
            <w:r>
              <w:rPr>
                <w:rFonts w:hint="eastAsia"/>
                <w:kern w:val="0"/>
                <w:sz w:val="24"/>
              </w:rPr>
              <w:t>“</w:t>
            </w:r>
            <w:r>
              <w:rPr>
                <w:kern w:val="0"/>
                <w:sz w:val="24"/>
              </w:rPr>
              <w:t>小呼吸</w:t>
            </w:r>
            <w:r>
              <w:rPr>
                <w:rFonts w:hint="eastAsia"/>
                <w:kern w:val="0"/>
                <w:sz w:val="24"/>
              </w:rPr>
              <w:t>”</w:t>
            </w:r>
            <w:r>
              <w:rPr>
                <w:kern w:val="0"/>
                <w:sz w:val="24"/>
              </w:rPr>
              <w:t>；储罐内在收发油品时，由于油气空间容积的变化，导致油气呼出或外界空气的吸入，也会造成烃类挥发，被称为</w:t>
            </w:r>
            <w:r>
              <w:rPr>
                <w:rFonts w:hint="eastAsia"/>
                <w:kern w:val="0"/>
                <w:sz w:val="24"/>
              </w:rPr>
              <w:t>“</w:t>
            </w:r>
            <w:r>
              <w:rPr>
                <w:kern w:val="0"/>
                <w:sz w:val="24"/>
              </w:rPr>
              <w:t>大呼吸</w:t>
            </w:r>
            <w:r>
              <w:rPr>
                <w:rFonts w:hint="eastAsia"/>
                <w:kern w:val="0"/>
                <w:sz w:val="24"/>
              </w:rPr>
              <w:t>”</w:t>
            </w:r>
            <w:r>
              <w:rPr>
                <w:kern w:val="0"/>
                <w:sz w:val="24"/>
              </w:rPr>
              <w:t>；装车时，油品向汽车槽车装油过程会中会造成烃类挥发。</w:t>
            </w:r>
          </w:p>
          <w:p w14:paraId="47A581CE">
            <w:pPr>
              <w:widowControl/>
              <w:spacing w:line="360" w:lineRule="auto"/>
              <w:ind w:firstLine="480" w:firstLineChars="200"/>
              <w:jc w:val="left"/>
              <w:rPr>
                <w:kern w:val="0"/>
                <w:sz w:val="24"/>
              </w:rPr>
            </w:pPr>
            <w:r>
              <w:rPr>
                <w:kern w:val="0"/>
                <w:sz w:val="24"/>
              </w:rPr>
              <w:t>烃类气体排放量根据美国石油学会推荐的计算油罐储存损耗的公式对拟建油罐非甲烷总烃气体挥发进行理论计算。</w:t>
            </w:r>
          </w:p>
          <w:p w14:paraId="0F840E2F">
            <w:pPr>
              <w:widowControl/>
              <w:spacing w:line="360" w:lineRule="auto"/>
              <w:ind w:firstLine="480" w:firstLineChars="200"/>
              <w:jc w:val="left"/>
              <w:rPr>
                <w:kern w:val="0"/>
                <w:sz w:val="24"/>
              </w:rPr>
            </w:pPr>
            <w:r>
              <w:rPr>
                <w:rFonts w:hint="eastAsia"/>
                <w:kern w:val="0"/>
                <w:sz w:val="24"/>
              </w:rPr>
              <w:t>（1）</w:t>
            </w:r>
            <w:r>
              <w:rPr>
                <w:kern w:val="0"/>
                <w:sz w:val="24"/>
              </w:rPr>
              <w:t>小呼吸产生计算</w:t>
            </w:r>
          </w:p>
          <w:p w14:paraId="1DAD5379">
            <w:pPr>
              <w:widowControl/>
              <w:spacing w:line="360" w:lineRule="auto"/>
              <w:ind w:firstLine="547" w:firstLineChars="228"/>
              <w:jc w:val="left"/>
              <w:rPr>
                <w:sz w:val="24"/>
              </w:rPr>
            </w:pPr>
            <w:r>
              <w:rPr>
                <w:sz w:val="24"/>
              </w:rPr>
              <w:t>小呼吸排放是油罐在没有收发油作业的情况下，随着外界气温、压力在一天内的升降周期变化，罐内气体空间温度、油品蒸发速度、油气浓度和蒸汽压力也随之变化。这种变化引起蒸汽的膨胀和收缩而产生的蒸汽排出，它出现在罐内液面无任何变化的情况，是非人为干扰的自然排放方式。</w:t>
            </w:r>
          </w:p>
          <w:p w14:paraId="28C30C14">
            <w:pPr>
              <w:widowControl/>
              <w:spacing w:line="360" w:lineRule="auto"/>
              <w:ind w:firstLine="480" w:firstLineChars="200"/>
              <w:jc w:val="left"/>
              <w:rPr>
                <w:kern w:val="0"/>
                <w:sz w:val="24"/>
              </w:rPr>
            </w:pPr>
            <w:r>
              <w:rPr>
                <w:kern w:val="0"/>
                <w:sz w:val="24"/>
              </w:rPr>
              <w:t>固定顶罐的小呼吸排放可用下式估算其污染物的排放量：</w:t>
            </w:r>
          </w:p>
          <w:p w14:paraId="2CE73B3C">
            <w:pPr>
              <w:widowControl/>
              <w:spacing w:line="360" w:lineRule="auto"/>
              <w:jc w:val="center"/>
              <w:rPr>
                <w:kern w:val="0"/>
                <w:sz w:val="24"/>
              </w:rPr>
            </w:pPr>
            <w:r>
              <w:rPr>
                <w:rFonts w:hint="eastAsia"/>
                <w:kern w:val="0"/>
                <w:sz w:val="24"/>
              </w:rPr>
              <w:t>LB=0.191</w:t>
            </w:r>
            <w:r>
              <w:rPr>
                <w:kern w:val="0"/>
                <w:sz w:val="24"/>
              </w:rPr>
              <w:t>×</w:t>
            </w:r>
            <w:r>
              <w:rPr>
                <w:rFonts w:hint="eastAsia"/>
                <w:kern w:val="0"/>
                <w:sz w:val="24"/>
              </w:rPr>
              <w:t>M</w:t>
            </w:r>
            <w:r>
              <w:rPr>
                <w:kern w:val="0"/>
                <w:sz w:val="24"/>
              </w:rPr>
              <w:t>×[P</w:t>
            </w:r>
            <w:r>
              <w:rPr>
                <w:rFonts w:hint="eastAsia"/>
                <w:kern w:val="0"/>
                <w:sz w:val="24"/>
              </w:rPr>
              <w:t>/（100910-P）</w:t>
            </w:r>
            <w:r>
              <w:rPr>
                <w:kern w:val="0"/>
                <w:sz w:val="24"/>
              </w:rPr>
              <w:t>]</w:t>
            </w:r>
            <w:r>
              <w:rPr>
                <w:rFonts w:hint="eastAsia"/>
                <w:kern w:val="0"/>
                <w:sz w:val="24"/>
                <w:vertAlign w:val="superscript"/>
              </w:rPr>
              <w:t>0.68</w:t>
            </w:r>
            <w:r>
              <w:rPr>
                <w:kern w:val="0"/>
                <w:sz w:val="24"/>
              </w:rPr>
              <w:t>×D</w:t>
            </w:r>
            <w:r>
              <w:rPr>
                <w:rFonts w:hint="eastAsia"/>
                <w:kern w:val="0"/>
                <w:sz w:val="24"/>
                <w:vertAlign w:val="superscript"/>
              </w:rPr>
              <w:t>1.73</w:t>
            </w:r>
            <w:r>
              <w:rPr>
                <w:kern w:val="0"/>
                <w:sz w:val="24"/>
              </w:rPr>
              <w:t>×H</w:t>
            </w:r>
            <w:r>
              <w:rPr>
                <w:rFonts w:hint="eastAsia"/>
                <w:kern w:val="0"/>
                <w:sz w:val="24"/>
                <w:vertAlign w:val="superscript"/>
              </w:rPr>
              <w:t>0.51</w:t>
            </w:r>
            <w:r>
              <w:rPr>
                <w:kern w:val="0"/>
                <w:sz w:val="24"/>
              </w:rPr>
              <w:t>×</w:t>
            </w:r>
            <w:r>
              <w:rPr>
                <w:rFonts w:ascii="Cambria Math" w:hAnsi="Cambria Math" w:cs="Cambria Math"/>
                <w:kern w:val="0"/>
                <w:sz w:val="24"/>
              </w:rPr>
              <w:t>△T</w:t>
            </w:r>
            <w:r>
              <w:rPr>
                <w:kern w:val="0"/>
                <w:sz w:val="24"/>
                <w:vertAlign w:val="superscript"/>
              </w:rPr>
              <w:t>0.45</w:t>
            </w:r>
            <w:r>
              <w:rPr>
                <w:kern w:val="0"/>
                <w:sz w:val="24"/>
              </w:rPr>
              <w:t>×FP×C×KC</w:t>
            </w:r>
          </w:p>
          <w:p w14:paraId="0EB0D2DC">
            <w:pPr>
              <w:widowControl/>
              <w:spacing w:line="360" w:lineRule="auto"/>
              <w:jc w:val="left"/>
              <w:rPr>
                <w:kern w:val="0"/>
                <w:sz w:val="24"/>
              </w:rPr>
            </w:pPr>
            <w:r>
              <w:rPr>
                <w:rFonts w:eastAsia="新宋体"/>
                <w:kern w:val="0"/>
                <w:sz w:val="24"/>
              </w:rPr>
              <w:t>式中：</w:t>
            </w:r>
            <w:r>
              <w:rPr>
                <w:kern w:val="0"/>
                <w:sz w:val="24"/>
              </w:rPr>
              <w:t>LB—固定顶罐的小呼吸排放量（</w:t>
            </w:r>
            <w:r>
              <w:rPr>
                <w:rFonts w:hint="eastAsia"/>
                <w:kern w:val="0"/>
                <w:sz w:val="24"/>
              </w:rPr>
              <w:t>kg</w:t>
            </w:r>
            <w:r>
              <w:rPr>
                <w:kern w:val="0"/>
                <w:sz w:val="24"/>
              </w:rPr>
              <w:t>/a）；</w:t>
            </w:r>
          </w:p>
          <w:p w14:paraId="6EF213DC">
            <w:pPr>
              <w:widowControl/>
              <w:spacing w:line="360" w:lineRule="auto"/>
              <w:ind w:firstLine="720" w:firstLineChars="300"/>
              <w:jc w:val="left"/>
              <w:rPr>
                <w:kern w:val="0"/>
                <w:sz w:val="24"/>
              </w:rPr>
            </w:pPr>
            <w:r>
              <w:rPr>
                <w:kern w:val="0"/>
                <w:sz w:val="24"/>
              </w:rPr>
              <w:t>M—储罐内蒸汽的分子量；（美国石油学会推荐64）</w:t>
            </w:r>
          </w:p>
          <w:p w14:paraId="1AE7EB43">
            <w:pPr>
              <w:widowControl/>
              <w:spacing w:line="360" w:lineRule="auto"/>
              <w:ind w:firstLine="720" w:firstLineChars="300"/>
              <w:jc w:val="left"/>
              <w:rPr>
                <w:kern w:val="0"/>
                <w:sz w:val="24"/>
              </w:rPr>
            </w:pPr>
            <w:r>
              <w:rPr>
                <w:kern w:val="0"/>
                <w:sz w:val="24"/>
              </w:rPr>
              <w:t>P—在大量液体状态下，真实的蒸汽压力（Pa）；按饱和压力计，12290.8Pa；</w:t>
            </w:r>
          </w:p>
          <w:p w14:paraId="12C23E83">
            <w:pPr>
              <w:widowControl/>
              <w:spacing w:line="360" w:lineRule="auto"/>
              <w:ind w:firstLine="720" w:firstLineChars="300"/>
              <w:jc w:val="left"/>
              <w:rPr>
                <w:kern w:val="0"/>
                <w:sz w:val="24"/>
              </w:rPr>
            </w:pPr>
            <w:r>
              <w:rPr>
                <w:kern w:val="0"/>
                <w:sz w:val="24"/>
              </w:rPr>
              <w:t>D—罐的直径；本工程中</w:t>
            </w:r>
            <w:r>
              <w:rPr>
                <w:rFonts w:hint="eastAsia"/>
                <w:kern w:val="0"/>
                <w:sz w:val="24"/>
              </w:rPr>
              <w:t>D</w:t>
            </w:r>
            <w:r>
              <w:rPr>
                <w:kern w:val="0"/>
                <w:sz w:val="24"/>
              </w:rPr>
              <w:t>=</w:t>
            </w:r>
            <w:r>
              <w:rPr>
                <w:rFonts w:hint="eastAsia"/>
                <w:kern w:val="0"/>
                <w:sz w:val="24"/>
              </w:rPr>
              <w:t>2.6</w:t>
            </w:r>
            <w:r>
              <w:rPr>
                <w:kern w:val="0"/>
                <w:sz w:val="24"/>
              </w:rPr>
              <w:t>m；</w:t>
            </w:r>
          </w:p>
          <w:p w14:paraId="16ECE0E9">
            <w:pPr>
              <w:widowControl/>
              <w:spacing w:line="360" w:lineRule="auto"/>
              <w:ind w:firstLine="720" w:firstLineChars="300"/>
              <w:jc w:val="left"/>
              <w:rPr>
                <w:kern w:val="0"/>
                <w:sz w:val="24"/>
              </w:rPr>
            </w:pPr>
            <w:r>
              <w:rPr>
                <w:kern w:val="0"/>
                <w:sz w:val="24"/>
              </w:rPr>
              <w:t>H—平均蒸汽空间高度（m）；H=0.1m；</w:t>
            </w:r>
          </w:p>
          <w:p w14:paraId="43D2A32A">
            <w:pPr>
              <w:widowControl/>
              <w:spacing w:line="360" w:lineRule="auto"/>
              <w:ind w:firstLine="720" w:firstLineChars="300"/>
              <w:jc w:val="left"/>
              <w:rPr>
                <w:kern w:val="0"/>
                <w:sz w:val="24"/>
              </w:rPr>
            </w:pPr>
            <w:r>
              <w:rPr>
                <w:kern w:val="0"/>
                <w:sz w:val="24"/>
              </w:rPr>
              <w:t>△T—一天之内的平均温度差（℃）；△T=10℃；</w:t>
            </w:r>
          </w:p>
          <w:p w14:paraId="726F8611">
            <w:pPr>
              <w:widowControl/>
              <w:spacing w:line="360" w:lineRule="auto"/>
              <w:ind w:firstLine="720" w:firstLineChars="300"/>
              <w:jc w:val="left"/>
              <w:rPr>
                <w:kern w:val="0"/>
                <w:sz w:val="24"/>
              </w:rPr>
            </w:pPr>
            <w:r>
              <w:rPr>
                <w:kern w:val="0"/>
                <w:sz w:val="24"/>
              </w:rPr>
              <w:t>FP—涂层因子（无量纲）</w:t>
            </w:r>
            <w:r>
              <w:rPr>
                <w:rFonts w:hint="eastAsia"/>
                <w:kern w:val="0"/>
                <w:sz w:val="24"/>
              </w:rPr>
              <w:t>，根据油漆状况取值在1~1.5之间；FP=1.25；</w:t>
            </w:r>
          </w:p>
          <w:p w14:paraId="6893F1F4">
            <w:pPr>
              <w:widowControl/>
              <w:spacing w:line="360" w:lineRule="auto"/>
              <w:ind w:firstLine="720" w:firstLineChars="300"/>
              <w:jc w:val="left"/>
              <w:rPr>
                <w:kern w:val="0"/>
                <w:sz w:val="24"/>
              </w:rPr>
            </w:pPr>
            <w:r>
              <w:rPr>
                <w:kern w:val="0"/>
                <w:sz w:val="24"/>
              </w:rPr>
              <w:t>C—直径在0-9米之间的罐体，C=1-0.0123（D-9）</w:t>
            </w:r>
            <w:r>
              <w:rPr>
                <w:kern w:val="0"/>
                <w:sz w:val="24"/>
                <w:vertAlign w:val="superscript"/>
              </w:rPr>
              <w:t>2</w:t>
            </w:r>
            <w:r>
              <w:rPr>
                <w:kern w:val="0"/>
                <w:sz w:val="24"/>
              </w:rPr>
              <w:t>，罐径大于9米的C=1；项目C=0.</w:t>
            </w:r>
            <w:r>
              <w:rPr>
                <w:rFonts w:hint="eastAsia"/>
                <w:kern w:val="0"/>
                <w:sz w:val="24"/>
              </w:rPr>
              <w:t>4962</w:t>
            </w:r>
            <w:r>
              <w:rPr>
                <w:kern w:val="0"/>
                <w:sz w:val="24"/>
              </w:rPr>
              <w:t>；</w:t>
            </w:r>
          </w:p>
          <w:p w14:paraId="23898332">
            <w:pPr>
              <w:widowControl/>
              <w:spacing w:line="360" w:lineRule="auto"/>
              <w:ind w:firstLine="720" w:firstLineChars="300"/>
              <w:jc w:val="left"/>
              <w:rPr>
                <w:kern w:val="0"/>
                <w:sz w:val="24"/>
              </w:rPr>
            </w:pPr>
            <w:r>
              <w:rPr>
                <w:kern w:val="0"/>
                <w:sz w:val="24"/>
              </w:rPr>
              <w:t>KC—产品因子（石油原油KC=0.65，其它的有机液体取1.0）。</w:t>
            </w:r>
          </w:p>
          <w:p w14:paraId="435CE6F0">
            <w:pPr>
              <w:widowControl/>
              <w:spacing w:line="360" w:lineRule="auto"/>
              <w:ind w:firstLine="480" w:firstLineChars="200"/>
              <w:jc w:val="left"/>
              <w:rPr>
                <w:kern w:val="0"/>
                <w:sz w:val="24"/>
              </w:rPr>
            </w:pPr>
            <w:r>
              <w:rPr>
                <w:kern w:val="0"/>
                <w:sz w:val="24"/>
              </w:rPr>
              <w:t>计算可得</w:t>
            </w:r>
            <w:r>
              <w:rPr>
                <w:rFonts w:hint="eastAsia"/>
                <w:kern w:val="0"/>
                <w:sz w:val="24"/>
              </w:rPr>
              <w:t>“</w:t>
            </w:r>
            <w:r>
              <w:rPr>
                <w:kern w:val="0"/>
                <w:sz w:val="24"/>
              </w:rPr>
              <w:t>小呼吸</w:t>
            </w:r>
            <w:r>
              <w:rPr>
                <w:rFonts w:hint="eastAsia"/>
                <w:kern w:val="0"/>
                <w:sz w:val="24"/>
              </w:rPr>
              <w:t>”</w:t>
            </w:r>
            <w:r>
              <w:rPr>
                <w:kern w:val="0"/>
                <w:sz w:val="24"/>
              </w:rPr>
              <w:t>产生量</w:t>
            </w:r>
            <w:r>
              <w:rPr>
                <w:rFonts w:hint="eastAsia"/>
                <w:kern w:val="0"/>
                <w:sz w:val="24"/>
              </w:rPr>
              <w:t>5.85</w:t>
            </w:r>
            <w:r>
              <w:rPr>
                <w:kern w:val="0"/>
                <w:sz w:val="24"/>
              </w:rPr>
              <w:t>kg</w:t>
            </w:r>
            <w:r>
              <w:rPr>
                <w:rFonts w:hint="eastAsia"/>
                <w:kern w:val="0"/>
                <w:sz w:val="24"/>
              </w:rPr>
              <w:t>/a，项目单井试油期7天，则“</w:t>
            </w:r>
            <w:r>
              <w:rPr>
                <w:kern w:val="0"/>
                <w:sz w:val="24"/>
              </w:rPr>
              <w:t>小呼吸</w:t>
            </w:r>
            <w:r>
              <w:rPr>
                <w:rFonts w:hint="eastAsia"/>
                <w:kern w:val="0"/>
                <w:sz w:val="24"/>
              </w:rPr>
              <w:t>”产生</w:t>
            </w:r>
            <w:r>
              <w:rPr>
                <w:kern w:val="0"/>
                <w:sz w:val="24"/>
              </w:rPr>
              <w:t>量为</w:t>
            </w:r>
            <w:r>
              <w:rPr>
                <w:rFonts w:hint="eastAsia"/>
                <w:kern w:val="0"/>
                <w:sz w:val="24"/>
              </w:rPr>
              <w:t>0.11</w:t>
            </w:r>
            <w:r>
              <w:rPr>
                <w:kern w:val="0"/>
                <w:sz w:val="24"/>
              </w:rPr>
              <w:t>kg</w:t>
            </w:r>
            <w:r>
              <w:rPr>
                <w:rFonts w:hint="eastAsia"/>
                <w:kern w:val="0"/>
                <w:sz w:val="24"/>
              </w:rPr>
              <w:t>/试油期/口井</w:t>
            </w:r>
            <w:r>
              <w:rPr>
                <w:kern w:val="0"/>
                <w:sz w:val="24"/>
              </w:rPr>
              <w:t>。</w:t>
            </w:r>
          </w:p>
          <w:p w14:paraId="5925B149">
            <w:pPr>
              <w:widowControl/>
              <w:spacing w:line="360" w:lineRule="auto"/>
              <w:ind w:firstLine="480" w:firstLineChars="200"/>
              <w:jc w:val="left"/>
              <w:rPr>
                <w:kern w:val="0"/>
                <w:sz w:val="24"/>
              </w:rPr>
            </w:pPr>
            <w:r>
              <w:rPr>
                <w:rFonts w:hint="eastAsia"/>
                <w:kern w:val="0"/>
                <w:sz w:val="24"/>
              </w:rPr>
              <w:t>（2）</w:t>
            </w:r>
            <w:r>
              <w:rPr>
                <w:kern w:val="0"/>
                <w:sz w:val="24"/>
              </w:rPr>
              <w:t>大呼吸产生计算</w:t>
            </w:r>
          </w:p>
          <w:p w14:paraId="1CB201BC">
            <w:pPr>
              <w:widowControl/>
              <w:spacing w:line="360" w:lineRule="auto"/>
              <w:ind w:firstLine="480" w:firstLineChars="200"/>
              <w:jc w:val="left"/>
              <w:rPr>
                <w:sz w:val="24"/>
              </w:rPr>
            </w:pPr>
            <w:r>
              <w:rPr>
                <w:sz w:val="24"/>
              </w:rPr>
              <w:t>油罐进油时，由于油面逐渐升高，气体空间逐渐减小，罐内压力增大，当压力超过呼吸阀控制压力时，一定浓度的油蒸气开始从呼吸阀呼出，直到油罐停止收油，所呼出的油蒸气造成油品蒸发的损失。油罐向外发油时，由于油面不断降低，气体空间逐渐增加，罐内压力减小，当压力小于呼吸阀控制真空度时，油罐开始吸入新鲜空气，由于油面上方空间油气没有达到饱和，促使油品蒸发加速，使其重新达到饱和，罐内压力再次上升，造成部分油蒸气从呼吸阀呼出。</w:t>
            </w:r>
          </w:p>
          <w:p w14:paraId="566AE06F">
            <w:pPr>
              <w:widowControl/>
              <w:spacing w:line="360" w:lineRule="auto"/>
              <w:ind w:firstLine="360" w:firstLineChars="150"/>
              <w:jc w:val="left"/>
              <w:rPr>
                <w:rFonts w:eastAsia="新宋体"/>
                <w:kern w:val="0"/>
                <w:sz w:val="24"/>
              </w:rPr>
            </w:pPr>
            <w:r>
              <w:rPr>
                <w:rFonts w:eastAsia="新宋体"/>
                <w:kern w:val="0"/>
                <w:sz w:val="24"/>
              </w:rPr>
              <w:t>可由下式估算固定顶罐的大呼吸排放：</w:t>
            </w:r>
          </w:p>
          <w:p w14:paraId="43D8EF71">
            <w:pPr>
              <w:widowControl/>
              <w:spacing w:line="360" w:lineRule="auto"/>
              <w:jc w:val="center"/>
              <w:rPr>
                <w:kern w:val="0"/>
                <w:sz w:val="24"/>
              </w:rPr>
            </w:pPr>
            <w:r>
              <w:rPr>
                <w:kern w:val="0"/>
                <w:sz w:val="24"/>
              </w:rPr>
              <w:t>Lw=4.188×10</w:t>
            </w:r>
            <w:r>
              <w:rPr>
                <w:kern w:val="0"/>
                <w:sz w:val="24"/>
                <w:vertAlign w:val="superscript"/>
              </w:rPr>
              <w:t>-7</w:t>
            </w:r>
            <w:r>
              <w:rPr>
                <w:kern w:val="0"/>
                <w:sz w:val="24"/>
              </w:rPr>
              <w:t>×M×P×KN×KC</w:t>
            </w:r>
          </w:p>
          <w:p w14:paraId="55309818">
            <w:pPr>
              <w:widowControl/>
              <w:spacing w:line="360" w:lineRule="auto"/>
              <w:jc w:val="left"/>
              <w:rPr>
                <w:kern w:val="0"/>
                <w:sz w:val="24"/>
              </w:rPr>
            </w:pPr>
            <w:r>
              <w:rPr>
                <w:kern w:val="0"/>
                <w:sz w:val="24"/>
              </w:rPr>
              <w:t>式中：L</w:t>
            </w:r>
            <w:r>
              <w:rPr>
                <w:rFonts w:hint="eastAsia"/>
                <w:kern w:val="0"/>
                <w:sz w:val="24"/>
              </w:rPr>
              <w:t>w</w:t>
            </w:r>
            <w:r>
              <w:rPr>
                <w:kern w:val="0"/>
                <w:sz w:val="24"/>
              </w:rPr>
              <w:t>—固定顶罐的工作损失（</w:t>
            </w:r>
            <w:r>
              <w:rPr>
                <w:rFonts w:hint="eastAsia"/>
                <w:kern w:val="0"/>
                <w:sz w:val="24"/>
              </w:rPr>
              <w:t>kg</w:t>
            </w:r>
            <w:r>
              <w:rPr>
                <w:kern w:val="0"/>
                <w:sz w:val="24"/>
              </w:rPr>
              <w:t>/m</w:t>
            </w:r>
            <w:r>
              <w:rPr>
                <w:kern w:val="0"/>
                <w:sz w:val="24"/>
                <w:vertAlign w:val="superscript"/>
              </w:rPr>
              <w:t>3</w:t>
            </w:r>
            <w:r>
              <w:rPr>
                <w:kern w:val="0"/>
                <w:sz w:val="24"/>
              </w:rPr>
              <w:t>）；</w:t>
            </w:r>
          </w:p>
          <w:p w14:paraId="2CFB6136">
            <w:pPr>
              <w:widowControl/>
              <w:spacing w:line="360" w:lineRule="auto"/>
              <w:ind w:left="120" w:leftChars="57" w:firstLine="448" w:firstLineChars="187"/>
              <w:jc w:val="left"/>
              <w:rPr>
                <w:kern w:val="0"/>
                <w:sz w:val="24"/>
              </w:rPr>
            </w:pPr>
            <w:r>
              <w:rPr>
                <w:kern w:val="0"/>
                <w:sz w:val="24"/>
              </w:rPr>
              <w:t>KN—周转因子（无量纲），取值按年周转次数（K）确定K≤36，KN=1；36&lt;K≤220，KN=11.46×K</w:t>
            </w:r>
            <w:r>
              <w:rPr>
                <w:kern w:val="0"/>
                <w:sz w:val="24"/>
                <w:vertAlign w:val="superscript"/>
              </w:rPr>
              <w:t>-0.7026</w:t>
            </w:r>
            <w:r>
              <w:rPr>
                <w:kern w:val="0"/>
                <w:sz w:val="24"/>
              </w:rPr>
              <w:t>；K&gt;220，KN=0.26。</w:t>
            </w:r>
            <w:r>
              <w:rPr>
                <w:rFonts w:hint="eastAsia"/>
                <w:kern w:val="0"/>
                <w:sz w:val="24"/>
              </w:rPr>
              <w:t>项目试油期7天，每2~3天转运一次，周转次数最多为4次，故KN=1</w:t>
            </w:r>
            <w:r>
              <w:rPr>
                <w:kern w:val="0"/>
                <w:sz w:val="24"/>
              </w:rPr>
              <w:t>。</w:t>
            </w:r>
          </w:p>
          <w:p w14:paraId="7044A382">
            <w:pPr>
              <w:widowControl/>
              <w:spacing w:line="360" w:lineRule="auto"/>
              <w:ind w:firstLine="360" w:firstLineChars="150"/>
              <w:jc w:val="left"/>
              <w:rPr>
                <w:kern w:val="0"/>
                <w:sz w:val="24"/>
              </w:rPr>
            </w:pPr>
            <w:r>
              <w:rPr>
                <w:kern w:val="0"/>
                <w:sz w:val="24"/>
              </w:rPr>
              <w:t>其它的同呼吸排放计算公式。</w:t>
            </w:r>
          </w:p>
          <w:p w14:paraId="5F37BC1B">
            <w:pPr>
              <w:widowControl/>
              <w:spacing w:line="360" w:lineRule="auto"/>
              <w:ind w:firstLine="480" w:firstLineChars="200"/>
              <w:jc w:val="left"/>
              <w:rPr>
                <w:kern w:val="0"/>
                <w:sz w:val="24"/>
              </w:rPr>
            </w:pPr>
            <w:r>
              <w:rPr>
                <w:kern w:val="0"/>
                <w:sz w:val="24"/>
              </w:rPr>
              <w:t>计算</w:t>
            </w:r>
            <w:r>
              <w:rPr>
                <w:rFonts w:hint="eastAsia"/>
                <w:kern w:val="0"/>
                <w:sz w:val="24"/>
              </w:rPr>
              <w:t>可得L</w:t>
            </w:r>
            <w:r>
              <w:rPr>
                <w:rFonts w:hint="eastAsia"/>
                <w:kern w:val="0"/>
                <w:sz w:val="24"/>
                <w:vertAlign w:val="subscript"/>
              </w:rPr>
              <w:t>w</w:t>
            </w:r>
            <w:r>
              <w:rPr>
                <w:rFonts w:hint="eastAsia"/>
                <w:kern w:val="0"/>
                <w:sz w:val="24"/>
              </w:rPr>
              <w:t>约为0.214</w:t>
            </w:r>
            <w:r>
              <w:rPr>
                <w:kern w:val="0"/>
                <w:sz w:val="24"/>
              </w:rPr>
              <w:t>kg</w:t>
            </w:r>
            <w:r>
              <w:rPr>
                <w:rFonts w:hint="eastAsia"/>
                <w:kern w:val="0"/>
                <w:sz w:val="24"/>
              </w:rPr>
              <w:t>/m</w:t>
            </w:r>
            <w:r>
              <w:rPr>
                <w:rFonts w:hint="eastAsia"/>
                <w:kern w:val="0"/>
                <w:sz w:val="24"/>
                <w:vertAlign w:val="superscript"/>
              </w:rPr>
              <w:t>3</w:t>
            </w:r>
            <w:r>
              <w:rPr>
                <w:rFonts w:hint="eastAsia"/>
                <w:kern w:val="0"/>
                <w:sz w:val="24"/>
              </w:rPr>
              <w:t>，项目单井试油期采出液产生量为70t（密度为0.9t/m</w:t>
            </w:r>
            <w:r>
              <w:rPr>
                <w:rFonts w:hint="eastAsia"/>
                <w:kern w:val="0"/>
                <w:sz w:val="24"/>
                <w:vertAlign w:val="superscript"/>
              </w:rPr>
              <w:t>3</w:t>
            </w:r>
            <w:r>
              <w:rPr>
                <w:rFonts w:hint="eastAsia"/>
                <w:kern w:val="0"/>
                <w:sz w:val="24"/>
              </w:rPr>
              <w:t>），则“</w:t>
            </w:r>
            <w:r>
              <w:rPr>
                <w:kern w:val="0"/>
                <w:sz w:val="24"/>
              </w:rPr>
              <w:t>大呼吸</w:t>
            </w:r>
            <w:r>
              <w:rPr>
                <w:rFonts w:hint="eastAsia"/>
                <w:kern w:val="0"/>
                <w:sz w:val="24"/>
              </w:rPr>
              <w:t>”</w:t>
            </w:r>
            <w:r>
              <w:rPr>
                <w:kern w:val="0"/>
                <w:sz w:val="24"/>
              </w:rPr>
              <w:t>产生量为</w:t>
            </w:r>
            <w:r>
              <w:rPr>
                <w:rFonts w:hint="eastAsia"/>
                <w:kern w:val="0"/>
                <w:sz w:val="24"/>
              </w:rPr>
              <w:t>16.64</w:t>
            </w:r>
            <w:r>
              <w:rPr>
                <w:kern w:val="0"/>
                <w:sz w:val="24"/>
              </w:rPr>
              <w:t>kg</w:t>
            </w:r>
            <w:r>
              <w:rPr>
                <w:rFonts w:hint="eastAsia"/>
                <w:kern w:val="0"/>
                <w:sz w:val="24"/>
              </w:rPr>
              <w:t>/试油期/口井</w:t>
            </w:r>
            <w:r>
              <w:rPr>
                <w:kern w:val="0"/>
                <w:sz w:val="24"/>
              </w:rPr>
              <w:t>。</w:t>
            </w:r>
          </w:p>
          <w:p w14:paraId="4EFBE68C">
            <w:pPr>
              <w:spacing w:line="360" w:lineRule="auto"/>
              <w:ind w:firstLine="480" w:firstLineChars="200"/>
              <w:rPr>
                <w:kern w:val="0"/>
                <w:sz w:val="24"/>
              </w:rPr>
            </w:pPr>
            <w:r>
              <w:rPr>
                <w:rFonts w:hint="eastAsia"/>
                <w:kern w:val="0"/>
                <w:sz w:val="24"/>
              </w:rPr>
              <w:t>根据（1）、（2）计算，单井试油阶段非甲烷总烃产生量为16.75kg/试油期（0.1kg/h）。依据《环境影响评价技术导则大气环境》（HJ2.2-2018）中相关要求，结合项目工程分析结果，选择正常排放的主要污染物及排放参数，采用附录A推荐模型中的AERSCREEN估算模式计算项目污染源的最大环境影响，估算结果可知，无组织排放</w:t>
            </w:r>
            <w:r>
              <w:rPr>
                <w:kern w:val="0"/>
                <w:sz w:val="24"/>
              </w:rPr>
              <w:t>非甲烷总烃的最大落地浓度为</w:t>
            </w:r>
            <w:r>
              <w:rPr>
                <w:rFonts w:hint="eastAsia"/>
                <w:kern w:val="0"/>
                <w:sz w:val="24"/>
              </w:rPr>
              <w:t>0.62m</w:t>
            </w:r>
            <w:r>
              <w:rPr>
                <w:kern w:val="0"/>
                <w:sz w:val="24"/>
              </w:rPr>
              <w:t>g/m</w:t>
            </w:r>
            <w:r>
              <w:rPr>
                <w:kern w:val="0"/>
                <w:sz w:val="24"/>
                <w:vertAlign w:val="superscript"/>
              </w:rPr>
              <w:t>3</w:t>
            </w:r>
            <w:r>
              <w:rPr>
                <w:kern w:val="0"/>
                <w:sz w:val="24"/>
              </w:rPr>
              <w:t>，</w:t>
            </w:r>
            <w:r>
              <w:rPr>
                <w:rFonts w:hint="eastAsia"/>
                <w:kern w:val="0"/>
                <w:sz w:val="24"/>
              </w:rPr>
              <w:t>井场场界非甲烷总烃排放浓度满足《陆上石油天然气开采工业大气污染物排放标准》（GB39728-2020）企业边界污染物控制要求，井场内非甲烷总烃排放浓度满足《挥发性有机物无组织排放控制标准》（GB37822-2019）表A.1要求，对周围环境空气影响较小。</w:t>
            </w:r>
          </w:p>
          <w:p w14:paraId="34DE28F3">
            <w:pPr>
              <w:spacing w:line="360" w:lineRule="auto"/>
              <w:ind w:firstLine="360" w:firstLineChars="150"/>
              <w:rPr>
                <w:kern w:val="0"/>
                <w:sz w:val="24"/>
              </w:rPr>
            </w:pPr>
            <w:r>
              <w:rPr>
                <w:rFonts w:hint="eastAsia"/>
                <w:kern w:val="0"/>
                <w:sz w:val="24"/>
              </w:rPr>
              <w:t>项目所处位置周围比较开阔，且试油时间短，有利于污染物的扩散，同时距离周围敏感点距离较远，可有效降低对周围环境的影响。</w:t>
            </w:r>
          </w:p>
          <w:p w14:paraId="64AB16E6">
            <w:pPr>
              <w:spacing w:line="360" w:lineRule="auto"/>
              <w:ind w:firstLine="480"/>
              <w:rPr>
                <w:sz w:val="24"/>
              </w:rPr>
            </w:pPr>
            <w:r>
              <w:rPr>
                <w:rFonts w:hint="eastAsia"/>
                <w:sz w:val="24"/>
              </w:rPr>
              <w:t>5</w:t>
            </w:r>
            <w:r>
              <w:rPr>
                <w:sz w:val="24"/>
              </w:rPr>
              <w:t>、伴生气</w:t>
            </w:r>
          </w:p>
          <w:p w14:paraId="0789B210">
            <w:pPr>
              <w:spacing w:line="360" w:lineRule="auto"/>
              <w:ind w:firstLine="480"/>
              <w:rPr>
                <w:sz w:val="24"/>
              </w:rPr>
            </w:pPr>
            <w:r>
              <w:rPr>
                <w:sz w:val="24"/>
              </w:rPr>
              <w:t>根据</w:t>
            </w:r>
            <w:r>
              <w:rPr>
                <w:rFonts w:hint="eastAsia"/>
                <w:sz w:val="24"/>
              </w:rPr>
              <w:t>勘探井</w:t>
            </w:r>
            <w:r>
              <w:rPr>
                <w:sz w:val="24"/>
              </w:rPr>
              <w:t>钻探结果</w:t>
            </w:r>
            <w:r>
              <w:rPr>
                <w:rFonts w:hint="eastAsia"/>
                <w:sz w:val="24"/>
              </w:rPr>
              <w:t>，如果采出液中存在伴生气（</w:t>
            </w:r>
            <w:r>
              <w:rPr>
                <w:sz w:val="24"/>
              </w:rPr>
              <w:t>主要为天然气及少量非甲烷总烃</w:t>
            </w:r>
            <w:r>
              <w:rPr>
                <w:rFonts w:hint="eastAsia"/>
                <w:sz w:val="24"/>
              </w:rPr>
              <w:t>）则需要就地放喷燃烧。</w:t>
            </w:r>
            <w:r>
              <w:rPr>
                <w:sz w:val="24"/>
              </w:rPr>
              <w:t>采出液经井场设置的两相分离器</w:t>
            </w:r>
            <w:r>
              <w:rPr>
                <w:rFonts w:hint="eastAsia"/>
                <w:sz w:val="24"/>
              </w:rPr>
              <w:t>处理</w:t>
            </w:r>
            <w:r>
              <w:rPr>
                <w:sz w:val="24"/>
              </w:rPr>
              <w:t>，液体进入高架卧式防腐储液罐，气体经管线输送至放喷火炬，火炬为</w:t>
            </w:r>
            <w:r>
              <w:rPr>
                <w:rFonts w:hint="eastAsia"/>
                <w:sz w:val="24"/>
              </w:rPr>
              <w:t>8m高排气筒，</w:t>
            </w:r>
            <w:r>
              <w:rPr>
                <w:sz w:val="24"/>
              </w:rPr>
              <w:t>顶端设自动点火装置并配备防回火装置，将气体于火炬排放口处点燃，燃烧产物主要为二氧化碳等。放喷火炬设置于井口50m以外，距</w:t>
            </w:r>
            <w:r>
              <w:rPr>
                <w:rFonts w:hint="eastAsia"/>
                <w:sz w:val="24"/>
              </w:rPr>
              <w:t>两相</w:t>
            </w:r>
            <w:r>
              <w:rPr>
                <w:sz w:val="24"/>
              </w:rPr>
              <w:t>分离器排气管线及放喷管线外的各种设施距离不小于20m。</w:t>
            </w:r>
          </w:p>
          <w:p w14:paraId="1F54B69F">
            <w:pPr>
              <w:spacing w:line="360" w:lineRule="auto"/>
              <w:ind w:firstLine="480"/>
              <w:rPr>
                <w:sz w:val="24"/>
              </w:rPr>
            </w:pPr>
            <w:r>
              <w:rPr>
                <w:sz w:val="24"/>
              </w:rPr>
              <w:t>项目放喷燃烧时间通常为4</w:t>
            </w:r>
            <w:r>
              <w:rPr>
                <w:rFonts w:hint="eastAsia"/>
                <w:sz w:val="24"/>
              </w:rPr>
              <w:t>~</w:t>
            </w:r>
            <w:r>
              <w:rPr>
                <w:sz w:val="24"/>
              </w:rPr>
              <w:t>6小时，属于短时排放，故产生放喷燃烧废气量较少，不做定量分析。</w:t>
            </w:r>
          </w:p>
          <w:p w14:paraId="57F4D668">
            <w:pPr>
              <w:spacing w:line="360" w:lineRule="auto"/>
              <w:ind w:firstLine="480"/>
              <w:rPr>
                <w:b/>
                <w:sz w:val="24"/>
              </w:rPr>
            </w:pPr>
            <w:r>
              <w:rPr>
                <w:rFonts w:hint="eastAsia"/>
                <w:b/>
                <w:sz w:val="24"/>
              </w:rPr>
              <w:t>二、施工期废水</w:t>
            </w:r>
            <w:r>
              <w:rPr>
                <w:b/>
                <w:sz w:val="24"/>
              </w:rPr>
              <w:t>影响分析</w:t>
            </w:r>
          </w:p>
          <w:p w14:paraId="6EE2C6C3">
            <w:pPr>
              <w:adjustRightInd w:val="0"/>
              <w:snapToGrid w:val="0"/>
              <w:spacing w:line="360" w:lineRule="auto"/>
              <w:ind w:firstLine="480" w:firstLineChars="200"/>
              <w:rPr>
                <w:sz w:val="24"/>
              </w:rPr>
            </w:pPr>
            <w:r>
              <w:rPr>
                <w:sz w:val="24"/>
              </w:rPr>
              <w:t>项目</w:t>
            </w:r>
            <w:r>
              <w:rPr>
                <w:rFonts w:hint="eastAsia"/>
                <w:sz w:val="24"/>
              </w:rPr>
              <w:t>钻井过程中使用水基泥浆，采用泥浆不落地循环系统装置，钻井泥浆循环使用，钻井过程中产生的废水随同废弃泥浆、钻井岩屑</w:t>
            </w:r>
            <w:r>
              <w:rPr>
                <w:rFonts w:hint="eastAsia"/>
                <w:sz w:val="24"/>
                <w:szCs w:val="21"/>
              </w:rPr>
              <w:t>收集至泥浆不落地循环系统装置旁的</w:t>
            </w:r>
            <w:r>
              <w:rPr>
                <w:rFonts w:hint="eastAsia"/>
                <w:sz w:val="24"/>
              </w:rPr>
              <w:t>3具</w:t>
            </w:r>
            <w:r>
              <w:rPr>
                <w:sz w:val="24"/>
              </w:rPr>
              <w:t>30m</w:t>
            </w:r>
            <w:r>
              <w:rPr>
                <w:sz w:val="24"/>
                <w:vertAlign w:val="superscript"/>
              </w:rPr>
              <w:t>3</w:t>
            </w:r>
            <w:r>
              <w:rPr>
                <w:sz w:val="24"/>
              </w:rPr>
              <w:t>（2</w:t>
            </w:r>
            <w:r>
              <w:rPr>
                <w:kern w:val="0"/>
                <w:sz w:val="24"/>
              </w:rPr>
              <w:t>×</w:t>
            </w:r>
            <w:r>
              <w:rPr>
                <w:sz w:val="24"/>
              </w:rPr>
              <w:t>2.5</w:t>
            </w:r>
            <w:r>
              <w:rPr>
                <w:kern w:val="0"/>
                <w:sz w:val="24"/>
              </w:rPr>
              <w:t>×</w:t>
            </w:r>
            <w:r>
              <w:rPr>
                <w:sz w:val="24"/>
              </w:rPr>
              <w:t>6m）、壁厚约5mm的</w:t>
            </w:r>
            <w:r>
              <w:rPr>
                <w:rFonts w:hint="eastAsia"/>
                <w:sz w:val="24"/>
                <w:szCs w:val="21"/>
              </w:rPr>
              <w:t>可移动废水罐临时贮存，钻井废水产生量共976m</w:t>
            </w:r>
            <w:r>
              <w:rPr>
                <w:rFonts w:hint="eastAsia"/>
                <w:sz w:val="24"/>
                <w:szCs w:val="21"/>
                <w:vertAlign w:val="superscript"/>
              </w:rPr>
              <w:t>3</w:t>
            </w:r>
            <w:r>
              <w:rPr>
                <w:rFonts w:hint="eastAsia"/>
                <w:sz w:val="24"/>
                <w:szCs w:val="21"/>
              </w:rPr>
              <w:t>/钻井期，随同废弃泥浆、钻井岩屑定期拉运至内蒙古众宁环保科技有限公司油气田废弃物集中处理厂处理</w:t>
            </w:r>
            <w:r>
              <w:rPr>
                <w:rFonts w:hint="eastAsia"/>
                <w:sz w:val="24"/>
              </w:rPr>
              <w:t>。</w:t>
            </w:r>
          </w:p>
          <w:p w14:paraId="6CC92878">
            <w:pPr>
              <w:spacing w:line="360" w:lineRule="auto"/>
              <w:ind w:firstLine="480"/>
              <w:rPr>
                <w:bCs/>
                <w:sz w:val="24"/>
              </w:rPr>
            </w:pPr>
            <w:r>
              <w:rPr>
                <w:sz w:val="24"/>
              </w:rPr>
              <w:t>项目劳动定员40人，勘探期为</w:t>
            </w:r>
            <w:r>
              <w:rPr>
                <w:rFonts w:hint="eastAsia"/>
                <w:sz w:val="24"/>
              </w:rPr>
              <w:t>180</w:t>
            </w:r>
            <w:r>
              <w:rPr>
                <w:sz w:val="24"/>
              </w:rPr>
              <w:t>天，按</w:t>
            </w:r>
            <w:r>
              <w:rPr>
                <w:rFonts w:hint="eastAsia"/>
                <w:sz w:val="24"/>
              </w:rPr>
              <w:t>6</w:t>
            </w:r>
            <w:r>
              <w:rPr>
                <w:sz w:val="24"/>
              </w:rPr>
              <w:t>0L/d·人计算，则生活用水量</w:t>
            </w:r>
            <w:r>
              <w:rPr>
                <w:rFonts w:hint="eastAsia"/>
                <w:sz w:val="24"/>
              </w:rPr>
              <w:t>为432</w:t>
            </w:r>
            <w:r>
              <w:rPr>
                <w:sz w:val="24"/>
              </w:rPr>
              <w:t>m</w:t>
            </w:r>
            <w:r>
              <w:rPr>
                <w:sz w:val="24"/>
                <w:vertAlign w:val="superscript"/>
              </w:rPr>
              <w:t>3</w:t>
            </w:r>
            <w:r>
              <w:rPr>
                <w:sz w:val="24"/>
              </w:rPr>
              <w:t>/勘探期，勘探期产生的</w:t>
            </w:r>
            <w:r>
              <w:rPr>
                <w:rFonts w:hint="eastAsia"/>
                <w:sz w:val="24"/>
              </w:rPr>
              <w:t>盥洗废水</w:t>
            </w:r>
            <w:r>
              <w:rPr>
                <w:sz w:val="24"/>
              </w:rPr>
              <w:t>产生量按用水量的80%计，污水排放量为</w:t>
            </w:r>
            <w:r>
              <w:rPr>
                <w:rFonts w:hint="eastAsia"/>
                <w:sz w:val="24"/>
              </w:rPr>
              <w:t>345.6</w:t>
            </w:r>
            <w:r>
              <w:rPr>
                <w:sz w:val="24"/>
              </w:rPr>
              <w:t>m</w:t>
            </w:r>
            <w:r>
              <w:rPr>
                <w:sz w:val="24"/>
                <w:vertAlign w:val="superscript"/>
              </w:rPr>
              <w:t>3</w:t>
            </w:r>
            <w:r>
              <w:rPr>
                <w:sz w:val="24"/>
              </w:rPr>
              <w:t>/勘探期，</w:t>
            </w:r>
            <w:r>
              <w:rPr>
                <w:rFonts w:hint="eastAsia"/>
                <w:sz w:val="24"/>
              </w:rPr>
              <w:t>盥洗废水</w:t>
            </w:r>
            <w:r>
              <w:rPr>
                <w:sz w:val="24"/>
              </w:rPr>
              <w:t>主要污染物为pH：6~9，COD：400mg/L，BOD</w:t>
            </w:r>
            <w:r>
              <w:rPr>
                <w:sz w:val="24"/>
                <w:vertAlign w:val="subscript"/>
              </w:rPr>
              <w:t>5</w:t>
            </w:r>
            <w:r>
              <w:rPr>
                <w:sz w:val="24"/>
              </w:rPr>
              <w:t>：200mg/L，SS：250mg/L，氨氮：25mg/L，</w:t>
            </w:r>
            <w:r>
              <w:rPr>
                <w:rFonts w:hint="eastAsia"/>
                <w:sz w:val="24"/>
              </w:rPr>
              <w:t>排入</w:t>
            </w:r>
            <w:r>
              <w:rPr>
                <w:bCs/>
                <w:sz w:val="24"/>
              </w:rPr>
              <w:t>井场设置</w:t>
            </w:r>
            <w:r>
              <w:rPr>
                <w:rFonts w:hint="eastAsia"/>
                <w:bCs/>
                <w:sz w:val="24"/>
              </w:rPr>
              <w:t>环保厕所</w:t>
            </w:r>
            <w:r>
              <w:rPr>
                <w:bCs/>
                <w:sz w:val="24"/>
              </w:rPr>
              <w:t>，定期清掏。</w:t>
            </w:r>
          </w:p>
          <w:p w14:paraId="2CFD9748">
            <w:pPr>
              <w:spacing w:line="360" w:lineRule="auto"/>
              <w:ind w:firstLine="480"/>
              <w:rPr>
                <w:sz w:val="24"/>
              </w:rPr>
            </w:pPr>
            <w:r>
              <w:rPr>
                <w:sz w:val="24"/>
              </w:rPr>
              <w:t>项目试油</w:t>
            </w:r>
            <w:r>
              <w:rPr>
                <w:rFonts w:hint="eastAsia"/>
                <w:sz w:val="24"/>
              </w:rPr>
              <w:t>阶段</w:t>
            </w:r>
            <w:r>
              <w:rPr>
                <w:sz w:val="24"/>
              </w:rPr>
              <w:t>井场不设油水分离设施，</w:t>
            </w:r>
            <w:r>
              <w:rPr>
                <w:rFonts w:hint="eastAsia"/>
                <w:sz w:val="24"/>
              </w:rPr>
              <w:t>采出液含有一定水量，随原油一同拉至临河联合站处理，因此</w:t>
            </w:r>
            <w:r>
              <w:rPr>
                <w:sz w:val="24"/>
              </w:rPr>
              <w:t>试油</w:t>
            </w:r>
            <w:r>
              <w:rPr>
                <w:rFonts w:hint="eastAsia"/>
                <w:sz w:val="24"/>
              </w:rPr>
              <w:t>阶段</w:t>
            </w:r>
            <w:r>
              <w:rPr>
                <w:sz w:val="24"/>
              </w:rPr>
              <w:t>无废水产生及排放</w:t>
            </w:r>
            <w:r>
              <w:rPr>
                <w:rFonts w:hint="eastAsia"/>
                <w:sz w:val="24"/>
              </w:rPr>
              <w:t>。</w:t>
            </w:r>
          </w:p>
          <w:p w14:paraId="1339BBC2">
            <w:pPr>
              <w:adjustRightInd w:val="0"/>
              <w:snapToGrid w:val="0"/>
              <w:spacing w:line="360" w:lineRule="auto"/>
              <w:ind w:firstLine="480" w:firstLineChars="200"/>
              <w:rPr>
                <w:sz w:val="24"/>
                <w:szCs w:val="20"/>
              </w:rPr>
            </w:pPr>
            <w:r>
              <w:rPr>
                <w:rFonts w:hint="eastAsia"/>
                <w:sz w:val="24"/>
              </w:rPr>
              <w:t>综上，项目产生的废水均妥善处理，不会对环境产生影响。</w:t>
            </w:r>
          </w:p>
          <w:p w14:paraId="14FD559F">
            <w:pPr>
              <w:spacing w:line="360" w:lineRule="auto"/>
              <w:ind w:firstLine="480"/>
              <w:rPr>
                <w:b/>
                <w:sz w:val="24"/>
              </w:rPr>
            </w:pPr>
            <w:r>
              <w:rPr>
                <w:rFonts w:hint="eastAsia"/>
                <w:b/>
                <w:sz w:val="24"/>
              </w:rPr>
              <w:t>三、施工期噪声影响分析</w:t>
            </w:r>
          </w:p>
          <w:p w14:paraId="417173FE">
            <w:pPr>
              <w:spacing w:line="360" w:lineRule="auto"/>
              <w:ind w:firstLine="480"/>
              <w:rPr>
                <w:sz w:val="24"/>
              </w:rPr>
            </w:pPr>
            <w:r>
              <w:rPr>
                <w:rFonts w:hint="eastAsia"/>
                <w:sz w:val="24"/>
              </w:rPr>
              <w:t>1、钻井阶段</w:t>
            </w:r>
          </w:p>
          <w:p w14:paraId="02D14F27">
            <w:pPr>
              <w:spacing w:line="360" w:lineRule="auto"/>
              <w:ind w:firstLine="480"/>
              <w:rPr>
                <w:sz w:val="24"/>
              </w:rPr>
            </w:pPr>
            <w:r>
              <w:rPr>
                <w:rFonts w:hint="eastAsia"/>
                <w:sz w:val="24"/>
              </w:rPr>
              <w:t>钻井阶段产生的噪声主要为机械噪声与作业噪声。机械噪声主要来源于大型柴油机、钻机、钻井泵及各种机械转动产生的噪声；作业噪声主要来源于固井作业、下套管、起下钻具、起钻时吊环与水龙头的撞击等发出的噪声。</w:t>
            </w:r>
          </w:p>
          <w:p w14:paraId="57CF2ADB">
            <w:pPr>
              <w:adjustRightInd w:val="0"/>
              <w:snapToGrid w:val="0"/>
              <w:spacing w:line="360" w:lineRule="auto"/>
              <w:ind w:firstLine="480" w:firstLineChars="200"/>
              <w:rPr>
                <w:sz w:val="24"/>
              </w:rPr>
            </w:pPr>
            <w:r>
              <w:rPr>
                <w:rFonts w:hint="eastAsia"/>
                <w:sz w:val="24"/>
              </w:rPr>
              <w:t>根据《钻井作业现场健康危害因素及预防》（中国石油和化工标准与质量）中钻机噪声危害场所监测结果可知，钻井作业现场声源强度一般都在80dB（A）以上，具体噪声源强见下表</w:t>
            </w:r>
            <w:r>
              <w:rPr>
                <w:sz w:val="24"/>
              </w:rPr>
              <w:t>。项目</w:t>
            </w:r>
            <w:r>
              <w:rPr>
                <w:rFonts w:hint="eastAsia"/>
                <w:sz w:val="24"/>
              </w:rPr>
              <w:t>3口勘探井依次施工，不会同时施工。</w:t>
            </w:r>
          </w:p>
          <w:p w14:paraId="1C61E5CC">
            <w:pPr>
              <w:autoSpaceDE w:val="0"/>
              <w:autoSpaceDN w:val="0"/>
              <w:adjustRightInd w:val="0"/>
              <w:jc w:val="center"/>
              <w:rPr>
                <w:b/>
                <w:kern w:val="0"/>
                <w:sz w:val="24"/>
                <w:szCs w:val="21"/>
              </w:rPr>
            </w:pPr>
            <w:r>
              <w:rPr>
                <w:b/>
                <w:kern w:val="0"/>
                <w:sz w:val="24"/>
                <w:szCs w:val="21"/>
              </w:rPr>
              <w:t>表</w:t>
            </w:r>
            <w:r>
              <w:rPr>
                <w:rFonts w:hint="eastAsia"/>
                <w:b/>
                <w:kern w:val="0"/>
                <w:sz w:val="24"/>
                <w:szCs w:val="21"/>
              </w:rPr>
              <w:t>4</w:t>
            </w:r>
            <w:r>
              <w:rPr>
                <w:b/>
                <w:kern w:val="0"/>
                <w:sz w:val="24"/>
                <w:szCs w:val="21"/>
              </w:rPr>
              <w:t>-</w:t>
            </w:r>
            <w:r>
              <w:rPr>
                <w:rFonts w:hint="eastAsia"/>
                <w:b/>
                <w:kern w:val="0"/>
                <w:sz w:val="24"/>
                <w:szCs w:val="21"/>
              </w:rPr>
              <w:t>3 钻井阶段噪声源强表</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57" w:type="dxa"/>
                <w:bottom w:w="0" w:type="dxa"/>
                <w:right w:w="57" w:type="dxa"/>
              </w:tblCellMar>
            </w:tblPr>
            <w:tblGrid>
              <w:gridCol w:w="962"/>
              <w:gridCol w:w="1419"/>
              <w:gridCol w:w="669"/>
              <w:gridCol w:w="669"/>
              <w:gridCol w:w="670"/>
              <w:gridCol w:w="1126"/>
              <w:gridCol w:w="1414"/>
              <w:gridCol w:w="1266"/>
            </w:tblGrid>
            <w:tr w14:paraId="34733B2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40" w:hRule="atLeast"/>
              </w:trPr>
              <w:tc>
                <w:tcPr>
                  <w:tcW w:w="587" w:type="pct"/>
                  <w:vMerge w:val="restart"/>
                  <w:tcBorders>
                    <w:top w:val="single" w:color="000000" w:sz="12" w:space="0"/>
                    <w:right w:val="single" w:color="auto" w:sz="4" w:space="0"/>
                  </w:tcBorders>
                  <w:vAlign w:val="center"/>
                </w:tcPr>
                <w:p w14:paraId="10977B1B">
                  <w:pPr>
                    <w:ind w:right="9"/>
                    <w:jc w:val="center"/>
                    <w:rPr>
                      <w:kern w:val="0"/>
                      <w:szCs w:val="21"/>
                    </w:rPr>
                  </w:pPr>
                  <w:r>
                    <w:rPr>
                      <w:rFonts w:hint="eastAsia"/>
                      <w:kern w:val="0"/>
                      <w:szCs w:val="21"/>
                    </w:rPr>
                    <w:t>名称</w:t>
                  </w:r>
                </w:p>
              </w:tc>
              <w:tc>
                <w:tcPr>
                  <w:tcW w:w="866" w:type="pct"/>
                  <w:vMerge w:val="restart"/>
                  <w:tcBorders>
                    <w:top w:val="single" w:color="000000" w:sz="12" w:space="0"/>
                    <w:left w:val="single" w:color="auto" w:sz="4" w:space="0"/>
                  </w:tcBorders>
                  <w:vAlign w:val="center"/>
                </w:tcPr>
                <w:p w14:paraId="0015C142">
                  <w:pPr>
                    <w:ind w:right="9"/>
                    <w:jc w:val="center"/>
                    <w:rPr>
                      <w:kern w:val="0"/>
                      <w:szCs w:val="21"/>
                    </w:rPr>
                  </w:pPr>
                  <w:r>
                    <w:rPr>
                      <w:kern w:val="0"/>
                      <w:szCs w:val="21"/>
                    </w:rPr>
                    <w:t>装置空间相对位置</w:t>
                  </w:r>
                </w:p>
              </w:tc>
              <w:tc>
                <w:tcPr>
                  <w:tcW w:w="1225" w:type="pct"/>
                  <w:gridSpan w:val="3"/>
                  <w:tcBorders>
                    <w:top w:val="single" w:color="000000" w:sz="12" w:space="0"/>
                    <w:bottom w:val="single" w:color="auto" w:sz="4" w:space="0"/>
                    <w:right w:val="single" w:color="auto" w:sz="4" w:space="0"/>
                  </w:tcBorders>
                  <w:vAlign w:val="center"/>
                </w:tcPr>
                <w:p w14:paraId="7918A4D6">
                  <w:pPr>
                    <w:jc w:val="center"/>
                    <w:rPr>
                      <w:kern w:val="0"/>
                      <w:szCs w:val="21"/>
                    </w:rPr>
                  </w:pPr>
                  <w:r>
                    <w:rPr>
                      <w:kern w:val="0"/>
                      <w:szCs w:val="21"/>
                    </w:rPr>
                    <w:t>空间相对位置</w:t>
                  </w:r>
                </w:p>
              </w:tc>
              <w:tc>
                <w:tcPr>
                  <w:tcW w:w="687" w:type="pct"/>
                  <w:vMerge w:val="restart"/>
                  <w:tcBorders>
                    <w:top w:val="single" w:color="000000" w:sz="12" w:space="0"/>
                    <w:left w:val="single" w:color="auto" w:sz="4" w:space="0"/>
                    <w:right w:val="single" w:color="auto" w:sz="4" w:space="0"/>
                  </w:tcBorders>
                  <w:vAlign w:val="center"/>
                </w:tcPr>
                <w:p w14:paraId="3FE8B88E">
                  <w:pPr>
                    <w:jc w:val="center"/>
                    <w:rPr>
                      <w:kern w:val="0"/>
                      <w:szCs w:val="21"/>
                    </w:rPr>
                  </w:pPr>
                  <w:r>
                    <w:rPr>
                      <w:kern w:val="0"/>
                      <w:szCs w:val="21"/>
                    </w:rPr>
                    <w:t>源强</w:t>
                  </w:r>
                </w:p>
                <w:p w14:paraId="3B75BF89">
                  <w:pPr>
                    <w:jc w:val="center"/>
                    <w:rPr>
                      <w:kern w:val="0"/>
                      <w:szCs w:val="21"/>
                    </w:rPr>
                  </w:pPr>
                  <w:r>
                    <w:rPr>
                      <w:kern w:val="0"/>
                      <w:szCs w:val="21"/>
                    </w:rPr>
                    <w:t>dB（A）</w:t>
                  </w:r>
                </w:p>
              </w:tc>
              <w:tc>
                <w:tcPr>
                  <w:tcW w:w="863" w:type="pct"/>
                  <w:vMerge w:val="restart"/>
                  <w:tcBorders>
                    <w:top w:val="single" w:color="000000" w:sz="12" w:space="0"/>
                    <w:left w:val="single" w:color="auto" w:sz="4" w:space="0"/>
                  </w:tcBorders>
                  <w:vAlign w:val="center"/>
                </w:tcPr>
                <w:p w14:paraId="723CC0C5">
                  <w:pPr>
                    <w:jc w:val="center"/>
                    <w:rPr>
                      <w:kern w:val="0"/>
                      <w:szCs w:val="21"/>
                    </w:rPr>
                  </w:pPr>
                  <w:r>
                    <w:rPr>
                      <w:rFonts w:hint="eastAsia"/>
                      <w:kern w:val="0"/>
                      <w:szCs w:val="21"/>
                    </w:rPr>
                    <w:t>降噪</w:t>
                  </w:r>
                  <w:r>
                    <w:rPr>
                      <w:kern w:val="0"/>
                      <w:szCs w:val="21"/>
                    </w:rPr>
                    <w:t>措施</w:t>
                  </w:r>
                </w:p>
              </w:tc>
              <w:tc>
                <w:tcPr>
                  <w:tcW w:w="773" w:type="pct"/>
                  <w:vMerge w:val="restart"/>
                  <w:tcBorders>
                    <w:top w:val="single" w:color="000000" w:sz="12" w:space="0"/>
                  </w:tcBorders>
                  <w:vAlign w:val="center"/>
                </w:tcPr>
                <w:p w14:paraId="24FC0A42">
                  <w:pPr>
                    <w:ind w:left="3"/>
                    <w:jc w:val="center"/>
                    <w:rPr>
                      <w:kern w:val="0"/>
                      <w:szCs w:val="21"/>
                    </w:rPr>
                  </w:pPr>
                  <w:r>
                    <w:rPr>
                      <w:rFonts w:hint="eastAsia"/>
                      <w:kern w:val="0"/>
                      <w:szCs w:val="21"/>
                    </w:rPr>
                    <w:t>降噪后源强</w:t>
                  </w:r>
                </w:p>
                <w:p w14:paraId="4017CCF1">
                  <w:pPr>
                    <w:ind w:left="3"/>
                    <w:jc w:val="center"/>
                    <w:rPr>
                      <w:kern w:val="0"/>
                      <w:szCs w:val="21"/>
                    </w:rPr>
                  </w:pPr>
                  <w:r>
                    <w:rPr>
                      <w:rFonts w:hint="eastAsia"/>
                      <w:kern w:val="0"/>
                      <w:szCs w:val="21"/>
                    </w:rPr>
                    <w:t>dB（A）</w:t>
                  </w:r>
                </w:p>
              </w:tc>
            </w:tr>
            <w:tr w14:paraId="620A491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40" w:hRule="atLeast"/>
              </w:trPr>
              <w:tc>
                <w:tcPr>
                  <w:tcW w:w="587" w:type="pct"/>
                  <w:vMerge w:val="continue"/>
                  <w:tcBorders>
                    <w:right w:val="single" w:color="auto" w:sz="4" w:space="0"/>
                  </w:tcBorders>
                  <w:vAlign w:val="center"/>
                </w:tcPr>
                <w:p w14:paraId="098BA399">
                  <w:pPr>
                    <w:ind w:right="9"/>
                    <w:jc w:val="center"/>
                    <w:rPr>
                      <w:kern w:val="0"/>
                      <w:szCs w:val="21"/>
                    </w:rPr>
                  </w:pPr>
                </w:p>
              </w:tc>
              <w:tc>
                <w:tcPr>
                  <w:tcW w:w="866" w:type="pct"/>
                  <w:vMerge w:val="continue"/>
                  <w:tcBorders>
                    <w:left w:val="single" w:color="auto" w:sz="4" w:space="0"/>
                  </w:tcBorders>
                  <w:vAlign w:val="center"/>
                </w:tcPr>
                <w:p w14:paraId="4DAC3F73">
                  <w:pPr>
                    <w:ind w:right="9"/>
                    <w:jc w:val="center"/>
                    <w:rPr>
                      <w:kern w:val="0"/>
                      <w:szCs w:val="21"/>
                    </w:rPr>
                  </w:pPr>
                </w:p>
              </w:tc>
              <w:tc>
                <w:tcPr>
                  <w:tcW w:w="408" w:type="pct"/>
                  <w:tcBorders>
                    <w:top w:val="single" w:color="auto" w:sz="4" w:space="0"/>
                  </w:tcBorders>
                  <w:vAlign w:val="center"/>
                </w:tcPr>
                <w:p w14:paraId="4C8AF7EC">
                  <w:pPr>
                    <w:ind w:left="3"/>
                    <w:jc w:val="center"/>
                    <w:rPr>
                      <w:kern w:val="0"/>
                      <w:szCs w:val="21"/>
                    </w:rPr>
                  </w:pPr>
                  <w:r>
                    <w:rPr>
                      <w:kern w:val="0"/>
                      <w:szCs w:val="21"/>
                    </w:rPr>
                    <w:t>X</w:t>
                  </w:r>
                </w:p>
              </w:tc>
              <w:tc>
                <w:tcPr>
                  <w:tcW w:w="408" w:type="pct"/>
                  <w:tcBorders>
                    <w:top w:val="single" w:color="auto" w:sz="4" w:space="0"/>
                    <w:right w:val="single" w:color="auto" w:sz="4" w:space="0"/>
                  </w:tcBorders>
                  <w:vAlign w:val="center"/>
                </w:tcPr>
                <w:p w14:paraId="2CE1C854">
                  <w:pPr>
                    <w:jc w:val="center"/>
                    <w:rPr>
                      <w:kern w:val="0"/>
                      <w:szCs w:val="21"/>
                    </w:rPr>
                  </w:pPr>
                  <w:r>
                    <w:rPr>
                      <w:kern w:val="0"/>
                      <w:szCs w:val="21"/>
                    </w:rPr>
                    <w:t>Y</w:t>
                  </w:r>
                </w:p>
              </w:tc>
              <w:tc>
                <w:tcPr>
                  <w:tcW w:w="408" w:type="pct"/>
                  <w:tcBorders>
                    <w:top w:val="single" w:color="auto" w:sz="4" w:space="0"/>
                    <w:left w:val="single" w:color="auto" w:sz="4" w:space="0"/>
                    <w:right w:val="single" w:color="auto" w:sz="4" w:space="0"/>
                  </w:tcBorders>
                  <w:vAlign w:val="center"/>
                </w:tcPr>
                <w:p w14:paraId="52B53601">
                  <w:pPr>
                    <w:jc w:val="center"/>
                    <w:rPr>
                      <w:kern w:val="0"/>
                      <w:szCs w:val="21"/>
                    </w:rPr>
                  </w:pPr>
                  <w:r>
                    <w:rPr>
                      <w:kern w:val="0"/>
                      <w:szCs w:val="21"/>
                    </w:rPr>
                    <w:t>Z</w:t>
                  </w:r>
                </w:p>
              </w:tc>
              <w:tc>
                <w:tcPr>
                  <w:tcW w:w="687" w:type="pct"/>
                  <w:vMerge w:val="continue"/>
                  <w:tcBorders>
                    <w:left w:val="single" w:color="auto" w:sz="4" w:space="0"/>
                    <w:right w:val="single" w:color="auto" w:sz="4" w:space="0"/>
                  </w:tcBorders>
                  <w:vAlign w:val="center"/>
                </w:tcPr>
                <w:p w14:paraId="0E747A93">
                  <w:pPr>
                    <w:jc w:val="center"/>
                    <w:rPr>
                      <w:kern w:val="0"/>
                      <w:szCs w:val="21"/>
                    </w:rPr>
                  </w:pPr>
                </w:p>
              </w:tc>
              <w:tc>
                <w:tcPr>
                  <w:tcW w:w="863" w:type="pct"/>
                  <w:vMerge w:val="continue"/>
                  <w:tcBorders>
                    <w:left w:val="single" w:color="auto" w:sz="4" w:space="0"/>
                  </w:tcBorders>
                  <w:vAlign w:val="center"/>
                </w:tcPr>
                <w:p w14:paraId="598C3F6F">
                  <w:pPr>
                    <w:jc w:val="center"/>
                    <w:rPr>
                      <w:kern w:val="0"/>
                      <w:szCs w:val="21"/>
                    </w:rPr>
                  </w:pPr>
                </w:p>
              </w:tc>
              <w:tc>
                <w:tcPr>
                  <w:tcW w:w="773" w:type="pct"/>
                  <w:vMerge w:val="continue"/>
                  <w:vAlign w:val="center"/>
                </w:tcPr>
                <w:p w14:paraId="0AC4D9FB">
                  <w:pPr>
                    <w:ind w:left="3"/>
                    <w:jc w:val="center"/>
                    <w:rPr>
                      <w:kern w:val="0"/>
                      <w:szCs w:val="21"/>
                    </w:rPr>
                  </w:pPr>
                </w:p>
              </w:tc>
            </w:tr>
            <w:tr w14:paraId="01649AE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restart"/>
                  <w:tcBorders>
                    <w:right w:val="single" w:color="auto" w:sz="4" w:space="0"/>
                  </w:tcBorders>
                  <w:tcMar>
                    <w:left w:w="0" w:type="dxa"/>
                    <w:right w:w="0" w:type="dxa"/>
                  </w:tcMar>
                  <w:vAlign w:val="center"/>
                </w:tcPr>
                <w:p w14:paraId="2C7EFEC0">
                  <w:pPr>
                    <w:ind w:right="9"/>
                    <w:jc w:val="center"/>
                    <w:rPr>
                      <w:kern w:val="0"/>
                      <w:szCs w:val="21"/>
                    </w:rPr>
                  </w:pPr>
                  <w:r>
                    <w:rPr>
                      <w:rFonts w:hint="eastAsia"/>
                      <w:kern w:val="0"/>
                      <w:szCs w:val="21"/>
                    </w:rPr>
                    <w:t>1号井</w:t>
                  </w:r>
                </w:p>
              </w:tc>
              <w:tc>
                <w:tcPr>
                  <w:tcW w:w="866" w:type="pct"/>
                  <w:tcBorders>
                    <w:left w:val="single" w:color="auto" w:sz="4" w:space="0"/>
                  </w:tcBorders>
                  <w:vAlign w:val="center"/>
                </w:tcPr>
                <w:p w14:paraId="031C5599">
                  <w:pPr>
                    <w:ind w:right="9"/>
                    <w:jc w:val="center"/>
                    <w:rPr>
                      <w:kern w:val="0"/>
                      <w:szCs w:val="21"/>
                    </w:rPr>
                  </w:pPr>
                  <w:r>
                    <w:rPr>
                      <w:kern w:val="0"/>
                      <w:szCs w:val="21"/>
                    </w:rPr>
                    <w:t>钻机系统</w:t>
                  </w:r>
                </w:p>
              </w:tc>
              <w:tc>
                <w:tcPr>
                  <w:tcW w:w="408" w:type="pct"/>
                  <w:vAlign w:val="center"/>
                </w:tcPr>
                <w:p w14:paraId="1D5F24D1">
                  <w:pPr>
                    <w:spacing w:before="14"/>
                    <w:ind w:right="1"/>
                    <w:jc w:val="center"/>
                    <w:rPr>
                      <w:kern w:val="0"/>
                      <w:szCs w:val="21"/>
                    </w:rPr>
                  </w:pPr>
                  <w:r>
                    <w:rPr>
                      <w:rFonts w:hint="eastAsia"/>
                      <w:kern w:val="0"/>
                      <w:szCs w:val="21"/>
                    </w:rPr>
                    <w:t>78.0</w:t>
                  </w:r>
                </w:p>
              </w:tc>
              <w:tc>
                <w:tcPr>
                  <w:tcW w:w="408" w:type="pct"/>
                  <w:tcBorders>
                    <w:right w:val="single" w:color="auto" w:sz="4" w:space="0"/>
                  </w:tcBorders>
                  <w:vAlign w:val="center"/>
                </w:tcPr>
                <w:p w14:paraId="680F68A6">
                  <w:pPr>
                    <w:ind w:right="9"/>
                    <w:jc w:val="center"/>
                    <w:rPr>
                      <w:kern w:val="0"/>
                      <w:szCs w:val="21"/>
                    </w:rPr>
                  </w:pPr>
                  <w:r>
                    <w:rPr>
                      <w:rFonts w:hint="eastAsia"/>
                      <w:kern w:val="0"/>
                      <w:szCs w:val="21"/>
                    </w:rPr>
                    <w:t>40.5</w:t>
                  </w:r>
                </w:p>
              </w:tc>
              <w:tc>
                <w:tcPr>
                  <w:tcW w:w="408" w:type="pct"/>
                  <w:tcBorders>
                    <w:left w:val="single" w:color="auto" w:sz="4" w:space="0"/>
                    <w:right w:val="single" w:color="auto" w:sz="4" w:space="0"/>
                  </w:tcBorders>
                  <w:vAlign w:val="center"/>
                </w:tcPr>
                <w:p w14:paraId="01C7ADE1">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7C3A61C6">
                  <w:pPr>
                    <w:ind w:right="9"/>
                    <w:jc w:val="center"/>
                    <w:rPr>
                      <w:kern w:val="0"/>
                      <w:szCs w:val="21"/>
                    </w:rPr>
                  </w:pPr>
                  <w:r>
                    <w:rPr>
                      <w:rFonts w:hint="eastAsia"/>
                      <w:kern w:val="0"/>
                      <w:szCs w:val="21"/>
                    </w:rPr>
                    <w:t>95</w:t>
                  </w:r>
                </w:p>
              </w:tc>
              <w:tc>
                <w:tcPr>
                  <w:tcW w:w="863" w:type="pct"/>
                  <w:vMerge w:val="restart"/>
                  <w:tcBorders>
                    <w:left w:val="single" w:color="auto" w:sz="4" w:space="0"/>
                  </w:tcBorders>
                  <w:vAlign w:val="center"/>
                </w:tcPr>
                <w:p w14:paraId="452C3A3B">
                  <w:pPr>
                    <w:ind w:right="9"/>
                    <w:jc w:val="center"/>
                    <w:rPr>
                      <w:kern w:val="0"/>
                      <w:szCs w:val="21"/>
                    </w:rPr>
                  </w:pPr>
                  <w:r>
                    <w:rPr>
                      <w:rFonts w:hint="eastAsia"/>
                      <w:kern w:val="0"/>
                      <w:szCs w:val="21"/>
                    </w:rPr>
                    <w:t>选用低噪声设备、基础减振</w:t>
                  </w:r>
                </w:p>
              </w:tc>
              <w:tc>
                <w:tcPr>
                  <w:tcW w:w="773" w:type="pct"/>
                  <w:vAlign w:val="center"/>
                </w:tcPr>
                <w:p w14:paraId="1011F4C4">
                  <w:pPr>
                    <w:ind w:right="9"/>
                    <w:jc w:val="center"/>
                    <w:rPr>
                      <w:kern w:val="0"/>
                      <w:szCs w:val="21"/>
                    </w:rPr>
                  </w:pPr>
                  <w:r>
                    <w:rPr>
                      <w:rFonts w:hint="eastAsia"/>
                      <w:kern w:val="0"/>
                      <w:szCs w:val="21"/>
                    </w:rPr>
                    <w:t>85</w:t>
                  </w:r>
                </w:p>
              </w:tc>
            </w:tr>
            <w:tr w14:paraId="7FECE1B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tcMar>
                    <w:left w:w="0" w:type="dxa"/>
                    <w:right w:w="0" w:type="dxa"/>
                  </w:tcMar>
                  <w:vAlign w:val="center"/>
                </w:tcPr>
                <w:p w14:paraId="4D205C4C">
                  <w:pPr>
                    <w:ind w:right="9"/>
                    <w:jc w:val="center"/>
                    <w:rPr>
                      <w:kern w:val="0"/>
                      <w:szCs w:val="21"/>
                    </w:rPr>
                  </w:pPr>
                </w:p>
              </w:tc>
              <w:tc>
                <w:tcPr>
                  <w:tcW w:w="866" w:type="pct"/>
                  <w:tcBorders>
                    <w:left w:val="single" w:color="auto" w:sz="4" w:space="0"/>
                  </w:tcBorders>
                  <w:vAlign w:val="center"/>
                </w:tcPr>
                <w:p w14:paraId="0105C23A">
                  <w:pPr>
                    <w:ind w:right="9"/>
                    <w:jc w:val="center"/>
                    <w:rPr>
                      <w:kern w:val="0"/>
                      <w:szCs w:val="21"/>
                    </w:rPr>
                  </w:pPr>
                  <w:r>
                    <w:rPr>
                      <w:kern w:val="0"/>
                      <w:szCs w:val="21"/>
                    </w:rPr>
                    <w:t>柴油机</w:t>
                  </w:r>
                  <w:r>
                    <w:rPr>
                      <w:rFonts w:hint="eastAsia"/>
                      <w:kern w:val="0"/>
                      <w:szCs w:val="21"/>
                    </w:rPr>
                    <w:t>1</w:t>
                  </w:r>
                </w:p>
              </w:tc>
              <w:tc>
                <w:tcPr>
                  <w:tcW w:w="408" w:type="pct"/>
                  <w:vAlign w:val="center"/>
                </w:tcPr>
                <w:p w14:paraId="497EEF15">
                  <w:pPr>
                    <w:spacing w:before="14"/>
                    <w:ind w:right="1"/>
                    <w:jc w:val="center"/>
                    <w:rPr>
                      <w:kern w:val="0"/>
                      <w:szCs w:val="21"/>
                    </w:rPr>
                  </w:pPr>
                  <w:r>
                    <w:rPr>
                      <w:rFonts w:hint="eastAsia"/>
                      <w:kern w:val="0"/>
                      <w:szCs w:val="21"/>
                    </w:rPr>
                    <w:t>90.0</w:t>
                  </w:r>
                </w:p>
              </w:tc>
              <w:tc>
                <w:tcPr>
                  <w:tcW w:w="408" w:type="pct"/>
                  <w:tcBorders>
                    <w:right w:val="single" w:color="auto" w:sz="4" w:space="0"/>
                  </w:tcBorders>
                  <w:vAlign w:val="center"/>
                </w:tcPr>
                <w:p w14:paraId="17535395">
                  <w:pPr>
                    <w:ind w:right="9"/>
                    <w:jc w:val="center"/>
                    <w:rPr>
                      <w:kern w:val="0"/>
                      <w:szCs w:val="21"/>
                    </w:rPr>
                  </w:pPr>
                  <w:r>
                    <w:rPr>
                      <w:rFonts w:hint="eastAsia"/>
                      <w:kern w:val="0"/>
                      <w:szCs w:val="21"/>
                    </w:rPr>
                    <w:t>52.5</w:t>
                  </w:r>
                </w:p>
              </w:tc>
              <w:tc>
                <w:tcPr>
                  <w:tcW w:w="408" w:type="pct"/>
                  <w:tcBorders>
                    <w:left w:val="single" w:color="auto" w:sz="4" w:space="0"/>
                    <w:right w:val="single" w:color="auto" w:sz="4" w:space="0"/>
                  </w:tcBorders>
                  <w:vAlign w:val="center"/>
                </w:tcPr>
                <w:p w14:paraId="228E0EE0">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0CE16223">
                  <w:pPr>
                    <w:ind w:right="9"/>
                    <w:jc w:val="center"/>
                    <w:rPr>
                      <w:kern w:val="0"/>
                      <w:szCs w:val="21"/>
                    </w:rPr>
                  </w:pPr>
                  <w:r>
                    <w:rPr>
                      <w:rFonts w:hint="eastAsia"/>
                      <w:kern w:val="0"/>
                      <w:szCs w:val="21"/>
                    </w:rPr>
                    <w:t>100</w:t>
                  </w:r>
                </w:p>
              </w:tc>
              <w:tc>
                <w:tcPr>
                  <w:tcW w:w="863" w:type="pct"/>
                  <w:vMerge w:val="continue"/>
                  <w:tcBorders>
                    <w:left w:val="single" w:color="auto" w:sz="4" w:space="0"/>
                  </w:tcBorders>
                  <w:vAlign w:val="center"/>
                </w:tcPr>
                <w:p w14:paraId="7FF5FA09">
                  <w:pPr>
                    <w:ind w:right="9"/>
                    <w:jc w:val="center"/>
                    <w:rPr>
                      <w:kern w:val="0"/>
                      <w:szCs w:val="21"/>
                    </w:rPr>
                  </w:pPr>
                </w:p>
              </w:tc>
              <w:tc>
                <w:tcPr>
                  <w:tcW w:w="773" w:type="pct"/>
                  <w:vAlign w:val="center"/>
                </w:tcPr>
                <w:p w14:paraId="38E6D2A1">
                  <w:pPr>
                    <w:ind w:right="9"/>
                    <w:jc w:val="center"/>
                    <w:rPr>
                      <w:kern w:val="0"/>
                      <w:szCs w:val="21"/>
                    </w:rPr>
                  </w:pPr>
                  <w:r>
                    <w:rPr>
                      <w:rFonts w:hint="eastAsia"/>
                      <w:kern w:val="0"/>
                      <w:szCs w:val="21"/>
                    </w:rPr>
                    <w:t>80</w:t>
                  </w:r>
                </w:p>
              </w:tc>
            </w:tr>
            <w:tr w14:paraId="1D79B90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107BF8F8">
                  <w:pPr>
                    <w:ind w:right="9"/>
                    <w:jc w:val="center"/>
                    <w:rPr>
                      <w:kern w:val="0"/>
                      <w:szCs w:val="21"/>
                    </w:rPr>
                  </w:pPr>
                </w:p>
              </w:tc>
              <w:tc>
                <w:tcPr>
                  <w:tcW w:w="866" w:type="pct"/>
                  <w:tcBorders>
                    <w:left w:val="single" w:color="auto" w:sz="4" w:space="0"/>
                  </w:tcBorders>
                  <w:vAlign w:val="center"/>
                </w:tcPr>
                <w:p w14:paraId="627C33F2">
                  <w:pPr>
                    <w:ind w:right="9"/>
                    <w:jc w:val="center"/>
                    <w:rPr>
                      <w:kern w:val="0"/>
                      <w:szCs w:val="21"/>
                    </w:rPr>
                  </w:pPr>
                  <w:r>
                    <w:rPr>
                      <w:kern w:val="0"/>
                      <w:szCs w:val="21"/>
                    </w:rPr>
                    <w:t>柴油机</w:t>
                  </w:r>
                  <w:r>
                    <w:rPr>
                      <w:rFonts w:hint="eastAsia"/>
                      <w:kern w:val="0"/>
                      <w:szCs w:val="21"/>
                    </w:rPr>
                    <w:t>2</w:t>
                  </w:r>
                </w:p>
              </w:tc>
              <w:tc>
                <w:tcPr>
                  <w:tcW w:w="408" w:type="pct"/>
                  <w:vAlign w:val="center"/>
                </w:tcPr>
                <w:p w14:paraId="7D246B2D">
                  <w:pPr>
                    <w:spacing w:before="14"/>
                    <w:ind w:right="1"/>
                    <w:jc w:val="center"/>
                    <w:rPr>
                      <w:kern w:val="0"/>
                      <w:szCs w:val="21"/>
                    </w:rPr>
                  </w:pPr>
                  <w:r>
                    <w:rPr>
                      <w:rFonts w:hint="eastAsia"/>
                      <w:kern w:val="0"/>
                      <w:szCs w:val="21"/>
                    </w:rPr>
                    <w:t>92.0</w:t>
                  </w:r>
                </w:p>
              </w:tc>
              <w:tc>
                <w:tcPr>
                  <w:tcW w:w="408" w:type="pct"/>
                  <w:tcBorders>
                    <w:right w:val="single" w:color="auto" w:sz="4" w:space="0"/>
                  </w:tcBorders>
                  <w:vAlign w:val="center"/>
                </w:tcPr>
                <w:p w14:paraId="7FE59A33">
                  <w:pPr>
                    <w:ind w:right="9"/>
                    <w:jc w:val="center"/>
                    <w:rPr>
                      <w:kern w:val="0"/>
                      <w:szCs w:val="21"/>
                    </w:rPr>
                  </w:pPr>
                  <w:r>
                    <w:rPr>
                      <w:rFonts w:hint="eastAsia"/>
                      <w:kern w:val="0"/>
                      <w:szCs w:val="21"/>
                    </w:rPr>
                    <w:t>52.5</w:t>
                  </w:r>
                </w:p>
              </w:tc>
              <w:tc>
                <w:tcPr>
                  <w:tcW w:w="408" w:type="pct"/>
                  <w:tcBorders>
                    <w:left w:val="single" w:color="auto" w:sz="4" w:space="0"/>
                    <w:right w:val="single" w:color="auto" w:sz="4" w:space="0"/>
                  </w:tcBorders>
                  <w:vAlign w:val="center"/>
                </w:tcPr>
                <w:p w14:paraId="074F3610">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62E17289">
                  <w:pPr>
                    <w:ind w:right="9"/>
                    <w:jc w:val="center"/>
                    <w:rPr>
                      <w:kern w:val="0"/>
                      <w:szCs w:val="21"/>
                    </w:rPr>
                  </w:pPr>
                  <w:r>
                    <w:rPr>
                      <w:rFonts w:hint="eastAsia"/>
                      <w:kern w:val="0"/>
                      <w:szCs w:val="21"/>
                    </w:rPr>
                    <w:t>100</w:t>
                  </w:r>
                </w:p>
              </w:tc>
              <w:tc>
                <w:tcPr>
                  <w:tcW w:w="863" w:type="pct"/>
                  <w:vMerge w:val="continue"/>
                  <w:tcBorders>
                    <w:left w:val="single" w:color="auto" w:sz="4" w:space="0"/>
                  </w:tcBorders>
                  <w:vAlign w:val="center"/>
                </w:tcPr>
                <w:p w14:paraId="2AECA575">
                  <w:pPr>
                    <w:ind w:right="9"/>
                    <w:jc w:val="center"/>
                    <w:rPr>
                      <w:kern w:val="0"/>
                      <w:szCs w:val="21"/>
                    </w:rPr>
                  </w:pPr>
                </w:p>
              </w:tc>
              <w:tc>
                <w:tcPr>
                  <w:tcW w:w="773" w:type="pct"/>
                  <w:vAlign w:val="center"/>
                </w:tcPr>
                <w:p w14:paraId="2AAF430D">
                  <w:pPr>
                    <w:ind w:right="9"/>
                    <w:jc w:val="center"/>
                    <w:rPr>
                      <w:kern w:val="0"/>
                      <w:szCs w:val="21"/>
                    </w:rPr>
                  </w:pPr>
                  <w:r>
                    <w:rPr>
                      <w:rFonts w:hint="eastAsia"/>
                      <w:kern w:val="0"/>
                      <w:szCs w:val="21"/>
                    </w:rPr>
                    <w:t>80</w:t>
                  </w:r>
                </w:p>
              </w:tc>
            </w:tr>
            <w:tr w14:paraId="55113EB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74A1339A">
                  <w:pPr>
                    <w:ind w:right="9"/>
                    <w:jc w:val="center"/>
                    <w:rPr>
                      <w:kern w:val="0"/>
                      <w:szCs w:val="21"/>
                    </w:rPr>
                  </w:pPr>
                </w:p>
              </w:tc>
              <w:tc>
                <w:tcPr>
                  <w:tcW w:w="866" w:type="pct"/>
                  <w:tcBorders>
                    <w:left w:val="single" w:color="auto" w:sz="4" w:space="0"/>
                  </w:tcBorders>
                  <w:vAlign w:val="center"/>
                </w:tcPr>
                <w:p w14:paraId="6346F0B4">
                  <w:pPr>
                    <w:ind w:right="9"/>
                    <w:jc w:val="center"/>
                    <w:rPr>
                      <w:kern w:val="0"/>
                      <w:szCs w:val="21"/>
                    </w:rPr>
                  </w:pPr>
                  <w:r>
                    <w:rPr>
                      <w:rFonts w:hint="eastAsia"/>
                      <w:kern w:val="0"/>
                      <w:szCs w:val="21"/>
                    </w:rPr>
                    <w:t>钻井</w:t>
                  </w:r>
                  <w:r>
                    <w:rPr>
                      <w:kern w:val="0"/>
                      <w:szCs w:val="21"/>
                    </w:rPr>
                    <w:t>泵</w:t>
                  </w:r>
                  <w:r>
                    <w:rPr>
                      <w:rFonts w:hint="eastAsia"/>
                      <w:kern w:val="0"/>
                      <w:szCs w:val="21"/>
                    </w:rPr>
                    <w:t>1</w:t>
                  </w:r>
                </w:p>
              </w:tc>
              <w:tc>
                <w:tcPr>
                  <w:tcW w:w="408" w:type="pct"/>
                  <w:tcMar>
                    <w:left w:w="57" w:type="dxa"/>
                    <w:right w:w="57" w:type="dxa"/>
                  </w:tcMar>
                  <w:vAlign w:val="center"/>
                </w:tcPr>
                <w:p w14:paraId="02D0BB35">
                  <w:pPr>
                    <w:spacing w:before="14"/>
                    <w:ind w:right="1"/>
                    <w:jc w:val="center"/>
                    <w:rPr>
                      <w:kern w:val="0"/>
                      <w:szCs w:val="21"/>
                    </w:rPr>
                  </w:pPr>
                  <w:r>
                    <w:rPr>
                      <w:rFonts w:hint="eastAsia"/>
                      <w:kern w:val="0"/>
                      <w:szCs w:val="21"/>
                    </w:rPr>
                    <w:t>98.5</w:t>
                  </w:r>
                </w:p>
              </w:tc>
              <w:tc>
                <w:tcPr>
                  <w:tcW w:w="408" w:type="pct"/>
                  <w:tcBorders>
                    <w:right w:val="single" w:color="auto" w:sz="4" w:space="0"/>
                  </w:tcBorders>
                  <w:vAlign w:val="center"/>
                </w:tcPr>
                <w:p w14:paraId="720FB0B2">
                  <w:pPr>
                    <w:ind w:right="9"/>
                    <w:jc w:val="center"/>
                    <w:rPr>
                      <w:kern w:val="0"/>
                      <w:szCs w:val="21"/>
                    </w:rPr>
                  </w:pPr>
                  <w:r>
                    <w:rPr>
                      <w:rFonts w:hint="eastAsia"/>
                      <w:kern w:val="0"/>
                      <w:szCs w:val="21"/>
                    </w:rPr>
                    <w:t>34.0</w:t>
                  </w:r>
                </w:p>
              </w:tc>
              <w:tc>
                <w:tcPr>
                  <w:tcW w:w="408" w:type="pct"/>
                  <w:tcBorders>
                    <w:left w:val="single" w:color="auto" w:sz="4" w:space="0"/>
                    <w:right w:val="single" w:color="auto" w:sz="4" w:space="0"/>
                  </w:tcBorders>
                  <w:vAlign w:val="center"/>
                </w:tcPr>
                <w:p w14:paraId="68845ED2">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25A6B19E">
                  <w:pPr>
                    <w:ind w:right="9"/>
                    <w:jc w:val="center"/>
                    <w:rPr>
                      <w:kern w:val="0"/>
                      <w:szCs w:val="21"/>
                    </w:rPr>
                  </w:pPr>
                  <w:r>
                    <w:rPr>
                      <w:rFonts w:hint="eastAsia"/>
                      <w:kern w:val="0"/>
                      <w:szCs w:val="21"/>
                    </w:rPr>
                    <w:t>90</w:t>
                  </w:r>
                </w:p>
              </w:tc>
              <w:tc>
                <w:tcPr>
                  <w:tcW w:w="863" w:type="pct"/>
                  <w:vMerge w:val="continue"/>
                  <w:tcBorders>
                    <w:left w:val="single" w:color="auto" w:sz="4" w:space="0"/>
                  </w:tcBorders>
                  <w:vAlign w:val="center"/>
                </w:tcPr>
                <w:p w14:paraId="7E3227DC">
                  <w:pPr>
                    <w:ind w:right="9"/>
                    <w:jc w:val="center"/>
                    <w:rPr>
                      <w:kern w:val="0"/>
                      <w:szCs w:val="21"/>
                    </w:rPr>
                  </w:pPr>
                </w:p>
              </w:tc>
              <w:tc>
                <w:tcPr>
                  <w:tcW w:w="773" w:type="pct"/>
                  <w:vAlign w:val="center"/>
                </w:tcPr>
                <w:p w14:paraId="606887B9">
                  <w:pPr>
                    <w:ind w:right="9"/>
                    <w:jc w:val="center"/>
                    <w:rPr>
                      <w:kern w:val="0"/>
                      <w:szCs w:val="21"/>
                    </w:rPr>
                  </w:pPr>
                  <w:r>
                    <w:rPr>
                      <w:rFonts w:hint="eastAsia"/>
                      <w:kern w:val="0"/>
                      <w:szCs w:val="21"/>
                    </w:rPr>
                    <w:t>80</w:t>
                  </w:r>
                </w:p>
              </w:tc>
            </w:tr>
            <w:tr w14:paraId="60E8BB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111CAE2C">
                  <w:pPr>
                    <w:ind w:right="9"/>
                    <w:jc w:val="center"/>
                    <w:rPr>
                      <w:kern w:val="0"/>
                      <w:szCs w:val="21"/>
                    </w:rPr>
                  </w:pPr>
                </w:p>
              </w:tc>
              <w:tc>
                <w:tcPr>
                  <w:tcW w:w="866" w:type="pct"/>
                  <w:tcBorders>
                    <w:left w:val="single" w:color="auto" w:sz="4" w:space="0"/>
                  </w:tcBorders>
                  <w:vAlign w:val="center"/>
                </w:tcPr>
                <w:p w14:paraId="5ADED4AB">
                  <w:pPr>
                    <w:ind w:right="9"/>
                    <w:jc w:val="center"/>
                    <w:rPr>
                      <w:kern w:val="0"/>
                      <w:szCs w:val="21"/>
                    </w:rPr>
                  </w:pPr>
                  <w:r>
                    <w:rPr>
                      <w:rFonts w:hint="eastAsia"/>
                      <w:kern w:val="0"/>
                      <w:szCs w:val="21"/>
                    </w:rPr>
                    <w:t>钻井</w:t>
                  </w:r>
                  <w:r>
                    <w:rPr>
                      <w:kern w:val="0"/>
                      <w:szCs w:val="21"/>
                    </w:rPr>
                    <w:t>泵</w:t>
                  </w:r>
                  <w:r>
                    <w:rPr>
                      <w:rFonts w:hint="eastAsia"/>
                      <w:kern w:val="0"/>
                      <w:szCs w:val="21"/>
                    </w:rPr>
                    <w:t>2</w:t>
                  </w:r>
                </w:p>
              </w:tc>
              <w:tc>
                <w:tcPr>
                  <w:tcW w:w="408" w:type="pct"/>
                  <w:vAlign w:val="center"/>
                </w:tcPr>
                <w:p w14:paraId="7F75B6F7">
                  <w:pPr>
                    <w:spacing w:before="14"/>
                    <w:ind w:right="1"/>
                    <w:jc w:val="center"/>
                    <w:rPr>
                      <w:kern w:val="0"/>
                      <w:szCs w:val="21"/>
                    </w:rPr>
                  </w:pPr>
                  <w:r>
                    <w:rPr>
                      <w:rFonts w:hint="eastAsia"/>
                      <w:kern w:val="0"/>
                      <w:szCs w:val="21"/>
                    </w:rPr>
                    <w:t>98.5</w:t>
                  </w:r>
                </w:p>
              </w:tc>
              <w:tc>
                <w:tcPr>
                  <w:tcW w:w="408" w:type="pct"/>
                  <w:tcBorders>
                    <w:right w:val="single" w:color="auto" w:sz="4" w:space="0"/>
                  </w:tcBorders>
                  <w:vAlign w:val="center"/>
                </w:tcPr>
                <w:p w14:paraId="49E38322">
                  <w:pPr>
                    <w:ind w:right="9"/>
                    <w:jc w:val="center"/>
                    <w:rPr>
                      <w:kern w:val="0"/>
                      <w:szCs w:val="21"/>
                    </w:rPr>
                  </w:pPr>
                  <w:r>
                    <w:rPr>
                      <w:rFonts w:hint="eastAsia"/>
                      <w:kern w:val="0"/>
                      <w:szCs w:val="21"/>
                    </w:rPr>
                    <w:t>32.0</w:t>
                  </w:r>
                </w:p>
              </w:tc>
              <w:tc>
                <w:tcPr>
                  <w:tcW w:w="408" w:type="pct"/>
                  <w:tcBorders>
                    <w:left w:val="single" w:color="auto" w:sz="4" w:space="0"/>
                    <w:right w:val="single" w:color="auto" w:sz="4" w:space="0"/>
                  </w:tcBorders>
                  <w:vAlign w:val="center"/>
                </w:tcPr>
                <w:p w14:paraId="0B9EB16B">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03CD0ABD">
                  <w:pPr>
                    <w:ind w:right="9"/>
                    <w:jc w:val="center"/>
                    <w:rPr>
                      <w:kern w:val="0"/>
                      <w:szCs w:val="21"/>
                    </w:rPr>
                  </w:pPr>
                  <w:r>
                    <w:rPr>
                      <w:rFonts w:hint="eastAsia"/>
                      <w:kern w:val="0"/>
                      <w:szCs w:val="21"/>
                    </w:rPr>
                    <w:t>90</w:t>
                  </w:r>
                </w:p>
              </w:tc>
              <w:tc>
                <w:tcPr>
                  <w:tcW w:w="863" w:type="pct"/>
                  <w:vMerge w:val="continue"/>
                  <w:tcBorders>
                    <w:left w:val="single" w:color="auto" w:sz="4" w:space="0"/>
                  </w:tcBorders>
                  <w:vAlign w:val="center"/>
                </w:tcPr>
                <w:p w14:paraId="4D448852">
                  <w:pPr>
                    <w:ind w:right="9"/>
                    <w:jc w:val="center"/>
                    <w:rPr>
                      <w:kern w:val="0"/>
                      <w:szCs w:val="21"/>
                    </w:rPr>
                  </w:pPr>
                </w:p>
              </w:tc>
              <w:tc>
                <w:tcPr>
                  <w:tcW w:w="773" w:type="pct"/>
                  <w:vAlign w:val="center"/>
                </w:tcPr>
                <w:p w14:paraId="42AAA72A">
                  <w:pPr>
                    <w:ind w:right="9"/>
                    <w:jc w:val="center"/>
                    <w:rPr>
                      <w:kern w:val="0"/>
                      <w:szCs w:val="21"/>
                    </w:rPr>
                  </w:pPr>
                  <w:r>
                    <w:rPr>
                      <w:rFonts w:hint="eastAsia"/>
                      <w:kern w:val="0"/>
                      <w:szCs w:val="21"/>
                    </w:rPr>
                    <w:t>80</w:t>
                  </w:r>
                </w:p>
              </w:tc>
            </w:tr>
            <w:tr w14:paraId="45BDD71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571E2963">
                  <w:pPr>
                    <w:ind w:right="9"/>
                    <w:jc w:val="center"/>
                    <w:rPr>
                      <w:kern w:val="0"/>
                      <w:szCs w:val="21"/>
                    </w:rPr>
                  </w:pPr>
                </w:p>
              </w:tc>
              <w:tc>
                <w:tcPr>
                  <w:tcW w:w="866" w:type="pct"/>
                  <w:tcBorders>
                    <w:left w:val="single" w:color="auto" w:sz="4" w:space="0"/>
                  </w:tcBorders>
                  <w:vAlign w:val="center"/>
                </w:tcPr>
                <w:p w14:paraId="7F28A5F4">
                  <w:pPr>
                    <w:ind w:right="9"/>
                    <w:jc w:val="center"/>
                    <w:rPr>
                      <w:kern w:val="0"/>
                      <w:szCs w:val="21"/>
                    </w:rPr>
                  </w:pPr>
                  <w:r>
                    <w:rPr>
                      <w:kern w:val="0"/>
                      <w:szCs w:val="21"/>
                    </w:rPr>
                    <w:t>振动筛</w:t>
                  </w:r>
                  <w:r>
                    <w:rPr>
                      <w:rFonts w:hint="eastAsia"/>
                      <w:kern w:val="0"/>
                      <w:szCs w:val="21"/>
                    </w:rPr>
                    <w:t>1</w:t>
                  </w:r>
                </w:p>
              </w:tc>
              <w:tc>
                <w:tcPr>
                  <w:tcW w:w="408" w:type="pct"/>
                  <w:vAlign w:val="center"/>
                </w:tcPr>
                <w:p w14:paraId="6F21DDE8">
                  <w:pPr>
                    <w:spacing w:before="14"/>
                    <w:ind w:right="1"/>
                    <w:jc w:val="center"/>
                    <w:rPr>
                      <w:kern w:val="0"/>
                      <w:szCs w:val="21"/>
                    </w:rPr>
                  </w:pPr>
                  <w:r>
                    <w:rPr>
                      <w:rFonts w:hint="eastAsia"/>
                      <w:kern w:val="0"/>
                      <w:szCs w:val="21"/>
                    </w:rPr>
                    <w:t>80.0</w:t>
                  </w:r>
                </w:p>
              </w:tc>
              <w:tc>
                <w:tcPr>
                  <w:tcW w:w="408" w:type="pct"/>
                  <w:tcBorders>
                    <w:right w:val="single" w:color="auto" w:sz="4" w:space="0"/>
                  </w:tcBorders>
                  <w:vAlign w:val="center"/>
                </w:tcPr>
                <w:p w14:paraId="795BB469">
                  <w:pPr>
                    <w:ind w:right="9"/>
                    <w:jc w:val="center"/>
                    <w:rPr>
                      <w:kern w:val="0"/>
                      <w:szCs w:val="21"/>
                    </w:rPr>
                  </w:pPr>
                  <w:r>
                    <w:rPr>
                      <w:rFonts w:hint="eastAsia"/>
                      <w:kern w:val="0"/>
                      <w:szCs w:val="21"/>
                    </w:rPr>
                    <w:t>26.0</w:t>
                  </w:r>
                </w:p>
              </w:tc>
              <w:tc>
                <w:tcPr>
                  <w:tcW w:w="408" w:type="pct"/>
                  <w:tcBorders>
                    <w:left w:val="single" w:color="auto" w:sz="4" w:space="0"/>
                    <w:right w:val="single" w:color="auto" w:sz="4" w:space="0"/>
                  </w:tcBorders>
                  <w:vAlign w:val="center"/>
                </w:tcPr>
                <w:p w14:paraId="0130A123">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67078542">
                  <w:pPr>
                    <w:ind w:right="9"/>
                    <w:jc w:val="center"/>
                    <w:rPr>
                      <w:kern w:val="0"/>
                      <w:szCs w:val="21"/>
                    </w:rPr>
                  </w:pPr>
                  <w:r>
                    <w:rPr>
                      <w:rFonts w:hint="eastAsia"/>
                      <w:kern w:val="0"/>
                      <w:szCs w:val="21"/>
                    </w:rPr>
                    <w:t>85</w:t>
                  </w:r>
                </w:p>
              </w:tc>
              <w:tc>
                <w:tcPr>
                  <w:tcW w:w="863" w:type="pct"/>
                  <w:vMerge w:val="continue"/>
                  <w:tcBorders>
                    <w:left w:val="single" w:color="auto" w:sz="4" w:space="0"/>
                  </w:tcBorders>
                  <w:vAlign w:val="center"/>
                </w:tcPr>
                <w:p w14:paraId="17F2A962">
                  <w:pPr>
                    <w:ind w:right="9"/>
                    <w:jc w:val="center"/>
                    <w:rPr>
                      <w:kern w:val="0"/>
                      <w:szCs w:val="21"/>
                    </w:rPr>
                  </w:pPr>
                </w:p>
              </w:tc>
              <w:tc>
                <w:tcPr>
                  <w:tcW w:w="773" w:type="pct"/>
                  <w:vAlign w:val="center"/>
                </w:tcPr>
                <w:p w14:paraId="74F2D116">
                  <w:pPr>
                    <w:ind w:right="9"/>
                    <w:jc w:val="center"/>
                    <w:rPr>
                      <w:kern w:val="0"/>
                      <w:szCs w:val="21"/>
                    </w:rPr>
                  </w:pPr>
                  <w:r>
                    <w:rPr>
                      <w:rFonts w:hint="eastAsia"/>
                      <w:kern w:val="0"/>
                      <w:szCs w:val="21"/>
                    </w:rPr>
                    <w:t>75</w:t>
                  </w:r>
                </w:p>
              </w:tc>
            </w:tr>
            <w:tr w14:paraId="598B9AA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2C24B157">
                  <w:pPr>
                    <w:ind w:right="9"/>
                    <w:jc w:val="center"/>
                    <w:rPr>
                      <w:kern w:val="0"/>
                      <w:szCs w:val="21"/>
                    </w:rPr>
                  </w:pPr>
                </w:p>
              </w:tc>
              <w:tc>
                <w:tcPr>
                  <w:tcW w:w="866" w:type="pct"/>
                  <w:tcBorders>
                    <w:left w:val="single" w:color="auto" w:sz="4" w:space="0"/>
                  </w:tcBorders>
                  <w:vAlign w:val="center"/>
                </w:tcPr>
                <w:p w14:paraId="1237761B">
                  <w:pPr>
                    <w:ind w:right="9"/>
                    <w:jc w:val="center"/>
                    <w:rPr>
                      <w:kern w:val="0"/>
                      <w:szCs w:val="21"/>
                    </w:rPr>
                  </w:pPr>
                  <w:r>
                    <w:rPr>
                      <w:kern w:val="0"/>
                      <w:szCs w:val="21"/>
                    </w:rPr>
                    <w:t>振动筛</w:t>
                  </w:r>
                  <w:r>
                    <w:rPr>
                      <w:rFonts w:hint="eastAsia"/>
                      <w:kern w:val="0"/>
                      <w:szCs w:val="21"/>
                    </w:rPr>
                    <w:t>2</w:t>
                  </w:r>
                </w:p>
              </w:tc>
              <w:tc>
                <w:tcPr>
                  <w:tcW w:w="408" w:type="pct"/>
                  <w:vAlign w:val="center"/>
                </w:tcPr>
                <w:p w14:paraId="1A911D16">
                  <w:pPr>
                    <w:spacing w:before="14"/>
                    <w:ind w:right="1"/>
                    <w:jc w:val="center"/>
                    <w:rPr>
                      <w:kern w:val="0"/>
                      <w:szCs w:val="21"/>
                    </w:rPr>
                  </w:pPr>
                  <w:r>
                    <w:rPr>
                      <w:rFonts w:hint="eastAsia"/>
                      <w:kern w:val="0"/>
                      <w:szCs w:val="21"/>
                    </w:rPr>
                    <w:t>82.0</w:t>
                  </w:r>
                </w:p>
              </w:tc>
              <w:tc>
                <w:tcPr>
                  <w:tcW w:w="408" w:type="pct"/>
                  <w:tcBorders>
                    <w:right w:val="single" w:color="auto" w:sz="4" w:space="0"/>
                  </w:tcBorders>
                  <w:vAlign w:val="center"/>
                </w:tcPr>
                <w:p w14:paraId="0000A31E">
                  <w:pPr>
                    <w:ind w:right="9"/>
                    <w:jc w:val="center"/>
                    <w:rPr>
                      <w:kern w:val="0"/>
                      <w:szCs w:val="21"/>
                    </w:rPr>
                  </w:pPr>
                  <w:r>
                    <w:rPr>
                      <w:rFonts w:hint="eastAsia"/>
                      <w:kern w:val="0"/>
                      <w:szCs w:val="21"/>
                    </w:rPr>
                    <w:t>26.0</w:t>
                  </w:r>
                </w:p>
              </w:tc>
              <w:tc>
                <w:tcPr>
                  <w:tcW w:w="408" w:type="pct"/>
                  <w:tcBorders>
                    <w:left w:val="single" w:color="auto" w:sz="4" w:space="0"/>
                    <w:right w:val="single" w:color="auto" w:sz="4" w:space="0"/>
                  </w:tcBorders>
                  <w:vAlign w:val="center"/>
                </w:tcPr>
                <w:p w14:paraId="0463165A">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619DBF6A">
                  <w:pPr>
                    <w:ind w:right="9"/>
                    <w:jc w:val="center"/>
                    <w:rPr>
                      <w:kern w:val="0"/>
                      <w:szCs w:val="21"/>
                    </w:rPr>
                  </w:pPr>
                  <w:r>
                    <w:rPr>
                      <w:rFonts w:hint="eastAsia"/>
                      <w:kern w:val="0"/>
                      <w:szCs w:val="21"/>
                    </w:rPr>
                    <w:t>85</w:t>
                  </w:r>
                </w:p>
              </w:tc>
              <w:tc>
                <w:tcPr>
                  <w:tcW w:w="863" w:type="pct"/>
                  <w:vMerge w:val="continue"/>
                  <w:tcBorders>
                    <w:left w:val="single" w:color="auto" w:sz="4" w:space="0"/>
                  </w:tcBorders>
                  <w:vAlign w:val="center"/>
                </w:tcPr>
                <w:p w14:paraId="5ECA622C">
                  <w:pPr>
                    <w:ind w:right="9"/>
                    <w:jc w:val="center"/>
                    <w:rPr>
                      <w:kern w:val="0"/>
                      <w:szCs w:val="21"/>
                    </w:rPr>
                  </w:pPr>
                </w:p>
              </w:tc>
              <w:tc>
                <w:tcPr>
                  <w:tcW w:w="773" w:type="pct"/>
                  <w:vAlign w:val="center"/>
                </w:tcPr>
                <w:p w14:paraId="03E609DD">
                  <w:pPr>
                    <w:ind w:right="9"/>
                    <w:jc w:val="center"/>
                    <w:rPr>
                      <w:kern w:val="0"/>
                      <w:szCs w:val="21"/>
                    </w:rPr>
                  </w:pPr>
                  <w:r>
                    <w:rPr>
                      <w:rFonts w:hint="eastAsia"/>
                      <w:kern w:val="0"/>
                      <w:szCs w:val="21"/>
                    </w:rPr>
                    <w:t>75</w:t>
                  </w:r>
                </w:p>
              </w:tc>
            </w:tr>
            <w:tr w14:paraId="3E1FBCC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restart"/>
                  <w:tcBorders>
                    <w:right w:val="single" w:color="auto" w:sz="4" w:space="0"/>
                  </w:tcBorders>
                  <w:tcMar>
                    <w:left w:w="0" w:type="dxa"/>
                    <w:right w:w="0" w:type="dxa"/>
                  </w:tcMar>
                  <w:vAlign w:val="center"/>
                </w:tcPr>
                <w:p w14:paraId="78D2D81F">
                  <w:pPr>
                    <w:ind w:right="9"/>
                    <w:jc w:val="center"/>
                    <w:rPr>
                      <w:kern w:val="0"/>
                      <w:szCs w:val="21"/>
                    </w:rPr>
                  </w:pPr>
                  <w:r>
                    <w:rPr>
                      <w:rFonts w:hint="eastAsia"/>
                      <w:kern w:val="0"/>
                      <w:szCs w:val="21"/>
                    </w:rPr>
                    <w:t>2号井</w:t>
                  </w:r>
                </w:p>
              </w:tc>
              <w:tc>
                <w:tcPr>
                  <w:tcW w:w="866" w:type="pct"/>
                  <w:tcBorders>
                    <w:left w:val="single" w:color="auto" w:sz="4" w:space="0"/>
                  </w:tcBorders>
                  <w:vAlign w:val="center"/>
                </w:tcPr>
                <w:p w14:paraId="5F2FEF0D">
                  <w:pPr>
                    <w:ind w:right="9"/>
                    <w:jc w:val="center"/>
                    <w:rPr>
                      <w:kern w:val="0"/>
                      <w:szCs w:val="21"/>
                    </w:rPr>
                  </w:pPr>
                  <w:r>
                    <w:rPr>
                      <w:kern w:val="0"/>
                      <w:szCs w:val="21"/>
                    </w:rPr>
                    <w:t>钻机系统</w:t>
                  </w:r>
                </w:p>
              </w:tc>
              <w:tc>
                <w:tcPr>
                  <w:tcW w:w="408" w:type="pct"/>
                  <w:vAlign w:val="center"/>
                </w:tcPr>
                <w:p w14:paraId="47125112">
                  <w:pPr>
                    <w:spacing w:before="14"/>
                    <w:ind w:right="1"/>
                    <w:jc w:val="center"/>
                    <w:rPr>
                      <w:kern w:val="0"/>
                      <w:szCs w:val="21"/>
                    </w:rPr>
                  </w:pPr>
                  <w:r>
                    <w:rPr>
                      <w:rFonts w:hint="eastAsia"/>
                      <w:kern w:val="0"/>
                      <w:szCs w:val="21"/>
                    </w:rPr>
                    <w:t>65.5</w:t>
                  </w:r>
                </w:p>
              </w:tc>
              <w:tc>
                <w:tcPr>
                  <w:tcW w:w="408" w:type="pct"/>
                  <w:tcBorders>
                    <w:right w:val="single" w:color="auto" w:sz="4" w:space="0"/>
                  </w:tcBorders>
                  <w:vAlign w:val="center"/>
                </w:tcPr>
                <w:p w14:paraId="653689D1">
                  <w:pPr>
                    <w:ind w:right="9"/>
                    <w:jc w:val="center"/>
                    <w:rPr>
                      <w:kern w:val="0"/>
                      <w:szCs w:val="21"/>
                    </w:rPr>
                  </w:pPr>
                  <w:r>
                    <w:rPr>
                      <w:rFonts w:hint="eastAsia"/>
                      <w:kern w:val="0"/>
                      <w:szCs w:val="21"/>
                    </w:rPr>
                    <w:t>40.5</w:t>
                  </w:r>
                </w:p>
              </w:tc>
              <w:tc>
                <w:tcPr>
                  <w:tcW w:w="408" w:type="pct"/>
                  <w:tcBorders>
                    <w:left w:val="single" w:color="auto" w:sz="4" w:space="0"/>
                    <w:right w:val="single" w:color="auto" w:sz="4" w:space="0"/>
                  </w:tcBorders>
                  <w:vAlign w:val="center"/>
                </w:tcPr>
                <w:p w14:paraId="539A8CDD">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624773A9">
                  <w:pPr>
                    <w:ind w:right="9"/>
                    <w:jc w:val="center"/>
                    <w:rPr>
                      <w:kern w:val="0"/>
                      <w:szCs w:val="21"/>
                    </w:rPr>
                  </w:pPr>
                  <w:r>
                    <w:rPr>
                      <w:rFonts w:hint="eastAsia"/>
                      <w:kern w:val="0"/>
                      <w:szCs w:val="21"/>
                    </w:rPr>
                    <w:t>95</w:t>
                  </w:r>
                </w:p>
              </w:tc>
              <w:tc>
                <w:tcPr>
                  <w:tcW w:w="863" w:type="pct"/>
                  <w:vMerge w:val="restart"/>
                  <w:tcBorders>
                    <w:left w:val="single" w:color="auto" w:sz="4" w:space="0"/>
                  </w:tcBorders>
                  <w:vAlign w:val="center"/>
                </w:tcPr>
                <w:p w14:paraId="13226F40">
                  <w:pPr>
                    <w:ind w:right="9"/>
                    <w:jc w:val="center"/>
                    <w:rPr>
                      <w:kern w:val="0"/>
                      <w:szCs w:val="21"/>
                    </w:rPr>
                  </w:pPr>
                  <w:r>
                    <w:rPr>
                      <w:rFonts w:hint="eastAsia"/>
                      <w:kern w:val="0"/>
                      <w:szCs w:val="21"/>
                    </w:rPr>
                    <w:t>选用低噪声设备、基础减振</w:t>
                  </w:r>
                </w:p>
              </w:tc>
              <w:tc>
                <w:tcPr>
                  <w:tcW w:w="773" w:type="pct"/>
                  <w:vAlign w:val="center"/>
                </w:tcPr>
                <w:p w14:paraId="71F5A494">
                  <w:pPr>
                    <w:ind w:right="9"/>
                    <w:jc w:val="center"/>
                    <w:rPr>
                      <w:kern w:val="0"/>
                      <w:szCs w:val="21"/>
                    </w:rPr>
                  </w:pPr>
                  <w:r>
                    <w:rPr>
                      <w:rFonts w:hint="eastAsia"/>
                      <w:kern w:val="0"/>
                      <w:szCs w:val="21"/>
                    </w:rPr>
                    <w:t>85</w:t>
                  </w:r>
                </w:p>
              </w:tc>
            </w:tr>
            <w:tr w14:paraId="0549AB7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tcMar>
                    <w:left w:w="0" w:type="dxa"/>
                    <w:right w:w="0" w:type="dxa"/>
                  </w:tcMar>
                  <w:vAlign w:val="center"/>
                </w:tcPr>
                <w:p w14:paraId="6CB195C6">
                  <w:pPr>
                    <w:ind w:right="9"/>
                    <w:jc w:val="center"/>
                    <w:rPr>
                      <w:kern w:val="0"/>
                      <w:szCs w:val="21"/>
                    </w:rPr>
                  </w:pPr>
                </w:p>
              </w:tc>
              <w:tc>
                <w:tcPr>
                  <w:tcW w:w="866" w:type="pct"/>
                  <w:tcBorders>
                    <w:left w:val="single" w:color="auto" w:sz="4" w:space="0"/>
                  </w:tcBorders>
                  <w:vAlign w:val="center"/>
                </w:tcPr>
                <w:p w14:paraId="78CA23F5">
                  <w:pPr>
                    <w:ind w:right="9"/>
                    <w:jc w:val="center"/>
                    <w:rPr>
                      <w:kern w:val="0"/>
                      <w:szCs w:val="21"/>
                    </w:rPr>
                  </w:pPr>
                  <w:r>
                    <w:rPr>
                      <w:kern w:val="0"/>
                      <w:szCs w:val="21"/>
                    </w:rPr>
                    <w:t>柴油机</w:t>
                  </w:r>
                  <w:r>
                    <w:rPr>
                      <w:rFonts w:hint="eastAsia"/>
                      <w:kern w:val="0"/>
                      <w:szCs w:val="21"/>
                    </w:rPr>
                    <w:t>1</w:t>
                  </w:r>
                </w:p>
              </w:tc>
              <w:tc>
                <w:tcPr>
                  <w:tcW w:w="408" w:type="pct"/>
                  <w:vAlign w:val="center"/>
                </w:tcPr>
                <w:p w14:paraId="485BAE55">
                  <w:pPr>
                    <w:spacing w:before="14"/>
                    <w:ind w:right="1"/>
                    <w:jc w:val="center"/>
                    <w:rPr>
                      <w:kern w:val="0"/>
                      <w:szCs w:val="21"/>
                    </w:rPr>
                  </w:pPr>
                  <w:r>
                    <w:rPr>
                      <w:rFonts w:hint="eastAsia"/>
                      <w:kern w:val="0"/>
                      <w:szCs w:val="21"/>
                    </w:rPr>
                    <w:t>77.5</w:t>
                  </w:r>
                </w:p>
              </w:tc>
              <w:tc>
                <w:tcPr>
                  <w:tcW w:w="408" w:type="pct"/>
                  <w:tcBorders>
                    <w:right w:val="single" w:color="auto" w:sz="4" w:space="0"/>
                  </w:tcBorders>
                  <w:vAlign w:val="center"/>
                </w:tcPr>
                <w:p w14:paraId="7020E022">
                  <w:pPr>
                    <w:ind w:right="9"/>
                    <w:jc w:val="center"/>
                    <w:rPr>
                      <w:kern w:val="0"/>
                      <w:szCs w:val="21"/>
                    </w:rPr>
                  </w:pPr>
                  <w:r>
                    <w:rPr>
                      <w:rFonts w:hint="eastAsia"/>
                      <w:kern w:val="0"/>
                      <w:szCs w:val="21"/>
                    </w:rPr>
                    <w:t>53.0</w:t>
                  </w:r>
                </w:p>
              </w:tc>
              <w:tc>
                <w:tcPr>
                  <w:tcW w:w="408" w:type="pct"/>
                  <w:tcBorders>
                    <w:left w:val="single" w:color="auto" w:sz="4" w:space="0"/>
                    <w:right w:val="single" w:color="auto" w:sz="4" w:space="0"/>
                  </w:tcBorders>
                  <w:vAlign w:val="center"/>
                </w:tcPr>
                <w:p w14:paraId="0C2B4C19">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5431B38D">
                  <w:pPr>
                    <w:ind w:right="9"/>
                    <w:jc w:val="center"/>
                    <w:rPr>
                      <w:kern w:val="0"/>
                      <w:szCs w:val="21"/>
                    </w:rPr>
                  </w:pPr>
                  <w:r>
                    <w:rPr>
                      <w:rFonts w:hint="eastAsia"/>
                      <w:kern w:val="0"/>
                      <w:szCs w:val="21"/>
                    </w:rPr>
                    <w:t>100</w:t>
                  </w:r>
                </w:p>
              </w:tc>
              <w:tc>
                <w:tcPr>
                  <w:tcW w:w="863" w:type="pct"/>
                  <w:vMerge w:val="continue"/>
                  <w:tcBorders>
                    <w:left w:val="single" w:color="auto" w:sz="4" w:space="0"/>
                  </w:tcBorders>
                  <w:vAlign w:val="center"/>
                </w:tcPr>
                <w:p w14:paraId="5CC5CEC9">
                  <w:pPr>
                    <w:ind w:right="9"/>
                    <w:jc w:val="center"/>
                    <w:rPr>
                      <w:kern w:val="0"/>
                      <w:szCs w:val="21"/>
                    </w:rPr>
                  </w:pPr>
                </w:p>
              </w:tc>
              <w:tc>
                <w:tcPr>
                  <w:tcW w:w="773" w:type="pct"/>
                  <w:vAlign w:val="center"/>
                </w:tcPr>
                <w:p w14:paraId="057E16D4">
                  <w:pPr>
                    <w:ind w:right="9"/>
                    <w:jc w:val="center"/>
                    <w:rPr>
                      <w:kern w:val="0"/>
                      <w:szCs w:val="21"/>
                    </w:rPr>
                  </w:pPr>
                  <w:r>
                    <w:rPr>
                      <w:rFonts w:hint="eastAsia"/>
                      <w:kern w:val="0"/>
                      <w:szCs w:val="21"/>
                    </w:rPr>
                    <w:t>80</w:t>
                  </w:r>
                </w:p>
              </w:tc>
            </w:tr>
            <w:tr w14:paraId="17EBD15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397" w:hRule="atLeast"/>
              </w:trPr>
              <w:tc>
                <w:tcPr>
                  <w:tcW w:w="587" w:type="pct"/>
                  <w:vMerge w:val="continue"/>
                  <w:tcBorders>
                    <w:right w:val="single" w:color="auto" w:sz="4" w:space="0"/>
                  </w:tcBorders>
                  <w:vAlign w:val="center"/>
                </w:tcPr>
                <w:p w14:paraId="74B28D0A">
                  <w:pPr>
                    <w:ind w:right="9"/>
                    <w:jc w:val="center"/>
                    <w:rPr>
                      <w:kern w:val="0"/>
                      <w:szCs w:val="21"/>
                    </w:rPr>
                  </w:pPr>
                </w:p>
              </w:tc>
              <w:tc>
                <w:tcPr>
                  <w:tcW w:w="866" w:type="pct"/>
                  <w:tcBorders>
                    <w:left w:val="single" w:color="auto" w:sz="4" w:space="0"/>
                  </w:tcBorders>
                  <w:vAlign w:val="center"/>
                </w:tcPr>
                <w:p w14:paraId="106C35B7">
                  <w:pPr>
                    <w:ind w:right="9"/>
                    <w:jc w:val="center"/>
                    <w:rPr>
                      <w:kern w:val="0"/>
                      <w:szCs w:val="21"/>
                    </w:rPr>
                  </w:pPr>
                  <w:r>
                    <w:rPr>
                      <w:kern w:val="0"/>
                      <w:szCs w:val="21"/>
                    </w:rPr>
                    <w:t>柴油机</w:t>
                  </w:r>
                  <w:r>
                    <w:rPr>
                      <w:rFonts w:hint="eastAsia"/>
                      <w:kern w:val="0"/>
                      <w:szCs w:val="21"/>
                    </w:rPr>
                    <w:t>2</w:t>
                  </w:r>
                </w:p>
              </w:tc>
              <w:tc>
                <w:tcPr>
                  <w:tcW w:w="408" w:type="pct"/>
                  <w:vAlign w:val="center"/>
                </w:tcPr>
                <w:p w14:paraId="0559A6B4">
                  <w:pPr>
                    <w:spacing w:before="14"/>
                    <w:ind w:right="1"/>
                    <w:jc w:val="center"/>
                    <w:rPr>
                      <w:kern w:val="0"/>
                      <w:szCs w:val="21"/>
                    </w:rPr>
                  </w:pPr>
                  <w:r>
                    <w:rPr>
                      <w:rFonts w:hint="eastAsia"/>
                      <w:kern w:val="0"/>
                      <w:szCs w:val="21"/>
                    </w:rPr>
                    <w:t>79.5</w:t>
                  </w:r>
                </w:p>
              </w:tc>
              <w:tc>
                <w:tcPr>
                  <w:tcW w:w="408" w:type="pct"/>
                  <w:tcBorders>
                    <w:right w:val="single" w:color="auto" w:sz="4" w:space="0"/>
                  </w:tcBorders>
                  <w:vAlign w:val="center"/>
                </w:tcPr>
                <w:p w14:paraId="16B69597">
                  <w:pPr>
                    <w:ind w:right="9"/>
                    <w:jc w:val="center"/>
                    <w:rPr>
                      <w:kern w:val="0"/>
                      <w:szCs w:val="21"/>
                    </w:rPr>
                  </w:pPr>
                  <w:r>
                    <w:rPr>
                      <w:rFonts w:hint="eastAsia"/>
                      <w:kern w:val="0"/>
                      <w:szCs w:val="21"/>
                    </w:rPr>
                    <w:t>53.0</w:t>
                  </w:r>
                </w:p>
              </w:tc>
              <w:tc>
                <w:tcPr>
                  <w:tcW w:w="408" w:type="pct"/>
                  <w:tcBorders>
                    <w:left w:val="single" w:color="auto" w:sz="4" w:space="0"/>
                    <w:right w:val="single" w:color="auto" w:sz="4" w:space="0"/>
                  </w:tcBorders>
                  <w:vAlign w:val="center"/>
                </w:tcPr>
                <w:p w14:paraId="6AED423D">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36080394">
                  <w:pPr>
                    <w:ind w:right="9"/>
                    <w:jc w:val="center"/>
                    <w:rPr>
                      <w:kern w:val="0"/>
                      <w:szCs w:val="21"/>
                    </w:rPr>
                  </w:pPr>
                  <w:r>
                    <w:rPr>
                      <w:rFonts w:hint="eastAsia"/>
                      <w:kern w:val="0"/>
                      <w:szCs w:val="21"/>
                    </w:rPr>
                    <w:t>100</w:t>
                  </w:r>
                </w:p>
              </w:tc>
              <w:tc>
                <w:tcPr>
                  <w:tcW w:w="863" w:type="pct"/>
                  <w:vMerge w:val="continue"/>
                  <w:tcBorders>
                    <w:left w:val="single" w:color="auto" w:sz="4" w:space="0"/>
                  </w:tcBorders>
                  <w:vAlign w:val="center"/>
                </w:tcPr>
                <w:p w14:paraId="5616DBE0">
                  <w:pPr>
                    <w:ind w:right="9"/>
                    <w:jc w:val="center"/>
                    <w:rPr>
                      <w:kern w:val="0"/>
                      <w:szCs w:val="21"/>
                    </w:rPr>
                  </w:pPr>
                </w:p>
              </w:tc>
              <w:tc>
                <w:tcPr>
                  <w:tcW w:w="773" w:type="pct"/>
                  <w:vAlign w:val="center"/>
                </w:tcPr>
                <w:p w14:paraId="57485C6F">
                  <w:pPr>
                    <w:ind w:right="9"/>
                    <w:jc w:val="center"/>
                    <w:rPr>
                      <w:kern w:val="0"/>
                      <w:szCs w:val="21"/>
                    </w:rPr>
                  </w:pPr>
                  <w:r>
                    <w:rPr>
                      <w:rFonts w:hint="eastAsia"/>
                      <w:kern w:val="0"/>
                      <w:szCs w:val="21"/>
                    </w:rPr>
                    <w:t>80</w:t>
                  </w:r>
                </w:p>
              </w:tc>
            </w:tr>
            <w:tr w14:paraId="0066F69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6202972E">
                  <w:pPr>
                    <w:ind w:right="9"/>
                    <w:jc w:val="center"/>
                    <w:rPr>
                      <w:kern w:val="0"/>
                      <w:szCs w:val="21"/>
                    </w:rPr>
                  </w:pPr>
                </w:p>
              </w:tc>
              <w:tc>
                <w:tcPr>
                  <w:tcW w:w="866" w:type="pct"/>
                  <w:tcBorders>
                    <w:left w:val="single" w:color="auto" w:sz="4" w:space="0"/>
                  </w:tcBorders>
                  <w:vAlign w:val="center"/>
                </w:tcPr>
                <w:p w14:paraId="663C6D26">
                  <w:pPr>
                    <w:ind w:right="9"/>
                    <w:jc w:val="center"/>
                    <w:rPr>
                      <w:kern w:val="0"/>
                      <w:szCs w:val="21"/>
                    </w:rPr>
                  </w:pPr>
                  <w:r>
                    <w:rPr>
                      <w:rFonts w:hint="eastAsia"/>
                      <w:kern w:val="0"/>
                      <w:szCs w:val="21"/>
                    </w:rPr>
                    <w:t>钻井</w:t>
                  </w:r>
                  <w:r>
                    <w:rPr>
                      <w:kern w:val="0"/>
                      <w:szCs w:val="21"/>
                    </w:rPr>
                    <w:t>泵</w:t>
                  </w:r>
                  <w:r>
                    <w:rPr>
                      <w:rFonts w:hint="eastAsia"/>
                      <w:kern w:val="0"/>
                      <w:szCs w:val="21"/>
                    </w:rPr>
                    <w:t>1</w:t>
                  </w:r>
                </w:p>
              </w:tc>
              <w:tc>
                <w:tcPr>
                  <w:tcW w:w="408" w:type="pct"/>
                  <w:tcMar>
                    <w:left w:w="57" w:type="dxa"/>
                    <w:right w:w="57" w:type="dxa"/>
                  </w:tcMar>
                  <w:vAlign w:val="center"/>
                </w:tcPr>
                <w:p w14:paraId="16799918">
                  <w:pPr>
                    <w:spacing w:before="14"/>
                    <w:ind w:right="1"/>
                    <w:jc w:val="center"/>
                    <w:rPr>
                      <w:kern w:val="0"/>
                      <w:szCs w:val="21"/>
                    </w:rPr>
                  </w:pPr>
                  <w:r>
                    <w:rPr>
                      <w:rFonts w:hint="eastAsia"/>
                      <w:kern w:val="0"/>
                      <w:szCs w:val="21"/>
                    </w:rPr>
                    <w:t>86.0</w:t>
                  </w:r>
                </w:p>
              </w:tc>
              <w:tc>
                <w:tcPr>
                  <w:tcW w:w="408" w:type="pct"/>
                  <w:tcBorders>
                    <w:right w:val="single" w:color="auto" w:sz="4" w:space="0"/>
                  </w:tcBorders>
                  <w:vAlign w:val="center"/>
                </w:tcPr>
                <w:p w14:paraId="2856B44B">
                  <w:pPr>
                    <w:ind w:right="9"/>
                    <w:jc w:val="center"/>
                    <w:rPr>
                      <w:kern w:val="0"/>
                      <w:szCs w:val="21"/>
                    </w:rPr>
                  </w:pPr>
                  <w:r>
                    <w:rPr>
                      <w:rFonts w:hint="eastAsia"/>
                      <w:kern w:val="0"/>
                      <w:szCs w:val="21"/>
                    </w:rPr>
                    <w:t>34.0</w:t>
                  </w:r>
                </w:p>
              </w:tc>
              <w:tc>
                <w:tcPr>
                  <w:tcW w:w="408" w:type="pct"/>
                  <w:tcBorders>
                    <w:left w:val="single" w:color="auto" w:sz="4" w:space="0"/>
                    <w:right w:val="single" w:color="auto" w:sz="4" w:space="0"/>
                  </w:tcBorders>
                  <w:vAlign w:val="center"/>
                </w:tcPr>
                <w:p w14:paraId="3FD41B7E">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2FCD8A86">
                  <w:pPr>
                    <w:ind w:right="9"/>
                    <w:jc w:val="center"/>
                    <w:rPr>
                      <w:kern w:val="0"/>
                      <w:szCs w:val="21"/>
                    </w:rPr>
                  </w:pPr>
                  <w:r>
                    <w:rPr>
                      <w:rFonts w:hint="eastAsia"/>
                      <w:kern w:val="0"/>
                      <w:szCs w:val="21"/>
                    </w:rPr>
                    <w:t>90</w:t>
                  </w:r>
                </w:p>
              </w:tc>
              <w:tc>
                <w:tcPr>
                  <w:tcW w:w="863" w:type="pct"/>
                  <w:vMerge w:val="continue"/>
                  <w:tcBorders>
                    <w:left w:val="single" w:color="auto" w:sz="4" w:space="0"/>
                  </w:tcBorders>
                  <w:vAlign w:val="center"/>
                </w:tcPr>
                <w:p w14:paraId="07902A9F">
                  <w:pPr>
                    <w:ind w:right="9"/>
                    <w:jc w:val="center"/>
                    <w:rPr>
                      <w:kern w:val="0"/>
                      <w:szCs w:val="21"/>
                    </w:rPr>
                  </w:pPr>
                </w:p>
              </w:tc>
              <w:tc>
                <w:tcPr>
                  <w:tcW w:w="773" w:type="pct"/>
                  <w:vAlign w:val="center"/>
                </w:tcPr>
                <w:p w14:paraId="777F6D73">
                  <w:pPr>
                    <w:ind w:right="9"/>
                    <w:jc w:val="center"/>
                    <w:rPr>
                      <w:kern w:val="0"/>
                      <w:szCs w:val="21"/>
                    </w:rPr>
                  </w:pPr>
                  <w:r>
                    <w:rPr>
                      <w:rFonts w:hint="eastAsia"/>
                      <w:kern w:val="0"/>
                      <w:szCs w:val="21"/>
                    </w:rPr>
                    <w:t>80</w:t>
                  </w:r>
                </w:p>
              </w:tc>
            </w:tr>
            <w:tr w14:paraId="3144B77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02C75903">
                  <w:pPr>
                    <w:ind w:right="9"/>
                    <w:jc w:val="center"/>
                    <w:rPr>
                      <w:kern w:val="0"/>
                      <w:szCs w:val="21"/>
                    </w:rPr>
                  </w:pPr>
                </w:p>
              </w:tc>
              <w:tc>
                <w:tcPr>
                  <w:tcW w:w="866" w:type="pct"/>
                  <w:tcBorders>
                    <w:left w:val="single" w:color="auto" w:sz="4" w:space="0"/>
                  </w:tcBorders>
                  <w:vAlign w:val="center"/>
                </w:tcPr>
                <w:p w14:paraId="575F4B20">
                  <w:pPr>
                    <w:ind w:right="9"/>
                    <w:jc w:val="center"/>
                    <w:rPr>
                      <w:kern w:val="0"/>
                      <w:szCs w:val="21"/>
                    </w:rPr>
                  </w:pPr>
                  <w:r>
                    <w:rPr>
                      <w:rFonts w:hint="eastAsia"/>
                      <w:kern w:val="0"/>
                      <w:szCs w:val="21"/>
                    </w:rPr>
                    <w:t>钻井</w:t>
                  </w:r>
                  <w:r>
                    <w:rPr>
                      <w:kern w:val="0"/>
                      <w:szCs w:val="21"/>
                    </w:rPr>
                    <w:t>泵</w:t>
                  </w:r>
                  <w:r>
                    <w:rPr>
                      <w:rFonts w:hint="eastAsia"/>
                      <w:kern w:val="0"/>
                      <w:szCs w:val="21"/>
                    </w:rPr>
                    <w:t>2</w:t>
                  </w:r>
                </w:p>
              </w:tc>
              <w:tc>
                <w:tcPr>
                  <w:tcW w:w="408" w:type="pct"/>
                  <w:vAlign w:val="center"/>
                </w:tcPr>
                <w:p w14:paraId="0DCC5ACE">
                  <w:pPr>
                    <w:spacing w:before="14"/>
                    <w:ind w:right="1"/>
                    <w:jc w:val="center"/>
                    <w:rPr>
                      <w:kern w:val="0"/>
                      <w:szCs w:val="21"/>
                    </w:rPr>
                  </w:pPr>
                  <w:r>
                    <w:rPr>
                      <w:rFonts w:hint="eastAsia"/>
                      <w:kern w:val="0"/>
                      <w:szCs w:val="21"/>
                    </w:rPr>
                    <w:t>86.0</w:t>
                  </w:r>
                </w:p>
              </w:tc>
              <w:tc>
                <w:tcPr>
                  <w:tcW w:w="408" w:type="pct"/>
                  <w:tcBorders>
                    <w:right w:val="single" w:color="auto" w:sz="4" w:space="0"/>
                  </w:tcBorders>
                  <w:vAlign w:val="center"/>
                </w:tcPr>
                <w:p w14:paraId="7525C55C">
                  <w:pPr>
                    <w:ind w:right="9"/>
                    <w:jc w:val="center"/>
                    <w:rPr>
                      <w:kern w:val="0"/>
                      <w:szCs w:val="21"/>
                    </w:rPr>
                  </w:pPr>
                  <w:r>
                    <w:rPr>
                      <w:rFonts w:hint="eastAsia"/>
                      <w:kern w:val="0"/>
                      <w:szCs w:val="21"/>
                    </w:rPr>
                    <w:t>32.0</w:t>
                  </w:r>
                </w:p>
              </w:tc>
              <w:tc>
                <w:tcPr>
                  <w:tcW w:w="408" w:type="pct"/>
                  <w:tcBorders>
                    <w:left w:val="single" w:color="auto" w:sz="4" w:space="0"/>
                    <w:right w:val="single" w:color="auto" w:sz="4" w:space="0"/>
                  </w:tcBorders>
                  <w:vAlign w:val="center"/>
                </w:tcPr>
                <w:p w14:paraId="32D6B1B8">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15640B2A">
                  <w:pPr>
                    <w:ind w:right="9"/>
                    <w:jc w:val="center"/>
                    <w:rPr>
                      <w:kern w:val="0"/>
                      <w:szCs w:val="21"/>
                    </w:rPr>
                  </w:pPr>
                  <w:r>
                    <w:rPr>
                      <w:rFonts w:hint="eastAsia"/>
                      <w:kern w:val="0"/>
                      <w:szCs w:val="21"/>
                    </w:rPr>
                    <w:t>90</w:t>
                  </w:r>
                </w:p>
              </w:tc>
              <w:tc>
                <w:tcPr>
                  <w:tcW w:w="863" w:type="pct"/>
                  <w:vMerge w:val="continue"/>
                  <w:tcBorders>
                    <w:left w:val="single" w:color="auto" w:sz="4" w:space="0"/>
                  </w:tcBorders>
                  <w:vAlign w:val="center"/>
                </w:tcPr>
                <w:p w14:paraId="37D9C284">
                  <w:pPr>
                    <w:ind w:right="9"/>
                    <w:jc w:val="center"/>
                    <w:rPr>
                      <w:kern w:val="0"/>
                      <w:szCs w:val="21"/>
                    </w:rPr>
                  </w:pPr>
                </w:p>
              </w:tc>
              <w:tc>
                <w:tcPr>
                  <w:tcW w:w="773" w:type="pct"/>
                  <w:vAlign w:val="center"/>
                </w:tcPr>
                <w:p w14:paraId="762BC9B0">
                  <w:pPr>
                    <w:ind w:right="9"/>
                    <w:jc w:val="center"/>
                    <w:rPr>
                      <w:kern w:val="0"/>
                      <w:szCs w:val="21"/>
                    </w:rPr>
                  </w:pPr>
                  <w:r>
                    <w:rPr>
                      <w:rFonts w:hint="eastAsia"/>
                      <w:kern w:val="0"/>
                      <w:szCs w:val="21"/>
                    </w:rPr>
                    <w:t>80</w:t>
                  </w:r>
                </w:p>
              </w:tc>
            </w:tr>
            <w:tr w14:paraId="433A5F8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1E461A8D">
                  <w:pPr>
                    <w:ind w:right="9"/>
                    <w:jc w:val="center"/>
                    <w:rPr>
                      <w:kern w:val="0"/>
                      <w:szCs w:val="21"/>
                    </w:rPr>
                  </w:pPr>
                </w:p>
              </w:tc>
              <w:tc>
                <w:tcPr>
                  <w:tcW w:w="866" w:type="pct"/>
                  <w:tcBorders>
                    <w:left w:val="single" w:color="auto" w:sz="4" w:space="0"/>
                  </w:tcBorders>
                  <w:vAlign w:val="center"/>
                </w:tcPr>
                <w:p w14:paraId="18730BD2">
                  <w:pPr>
                    <w:ind w:right="9"/>
                    <w:jc w:val="center"/>
                    <w:rPr>
                      <w:kern w:val="0"/>
                      <w:szCs w:val="21"/>
                    </w:rPr>
                  </w:pPr>
                  <w:r>
                    <w:rPr>
                      <w:kern w:val="0"/>
                      <w:szCs w:val="21"/>
                    </w:rPr>
                    <w:t>振动筛</w:t>
                  </w:r>
                  <w:r>
                    <w:rPr>
                      <w:rFonts w:hint="eastAsia"/>
                      <w:kern w:val="0"/>
                      <w:szCs w:val="21"/>
                    </w:rPr>
                    <w:t>1</w:t>
                  </w:r>
                </w:p>
              </w:tc>
              <w:tc>
                <w:tcPr>
                  <w:tcW w:w="408" w:type="pct"/>
                  <w:vAlign w:val="center"/>
                </w:tcPr>
                <w:p w14:paraId="6AF6DA64">
                  <w:pPr>
                    <w:spacing w:before="14"/>
                    <w:ind w:right="1"/>
                    <w:jc w:val="center"/>
                    <w:rPr>
                      <w:kern w:val="0"/>
                      <w:szCs w:val="21"/>
                    </w:rPr>
                  </w:pPr>
                  <w:r>
                    <w:rPr>
                      <w:rFonts w:hint="eastAsia"/>
                      <w:kern w:val="0"/>
                      <w:szCs w:val="21"/>
                    </w:rPr>
                    <w:t>68.0</w:t>
                  </w:r>
                </w:p>
              </w:tc>
              <w:tc>
                <w:tcPr>
                  <w:tcW w:w="408" w:type="pct"/>
                  <w:tcBorders>
                    <w:right w:val="single" w:color="auto" w:sz="4" w:space="0"/>
                  </w:tcBorders>
                  <w:vAlign w:val="center"/>
                </w:tcPr>
                <w:p w14:paraId="406B7EF1">
                  <w:pPr>
                    <w:ind w:right="9"/>
                    <w:jc w:val="center"/>
                    <w:rPr>
                      <w:kern w:val="0"/>
                      <w:szCs w:val="21"/>
                    </w:rPr>
                  </w:pPr>
                  <w:r>
                    <w:rPr>
                      <w:rFonts w:hint="eastAsia"/>
                      <w:kern w:val="0"/>
                      <w:szCs w:val="21"/>
                    </w:rPr>
                    <w:t>26.0</w:t>
                  </w:r>
                </w:p>
              </w:tc>
              <w:tc>
                <w:tcPr>
                  <w:tcW w:w="408" w:type="pct"/>
                  <w:tcBorders>
                    <w:left w:val="single" w:color="auto" w:sz="4" w:space="0"/>
                    <w:right w:val="single" w:color="auto" w:sz="4" w:space="0"/>
                  </w:tcBorders>
                  <w:vAlign w:val="center"/>
                </w:tcPr>
                <w:p w14:paraId="5DBCF68E">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709B47D7">
                  <w:pPr>
                    <w:ind w:right="9"/>
                    <w:jc w:val="center"/>
                    <w:rPr>
                      <w:kern w:val="0"/>
                      <w:szCs w:val="21"/>
                    </w:rPr>
                  </w:pPr>
                  <w:r>
                    <w:rPr>
                      <w:rFonts w:hint="eastAsia"/>
                      <w:kern w:val="0"/>
                      <w:szCs w:val="21"/>
                    </w:rPr>
                    <w:t>85</w:t>
                  </w:r>
                </w:p>
              </w:tc>
              <w:tc>
                <w:tcPr>
                  <w:tcW w:w="863" w:type="pct"/>
                  <w:vMerge w:val="continue"/>
                  <w:tcBorders>
                    <w:left w:val="single" w:color="auto" w:sz="4" w:space="0"/>
                  </w:tcBorders>
                  <w:vAlign w:val="center"/>
                </w:tcPr>
                <w:p w14:paraId="551D7EDB">
                  <w:pPr>
                    <w:ind w:right="9"/>
                    <w:jc w:val="center"/>
                    <w:rPr>
                      <w:kern w:val="0"/>
                      <w:szCs w:val="21"/>
                    </w:rPr>
                  </w:pPr>
                </w:p>
              </w:tc>
              <w:tc>
                <w:tcPr>
                  <w:tcW w:w="773" w:type="pct"/>
                  <w:vAlign w:val="center"/>
                </w:tcPr>
                <w:p w14:paraId="268DB184">
                  <w:pPr>
                    <w:ind w:right="9"/>
                    <w:jc w:val="center"/>
                    <w:rPr>
                      <w:kern w:val="0"/>
                      <w:szCs w:val="21"/>
                    </w:rPr>
                  </w:pPr>
                  <w:r>
                    <w:rPr>
                      <w:rFonts w:hint="eastAsia"/>
                      <w:kern w:val="0"/>
                      <w:szCs w:val="21"/>
                    </w:rPr>
                    <w:t>75</w:t>
                  </w:r>
                </w:p>
              </w:tc>
            </w:tr>
            <w:tr w14:paraId="57F8EE1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0554B6BA">
                  <w:pPr>
                    <w:ind w:right="9"/>
                    <w:jc w:val="center"/>
                    <w:rPr>
                      <w:kern w:val="0"/>
                      <w:szCs w:val="21"/>
                    </w:rPr>
                  </w:pPr>
                </w:p>
              </w:tc>
              <w:tc>
                <w:tcPr>
                  <w:tcW w:w="866" w:type="pct"/>
                  <w:tcBorders>
                    <w:left w:val="single" w:color="auto" w:sz="4" w:space="0"/>
                  </w:tcBorders>
                  <w:vAlign w:val="center"/>
                </w:tcPr>
                <w:p w14:paraId="182EDE22">
                  <w:pPr>
                    <w:ind w:right="9"/>
                    <w:jc w:val="center"/>
                    <w:rPr>
                      <w:kern w:val="0"/>
                      <w:szCs w:val="21"/>
                    </w:rPr>
                  </w:pPr>
                  <w:r>
                    <w:rPr>
                      <w:kern w:val="0"/>
                      <w:szCs w:val="21"/>
                    </w:rPr>
                    <w:t>振动筛</w:t>
                  </w:r>
                  <w:r>
                    <w:rPr>
                      <w:rFonts w:hint="eastAsia"/>
                      <w:kern w:val="0"/>
                      <w:szCs w:val="21"/>
                    </w:rPr>
                    <w:t>2</w:t>
                  </w:r>
                </w:p>
              </w:tc>
              <w:tc>
                <w:tcPr>
                  <w:tcW w:w="408" w:type="pct"/>
                  <w:vAlign w:val="center"/>
                </w:tcPr>
                <w:p w14:paraId="02CDA43F">
                  <w:pPr>
                    <w:spacing w:before="14"/>
                    <w:ind w:right="1"/>
                    <w:jc w:val="center"/>
                    <w:rPr>
                      <w:kern w:val="0"/>
                      <w:szCs w:val="21"/>
                    </w:rPr>
                  </w:pPr>
                  <w:r>
                    <w:rPr>
                      <w:rFonts w:hint="eastAsia"/>
                      <w:kern w:val="0"/>
                      <w:szCs w:val="21"/>
                    </w:rPr>
                    <w:t>70.0</w:t>
                  </w:r>
                </w:p>
              </w:tc>
              <w:tc>
                <w:tcPr>
                  <w:tcW w:w="408" w:type="pct"/>
                  <w:tcBorders>
                    <w:right w:val="single" w:color="auto" w:sz="4" w:space="0"/>
                  </w:tcBorders>
                  <w:vAlign w:val="center"/>
                </w:tcPr>
                <w:p w14:paraId="07C0FD3D">
                  <w:pPr>
                    <w:ind w:right="9"/>
                    <w:jc w:val="center"/>
                    <w:rPr>
                      <w:kern w:val="0"/>
                      <w:szCs w:val="21"/>
                    </w:rPr>
                  </w:pPr>
                  <w:r>
                    <w:rPr>
                      <w:rFonts w:hint="eastAsia"/>
                      <w:kern w:val="0"/>
                      <w:szCs w:val="21"/>
                    </w:rPr>
                    <w:t>26.0</w:t>
                  </w:r>
                </w:p>
              </w:tc>
              <w:tc>
                <w:tcPr>
                  <w:tcW w:w="408" w:type="pct"/>
                  <w:tcBorders>
                    <w:left w:val="single" w:color="auto" w:sz="4" w:space="0"/>
                    <w:right w:val="single" w:color="auto" w:sz="4" w:space="0"/>
                  </w:tcBorders>
                  <w:vAlign w:val="center"/>
                </w:tcPr>
                <w:p w14:paraId="03B12492">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47E15FC2">
                  <w:pPr>
                    <w:ind w:right="9"/>
                    <w:jc w:val="center"/>
                    <w:rPr>
                      <w:kern w:val="0"/>
                      <w:szCs w:val="21"/>
                    </w:rPr>
                  </w:pPr>
                  <w:r>
                    <w:rPr>
                      <w:rFonts w:hint="eastAsia"/>
                      <w:kern w:val="0"/>
                      <w:szCs w:val="21"/>
                    </w:rPr>
                    <w:t>85</w:t>
                  </w:r>
                </w:p>
              </w:tc>
              <w:tc>
                <w:tcPr>
                  <w:tcW w:w="863" w:type="pct"/>
                  <w:vMerge w:val="continue"/>
                  <w:tcBorders>
                    <w:left w:val="single" w:color="auto" w:sz="4" w:space="0"/>
                  </w:tcBorders>
                  <w:vAlign w:val="center"/>
                </w:tcPr>
                <w:p w14:paraId="0971E6F3">
                  <w:pPr>
                    <w:ind w:right="9"/>
                    <w:jc w:val="center"/>
                    <w:rPr>
                      <w:kern w:val="0"/>
                      <w:szCs w:val="21"/>
                    </w:rPr>
                  </w:pPr>
                </w:p>
              </w:tc>
              <w:tc>
                <w:tcPr>
                  <w:tcW w:w="773" w:type="pct"/>
                  <w:vAlign w:val="center"/>
                </w:tcPr>
                <w:p w14:paraId="00DF6CF5">
                  <w:pPr>
                    <w:ind w:right="9"/>
                    <w:jc w:val="center"/>
                    <w:rPr>
                      <w:kern w:val="0"/>
                      <w:szCs w:val="21"/>
                    </w:rPr>
                  </w:pPr>
                  <w:r>
                    <w:rPr>
                      <w:rFonts w:hint="eastAsia"/>
                      <w:kern w:val="0"/>
                      <w:szCs w:val="21"/>
                    </w:rPr>
                    <w:t>75</w:t>
                  </w:r>
                </w:p>
              </w:tc>
            </w:tr>
            <w:tr w14:paraId="6D2F88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restart"/>
                  <w:tcBorders>
                    <w:right w:val="single" w:color="auto" w:sz="4" w:space="0"/>
                  </w:tcBorders>
                  <w:tcMar>
                    <w:left w:w="0" w:type="dxa"/>
                    <w:right w:w="0" w:type="dxa"/>
                  </w:tcMar>
                  <w:vAlign w:val="center"/>
                </w:tcPr>
                <w:p w14:paraId="61D6FB70">
                  <w:pPr>
                    <w:ind w:right="9"/>
                    <w:jc w:val="center"/>
                    <w:rPr>
                      <w:kern w:val="0"/>
                      <w:szCs w:val="21"/>
                    </w:rPr>
                  </w:pPr>
                  <w:r>
                    <w:rPr>
                      <w:rFonts w:hint="eastAsia"/>
                      <w:kern w:val="0"/>
                      <w:szCs w:val="21"/>
                    </w:rPr>
                    <w:t>3号井</w:t>
                  </w:r>
                </w:p>
              </w:tc>
              <w:tc>
                <w:tcPr>
                  <w:tcW w:w="866" w:type="pct"/>
                  <w:tcBorders>
                    <w:left w:val="single" w:color="auto" w:sz="4" w:space="0"/>
                  </w:tcBorders>
                  <w:vAlign w:val="center"/>
                </w:tcPr>
                <w:p w14:paraId="4AD752A4">
                  <w:pPr>
                    <w:ind w:right="9"/>
                    <w:jc w:val="center"/>
                    <w:rPr>
                      <w:kern w:val="0"/>
                      <w:szCs w:val="21"/>
                    </w:rPr>
                  </w:pPr>
                  <w:r>
                    <w:rPr>
                      <w:kern w:val="0"/>
                      <w:szCs w:val="21"/>
                    </w:rPr>
                    <w:t>钻机系统</w:t>
                  </w:r>
                </w:p>
              </w:tc>
              <w:tc>
                <w:tcPr>
                  <w:tcW w:w="408" w:type="pct"/>
                  <w:vAlign w:val="center"/>
                </w:tcPr>
                <w:p w14:paraId="5827D224">
                  <w:pPr>
                    <w:spacing w:before="14"/>
                    <w:ind w:right="1"/>
                    <w:jc w:val="center"/>
                    <w:rPr>
                      <w:kern w:val="0"/>
                      <w:szCs w:val="21"/>
                    </w:rPr>
                  </w:pPr>
                  <w:r>
                    <w:rPr>
                      <w:rFonts w:hint="eastAsia"/>
                      <w:kern w:val="0"/>
                      <w:szCs w:val="21"/>
                    </w:rPr>
                    <w:t>53.5</w:t>
                  </w:r>
                </w:p>
              </w:tc>
              <w:tc>
                <w:tcPr>
                  <w:tcW w:w="408" w:type="pct"/>
                  <w:tcBorders>
                    <w:right w:val="single" w:color="auto" w:sz="4" w:space="0"/>
                  </w:tcBorders>
                  <w:vAlign w:val="center"/>
                </w:tcPr>
                <w:p w14:paraId="4B93C16D">
                  <w:pPr>
                    <w:ind w:right="9"/>
                    <w:jc w:val="center"/>
                    <w:rPr>
                      <w:kern w:val="0"/>
                      <w:szCs w:val="21"/>
                    </w:rPr>
                  </w:pPr>
                  <w:r>
                    <w:rPr>
                      <w:rFonts w:hint="eastAsia"/>
                      <w:kern w:val="0"/>
                      <w:szCs w:val="21"/>
                    </w:rPr>
                    <w:t>40.5</w:t>
                  </w:r>
                </w:p>
              </w:tc>
              <w:tc>
                <w:tcPr>
                  <w:tcW w:w="408" w:type="pct"/>
                  <w:tcBorders>
                    <w:left w:val="single" w:color="auto" w:sz="4" w:space="0"/>
                    <w:right w:val="single" w:color="auto" w:sz="4" w:space="0"/>
                  </w:tcBorders>
                  <w:vAlign w:val="center"/>
                </w:tcPr>
                <w:p w14:paraId="225B9C8C">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1A1566D3">
                  <w:pPr>
                    <w:ind w:right="9"/>
                    <w:jc w:val="center"/>
                    <w:rPr>
                      <w:kern w:val="0"/>
                      <w:szCs w:val="21"/>
                    </w:rPr>
                  </w:pPr>
                  <w:r>
                    <w:rPr>
                      <w:rFonts w:hint="eastAsia"/>
                      <w:kern w:val="0"/>
                      <w:szCs w:val="21"/>
                    </w:rPr>
                    <w:t>95</w:t>
                  </w:r>
                </w:p>
              </w:tc>
              <w:tc>
                <w:tcPr>
                  <w:tcW w:w="863" w:type="pct"/>
                  <w:vMerge w:val="restart"/>
                  <w:tcBorders>
                    <w:left w:val="single" w:color="auto" w:sz="4" w:space="0"/>
                  </w:tcBorders>
                  <w:vAlign w:val="center"/>
                </w:tcPr>
                <w:p w14:paraId="73071BE1">
                  <w:pPr>
                    <w:ind w:right="9"/>
                    <w:jc w:val="center"/>
                    <w:rPr>
                      <w:kern w:val="0"/>
                      <w:szCs w:val="21"/>
                    </w:rPr>
                  </w:pPr>
                  <w:r>
                    <w:rPr>
                      <w:rFonts w:hint="eastAsia"/>
                      <w:kern w:val="0"/>
                      <w:szCs w:val="21"/>
                    </w:rPr>
                    <w:t>选用低噪声设备、基础减振</w:t>
                  </w:r>
                </w:p>
              </w:tc>
              <w:tc>
                <w:tcPr>
                  <w:tcW w:w="773" w:type="pct"/>
                  <w:vAlign w:val="center"/>
                </w:tcPr>
                <w:p w14:paraId="391FFEE9">
                  <w:pPr>
                    <w:ind w:right="9"/>
                    <w:jc w:val="center"/>
                    <w:rPr>
                      <w:kern w:val="0"/>
                      <w:szCs w:val="21"/>
                    </w:rPr>
                  </w:pPr>
                  <w:r>
                    <w:rPr>
                      <w:rFonts w:hint="eastAsia"/>
                      <w:kern w:val="0"/>
                      <w:szCs w:val="21"/>
                    </w:rPr>
                    <w:t>85</w:t>
                  </w:r>
                </w:p>
              </w:tc>
            </w:tr>
            <w:tr w14:paraId="2C5EA32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tcMar>
                    <w:left w:w="0" w:type="dxa"/>
                    <w:right w:w="0" w:type="dxa"/>
                  </w:tcMar>
                  <w:vAlign w:val="center"/>
                </w:tcPr>
                <w:p w14:paraId="6653F0F8">
                  <w:pPr>
                    <w:ind w:right="9"/>
                    <w:jc w:val="center"/>
                    <w:rPr>
                      <w:kern w:val="0"/>
                      <w:szCs w:val="21"/>
                    </w:rPr>
                  </w:pPr>
                </w:p>
              </w:tc>
              <w:tc>
                <w:tcPr>
                  <w:tcW w:w="866" w:type="pct"/>
                  <w:tcBorders>
                    <w:left w:val="single" w:color="auto" w:sz="4" w:space="0"/>
                  </w:tcBorders>
                  <w:vAlign w:val="center"/>
                </w:tcPr>
                <w:p w14:paraId="43119498">
                  <w:pPr>
                    <w:ind w:right="9"/>
                    <w:jc w:val="center"/>
                    <w:rPr>
                      <w:kern w:val="0"/>
                      <w:szCs w:val="21"/>
                    </w:rPr>
                  </w:pPr>
                  <w:r>
                    <w:rPr>
                      <w:kern w:val="0"/>
                      <w:szCs w:val="21"/>
                    </w:rPr>
                    <w:t>柴油机</w:t>
                  </w:r>
                  <w:r>
                    <w:rPr>
                      <w:rFonts w:hint="eastAsia"/>
                      <w:kern w:val="0"/>
                      <w:szCs w:val="21"/>
                    </w:rPr>
                    <w:t>1</w:t>
                  </w:r>
                </w:p>
              </w:tc>
              <w:tc>
                <w:tcPr>
                  <w:tcW w:w="408" w:type="pct"/>
                  <w:vAlign w:val="center"/>
                </w:tcPr>
                <w:p w14:paraId="1CA57366">
                  <w:pPr>
                    <w:spacing w:before="14"/>
                    <w:ind w:right="1"/>
                    <w:jc w:val="center"/>
                    <w:rPr>
                      <w:kern w:val="0"/>
                      <w:szCs w:val="21"/>
                    </w:rPr>
                  </w:pPr>
                  <w:r>
                    <w:rPr>
                      <w:rFonts w:hint="eastAsia"/>
                      <w:kern w:val="0"/>
                      <w:szCs w:val="21"/>
                    </w:rPr>
                    <w:t>65.0</w:t>
                  </w:r>
                </w:p>
              </w:tc>
              <w:tc>
                <w:tcPr>
                  <w:tcW w:w="408" w:type="pct"/>
                  <w:tcBorders>
                    <w:right w:val="single" w:color="auto" w:sz="4" w:space="0"/>
                  </w:tcBorders>
                  <w:vAlign w:val="center"/>
                </w:tcPr>
                <w:p w14:paraId="3D57C194">
                  <w:pPr>
                    <w:ind w:right="9"/>
                    <w:jc w:val="center"/>
                    <w:rPr>
                      <w:kern w:val="0"/>
                      <w:szCs w:val="21"/>
                    </w:rPr>
                  </w:pPr>
                  <w:r>
                    <w:rPr>
                      <w:rFonts w:hint="eastAsia"/>
                      <w:kern w:val="0"/>
                      <w:szCs w:val="21"/>
                    </w:rPr>
                    <w:t>52.5</w:t>
                  </w:r>
                </w:p>
              </w:tc>
              <w:tc>
                <w:tcPr>
                  <w:tcW w:w="408" w:type="pct"/>
                  <w:tcBorders>
                    <w:left w:val="single" w:color="auto" w:sz="4" w:space="0"/>
                    <w:right w:val="single" w:color="auto" w:sz="4" w:space="0"/>
                  </w:tcBorders>
                  <w:vAlign w:val="center"/>
                </w:tcPr>
                <w:p w14:paraId="0D1D8A45">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4E7DF792">
                  <w:pPr>
                    <w:ind w:right="9"/>
                    <w:jc w:val="center"/>
                    <w:rPr>
                      <w:kern w:val="0"/>
                      <w:szCs w:val="21"/>
                    </w:rPr>
                  </w:pPr>
                  <w:r>
                    <w:rPr>
                      <w:rFonts w:hint="eastAsia"/>
                      <w:kern w:val="0"/>
                      <w:szCs w:val="21"/>
                    </w:rPr>
                    <w:t>100</w:t>
                  </w:r>
                </w:p>
              </w:tc>
              <w:tc>
                <w:tcPr>
                  <w:tcW w:w="863" w:type="pct"/>
                  <w:vMerge w:val="continue"/>
                  <w:tcBorders>
                    <w:left w:val="single" w:color="auto" w:sz="4" w:space="0"/>
                  </w:tcBorders>
                  <w:vAlign w:val="center"/>
                </w:tcPr>
                <w:p w14:paraId="5578B33C">
                  <w:pPr>
                    <w:ind w:right="9"/>
                    <w:jc w:val="center"/>
                    <w:rPr>
                      <w:kern w:val="0"/>
                      <w:szCs w:val="21"/>
                    </w:rPr>
                  </w:pPr>
                </w:p>
              </w:tc>
              <w:tc>
                <w:tcPr>
                  <w:tcW w:w="773" w:type="pct"/>
                  <w:vAlign w:val="center"/>
                </w:tcPr>
                <w:p w14:paraId="5E27C45A">
                  <w:pPr>
                    <w:ind w:right="9"/>
                    <w:jc w:val="center"/>
                    <w:rPr>
                      <w:kern w:val="0"/>
                      <w:szCs w:val="21"/>
                    </w:rPr>
                  </w:pPr>
                  <w:r>
                    <w:rPr>
                      <w:rFonts w:hint="eastAsia"/>
                      <w:kern w:val="0"/>
                      <w:szCs w:val="21"/>
                    </w:rPr>
                    <w:t>80</w:t>
                  </w:r>
                </w:p>
              </w:tc>
            </w:tr>
            <w:tr w14:paraId="753AABA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11816775">
                  <w:pPr>
                    <w:ind w:right="9"/>
                    <w:jc w:val="center"/>
                    <w:rPr>
                      <w:kern w:val="0"/>
                      <w:szCs w:val="21"/>
                    </w:rPr>
                  </w:pPr>
                </w:p>
              </w:tc>
              <w:tc>
                <w:tcPr>
                  <w:tcW w:w="866" w:type="pct"/>
                  <w:tcBorders>
                    <w:left w:val="single" w:color="auto" w:sz="4" w:space="0"/>
                  </w:tcBorders>
                  <w:vAlign w:val="center"/>
                </w:tcPr>
                <w:p w14:paraId="726E482A">
                  <w:pPr>
                    <w:ind w:right="9"/>
                    <w:jc w:val="center"/>
                    <w:rPr>
                      <w:kern w:val="0"/>
                      <w:szCs w:val="21"/>
                    </w:rPr>
                  </w:pPr>
                  <w:r>
                    <w:rPr>
                      <w:kern w:val="0"/>
                      <w:szCs w:val="21"/>
                    </w:rPr>
                    <w:t>柴油机</w:t>
                  </w:r>
                  <w:r>
                    <w:rPr>
                      <w:rFonts w:hint="eastAsia"/>
                      <w:kern w:val="0"/>
                      <w:szCs w:val="21"/>
                    </w:rPr>
                    <w:t>2</w:t>
                  </w:r>
                </w:p>
              </w:tc>
              <w:tc>
                <w:tcPr>
                  <w:tcW w:w="408" w:type="pct"/>
                  <w:vAlign w:val="center"/>
                </w:tcPr>
                <w:p w14:paraId="52D65B1B">
                  <w:pPr>
                    <w:spacing w:before="14"/>
                    <w:ind w:right="1"/>
                    <w:jc w:val="center"/>
                    <w:rPr>
                      <w:kern w:val="0"/>
                      <w:szCs w:val="21"/>
                    </w:rPr>
                  </w:pPr>
                  <w:r>
                    <w:rPr>
                      <w:rFonts w:hint="eastAsia"/>
                      <w:kern w:val="0"/>
                      <w:szCs w:val="21"/>
                    </w:rPr>
                    <w:t>67.0</w:t>
                  </w:r>
                </w:p>
              </w:tc>
              <w:tc>
                <w:tcPr>
                  <w:tcW w:w="408" w:type="pct"/>
                  <w:tcBorders>
                    <w:right w:val="single" w:color="auto" w:sz="4" w:space="0"/>
                  </w:tcBorders>
                  <w:vAlign w:val="center"/>
                </w:tcPr>
                <w:p w14:paraId="6A3090F1">
                  <w:pPr>
                    <w:ind w:right="9"/>
                    <w:jc w:val="center"/>
                    <w:rPr>
                      <w:kern w:val="0"/>
                      <w:szCs w:val="21"/>
                    </w:rPr>
                  </w:pPr>
                  <w:r>
                    <w:rPr>
                      <w:rFonts w:hint="eastAsia"/>
                      <w:kern w:val="0"/>
                      <w:szCs w:val="21"/>
                    </w:rPr>
                    <w:t>52.5</w:t>
                  </w:r>
                </w:p>
              </w:tc>
              <w:tc>
                <w:tcPr>
                  <w:tcW w:w="408" w:type="pct"/>
                  <w:tcBorders>
                    <w:left w:val="single" w:color="auto" w:sz="4" w:space="0"/>
                    <w:right w:val="single" w:color="auto" w:sz="4" w:space="0"/>
                  </w:tcBorders>
                  <w:vAlign w:val="center"/>
                </w:tcPr>
                <w:p w14:paraId="608AC1CC">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28457216">
                  <w:pPr>
                    <w:ind w:right="9"/>
                    <w:jc w:val="center"/>
                    <w:rPr>
                      <w:kern w:val="0"/>
                      <w:szCs w:val="21"/>
                    </w:rPr>
                  </w:pPr>
                  <w:r>
                    <w:rPr>
                      <w:rFonts w:hint="eastAsia"/>
                      <w:kern w:val="0"/>
                      <w:szCs w:val="21"/>
                    </w:rPr>
                    <w:t>100</w:t>
                  </w:r>
                </w:p>
              </w:tc>
              <w:tc>
                <w:tcPr>
                  <w:tcW w:w="863" w:type="pct"/>
                  <w:vMerge w:val="continue"/>
                  <w:tcBorders>
                    <w:left w:val="single" w:color="auto" w:sz="4" w:space="0"/>
                  </w:tcBorders>
                  <w:vAlign w:val="center"/>
                </w:tcPr>
                <w:p w14:paraId="5DD68895">
                  <w:pPr>
                    <w:ind w:right="9"/>
                    <w:jc w:val="center"/>
                    <w:rPr>
                      <w:kern w:val="0"/>
                      <w:szCs w:val="21"/>
                    </w:rPr>
                  </w:pPr>
                </w:p>
              </w:tc>
              <w:tc>
                <w:tcPr>
                  <w:tcW w:w="773" w:type="pct"/>
                  <w:vAlign w:val="center"/>
                </w:tcPr>
                <w:p w14:paraId="5B14E162">
                  <w:pPr>
                    <w:ind w:right="9"/>
                    <w:jc w:val="center"/>
                    <w:rPr>
                      <w:kern w:val="0"/>
                      <w:szCs w:val="21"/>
                    </w:rPr>
                  </w:pPr>
                  <w:r>
                    <w:rPr>
                      <w:rFonts w:hint="eastAsia"/>
                      <w:kern w:val="0"/>
                      <w:szCs w:val="21"/>
                    </w:rPr>
                    <w:t>80</w:t>
                  </w:r>
                </w:p>
              </w:tc>
            </w:tr>
            <w:tr w14:paraId="1D59CFD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51DCC7B0">
                  <w:pPr>
                    <w:ind w:right="9"/>
                    <w:jc w:val="center"/>
                    <w:rPr>
                      <w:kern w:val="0"/>
                      <w:szCs w:val="21"/>
                    </w:rPr>
                  </w:pPr>
                </w:p>
              </w:tc>
              <w:tc>
                <w:tcPr>
                  <w:tcW w:w="866" w:type="pct"/>
                  <w:tcBorders>
                    <w:left w:val="single" w:color="auto" w:sz="4" w:space="0"/>
                  </w:tcBorders>
                  <w:vAlign w:val="center"/>
                </w:tcPr>
                <w:p w14:paraId="1EA390CC">
                  <w:pPr>
                    <w:ind w:right="9"/>
                    <w:jc w:val="center"/>
                    <w:rPr>
                      <w:kern w:val="0"/>
                      <w:szCs w:val="21"/>
                    </w:rPr>
                  </w:pPr>
                  <w:r>
                    <w:rPr>
                      <w:rFonts w:hint="eastAsia"/>
                      <w:kern w:val="0"/>
                      <w:szCs w:val="21"/>
                    </w:rPr>
                    <w:t>钻井</w:t>
                  </w:r>
                  <w:r>
                    <w:rPr>
                      <w:kern w:val="0"/>
                      <w:szCs w:val="21"/>
                    </w:rPr>
                    <w:t>泵</w:t>
                  </w:r>
                  <w:r>
                    <w:rPr>
                      <w:rFonts w:hint="eastAsia"/>
                      <w:kern w:val="0"/>
                      <w:szCs w:val="21"/>
                    </w:rPr>
                    <w:t>1</w:t>
                  </w:r>
                </w:p>
              </w:tc>
              <w:tc>
                <w:tcPr>
                  <w:tcW w:w="408" w:type="pct"/>
                  <w:tcMar>
                    <w:left w:w="57" w:type="dxa"/>
                    <w:right w:w="57" w:type="dxa"/>
                  </w:tcMar>
                  <w:vAlign w:val="center"/>
                </w:tcPr>
                <w:p w14:paraId="437FA8F7">
                  <w:pPr>
                    <w:spacing w:before="14"/>
                    <w:ind w:right="1"/>
                    <w:jc w:val="center"/>
                    <w:rPr>
                      <w:kern w:val="0"/>
                      <w:szCs w:val="21"/>
                    </w:rPr>
                  </w:pPr>
                  <w:r>
                    <w:rPr>
                      <w:rFonts w:hint="eastAsia"/>
                      <w:kern w:val="0"/>
                      <w:szCs w:val="21"/>
                    </w:rPr>
                    <w:t>74.0</w:t>
                  </w:r>
                </w:p>
              </w:tc>
              <w:tc>
                <w:tcPr>
                  <w:tcW w:w="408" w:type="pct"/>
                  <w:tcBorders>
                    <w:right w:val="single" w:color="auto" w:sz="4" w:space="0"/>
                  </w:tcBorders>
                  <w:vAlign w:val="center"/>
                </w:tcPr>
                <w:p w14:paraId="14F7BCFC">
                  <w:pPr>
                    <w:ind w:right="9"/>
                    <w:jc w:val="center"/>
                    <w:rPr>
                      <w:kern w:val="0"/>
                      <w:szCs w:val="21"/>
                    </w:rPr>
                  </w:pPr>
                  <w:r>
                    <w:rPr>
                      <w:rFonts w:hint="eastAsia"/>
                      <w:kern w:val="0"/>
                      <w:szCs w:val="21"/>
                    </w:rPr>
                    <w:t>34.0</w:t>
                  </w:r>
                </w:p>
              </w:tc>
              <w:tc>
                <w:tcPr>
                  <w:tcW w:w="408" w:type="pct"/>
                  <w:tcBorders>
                    <w:left w:val="single" w:color="auto" w:sz="4" w:space="0"/>
                    <w:right w:val="single" w:color="auto" w:sz="4" w:space="0"/>
                  </w:tcBorders>
                  <w:vAlign w:val="center"/>
                </w:tcPr>
                <w:p w14:paraId="4D1213F2">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28EB3563">
                  <w:pPr>
                    <w:ind w:right="9"/>
                    <w:jc w:val="center"/>
                    <w:rPr>
                      <w:kern w:val="0"/>
                      <w:szCs w:val="21"/>
                    </w:rPr>
                  </w:pPr>
                  <w:r>
                    <w:rPr>
                      <w:rFonts w:hint="eastAsia"/>
                      <w:kern w:val="0"/>
                      <w:szCs w:val="21"/>
                    </w:rPr>
                    <w:t>90</w:t>
                  </w:r>
                </w:p>
              </w:tc>
              <w:tc>
                <w:tcPr>
                  <w:tcW w:w="863" w:type="pct"/>
                  <w:vMerge w:val="continue"/>
                  <w:tcBorders>
                    <w:left w:val="single" w:color="auto" w:sz="4" w:space="0"/>
                  </w:tcBorders>
                  <w:vAlign w:val="center"/>
                </w:tcPr>
                <w:p w14:paraId="4D9934BD">
                  <w:pPr>
                    <w:ind w:right="9"/>
                    <w:jc w:val="center"/>
                    <w:rPr>
                      <w:kern w:val="0"/>
                      <w:szCs w:val="21"/>
                    </w:rPr>
                  </w:pPr>
                </w:p>
              </w:tc>
              <w:tc>
                <w:tcPr>
                  <w:tcW w:w="773" w:type="pct"/>
                  <w:vAlign w:val="center"/>
                </w:tcPr>
                <w:p w14:paraId="4A840A79">
                  <w:pPr>
                    <w:ind w:right="9"/>
                    <w:jc w:val="center"/>
                    <w:rPr>
                      <w:kern w:val="0"/>
                      <w:szCs w:val="21"/>
                    </w:rPr>
                  </w:pPr>
                  <w:r>
                    <w:rPr>
                      <w:rFonts w:hint="eastAsia"/>
                      <w:kern w:val="0"/>
                      <w:szCs w:val="21"/>
                    </w:rPr>
                    <w:t>80</w:t>
                  </w:r>
                </w:p>
              </w:tc>
            </w:tr>
            <w:tr w14:paraId="182CA9D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397" w:hRule="atLeast"/>
              </w:trPr>
              <w:tc>
                <w:tcPr>
                  <w:tcW w:w="587" w:type="pct"/>
                  <w:vMerge w:val="continue"/>
                  <w:tcBorders>
                    <w:right w:val="single" w:color="auto" w:sz="4" w:space="0"/>
                  </w:tcBorders>
                  <w:vAlign w:val="center"/>
                </w:tcPr>
                <w:p w14:paraId="2E326B9A">
                  <w:pPr>
                    <w:ind w:right="9"/>
                    <w:jc w:val="center"/>
                    <w:rPr>
                      <w:kern w:val="0"/>
                      <w:szCs w:val="21"/>
                    </w:rPr>
                  </w:pPr>
                </w:p>
              </w:tc>
              <w:tc>
                <w:tcPr>
                  <w:tcW w:w="866" w:type="pct"/>
                  <w:tcBorders>
                    <w:left w:val="single" w:color="auto" w:sz="4" w:space="0"/>
                  </w:tcBorders>
                  <w:vAlign w:val="center"/>
                </w:tcPr>
                <w:p w14:paraId="26C83CA2">
                  <w:pPr>
                    <w:ind w:right="9"/>
                    <w:jc w:val="center"/>
                    <w:rPr>
                      <w:kern w:val="0"/>
                      <w:szCs w:val="21"/>
                    </w:rPr>
                  </w:pPr>
                  <w:r>
                    <w:rPr>
                      <w:rFonts w:hint="eastAsia"/>
                      <w:kern w:val="0"/>
                      <w:szCs w:val="21"/>
                    </w:rPr>
                    <w:t>钻井</w:t>
                  </w:r>
                  <w:r>
                    <w:rPr>
                      <w:kern w:val="0"/>
                      <w:szCs w:val="21"/>
                    </w:rPr>
                    <w:t>泵</w:t>
                  </w:r>
                  <w:r>
                    <w:rPr>
                      <w:rFonts w:hint="eastAsia"/>
                      <w:kern w:val="0"/>
                      <w:szCs w:val="21"/>
                    </w:rPr>
                    <w:t>2</w:t>
                  </w:r>
                </w:p>
              </w:tc>
              <w:tc>
                <w:tcPr>
                  <w:tcW w:w="408" w:type="pct"/>
                  <w:vAlign w:val="center"/>
                </w:tcPr>
                <w:p w14:paraId="25C8FDDA">
                  <w:pPr>
                    <w:spacing w:before="14"/>
                    <w:ind w:right="1"/>
                    <w:jc w:val="center"/>
                    <w:rPr>
                      <w:kern w:val="0"/>
                      <w:szCs w:val="21"/>
                    </w:rPr>
                  </w:pPr>
                  <w:r>
                    <w:rPr>
                      <w:rFonts w:hint="eastAsia"/>
                      <w:kern w:val="0"/>
                      <w:szCs w:val="21"/>
                    </w:rPr>
                    <w:t>74.0</w:t>
                  </w:r>
                </w:p>
              </w:tc>
              <w:tc>
                <w:tcPr>
                  <w:tcW w:w="408" w:type="pct"/>
                  <w:tcBorders>
                    <w:right w:val="single" w:color="auto" w:sz="4" w:space="0"/>
                  </w:tcBorders>
                  <w:vAlign w:val="center"/>
                </w:tcPr>
                <w:p w14:paraId="107CECE7">
                  <w:pPr>
                    <w:ind w:right="9"/>
                    <w:jc w:val="center"/>
                    <w:rPr>
                      <w:kern w:val="0"/>
                      <w:szCs w:val="21"/>
                    </w:rPr>
                  </w:pPr>
                  <w:r>
                    <w:rPr>
                      <w:rFonts w:hint="eastAsia"/>
                      <w:kern w:val="0"/>
                      <w:szCs w:val="21"/>
                    </w:rPr>
                    <w:t>32.0</w:t>
                  </w:r>
                </w:p>
              </w:tc>
              <w:tc>
                <w:tcPr>
                  <w:tcW w:w="408" w:type="pct"/>
                  <w:tcBorders>
                    <w:left w:val="single" w:color="auto" w:sz="4" w:space="0"/>
                    <w:right w:val="single" w:color="auto" w:sz="4" w:space="0"/>
                  </w:tcBorders>
                  <w:vAlign w:val="center"/>
                </w:tcPr>
                <w:p w14:paraId="4EE0352C">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78207C1B">
                  <w:pPr>
                    <w:ind w:right="9"/>
                    <w:jc w:val="center"/>
                    <w:rPr>
                      <w:kern w:val="0"/>
                      <w:szCs w:val="21"/>
                    </w:rPr>
                  </w:pPr>
                  <w:r>
                    <w:rPr>
                      <w:rFonts w:hint="eastAsia"/>
                      <w:kern w:val="0"/>
                      <w:szCs w:val="21"/>
                    </w:rPr>
                    <w:t>90</w:t>
                  </w:r>
                </w:p>
              </w:tc>
              <w:tc>
                <w:tcPr>
                  <w:tcW w:w="863" w:type="pct"/>
                  <w:vMerge w:val="continue"/>
                  <w:tcBorders>
                    <w:left w:val="single" w:color="auto" w:sz="4" w:space="0"/>
                  </w:tcBorders>
                  <w:vAlign w:val="center"/>
                </w:tcPr>
                <w:p w14:paraId="02DF3498">
                  <w:pPr>
                    <w:ind w:right="9"/>
                    <w:jc w:val="center"/>
                    <w:rPr>
                      <w:kern w:val="0"/>
                      <w:szCs w:val="21"/>
                    </w:rPr>
                  </w:pPr>
                </w:p>
              </w:tc>
              <w:tc>
                <w:tcPr>
                  <w:tcW w:w="773" w:type="pct"/>
                  <w:vAlign w:val="center"/>
                </w:tcPr>
                <w:p w14:paraId="4C304AB0">
                  <w:pPr>
                    <w:ind w:right="9"/>
                    <w:jc w:val="center"/>
                    <w:rPr>
                      <w:kern w:val="0"/>
                      <w:szCs w:val="21"/>
                    </w:rPr>
                  </w:pPr>
                  <w:r>
                    <w:rPr>
                      <w:rFonts w:hint="eastAsia"/>
                      <w:kern w:val="0"/>
                      <w:szCs w:val="21"/>
                    </w:rPr>
                    <w:t>80</w:t>
                  </w:r>
                </w:p>
              </w:tc>
            </w:tr>
            <w:tr w14:paraId="2221008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4271063D">
                  <w:pPr>
                    <w:ind w:right="9"/>
                    <w:jc w:val="center"/>
                    <w:rPr>
                      <w:kern w:val="0"/>
                      <w:szCs w:val="21"/>
                    </w:rPr>
                  </w:pPr>
                </w:p>
              </w:tc>
              <w:tc>
                <w:tcPr>
                  <w:tcW w:w="866" w:type="pct"/>
                  <w:tcBorders>
                    <w:left w:val="single" w:color="auto" w:sz="4" w:space="0"/>
                  </w:tcBorders>
                  <w:vAlign w:val="center"/>
                </w:tcPr>
                <w:p w14:paraId="6106C8E5">
                  <w:pPr>
                    <w:ind w:right="9"/>
                    <w:jc w:val="center"/>
                    <w:rPr>
                      <w:kern w:val="0"/>
                      <w:szCs w:val="21"/>
                    </w:rPr>
                  </w:pPr>
                  <w:r>
                    <w:rPr>
                      <w:kern w:val="0"/>
                      <w:szCs w:val="21"/>
                    </w:rPr>
                    <w:t>振动筛</w:t>
                  </w:r>
                  <w:r>
                    <w:rPr>
                      <w:rFonts w:hint="eastAsia"/>
                      <w:kern w:val="0"/>
                      <w:szCs w:val="21"/>
                    </w:rPr>
                    <w:t>1</w:t>
                  </w:r>
                </w:p>
              </w:tc>
              <w:tc>
                <w:tcPr>
                  <w:tcW w:w="408" w:type="pct"/>
                  <w:vAlign w:val="center"/>
                </w:tcPr>
                <w:p w14:paraId="234CC624">
                  <w:pPr>
                    <w:spacing w:before="14"/>
                    <w:ind w:right="1"/>
                    <w:jc w:val="center"/>
                    <w:rPr>
                      <w:kern w:val="0"/>
                      <w:szCs w:val="21"/>
                    </w:rPr>
                  </w:pPr>
                  <w:r>
                    <w:rPr>
                      <w:rFonts w:hint="eastAsia"/>
                      <w:kern w:val="0"/>
                      <w:szCs w:val="21"/>
                    </w:rPr>
                    <w:t>56.0</w:t>
                  </w:r>
                </w:p>
              </w:tc>
              <w:tc>
                <w:tcPr>
                  <w:tcW w:w="408" w:type="pct"/>
                  <w:tcBorders>
                    <w:right w:val="single" w:color="auto" w:sz="4" w:space="0"/>
                  </w:tcBorders>
                  <w:vAlign w:val="center"/>
                </w:tcPr>
                <w:p w14:paraId="0B6C2814">
                  <w:pPr>
                    <w:ind w:right="9"/>
                    <w:jc w:val="center"/>
                    <w:rPr>
                      <w:kern w:val="0"/>
                      <w:szCs w:val="21"/>
                    </w:rPr>
                  </w:pPr>
                  <w:r>
                    <w:rPr>
                      <w:rFonts w:hint="eastAsia"/>
                      <w:kern w:val="0"/>
                      <w:szCs w:val="21"/>
                    </w:rPr>
                    <w:t>26.0</w:t>
                  </w:r>
                </w:p>
              </w:tc>
              <w:tc>
                <w:tcPr>
                  <w:tcW w:w="408" w:type="pct"/>
                  <w:tcBorders>
                    <w:left w:val="single" w:color="auto" w:sz="4" w:space="0"/>
                    <w:right w:val="single" w:color="auto" w:sz="4" w:space="0"/>
                  </w:tcBorders>
                  <w:vAlign w:val="center"/>
                </w:tcPr>
                <w:p w14:paraId="19B73D7A">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13544F3F">
                  <w:pPr>
                    <w:ind w:right="9"/>
                    <w:jc w:val="center"/>
                    <w:rPr>
                      <w:kern w:val="0"/>
                      <w:szCs w:val="21"/>
                    </w:rPr>
                  </w:pPr>
                  <w:r>
                    <w:rPr>
                      <w:rFonts w:hint="eastAsia"/>
                      <w:kern w:val="0"/>
                      <w:szCs w:val="21"/>
                    </w:rPr>
                    <w:t>85</w:t>
                  </w:r>
                </w:p>
              </w:tc>
              <w:tc>
                <w:tcPr>
                  <w:tcW w:w="863" w:type="pct"/>
                  <w:vMerge w:val="continue"/>
                  <w:tcBorders>
                    <w:left w:val="single" w:color="auto" w:sz="4" w:space="0"/>
                  </w:tcBorders>
                  <w:vAlign w:val="center"/>
                </w:tcPr>
                <w:p w14:paraId="1A68F967">
                  <w:pPr>
                    <w:ind w:right="9"/>
                    <w:jc w:val="center"/>
                    <w:rPr>
                      <w:kern w:val="0"/>
                      <w:szCs w:val="21"/>
                    </w:rPr>
                  </w:pPr>
                </w:p>
              </w:tc>
              <w:tc>
                <w:tcPr>
                  <w:tcW w:w="773" w:type="pct"/>
                  <w:vAlign w:val="center"/>
                </w:tcPr>
                <w:p w14:paraId="18F43CEC">
                  <w:pPr>
                    <w:ind w:right="9"/>
                    <w:jc w:val="center"/>
                    <w:rPr>
                      <w:kern w:val="0"/>
                      <w:szCs w:val="21"/>
                    </w:rPr>
                  </w:pPr>
                  <w:r>
                    <w:rPr>
                      <w:rFonts w:hint="eastAsia"/>
                      <w:kern w:val="0"/>
                      <w:szCs w:val="21"/>
                    </w:rPr>
                    <w:t>75</w:t>
                  </w:r>
                </w:p>
              </w:tc>
            </w:tr>
            <w:tr w14:paraId="269CCBA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87" w:type="pct"/>
                  <w:vMerge w:val="continue"/>
                  <w:tcBorders>
                    <w:right w:val="single" w:color="auto" w:sz="4" w:space="0"/>
                  </w:tcBorders>
                  <w:vAlign w:val="center"/>
                </w:tcPr>
                <w:p w14:paraId="7BD42456">
                  <w:pPr>
                    <w:ind w:right="9"/>
                    <w:jc w:val="center"/>
                    <w:rPr>
                      <w:kern w:val="0"/>
                      <w:szCs w:val="21"/>
                    </w:rPr>
                  </w:pPr>
                </w:p>
              </w:tc>
              <w:tc>
                <w:tcPr>
                  <w:tcW w:w="866" w:type="pct"/>
                  <w:tcBorders>
                    <w:left w:val="single" w:color="auto" w:sz="4" w:space="0"/>
                  </w:tcBorders>
                  <w:vAlign w:val="center"/>
                </w:tcPr>
                <w:p w14:paraId="21102E08">
                  <w:pPr>
                    <w:ind w:right="9"/>
                    <w:jc w:val="center"/>
                    <w:rPr>
                      <w:kern w:val="0"/>
                      <w:szCs w:val="21"/>
                    </w:rPr>
                  </w:pPr>
                  <w:r>
                    <w:rPr>
                      <w:kern w:val="0"/>
                      <w:szCs w:val="21"/>
                    </w:rPr>
                    <w:t>振动筛</w:t>
                  </w:r>
                  <w:r>
                    <w:rPr>
                      <w:rFonts w:hint="eastAsia"/>
                      <w:kern w:val="0"/>
                      <w:szCs w:val="21"/>
                    </w:rPr>
                    <w:t>2</w:t>
                  </w:r>
                </w:p>
              </w:tc>
              <w:tc>
                <w:tcPr>
                  <w:tcW w:w="408" w:type="pct"/>
                  <w:vAlign w:val="center"/>
                </w:tcPr>
                <w:p w14:paraId="140F31BE">
                  <w:pPr>
                    <w:spacing w:before="14"/>
                    <w:ind w:right="1"/>
                    <w:jc w:val="center"/>
                    <w:rPr>
                      <w:kern w:val="0"/>
                      <w:szCs w:val="21"/>
                    </w:rPr>
                  </w:pPr>
                  <w:r>
                    <w:rPr>
                      <w:rFonts w:hint="eastAsia"/>
                      <w:kern w:val="0"/>
                      <w:szCs w:val="21"/>
                    </w:rPr>
                    <w:t>58.0</w:t>
                  </w:r>
                </w:p>
              </w:tc>
              <w:tc>
                <w:tcPr>
                  <w:tcW w:w="408" w:type="pct"/>
                  <w:tcBorders>
                    <w:right w:val="single" w:color="auto" w:sz="4" w:space="0"/>
                  </w:tcBorders>
                  <w:vAlign w:val="center"/>
                </w:tcPr>
                <w:p w14:paraId="2FC444C2">
                  <w:pPr>
                    <w:ind w:right="9"/>
                    <w:jc w:val="center"/>
                    <w:rPr>
                      <w:kern w:val="0"/>
                      <w:szCs w:val="21"/>
                    </w:rPr>
                  </w:pPr>
                  <w:r>
                    <w:rPr>
                      <w:rFonts w:hint="eastAsia"/>
                      <w:kern w:val="0"/>
                      <w:szCs w:val="21"/>
                    </w:rPr>
                    <w:t>26.0</w:t>
                  </w:r>
                </w:p>
              </w:tc>
              <w:tc>
                <w:tcPr>
                  <w:tcW w:w="408" w:type="pct"/>
                  <w:tcBorders>
                    <w:left w:val="single" w:color="auto" w:sz="4" w:space="0"/>
                    <w:right w:val="single" w:color="auto" w:sz="4" w:space="0"/>
                  </w:tcBorders>
                  <w:vAlign w:val="center"/>
                </w:tcPr>
                <w:p w14:paraId="7AA45F58">
                  <w:pPr>
                    <w:ind w:right="9"/>
                    <w:jc w:val="center"/>
                    <w:rPr>
                      <w:kern w:val="0"/>
                      <w:szCs w:val="21"/>
                    </w:rPr>
                  </w:pPr>
                  <w:r>
                    <w:rPr>
                      <w:rFonts w:hint="eastAsia"/>
                      <w:kern w:val="0"/>
                      <w:szCs w:val="21"/>
                    </w:rPr>
                    <w:t>1</w:t>
                  </w:r>
                </w:p>
              </w:tc>
              <w:tc>
                <w:tcPr>
                  <w:tcW w:w="687" w:type="pct"/>
                  <w:tcBorders>
                    <w:left w:val="single" w:color="auto" w:sz="4" w:space="0"/>
                    <w:right w:val="single" w:color="auto" w:sz="4" w:space="0"/>
                  </w:tcBorders>
                  <w:vAlign w:val="center"/>
                </w:tcPr>
                <w:p w14:paraId="6CC6C20E">
                  <w:pPr>
                    <w:ind w:right="9"/>
                    <w:jc w:val="center"/>
                    <w:rPr>
                      <w:kern w:val="0"/>
                      <w:szCs w:val="21"/>
                    </w:rPr>
                  </w:pPr>
                  <w:r>
                    <w:rPr>
                      <w:rFonts w:hint="eastAsia"/>
                      <w:kern w:val="0"/>
                      <w:szCs w:val="21"/>
                    </w:rPr>
                    <w:t>85</w:t>
                  </w:r>
                </w:p>
              </w:tc>
              <w:tc>
                <w:tcPr>
                  <w:tcW w:w="863" w:type="pct"/>
                  <w:vMerge w:val="continue"/>
                  <w:tcBorders>
                    <w:left w:val="single" w:color="auto" w:sz="4" w:space="0"/>
                  </w:tcBorders>
                  <w:vAlign w:val="center"/>
                </w:tcPr>
                <w:p w14:paraId="6DFD54AD">
                  <w:pPr>
                    <w:ind w:right="9"/>
                    <w:jc w:val="center"/>
                    <w:rPr>
                      <w:kern w:val="0"/>
                      <w:szCs w:val="21"/>
                    </w:rPr>
                  </w:pPr>
                </w:p>
              </w:tc>
              <w:tc>
                <w:tcPr>
                  <w:tcW w:w="773" w:type="pct"/>
                  <w:vAlign w:val="center"/>
                </w:tcPr>
                <w:p w14:paraId="4F512902">
                  <w:pPr>
                    <w:ind w:right="9"/>
                    <w:jc w:val="center"/>
                    <w:rPr>
                      <w:kern w:val="0"/>
                      <w:szCs w:val="21"/>
                    </w:rPr>
                  </w:pPr>
                  <w:r>
                    <w:rPr>
                      <w:rFonts w:hint="eastAsia"/>
                      <w:kern w:val="0"/>
                      <w:szCs w:val="21"/>
                    </w:rPr>
                    <w:t>75</w:t>
                  </w:r>
                </w:p>
              </w:tc>
            </w:tr>
            <w:tr w14:paraId="2D30921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57" w:type="dxa"/>
                  <w:bottom w:w="0" w:type="dxa"/>
                  <w:right w:w="57" w:type="dxa"/>
                </w:tblCellMar>
              </w:tblPrEx>
              <w:trPr>
                <w:trHeight w:val="397" w:hRule="atLeast"/>
              </w:trPr>
              <w:tc>
                <w:tcPr>
                  <w:tcW w:w="5000" w:type="pct"/>
                  <w:gridSpan w:val="8"/>
                  <w:tcBorders>
                    <w:bottom w:val="single" w:color="000000" w:sz="12" w:space="0"/>
                  </w:tcBorders>
                  <w:vAlign w:val="center"/>
                </w:tcPr>
                <w:p w14:paraId="4DA33848">
                  <w:pPr>
                    <w:ind w:right="9"/>
                    <w:jc w:val="left"/>
                    <w:rPr>
                      <w:kern w:val="0"/>
                      <w:szCs w:val="21"/>
                    </w:rPr>
                  </w:pPr>
                  <w:r>
                    <w:rPr>
                      <w:rFonts w:hint="eastAsia"/>
                      <w:kern w:val="0"/>
                      <w:szCs w:val="21"/>
                    </w:rPr>
                    <w:t>注：以磴4平台井场西南角为坐标原点。</w:t>
                  </w:r>
                </w:p>
              </w:tc>
            </w:tr>
          </w:tbl>
          <w:p w14:paraId="6B03CEBD">
            <w:pPr>
              <w:adjustRightInd w:val="0"/>
              <w:snapToGrid w:val="0"/>
              <w:spacing w:line="360" w:lineRule="auto"/>
              <w:ind w:firstLine="480" w:firstLineChars="200"/>
              <w:rPr>
                <w:sz w:val="24"/>
              </w:rPr>
            </w:pPr>
            <w:r>
              <w:rPr>
                <w:rFonts w:hint="eastAsia"/>
                <w:sz w:val="24"/>
              </w:rPr>
              <w:t>钻井过程为连续作业过程，钻井阶段噪声处理难度较大，一般采用噪声源及声传播途径控制措施降噪：柴油机、钻机、钻井泵等均选用低噪声设备并安装防振基座以实现基础减振，并定期维护保养，确保设备正常运行。</w:t>
            </w:r>
          </w:p>
          <w:p w14:paraId="5650287E">
            <w:pPr>
              <w:adjustRightInd w:val="0"/>
              <w:snapToGrid w:val="0"/>
              <w:spacing w:line="360" w:lineRule="auto"/>
              <w:ind w:firstLine="480" w:firstLineChars="200"/>
              <w:rPr>
                <w:sz w:val="24"/>
              </w:rPr>
            </w:pPr>
            <w:r>
              <w:rPr>
                <w:rFonts w:hint="eastAsia"/>
                <w:sz w:val="24"/>
              </w:rPr>
              <w:t>按照噪声预测模式，结合各噪声源到预测点距离，通过计算，得出钻井阶段噪声源对场界四周的贡献值</w:t>
            </w:r>
            <w:r>
              <w:rPr>
                <w:sz w:val="24"/>
              </w:rPr>
              <w:t>。</w:t>
            </w:r>
          </w:p>
          <w:p w14:paraId="04CCA89E">
            <w:pPr>
              <w:autoSpaceDE w:val="0"/>
              <w:autoSpaceDN w:val="0"/>
              <w:adjustRightInd w:val="0"/>
              <w:jc w:val="center"/>
              <w:rPr>
                <w:b/>
                <w:bCs/>
                <w:sz w:val="24"/>
              </w:rPr>
            </w:pPr>
            <w:r>
              <w:rPr>
                <w:b/>
                <w:kern w:val="0"/>
                <w:sz w:val="24"/>
                <w:szCs w:val="21"/>
              </w:rPr>
              <w:t>表4-</w:t>
            </w:r>
            <w:r>
              <w:rPr>
                <w:rFonts w:hint="eastAsia"/>
                <w:b/>
                <w:kern w:val="0"/>
                <w:sz w:val="24"/>
                <w:szCs w:val="21"/>
              </w:rPr>
              <w:t xml:space="preserve">4 </w:t>
            </w:r>
            <w:r>
              <w:rPr>
                <w:b/>
                <w:bCs/>
                <w:sz w:val="24"/>
              </w:rPr>
              <w:t>钻井</w:t>
            </w:r>
            <w:r>
              <w:rPr>
                <w:rFonts w:hint="eastAsia"/>
                <w:b/>
                <w:bCs/>
                <w:sz w:val="24"/>
              </w:rPr>
              <w:t>阶段</w:t>
            </w:r>
            <w:r>
              <w:rPr>
                <w:b/>
                <w:bCs/>
                <w:sz w:val="24"/>
              </w:rPr>
              <w:t>场界噪声</w:t>
            </w:r>
            <w:r>
              <w:rPr>
                <w:rFonts w:hint="eastAsia"/>
                <w:b/>
                <w:bCs/>
                <w:sz w:val="24"/>
              </w:rPr>
              <w:t>贡献情况</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6" w:type="dxa"/>
                <w:bottom w:w="0" w:type="dxa"/>
                <w:right w:w="6" w:type="dxa"/>
              </w:tblCellMar>
            </w:tblPr>
            <w:tblGrid>
              <w:gridCol w:w="1403"/>
              <w:gridCol w:w="1406"/>
              <w:gridCol w:w="993"/>
              <w:gridCol w:w="992"/>
              <w:gridCol w:w="992"/>
              <w:gridCol w:w="972"/>
              <w:gridCol w:w="1437"/>
            </w:tblGrid>
            <w:tr w14:paraId="15AA28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40" w:hRule="atLeast"/>
                <w:jc w:val="center"/>
              </w:trPr>
              <w:tc>
                <w:tcPr>
                  <w:tcW w:w="1714" w:type="pct"/>
                  <w:gridSpan w:val="2"/>
                  <w:vMerge w:val="restart"/>
                  <w:vAlign w:val="center"/>
                </w:tcPr>
                <w:p w14:paraId="07D53BFB">
                  <w:pPr>
                    <w:widowControl/>
                    <w:snapToGrid w:val="0"/>
                    <w:jc w:val="center"/>
                    <w:rPr>
                      <w:bCs/>
                      <w:szCs w:val="21"/>
                    </w:rPr>
                  </w:pPr>
                  <w:r>
                    <w:rPr>
                      <w:bCs/>
                      <w:szCs w:val="21"/>
                    </w:rPr>
                    <w:t>预测点名称</w:t>
                  </w:r>
                </w:p>
              </w:tc>
              <w:tc>
                <w:tcPr>
                  <w:tcW w:w="1211" w:type="pct"/>
                  <w:gridSpan w:val="2"/>
                  <w:vAlign w:val="center"/>
                </w:tcPr>
                <w:p w14:paraId="05867163">
                  <w:pPr>
                    <w:widowControl/>
                    <w:snapToGrid w:val="0"/>
                    <w:jc w:val="center"/>
                    <w:rPr>
                      <w:bCs/>
                      <w:szCs w:val="21"/>
                    </w:rPr>
                  </w:pPr>
                  <w:r>
                    <w:rPr>
                      <w:rFonts w:hint="eastAsia"/>
                      <w:bCs/>
                      <w:szCs w:val="21"/>
                    </w:rPr>
                    <w:t>贡献值dB（A）</w:t>
                  </w:r>
                </w:p>
              </w:tc>
              <w:tc>
                <w:tcPr>
                  <w:tcW w:w="1198" w:type="pct"/>
                  <w:gridSpan w:val="2"/>
                  <w:vAlign w:val="center"/>
                </w:tcPr>
                <w:p w14:paraId="42517EA7">
                  <w:pPr>
                    <w:widowControl/>
                    <w:snapToGrid w:val="0"/>
                    <w:jc w:val="center"/>
                    <w:rPr>
                      <w:bCs/>
                      <w:szCs w:val="21"/>
                    </w:rPr>
                  </w:pPr>
                  <w:r>
                    <w:rPr>
                      <w:bCs/>
                      <w:szCs w:val="21"/>
                    </w:rPr>
                    <w:t>标准值</w:t>
                  </w:r>
                  <w:r>
                    <w:rPr>
                      <w:rFonts w:hint="eastAsia"/>
                      <w:bCs/>
                      <w:szCs w:val="21"/>
                    </w:rPr>
                    <w:t>dB（A）</w:t>
                  </w:r>
                </w:p>
              </w:tc>
              <w:tc>
                <w:tcPr>
                  <w:tcW w:w="877" w:type="pct"/>
                  <w:vMerge w:val="restart"/>
                  <w:vAlign w:val="center"/>
                </w:tcPr>
                <w:p w14:paraId="153AF567">
                  <w:pPr>
                    <w:widowControl/>
                    <w:snapToGrid w:val="0"/>
                    <w:jc w:val="center"/>
                    <w:rPr>
                      <w:bCs/>
                      <w:szCs w:val="21"/>
                    </w:rPr>
                  </w:pPr>
                  <w:r>
                    <w:rPr>
                      <w:bCs/>
                      <w:szCs w:val="21"/>
                    </w:rPr>
                    <w:t>达标情况</w:t>
                  </w:r>
                </w:p>
              </w:tc>
            </w:tr>
            <w:tr w14:paraId="744C1A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40" w:hRule="atLeast"/>
                <w:jc w:val="center"/>
              </w:trPr>
              <w:tc>
                <w:tcPr>
                  <w:tcW w:w="1714" w:type="pct"/>
                  <w:gridSpan w:val="2"/>
                  <w:vMerge w:val="continue"/>
                  <w:vAlign w:val="center"/>
                </w:tcPr>
                <w:p w14:paraId="72F259B3">
                  <w:pPr>
                    <w:widowControl/>
                    <w:snapToGrid w:val="0"/>
                    <w:jc w:val="center"/>
                    <w:rPr>
                      <w:bCs/>
                      <w:szCs w:val="21"/>
                    </w:rPr>
                  </w:pPr>
                </w:p>
              </w:tc>
              <w:tc>
                <w:tcPr>
                  <w:tcW w:w="606" w:type="pct"/>
                  <w:vAlign w:val="center"/>
                </w:tcPr>
                <w:p w14:paraId="2B351729">
                  <w:pPr>
                    <w:widowControl/>
                    <w:snapToGrid w:val="0"/>
                    <w:jc w:val="center"/>
                    <w:rPr>
                      <w:bCs/>
                      <w:szCs w:val="21"/>
                    </w:rPr>
                  </w:pPr>
                  <w:r>
                    <w:rPr>
                      <w:bCs/>
                      <w:szCs w:val="21"/>
                    </w:rPr>
                    <w:t>昼间</w:t>
                  </w:r>
                </w:p>
              </w:tc>
              <w:tc>
                <w:tcPr>
                  <w:tcW w:w="605" w:type="pct"/>
                  <w:tcBorders>
                    <w:right w:val="single" w:color="auto" w:sz="4" w:space="0"/>
                  </w:tcBorders>
                  <w:vAlign w:val="center"/>
                </w:tcPr>
                <w:p w14:paraId="32E6796D">
                  <w:pPr>
                    <w:widowControl/>
                    <w:snapToGrid w:val="0"/>
                    <w:jc w:val="center"/>
                    <w:rPr>
                      <w:bCs/>
                      <w:szCs w:val="21"/>
                    </w:rPr>
                  </w:pPr>
                  <w:r>
                    <w:rPr>
                      <w:bCs/>
                      <w:szCs w:val="21"/>
                    </w:rPr>
                    <w:t>夜间</w:t>
                  </w:r>
                </w:p>
              </w:tc>
              <w:tc>
                <w:tcPr>
                  <w:tcW w:w="605" w:type="pct"/>
                  <w:tcBorders>
                    <w:left w:val="single" w:color="auto" w:sz="4" w:space="0"/>
                    <w:right w:val="single" w:color="auto" w:sz="4" w:space="0"/>
                  </w:tcBorders>
                  <w:vAlign w:val="center"/>
                </w:tcPr>
                <w:p w14:paraId="09CBA5B3">
                  <w:pPr>
                    <w:widowControl/>
                    <w:snapToGrid w:val="0"/>
                    <w:jc w:val="center"/>
                    <w:rPr>
                      <w:bCs/>
                      <w:szCs w:val="21"/>
                    </w:rPr>
                  </w:pPr>
                  <w:r>
                    <w:rPr>
                      <w:bCs/>
                      <w:szCs w:val="21"/>
                    </w:rPr>
                    <w:t>昼间</w:t>
                  </w:r>
                </w:p>
              </w:tc>
              <w:tc>
                <w:tcPr>
                  <w:tcW w:w="593" w:type="pct"/>
                  <w:tcBorders>
                    <w:left w:val="single" w:color="auto" w:sz="4" w:space="0"/>
                  </w:tcBorders>
                  <w:vAlign w:val="center"/>
                </w:tcPr>
                <w:p w14:paraId="2CF96420">
                  <w:pPr>
                    <w:widowControl/>
                    <w:snapToGrid w:val="0"/>
                    <w:jc w:val="center"/>
                    <w:rPr>
                      <w:bCs/>
                      <w:szCs w:val="21"/>
                    </w:rPr>
                  </w:pPr>
                  <w:r>
                    <w:rPr>
                      <w:bCs/>
                      <w:szCs w:val="21"/>
                    </w:rPr>
                    <w:t>夜间</w:t>
                  </w:r>
                </w:p>
              </w:tc>
              <w:tc>
                <w:tcPr>
                  <w:tcW w:w="877" w:type="pct"/>
                  <w:vMerge w:val="continue"/>
                  <w:vAlign w:val="center"/>
                </w:tcPr>
                <w:p w14:paraId="04983C3E">
                  <w:pPr>
                    <w:widowControl/>
                    <w:snapToGrid w:val="0"/>
                    <w:jc w:val="center"/>
                    <w:rPr>
                      <w:bCs/>
                      <w:szCs w:val="21"/>
                    </w:rPr>
                  </w:pPr>
                </w:p>
              </w:tc>
            </w:tr>
            <w:tr w14:paraId="142C94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restart"/>
                  <w:vAlign w:val="center"/>
                </w:tcPr>
                <w:p w14:paraId="00E601B0">
                  <w:pPr>
                    <w:widowControl/>
                    <w:snapToGrid w:val="0"/>
                    <w:jc w:val="center"/>
                    <w:rPr>
                      <w:bCs/>
                      <w:szCs w:val="21"/>
                    </w:rPr>
                  </w:pPr>
                  <w:r>
                    <w:rPr>
                      <w:rFonts w:hint="eastAsia"/>
                      <w:bCs/>
                      <w:szCs w:val="21"/>
                    </w:rPr>
                    <w:t>1号井</w:t>
                  </w:r>
                </w:p>
              </w:tc>
              <w:tc>
                <w:tcPr>
                  <w:tcW w:w="858" w:type="pct"/>
                  <w:vAlign w:val="center"/>
                </w:tcPr>
                <w:p w14:paraId="68972197">
                  <w:pPr>
                    <w:widowControl/>
                    <w:snapToGrid w:val="0"/>
                    <w:jc w:val="center"/>
                    <w:rPr>
                      <w:bCs/>
                      <w:szCs w:val="21"/>
                    </w:rPr>
                  </w:pPr>
                  <w:r>
                    <w:rPr>
                      <w:bCs/>
                      <w:szCs w:val="21"/>
                    </w:rPr>
                    <w:t>东</w:t>
                  </w:r>
                  <w:r>
                    <w:rPr>
                      <w:rFonts w:hint="eastAsia"/>
                      <w:bCs/>
                      <w:szCs w:val="21"/>
                    </w:rPr>
                    <w:t>场</w:t>
                  </w:r>
                  <w:r>
                    <w:rPr>
                      <w:bCs/>
                      <w:szCs w:val="21"/>
                    </w:rPr>
                    <w:t>界</w:t>
                  </w:r>
                </w:p>
              </w:tc>
              <w:tc>
                <w:tcPr>
                  <w:tcW w:w="606" w:type="pct"/>
                  <w:vAlign w:val="center"/>
                </w:tcPr>
                <w:p w14:paraId="52CFF78F">
                  <w:pPr>
                    <w:widowControl/>
                    <w:snapToGrid w:val="0"/>
                    <w:jc w:val="center"/>
                    <w:rPr>
                      <w:bCs/>
                      <w:szCs w:val="21"/>
                    </w:rPr>
                  </w:pPr>
                  <w:r>
                    <w:rPr>
                      <w:rFonts w:hint="eastAsia"/>
                      <w:bCs/>
                      <w:szCs w:val="21"/>
                    </w:rPr>
                    <w:t>48.9</w:t>
                  </w:r>
                </w:p>
              </w:tc>
              <w:tc>
                <w:tcPr>
                  <w:tcW w:w="605" w:type="pct"/>
                  <w:tcBorders>
                    <w:right w:val="single" w:color="auto" w:sz="4" w:space="0"/>
                  </w:tcBorders>
                  <w:vAlign w:val="center"/>
                </w:tcPr>
                <w:p w14:paraId="15447671">
                  <w:pPr>
                    <w:widowControl/>
                    <w:snapToGrid w:val="0"/>
                    <w:jc w:val="center"/>
                    <w:rPr>
                      <w:bCs/>
                      <w:szCs w:val="21"/>
                    </w:rPr>
                  </w:pPr>
                  <w:r>
                    <w:rPr>
                      <w:rFonts w:hint="eastAsia"/>
                      <w:bCs/>
                      <w:szCs w:val="21"/>
                    </w:rPr>
                    <w:t>48.9</w:t>
                  </w:r>
                </w:p>
              </w:tc>
              <w:tc>
                <w:tcPr>
                  <w:tcW w:w="605" w:type="pct"/>
                  <w:tcBorders>
                    <w:left w:val="single" w:color="auto" w:sz="4" w:space="0"/>
                    <w:right w:val="single" w:color="auto" w:sz="4" w:space="0"/>
                  </w:tcBorders>
                  <w:vAlign w:val="center"/>
                </w:tcPr>
                <w:p w14:paraId="7B0724B8">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2A1798C6">
                  <w:pPr>
                    <w:widowControl/>
                    <w:snapToGrid w:val="0"/>
                    <w:jc w:val="center"/>
                    <w:rPr>
                      <w:bCs/>
                      <w:szCs w:val="21"/>
                    </w:rPr>
                  </w:pPr>
                  <w:r>
                    <w:rPr>
                      <w:rFonts w:hint="eastAsia"/>
                      <w:bCs/>
                      <w:szCs w:val="21"/>
                    </w:rPr>
                    <w:t>55</w:t>
                  </w:r>
                </w:p>
              </w:tc>
              <w:tc>
                <w:tcPr>
                  <w:tcW w:w="877" w:type="pct"/>
                  <w:vAlign w:val="center"/>
                </w:tcPr>
                <w:p w14:paraId="156C89E4">
                  <w:pPr>
                    <w:widowControl/>
                    <w:snapToGrid w:val="0"/>
                    <w:jc w:val="center"/>
                    <w:rPr>
                      <w:bCs/>
                      <w:szCs w:val="21"/>
                    </w:rPr>
                  </w:pPr>
                  <w:r>
                    <w:rPr>
                      <w:bCs/>
                      <w:szCs w:val="21"/>
                    </w:rPr>
                    <w:t>达标</w:t>
                  </w:r>
                </w:p>
              </w:tc>
            </w:tr>
            <w:tr w14:paraId="21BA15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97" w:hRule="atLeast"/>
                <w:jc w:val="center"/>
              </w:trPr>
              <w:tc>
                <w:tcPr>
                  <w:tcW w:w="856" w:type="pct"/>
                  <w:vMerge w:val="continue"/>
                  <w:vAlign w:val="center"/>
                </w:tcPr>
                <w:p w14:paraId="48CAF712">
                  <w:pPr>
                    <w:widowControl/>
                    <w:snapToGrid w:val="0"/>
                    <w:jc w:val="center"/>
                    <w:rPr>
                      <w:bCs/>
                      <w:szCs w:val="21"/>
                    </w:rPr>
                  </w:pPr>
                </w:p>
              </w:tc>
              <w:tc>
                <w:tcPr>
                  <w:tcW w:w="858" w:type="pct"/>
                  <w:vAlign w:val="center"/>
                </w:tcPr>
                <w:p w14:paraId="3BD13634">
                  <w:pPr>
                    <w:widowControl/>
                    <w:snapToGrid w:val="0"/>
                    <w:jc w:val="center"/>
                    <w:rPr>
                      <w:bCs/>
                      <w:szCs w:val="21"/>
                    </w:rPr>
                  </w:pPr>
                  <w:r>
                    <w:rPr>
                      <w:bCs/>
                      <w:szCs w:val="21"/>
                    </w:rPr>
                    <w:t>南</w:t>
                  </w:r>
                  <w:r>
                    <w:rPr>
                      <w:rFonts w:hint="eastAsia"/>
                      <w:bCs/>
                      <w:szCs w:val="21"/>
                    </w:rPr>
                    <w:t>场</w:t>
                  </w:r>
                  <w:r>
                    <w:rPr>
                      <w:bCs/>
                      <w:szCs w:val="21"/>
                    </w:rPr>
                    <w:t>界</w:t>
                  </w:r>
                </w:p>
              </w:tc>
              <w:tc>
                <w:tcPr>
                  <w:tcW w:w="606" w:type="pct"/>
                  <w:vAlign w:val="center"/>
                </w:tcPr>
                <w:p w14:paraId="5B3C5F93">
                  <w:pPr>
                    <w:widowControl/>
                    <w:snapToGrid w:val="0"/>
                    <w:jc w:val="center"/>
                    <w:rPr>
                      <w:bCs/>
                      <w:szCs w:val="21"/>
                    </w:rPr>
                  </w:pPr>
                  <w:r>
                    <w:rPr>
                      <w:rFonts w:hint="eastAsia"/>
                      <w:bCs/>
                      <w:szCs w:val="21"/>
                    </w:rPr>
                    <w:t>46.1</w:t>
                  </w:r>
                </w:p>
              </w:tc>
              <w:tc>
                <w:tcPr>
                  <w:tcW w:w="605" w:type="pct"/>
                  <w:tcBorders>
                    <w:right w:val="single" w:color="auto" w:sz="4" w:space="0"/>
                  </w:tcBorders>
                  <w:vAlign w:val="center"/>
                </w:tcPr>
                <w:p w14:paraId="254A126D">
                  <w:pPr>
                    <w:widowControl/>
                    <w:snapToGrid w:val="0"/>
                    <w:jc w:val="center"/>
                    <w:rPr>
                      <w:bCs/>
                      <w:szCs w:val="21"/>
                    </w:rPr>
                  </w:pPr>
                  <w:r>
                    <w:rPr>
                      <w:rFonts w:hint="eastAsia"/>
                      <w:bCs/>
                      <w:szCs w:val="21"/>
                    </w:rPr>
                    <w:t>46.1</w:t>
                  </w:r>
                </w:p>
              </w:tc>
              <w:tc>
                <w:tcPr>
                  <w:tcW w:w="605" w:type="pct"/>
                  <w:tcBorders>
                    <w:left w:val="single" w:color="auto" w:sz="4" w:space="0"/>
                    <w:right w:val="single" w:color="auto" w:sz="4" w:space="0"/>
                  </w:tcBorders>
                  <w:vAlign w:val="center"/>
                </w:tcPr>
                <w:p w14:paraId="1DDEDEE4">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268E5A8">
                  <w:pPr>
                    <w:widowControl/>
                    <w:snapToGrid w:val="0"/>
                    <w:jc w:val="center"/>
                    <w:rPr>
                      <w:bCs/>
                      <w:szCs w:val="21"/>
                    </w:rPr>
                  </w:pPr>
                  <w:r>
                    <w:rPr>
                      <w:rFonts w:hint="eastAsia"/>
                      <w:bCs/>
                      <w:szCs w:val="21"/>
                    </w:rPr>
                    <w:t>55</w:t>
                  </w:r>
                </w:p>
              </w:tc>
              <w:tc>
                <w:tcPr>
                  <w:tcW w:w="877" w:type="pct"/>
                  <w:vAlign w:val="center"/>
                </w:tcPr>
                <w:p w14:paraId="3C5C8642">
                  <w:pPr>
                    <w:widowControl/>
                    <w:snapToGrid w:val="0"/>
                    <w:jc w:val="center"/>
                    <w:rPr>
                      <w:bCs/>
                      <w:szCs w:val="21"/>
                    </w:rPr>
                  </w:pPr>
                  <w:r>
                    <w:rPr>
                      <w:bCs/>
                      <w:szCs w:val="21"/>
                    </w:rPr>
                    <w:t>达标</w:t>
                  </w:r>
                </w:p>
              </w:tc>
            </w:tr>
            <w:tr w14:paraId="2B888C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continue"/>
                  <w:vAlign w:val="center"/>
                </w:tcPr>
                <w:p w14:paraId="3419BB4F">
                  <w:pPr>
                    <w:widowControl/>
                    <w:snapToGrid w:val="0"/>
                    <w:jc w:val="center"/>
                    <w:rPr>
                      <w:bCs/>
                      <w:szCs w:val="21"/>
                    </w:rPr>
                  </w:pPr>
                </w:p>
              </w:tc>
              <w:tc>
                <w:tcPr>
                  <w:tcW w:w="858" w:type="pct"/>
                  <w:vAlign w:val="center"/>
                </w:tcPr>
                <w:p w14:paraId="6A8632CE">
                  <w:pPr>
                    <w:widowControl/>
                    <w:snapToGrid w:val="0"/>
                    <w:jc w:val="center"/>
                    <w:rPr>
                      <w:bCs/>
                      <w:szCs w:val="21"/>
                    </w:rPr>
                  </w:pPr>
                  <w:r>
                    <w:rPr>
                      <w:bCs/>
                      <w:szCs w:val="21"/>
                    </w:rPr>
                    <w:t>西</w:t>
                  </w:r>
                  <w:r>
                    <w:rPr>
                      <w:rFonts w:hint="eastAsia"/>
                      <w:bCs/>
                      <w:szCs w:val="21"/>
                    </w:rPr>
                    <w:t>场</w:t>
                  </w:r>
                  <w:r>
                    <w:rPr>
                      <w:bCs/>
                      <w:szCs w:val="21"/>
                    </w:rPr>
                    <w:t>界</w:t>
                  </w:r>
                </w:p>
              </w:tc>
              <w:tc>
                <w:tcPr>
                  <w:tcW w:w="606" w:type="pct"/>
                  <w:vAlign w:val="center"/>
                </w:tcPr>
                <w:p w14:paraId="6E546733">
                  <w:pPr>
                    <w:widowControl/>
                    <w:snapToGrid w:val="0"/>
                    <w:jc w:val="center"/>
                    <w:rPr>
                      <w:bCs/>
                      <w:szCs w:val="21"/>
                    </w:rPr>
                  </w:pPr>
                  <w:r>
                    <w:rPr>
                      <w:rFonts w:hint="eastAsia"/>
                      <w:bCs/>
                      <w:szCs w:val="21"/>
                    </w:rPr>
                    <w:t>37.3</w:t>
                  </w:r>
                </w:p>
              </w:tc>
              <w:tc>
                <w:tcPr>
                  <w:tcW w:w="605" w:type="pct"/>
                  <w:tcBorders>
                    <w:right w:val="single" w:color="auto" w:sz="4" w:space="0"/>
                  </w:tcBorders>
                  <w:vAlign w:val="center"/>
                </w:tcPr>
                <w:p w14:paraId="129C8E28">
                  <w:pPr>
                    <w:widowControl/>
                    <w:snapToGrid w:val="0"/>
                    <w:jc w:val="center"/>
                    <w:rPr>
                      <w:bCs/>
                      <w:szCs w:val="21"/>
                    </w:rPr>
                  </w:pPr>
                  <w:r>
                    <w:rPr>
                      <w:rFonts w:hint="eastAsia"/>
                      <w:bCs/>
                      <w:szCs w:val="21"/>
                    </w:rPr>
                    <w:t>37.3</w:t>
                  </w:r>
                </w:p>
              </w:tc>
              <w:tc>
                <w:tcPr>
                  <w:tcW w:w="605" w:type="pct"/>
                  <w:tcBorders>
                    <w:left w:val="single" w:color="auto" w:sz="4" w:space="0"/>
                    <w:right w:val="single" w:color="auto" w:sz="4" w:space="0"/>
                  </w:tcBorders>
                  <w:vAlign w:val="center"/>
                </w:tcPr>
                <w:p w14:paraId="4333610B">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307B9FA7">
                  <w:pPr>
                    <w:widowControl/>
                    <w:snapToGrid w:val="0"/>
                    <w:jc w:val="center"/>
                    <w:rPr>
                      <w:bCs/>
                      <w:szCs w:val="21"/>
                    </w:rPr>
                  </w:pPr>
                  <w:r>
                    <w:rPr>
                      <w:rFonts w:hint="eastAsia"/>
                      <w:bCs/>
                      <w:szCs w:val="21"/>
                    </w:rPr>
                    <w:t>55</w:t>
                  </w:r>
                </w:p>
              </w:tc>
              <w:tc>
                <w:tcPr>
                  <w:tcW w:w="877" w:type="pct"/>
                  <w:vAlign w:val="center"/>
                </w:tcPr>
                <w:p w14:paraId="4CC7167E">
                  <w:pPr>
                    <w:widowControl/>
                    <w:snapToGrid w:val="0"/>
                    <w:jc w:val="center"/>
                    <w:rPr>
                      <w:bCs/>
                      <w:szCs w:val="21"/>
                    </w:rPr>
                  </w:pPr>
                  <w:r>
                    <w:rPr>
                      <w:bCs/>
                      <w:szCs w:val="21"/>
                    </w:rPr>
                    <w:t>达标</w:t>
                  </w:r>
                </w:p>
              </w:tc>
            </w:tr>
            <w:tr w14:paraId="7DA4E9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continue"/>
                  <w:vAlign w:val="center"/>
                </w:tcPr>
                <w:p w14:paraId="3D79D59A">
                  <w:pPr>
                    <w:widowControl/>
                    <w:snapToGrid w:val="0"/>
                    <w:jc w:val="center"/>
                    <w:rPr>
                      <w:bCs/>
                      <w:szCs w:val="21"/>
                    </w:rPr>
                  </w:pPr>
                </w:p>
              </w:tc>
              <w:tc>
                <w:tcPr>
                  <w:tcW w:w="858" w:type="pct"/>
                  <w:vAlign w:val="center"/>
                </w:tcPr>
                <w:p w14:paraId="7B109C71">
                  <w:pPr>
                    <w:widowControl/>
                    <w:snapToGrid w:val="0"/>
                    <w:jc w:val="center"/>
                    <w:rPr>
                      <w:bCs/>
                      <w:szCs w:val="21"/>
                    </w:rPr>
                  </w:pPr>
                  <w:r>
                    <w:rPr>
                      <w:bCs/>
                      <w:szCs w:val="21"/>
                    </w:rPr>
                    <w:t>北</w:t>
                  </w:r>
                  <w:r>
                    <w:rPr>
                      <w:rFonts w:hint="eastAsia"/>
                      <w:bCs/>
                      <w:szCs w:val="21"/>
                    </w:rPr>
                    <w:t>场</w:t>
                  </w:r>
                  <w:r>
                    <w:rPr>
                      <w:bCs/>
                      <w:szCs w:val="21"/>
                    </w:rPr>
                    <w:t>界</w:t>
                  </w:r>
                </w:p>
              </w:tc>
              <w:tc>
                <w:tcPr>
                  <w:tcW w:w="606" w:type="pct"/>
                  <w:vAlign w:val="center"/>
                </w:tcPr>
                <w:p w14:paraId="6BE5AEAF">
                  <w:pPr>
                    <w:widowControl/>
                    <w:snapToGrid w:val="0"/>
                    <w:jc w:val="center"/>
                    <w:rPr>
                      <w:bCs/>
                      <w:szCs w:val="21"/>
                    </w:rPr>
                  </w:pPr>
                  <w:r>
                    <w:rPr>
                      <w:rFonts w:hint="eastAsia"/>
                      <w:bCs/>
                      <w:szCs w:val="21"/>
                    </w:rPr>
                    <w:t>45.8</w:t>
                  </w:r>
                </w:p>
              </w:tc>
              <w:tc>
                <w:tcPr>
                  <w:tcW w:w="605" w:type="pct"/>
                  <w:tcBorders>
                    <w:right w:val="single" w:color="auto" w:sz="4" w:space="0"/>
                  </w:tcBorders>
                  <w:vAlign w:val="center"/>
                </w:tcPr>
                <w:p w14:paraId="19EBDC9E">
                  <w:pPr>
                    <w:widowControl/>
                    <w:snapToGrid w:val="0"/>
                    <w:jc w:val="center"/>
                    <w:rPr>
                      <w:bCs/>
                      <w:szCs w:val="21"/>
                    </w:rPr>
                  </w:pPr>
                  <w:r>
                    <w:rPr>
                      <w:rFonts w:hint="eastAsia"/>
                      <w:bCs/>
                      <w:szCs w:val="21"/>
                    </w:rPr>
                    <w:t>45.8</w:t>
                  </w:r>
                </w:p>
              </w:tc>
              <w:tc>
                <w:tcPr>
                  <w:tcW w:w="605" w:type="pct"/>
                  <w:tcBorders>
                    <w:left w:val="single" w:color="auto" w:sz="4" w:space="0"/>
                    <w:right w:val="single" w:color="auto" w:sz="4" w:space="0"/>
                  </w:tcBorders>
                  <w:vAlign w:val="center"/>
                </w:tcPr>
                <w:p w14:paraId="4FD5531A">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4FB3933">
                  <w:pPr>
                    <w:widowControl/>
                    <w:snapToGrid w:val="0"/>
                    <w:jc w:val="center"/>
                    <w:rPr>
                      <w:bCs/>
                      <w:szCs w:val="21"/>
                    </w:rPr>
                  </w:pPr>
                  <w:r>
                    <w:rPr>
                      <w:rFonts w:hint="eastAsia"/>
                      <w:bCs/>
                      <w:szCs w:val="21"/>
                    </w:rPr>
                    <w:t>55</w:t>
                  </w:r>
                </w:p>
              </w:tc>
              <w:tc>
                <w:tcPr>
                  <w:tcW w:w="877" w:type="pct"/>
                  <w:vAlign w:val="center"/>
                </w:tcPr>
                <w:p w14:paraId="7610C5DA">
                  <w:pPr>
                    <w:widowControl/>
                    <w:snapToGrid w:val="0"/>
                    <w:jc w:val="center"/>
                    <w:rPr>
                      <w:bCs/>
                      <w:szCs w:val="21"/>
                    </w:rPr>
                  </w:pPr>
                  <w:r>
                    <w:rPr>
                      <w:bCs/>
                      <w:szCs w:val="21"/>
                    </w:rPr>
                    <w:t>达标</w:t>
                  </w:r>
                </w:p>
              </w:tc>
            </w:tr>
            <w:tr w14:paraId="4533E6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restart"/>
                  <w:vAlign w:val="center"/>
                </w:tcPr>
                <w:p w14:paraId="68BF84E9">
                  <w:pPr>
                    <w:widowControl/>
                    <w:snapToGrid w:val="0"/>
                    <w:jc w:val="center"/>
                    <w:rPr>
                      <w:bCs/>
                      <w:szCs w:val="21"/>
                    </w:rPr>
                  </w:pPr>
                  <w:r>
                    <w:rPr>
                      <w:rFonts w:hint="eastAsia"/>
                      <w:bCs/>
                      <w:szCs w:val="21"/>
                    </w:rPr>
                    <w:t>2号井</w:t>
                  </w:r>
                </w:p>
              </w:tc>
              <w:tc>
                <w:tcPr>
                  <w:tcW w:w="858" w:type="pct"/>
                  <w:vAlign w:val="center"/>
                </w:tcPr>
                <w:p w14:paraId="7B16A3B5">
                  <w:pPr>
                    <w:widowControl/>
                    <w:snapToGrid w:val="0"/>
                    <w:jc w:val="center"/>
                    <w:rPr>
                      <w:bCs/>
                      <w:szCs w:val="21"/>
                    </w:rPr>
                  </w:pPr>
                  <w:r>
                    <w:rPr>
                      <w:bCs/>
                      <w:szCs w:val="21"/>
                    </w:rPr>
                    <w:t>东</w:t>
                  </w:r>
                  <w:r>
                    <w:rPr>
                      <w:rFonts w:hint="eastAsia"/>
                      <w:bCs/>
                      <w:szCs w:val="21"/>
                    </w:rPr>
                    <w:t>场</w:t>
                  </w:r>
                  <w:r>
                    <w:rPr>
                      <w:bCs/>
                      <w:szCs w:val="21"/>
                    </w:rPr>
                    <w:t>界</w:t>
                  </w:r>
                </w:p>
              </w:tc>
              <w:tc>
                <w:tcPr>
                  <w:tcW w:w="606" w:type="pct"/>
                  <w:vAlign w:val="center"/>
                </w:tcPr>
                <w:p w14:paraId="5C1015B9">
                  <w:pPr>
                    <w:widowControl/>
                    <w:snapToGrid w:val="0"/>
                    <w:jc w:val="center"/>
                    <w:rPr>
                      <w:bCs/>
                      <w:szCs w:val="21"/>
                    </w:rPr>
                  </w:pPr>
                  <w:r>
                    <w:rPr>
                      <w:rFonts w:hint="eastAsia"/>
                      <w:bCs/>
                      <w:szCs w:val="21"/>
                    </w:rPr>
                    <w:t>44.6</w:t>
                  </w:r>
                </w:p>
              </w:tc>
              <w:tc>
                <w:tcPr>
                  <w:tcW w:w="605" w:type="pct"/>
                  <w:tcBorders>
                    <w:right w:val="single" w:color="auto" w:sz="4" w:space="0"/>
                  </w:tcBorders>
                  <w:vAlign w:val="center"/>
                </w:tcPr>
                <w:p w14:paraId="667F8AE6">
                  <w:pPr>
                    <w:widowControl/>
                    <w:snapToGrid w:val="0"/>
                    <w:jc w:val="center"/>
                    <w:rPr>
                      <w:bCs/>
                      <w:szCs w:val="21"/>
                    </w:rPr>
                  </w:pPr>
                  <w:r>
                    <w:rPr>
                      <w:rFonts w:hint="eastAsia"/>
                      <w:bCs/>
                      <w:szCs w:val="21"/>
                    </w:rPr>
                    <w:t>44.6</w:t>
                  </w:r>
                </w:p>
              </w:tc>
              <w:tc>
                <w:tcPr>
                  <w:tcW w:w="605" w:type="pct"/>
                  <w:tcBorders>
                    <w:left w:val="single" w:color="auto" w:sz="4" w:space="0"/>
                    <w:right w:val="single" w:color="auto" w:sz="4" w:space="0"/>
                  </w:tcBorders>
                  <w:vAlign w:val="center"/>
                </w:tcPr>
                <w:p w14:paraId="5462C2E4">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0F4595CC">
                  <w:pPr>
                    <w:widowControl/>
                    <w:snapToGrid w:val="0"/>
                    <w:jc w:val="center"/>
                    <w:rPr>
                      <w:bCs/>
                      <w:szCs w:val="21"/>
                    </w:rPr>
                  </w:pPr>
                  <w:r>
                    <w:rPr>
                      <w:rFonts w:hint="eastAsia"/>
                      <w:bCs/>
                      <w:szCs w:val="21"/>
                    </w:rPr>
                    <w:t>55</w:t>
                  </w:r>
                </w:p>
              </w:tc>
              <w:tc>
                <w:tcPr>
                  <w:tcW w:w="877" w:type="pct"/>
                  <w:vAlign w:val="center"/>
                </w:tcPr>
                <w:p w14:paraId="6EC06020">
                  <w:pPr>
                    <w:widowControl/>
                    <w:snapToGrid w:val="0"/>
                    <w:jc w:val="center"/>
                    <w:rPr>
                      <w:bCs/>
                      <w:szCs w:val="21"/>
                    </w:rPr>
                  </w:pPr>
                  <w:r>
                    <w:rPr>
                      <w:bCs/>
                      <w:szCs w:val="21"/>
                    </w:rPr>
                    <w:t>达标</w:t>
                  </w:r>
                </w:p>
              </w:tc>
            </w:tr>
            <w:tr w14:paraId="0E0E55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97" w:hRule="atLeast"/>
                <w:jc w:val="center"/>
              </w:trPr>
              <w:tc>
                <w:tcPr>
                  <w:tcW w:w="856" w:type="pct"/>
                  <w:vMerge w:val="continue"/>
                  <w:vAlign w:val="center"/>
                </w:tcPr>
                <w:p w14:paraId="14E58900">
                  <w:pPr>
                    <w:widowControl/>
                    <w:snapToGrid w:val="0"/>
                    <w:jc w:val="center"/>
                    <w:rPr>
                      <w:bCs/>
                      <w:szCs w:val="21"/>
                    </w:rPr>
                  </w:pPr>
                </w:p>
              </w:tc>
              <w:tc>
                <w:tcPr>
                  <w:tcW w:w="858" w:type="pct"/>
                  <w:vAlign w:val="center"/>
                </w:tcPr>
                <w:p w14:paraId="6AA17B89">
                  <w:pPr>
                    <w:widowControl/>
                    <w:snapToGrid w:val="0"/>
                    <w:jc w:val="center"/>
                    <w:rPr>
                      <w:bCs/>
                      <w:szCs w:val="21"/>
                    </w:rPr>
                  </w:pPr>
                  <w:r>
                    <w:rPr>
                      <w:bCs/>
                      <w:szCs w:val="21"/>
                    </w:rPr>
                    <w:t>南</w:t>
                  </w:r>
                  <w:r>
                    <w:rPr>
                      <w:rFonts w:hint="eastAsia"/>
                      <w:bCs/>
                      <w:szCs w:val="21"/>
                    </w:rPr>
                    <w:t>场</w:t>
                  </w:r>
                  <w:r>
                    <w:rPr>
                      <w:bCs/>
                      <w:szCs w:val="21"/>
                    </w:rPr>
                    <w:t>界</w:t>
                  </w:r>
                </w:p>
              </w:tc>
              <w:tc>
                <w:tcPr>
                  <w:tcW w:w="606" w:type="pct"/>
                  <w:vAlign w:val="center"/>
                </w:tcPr>
                <w:p w14:paraId="016F3A5C">
                  <w:pPr>
                    <w:widowControl/>
                    <w:snapToGrid w:val="0"/>
                    <w:jc w:val="center"/>
                    <w:rPr>
                      <w:bCs/>
                      <w:szCs w:val="21"/>
                    </w:rPr>
                  </w:pPr>
                  <w:r>
                    <w:rPr>
                      <w:rFonts w:hint="eastAsia"/>
                      <w:bCs/>
                      <w:szCs w:val="21"/>
                    </w:rPr>
                    <w:t>46.0</w:t>
                  </w:r>
                </w:p>
              </w:tc>
              <w:tc>
                <w:tcPr>
                  <w:tcW w:w="605" w:type="pct"/>
                  <w:tcBorders>
                    <w:right w:val="single" w:color="auto" w:sz="4" w:space="0"/>
                  </w:tcBorders>
                  <w:vAlign w:val="center"/>
                </w:tcPr>
                <w:p w14:paraId="36DD1583">
                  <w:pPr>
                    <w:widowControl/>
                    <w:snapToGrid w:val="0"/>
                    <w:jc w:val="center"/>
                    <w:rPr>
                      <w:bCs/>
                      <w:szCs w:val="21"/>
                    </w:rPr>
                  </w:pPr>
                  <w:r>
                    <w:rPr>
                      <w:rFonts w:hint="eastAsia"/>
                      <w:bCs/>
                      <w:szCs w:val="21"/>
                    </w:rPr>
                    <w:t>46.0</w:t>
                  </w:r>
                </w:p>
              </w:tc>
              <w:tc>
                <w:tcPr>
                  <w:tcW w:w="605" w:type="pct"/>
                  <w:tcBorders>
                    <w:left w:val="single" w:color="auto" w:sz="4" w:space="0"/>
                    <w:right w:val="single" w:color="auto" w:sz="4" w:space="0"/>
                  </w:tcBorders>
                  <w:vAlign w:val="center"/>
                </w:tcPr>
                <w:p w14:paraId="750CB552">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43305A39">
                  <w:pPr>
                    <w:widowControl/>
                    <w:snapToGrid w:val="0"/>
                    <w:jc w:val="center"/>
                    <w:rPr>
                      <w:bCs/>
                      <w:szCs w:val="21"/>
                    </w:rPr>
                  </w:pPr>
                  <w:r>
                    <w:rPr>
                      <w:rFonts w:hint="eastAsia"/>
                      <w:bCs/>
                      <w:szCs w:val="21"/>
                    </w:rPr>
                    <w:t>55</w:t>
                  </w:r>
                </w:p>
              </w:tc>
              <w:tc>
                <w:tcPr>
                  <w:tcW w:w="877" w:type="pct"/>
                  <w:vAlign w:val="center"/>
                </w:tcPr>
                <w:p w14:paraId="00301E0D">
                  <w:pPr>
                    <w:widowControl/>
                    <w:snapToGrid w:val="0"/>
                    <w:jc w:val="center"/>
                    <w:rPr>
                      <w:bCs/>
                      <w:szCs w:val="21"/>
                    </w:rPr>
                  </w:pPr>
                  <w:r>
                    <w:rPr>
                      <w:bCs/>
                      <w:szCs w:val="21"/>
                    </w:rPr>
                    <w:t>达标</w:t>
                  </w:r>
                </w:p>
              </w:tc>
            </w:tr>
            <w:tr w14:paraId="2774BC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continue"/>
                  <w:vAlign w:val="center"/>
                </w:tcPr>
                <w:p w14:paraId="596DD47A">
                  <w:pPr>
                    <w:widowControl/>
                    <w:snapToGrid w:val="0"/>
                    <w:jc w:val="center"/>
                    <w:rPr>
                      <w:bCs/>
                      <w:szCs w:val="21"/>
                    </w:rPr>
                  </w:pPr>
                </w:p>
              </w:tc>
              <w:tc>
                <w:tcPr>
                  <w:tcW w:w="858" w:type="pct"/>
                  <w:vAlign w:val="center"/>
                </w:tcPr>
                <w:p w14:paraId="7600C060">
                  <w:pPr>
                    <w:widowControl/>
                    <w:snapToGrid w:val="0"/>
                    <w:jc w:val="center"/>
                    <w:rPr>
                      <w:bCs/>
                      <w:szCs w:val="21"/>
                    </w:rPr>
                  </w:pPr>
                  <w:r>
                    <w:rPr>
                      <w:bCs/>
                      <w:szCs w:val="21"/>
                    </w:rPr>
                    <w:t>西</w:t>
                  </w:r>
                  <w:r>
                    <w:rPr>
                      <w:rFonts w:hint="eastAsia"/>
                      <w:bCs/>
                      <w:szCs w:val="21"/>
                    </w:rPr>
                    <w:t>场</w:t>
                  </w:r>
                  <w:r>
                    <w:rPr>
                      <w:bCs/>
                      <w:szCs w:val="21"/>
                    </w:rPr>
                    <w:t>界</w:t>
                  </w:r>
                </w:p>
              </w:tc>
              <w:tc>
                <w:tcPr>
                  <w:tcW w:w="606" w:type="pct"/>
                  <w:vAlign w:val="center"/>
                </w:tcPr>
                <w:p w14:paraId="76C637B8">
                  <w:pPr>
                    <w:widowControl/>
                    <w:snapToGrid w:val="0"/>
                    <w:jc w:val="center"/>
                    <w:rPr>
                      <w:bCs/>
                      <w:szCs w:val="21"/>
                    </w:rPr>
                  </w:pPr>
                  <w:r>
                    <w:rPr>
                      <w:rFonts w:hint="eastAsia"/>
                      <w:bCs/>
                      <w:szCs w:val="21"/>
                    </w:rPr>
                    <w:t>38.7</w:t>
                  </w:r>
                </w:p>
              </w:tc>
              <w:tc>
                <w:tcPr>
                  <w:tcW w:w="605" w:type="pct"/>
                  <w:tcBorders>
                    <w:right w:val="single" w:color="auto" w:sz="4" w:space="0"/>
                  </w:tcBorders>
                  <w:vAlign w:val="center"/>
                </w:tcPr>
                <w:p w14:paraId="77AB15C4">
                  <w:pPr>
                    <w:widowControl/>
                    <w:snapToGrid w:val="0"/>
                    <w:jc w:val="center"/>
                    <w:rPr>
                      <w:bCs/>
                      <w:szCs w:val="21"/>
                    </w:rPr>
                  </w:pPr>
                  <w:r>
                    <w:rPr>
                      <w:rFonts w:hint="eastAsia"/>
                      <w:bCs/>
                      <w:szCs w:val="21"/>
                    </w:rPr>
                    <w:t>38.7</w:t>
                  </w:r>
                </w:p>
              </w:tc>
              <w:tc>
                <w:tcPr>
                  <w:tcW w:w="605" w:type="pct"/>
                  <w:tcBorders>
                    <w:left w:val="single" w:color="auto" w:sz="4" w:space="0"/>
                    <w:right w:val="single" w:color="auto" w:sz="4" w:space="0"/>
                  </w:tcBorders>
                  <w:vAlign w:val="center"/>
                </w:tcPr>
                <w:p w14:paraId="74075677">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09D1CCD5">
                  <w:pPr>
                    <w:widowControl/>
                    <w:snapToGrid w:val="0"/>
                    <w:jc w:val="center"/>
                    <w:rPr>
                      <w:bCs/>
                      <w:szCs w:val="21"/>
                    </w:rPr>
                  </w:pPr>
                  <w:r>
                    <w:rPr>
                      <w:rFonts w:hint="eastAsia"/>
                      <w:bCs/>
                      <w:szCs w:val="21"/>
                    </w:rPr>
                    <w:t>55</w:t>
                  </w:r>
                </w:p>
              </w:tc>
              <w:tc>
                <w:tcPr>
                  <w:tcW w:w="877" w:type="pct"/>
                  <w:vAlign w:val="center"/>
                </w:tcPr>
                <w:p w14:paraId="2AA1BE22">
                  <w:pPr>
                    <w:widowControl/>
                    <w:snapToGrid w:val="0"/>
                    <w:jc w:val="center"/>
                    <w:rPr>
                      <w:bCs/>
                      <w:szCs w:val="21"/>
                    </w:rPr>
                  </w:pPr>
                  <w:r>
                    <w:rPr>
                      <w:bCs/>
                      <w:szCs w:val="21"/>
                    </w:rPr>
                    <w:t>达标</w:t>
                  </w:r>
                </w:p>
              </w:tc>
            </w:tr>
            <w:tr w14:paraId="33576A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continue"/>
                  <w:vAlign w:val="center"/>
                </w:tcPr>
                <w:p w14:paraId="6E170560">
                  <w:pPr>
                    <w:widowControl/>
                    <w:snapToGrid w:val="0"/>
                    <w:jc w:val="center"/>
                    <w:rPr>
                      <w:bCs/>
                      <w:szCs w:val="21"/>
                    </w:rPr>
                  </w:pPr>
                </w:p>
              </w:tc>
              <w:tc>
                <w:tcPr>
                  <w:tcW w:w="858" w:type="pct"/>
                  <w:vAlign w:val="center"/>
                </w:tcPr>
                <w:p w14:paraId="7E9FD7F1">
                  <w:pPr>
                    <w:widowControl/>
                    <w:snapToGrid w:val="0"/>
                    <w:jc w:val="center"/>
                    <w:rPr>
                      <w:bCs/>
                      <w:szCs w:val="21"/>
                    </w:rPr>
                  </w:pPr>
                  <w:r>
                    <w:rPr>
                      <w:bCs/>
                      <w:szCs w:val="21"/>
                    </w:rPr>
                    <w:t>北</w:t>
                  </w:r>
                  <w:r>
                    <w:rPr>
                      <w:rFonts w:hint="eastAsia"/>
                      <w:bCs/>
                      <w:szCs w:val="21"/>
                    </w:rPr>
                    <w:t>场</w:t>
                  </w:r>
                  <w:r>
                    <w:rPr>
                      <w:bCs/>
                      <w:szCs w:val="21"/>
                    </w:rPr>
                    <w:t>界</w:t>
                  </w:r>
                </w:p>
              </w:tc>
              <w:tc>
                <w:tcPr>
                  <w:tcW w:w="606" w:type="pct"/>
                  <w:vAlign w:val="center"/>
                </w:tcPr>
                <w:p w14:paraId="6E4AC9DB">
                  <w:pPr>
                    <w:widowControl/>
                    <w:snapToGrid w:val="0"/>
                    <w:jc w:val="center"/>
                    <w:rPr>
                      <w:bCs/>
                      <w:szCs w:val="21"/>
                    </w:rPr>
                  </w:pPr>
                  <w:r>
                    <w:rPr>
                      <w:rFonts w:hint="eastAsia"/>
                      <w:bCs/>
                      <w:szCs w:val="21"/>
                    </w:rPr>
                    <w:t>45.9</w:t>
                  </w:r>
                </w:p>
              </w:tc>
              <w:tc>
                <w:tcPr>
                  <w:tcW w:w="605" w:type="pct"/>
                  <w:tcBorders>
                    <w:right w:val="single" w:color="auto" w:sz="4" w:space="0"/>
                  </w:tcBorders>
                  <w:vAlign w:val="center"/>
                </w:tcPr>
                <w:p w14:paraId="6E4E2BE5">
                  <w:pPr>
                    <w:widowControl/>
                    <w:snapToGrid w:val="0"/>
                    <w:jc w:val="center"/>
                    <w:rPr>
                      <w:bCs/>
                      <w:szCs w:val="21"/>
                    </w:rPr>
                  </w:pPr>
                  <w:r>
                    <w:rPr>
                      <w:rFonts w:hint="eastAsia"/>
                      <w:bCs/>
                      <w:szCs w:val="21"/>
                    </w:rPr>
                    <w:t>45.9</w:t>
                  </w:r>
                </w:p>
              </w:tc>
              <w:tc>
                <w:tcPr>
                  <w:tcW w:w="605" w:type="pct"/>
                  <w:tcBorders>
                    <w:left w:val="single" w:color="auto" w:sz="4" w:space="0"/>
                    <w:right w:val="single" w:color="auto" w:sz="4" w:space="0"/>
                  </w:tcBorders>
                  <w:vAlign w:val="center"/>
                </w:tcPr>
                <w:p w14:paraId="71085CAD">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8A45255">
                  <w:pPr>
                    <w:widowControl/>
                    <w:snapToGrid w:val="0"/>
                    <w:jc w:val="center"/>
                    <w:rPr>
                      <w:bCs/>
                      <w:szCs w:val="21"/>
                    </w:rPr>
                  </w:pPr>
                  <w:r>
                    <w:rPr>
                      <w:rFonts w:hint="eastAsia"/>
                      <w:bCs/>
                      <w:szCs w:val="21"/>
                    </w:rPr>
                    <w:t>55</w:t>
                  </w:r>
                </w:p>
              </w:tc>
              <w:tc>
                <w:tcPr>
                  <w:tcW w:w="877" w:type="pct"/>
                  <w:vAlign w:val="center"/>
                </w:tcPr>
                <w:p w14:paraId="39F1D358">
                  <w:pPr>
                    <w:widowControl/>
                    <w:snapToGrid w:val="0"/>
                    <w:jc w:val="center"/>
                    <w:rPr>
                      <w:bCs/>
                      <w:szCs w:val="21"/>
                    </w:rPr>
                  </w:pPr>
                  <w:r>
                    <w:rPr>
                      <w:bCs/>
                      <w:szCs w:val="21"/>
                    </w:rPr>
                    <w:t>达标</w:t>
                  </w:r>
                </w:p>
              </w:tc>
            </w:tr>
            <w:tr w14:paraId="008A79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restart"/>
                  <w:vAlign w:val="center"/>
                </w:tcPr>
                <w:p w14:paraId="1FB0004D">
                  <w:pPr>
                    <w:widowControl/>
                    <w:snapToGrid w:val="0"/>
                    <w:jc w:val="center"/>
                    <w:rPr>
                      <w:bCs/>
                      <w:szCs w:val="21"/>
                    </w:rPr>
                  </w:pPr>
                  <w:r>
                    <w:rPr>
                      <w:rFonts w:hint="eastAsia"/>
                      <w:bCs/>
                      <w:szCs w:val="21"/>
                    </w:rPr>
                    <w:t>3号井</w:t>
                  </w:r>
                </w:p>
              </w:tc>
              <w:tc>
                <w:tcPr>
                  <w:tcW w:w="858" w:type="pct"/>
                  <w:vAlign w:val="center"/>
                </w:tcPr>
                <w:p w14:paraId="58A7DB05">
                  <w:pPr>
                    <w:widowControl/>
                    <w:snapToGrid w:val="0"/>
                    <w:jc w:val="center"/>
                    <w:rPr>
                      <w:bCs/>
                      <w:szCs w:val="21"/>
                    </w:rPr>
                  </w:pPr>
                  <w:r>
                    <w:rPr>
                      <w:bCs/>
                      <w:szCs w:val="21"/>
                    </w:rPr>
                    <w:t>东</w:t>
                  </w:r>
                  <w:r>
                    <w:rPr>
                      <w:rFonts w:hint="eastAsia"/>
                      <w:bCs/>
                      <w:szCs w:val="21"/>
                    </w:rPr>
                    <w:t>场</w:t>
                  </w:r>
                  <w:r>
                    <w:rPr>
                      <w:bCs/>
                      <w:szCs w:val="21"/>
                    </w:rPr>
                    <w:t>界</w:t>
                  </w:r>
                </w:p>
              </w:tc>
              <w:tc>
                <w:tcPr>
                  <w:tcW w:w="606" w:type="pct"/>
                  <w:vAlign w:val="center"/>
                </w:tcPr>
                <w:p w14:paraId="7CADF8CD">
                  <w:pPr>
                    <w:widowControl/>
                    <w:snapToGrid w:val="0"/>
                    <w:jc w:val="center"/>
                    <w:rPr>
                      <w:bCs/>
                      <w:szCs w:val="21"/>
                    </w:rPr>
                  </w:pPr>
                  <w:r>
                    <w:rPr>
                      <w:rFonts w:hint="eastAsia"/>
                      <w:bCs/>
                      <w:szCs w:val="21"/>
                    </w:rPr>
                    <w:t>42.0</w:t>
                  </w:r>
                </w:p>
              </w:tc>
              <w:tc>
                <w:tcPr>
                  <w:tcW w:w="605" w:type="pct"/>
                  <w:tcBorders>
                    <w:right w:val="single" w:color="auto" w:sz="4" w:space="0"/>
                  </w:tcBorders>
                  <w:vAlign w:val="center"/>
                </w:tcPr>
                <w:p w14:paraId="1D75B889">
                  <w:pPr>
                    <w:widowControl/>
                    <w:snapToGrid w:val="0"/>
                    <w:jc w:val="center"/>
                    <w:rPr>
                      <w:bCs/>
                      <w:szCs w:val="21"/>
                    </w:rPr>
                  </w:pPr>
                  <w:r>
                    <w:rPr>
                      <w:rFonts w:hint="eastAsia"/>
                      <w:bCs/>
                      <w:szCs w:val="21"/>
                    </w:rPr>
                    <w:t>42.0</w:t>
                  </w:r>
                </w:p>
              </w:tc>
              <w:tc>
                <w:tcPr>
                  <w:tcW w:w="605" w:type="pct"/>
                  <w:tcBorders>
                    <w:left w:val="single" w:color="auto" w:sz="4" w:space="0"/>
                    <w:right w:val="single" w:color="auto" w:sz="4" w:space="0"/>
                  </w:tcBorders>
                  <w:vAlign w:val="center"/>
                </w:tcPr>
                <w:p w14:paraId="0B788712">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D233563">
                  <w:pPr>
                    <w:widowControl/>
                    <w:snapToGrid w:val="0"/>
                    <w:jc w:val="center"/>
                    <w:rPr>
                      <w:bCs/>
                      <w:szCs w:val="21"/>
                    </w:rPr>
                  </w:pPr>
                  <w:r>
                    <w:rPr>
                      <w:rFonts w:hint="eastAsia"/>
                      <w:bCs/>
                      <w:szCs w:val="21"/>
                    </w:rPr>
                    <w:t>55</w:t>
                  </w:r>
                </w:p>
              </w:tc>
              <w:tc>
                <w:tcPr>
                  <w:tcW w:w="877" w:type="pct"/>
                  <w:vAlign w:val="center"/>
                </w:tcPr>
                <w:p w14:paraId="740F555E">
                  <w:pPr>
                    <w:widowControl/>
                    <w:snapToGrid w:val="0"/>
                    <w:jc w:val="center"/>
                    <w:rPr>
                      <w:bCs/>
                      <w:szCs w:val="21"/>
                    </w:rPr>
                  </w:pPr>
                  <w:r>
                    <w:rPr>
                      <w:bCs/>
                      <w:szCs w:val="21"/>
                    </w:rPr>
                    <w:t>达标</w:t>
                  </w:r>
                </w:p>
              </w:tc>
            </w:tr>
            <w:tr w14:paraId="7F9E43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97" w:hRule="atLeast"/>
                <w:jc w:val="center"/>
              </w:trPr>
              <w:tc>
                <w:tcPr>
                  <w:tcW w:w="856" w:type="pct"/>
                  <w:vMerge w:val="continue"/>
                  <w:vAlign w:val="center"/>
                </w:tcPr>
                <w:p w14:paraId="5A5D5A4C">
                  <w:pPr>
                    <w:widowControl/>
                    <w:snapToGrid w:val="0"/>
                    <w:jc w:val="center"/>
                    <w:rPr>
                      <w:bCs/>
                      <w:szCs w:val="21"/>
                    </w:rPr>
                  </w:pPr>
                </w:p>
              </w:tc>
              <w:tc>
                <w:tcPr>
                  <w:tcW w:w="858" w:type="pct"/>
                  <w:vAlign w:val="center"/>
                </w:tcPr>
                <w:p w14:paraId="1B391866">
                  <w:pPr>
                    <w:widowControl/>
                    <w:snapToGrid w:val="0"/>
                    <w:jc w:val="center"/>
                    <w:rPr>
                      <w:bCs/>
                      <w:szCs w:val="21"/>
                    </w:rPr>
                  </w:pPr>
                  <w:r>
                    <w:rPr>
                      <w:bCs/>
                      <w:szCs w:val="21"/>
                    </w:rPr>
                    <w:t>南</w:t>
                  </w:r>
                  <w:r>
                    <w:rPr>
                      <w:rFonts w:hint="eastAsia"/>
                      <w:bCs/>
                      <w:szCs w:val="21"/>
                    </w:rPr>
                    <w:t>场</w:t>
                  </w:r>
                  <w:r>
                    <w:rPr>
                      <w:bCs/>
                      <w:szCs w:val="21"/>
                    </w:rPr>
                    <w:t>界</w:t>
                  </w:r>
                </w:p>
              </w:tc>
              <w:tc>
                <w:tcPr>
                  <w:tcW w:w="606" w:type="pct"/>
                  <w:vAlign w:val="center"/>
                </w:tcPr>
                <w:p w14:paraId="38FE3F65">
                  <w:pPr>
                    <w:widowControl/>
                    <w:snapToGrid w:val="0"/>
                    <w:jc w:val="center"/>
                    <w:rPr>
                      <w:bCs/>
                      <w:szCs w:val="21"/>
                    </w:rPr>
                  </w:pPr>
                  <w:r>
                    <w:rPr>
                      <w:rFonts w:hint="eastAsia"/>
                      <w:bCs/>
                      <w:szCs w:val="21"/>
                    </w:rPr>
                    <w:t>46.1</w:t>
                  </w:r>
                </w:p>
              </w:tc>
              <w:tc>
                <w:tcPr>
                  <w:tcW w:w="605" w:type="pct"/>
                  <w:tcBorders>
                    <w:right w:val="single" w:color="auto" w:sz="4" w:space="0"/>
                  </w:tcBorders>
                  <w:vAlign w:val="center"/>
                </w:tcPr>
                <w:p w14:paraId="5FA4BD9F">
                  <w:pPr>
                    <w:widowControl/>
                    <w:snapToGrid w:val="0"/>
                    <w:jc w:val="center"/>
                    <w:rPr>
                      <w:bCs/>
                      <w:szCs w:val="21"/>
                    </w:rPr>
                  </w:pPr>
                  <w:r>
                    <w:rPr>
                      <w:rFonts w:hint="eastAsia"/>
                      <w:bCs/>
                      <w:szCs w:val="21"/>
                    </w:rPr>
                    <w:t>46.1</w:t>
                  </w:r>
                </w:p>
              </w:tc>
              <w:tc>
                <w:tcPr>
                  <w:tcW w:w="605" w:type="pct"/>
                  <w:tcBorders>
                    <w:left w:val="single" w:color="auto" w:sz="4" w:space="0"/>
                    <w:right w:val="single" w:color="auto" w:sz="4" w:space="0"/>
                  </w:tcBorders>
                  <w:vAlign w:val="center"/>
                </w:tcPr>
                <w:p w14:paraId="4B0F9D88">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9A08315">
                  <w:pPr>
                    <w:widowControl/>
                    <w:snapToGrid w:val="0"/>
                    <w:jc w:val="center"/>
                    <w:rPr>
                      <w:bCs/>
                      <w:szCs w:val="21"/>
                    </w:rPr>
                  </w:pPr>
                  <w:r>
                    <w:rPr>
                      <w:rFonts w:hint="eastAsia"/>
                      <w:bCs/>
                      <w:szCs w:val="21"/>
                    </w:rPr>
                    <w:t>55</w:t>
                  </w:r>
                </w:p>
              </w:tc>
              <w:tc>
                <w:tcPr>
                  <w:tcW w:w="877" w:type="pct"/>
                  <w:vAlign w:val="center"/>
                </w:tcPr>
                <w:p w14:paraId="7F124132">
                  <w:pPr>
                    <w:widowControl/>
                    <w:snapToGrid w:val="0"/>
                    <w:jc w:val="center"/>
                    <w:rPr>
                      <w:bCs/>
                      <w:szCs w:val="21"/>
                    </w:rPr>
                  </w:pPr>
                  <w:r>
                    <w:rPr>
                      <w:bCs/>
                      <w:szCs w:val="21"/>
                    </w:rPr>
                    <w:t>达标</w:t>
                  </w:r>
                </w:p>
              </w:tc>
            </w:tr>
            <w:tr w14:paraId="44B3A5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continue"/>
                  <w:vAlign w:val="center"/>
                </w:tcPr>
                <w:p w14:paraId="78EDB20C">
                  <w:pPr>
                    <w:widowControl/>
                    <w:snapToGrid w:val="0"/>
                    <w:jc w:val="center"/>
                    <w:rPr>
                      <w:bCs/>
                      <w:szCs w:val="21"/>
                    </w:rPr>
                  </w:pPr>
                </w:p>
              </w:tc>
              <w:tc>
                <w:tcPr>
                  <w:tcW w:w="858" w:type="pct"/>
                  <w:vAlign w:val="center"/>
                </w:tcPr>
                <w:p w14:paraId="53FEBF56">
                  <w:pPr>
                    <w:widowControl/>
                    <w:snapToGrid w:val="0"/>
                    <w:jc w:val="center"/>
                    <w:rPr>
                      <w:bCs/>
                      <w:szCs w:val="21"/>
                    </w:rPr>
                  </w:pPr>
                  <w:r>
                    <w:rPr>
                      <w:bCs/>
                      <w:szCs w:val="21"/>
                    </w:rPr>
                    <w:t>西</w:t>
                  </w:r>
                  <w:r>
                    <w:rPr>
                      <w:rFonts w:hint="eastAsia"/>
                      <w:bCs/>
                      <w:szCs w:val="21"/>
                    </w:rPr>
                    <w:t>场</w:t>
                  </w:r>
                  <w:r>
                    <w:rPr>
                      <w:bCs/>
                      <w:szCs w:val="21"/>
                    </w:rPr>
                    <w:t>界</w:t>
                  </w:r>
                </w:p>
              </w:tc>
              <w:tc>
                <w:tcPr>
                  <w:tcW w:w="606" w:type="pct"/>
                  <w:vAlign w:val="center"/>
                </w:tcPr>
                <w:p w14:paraId="3ADCD8AD">
                  <w:pPr>
                    <w:widowControl/>
                    <w:snapToGrid w:val="0"/>
                    <w:jc w:val="center"/>
                    <w:rPr>
                      <w:bCs/>
                      <w:szCs w:val="21"/>
                    </w:rPr>
                  </w:pPr>
                  <w:r>
                    <w:rPr>
                      <w:rFonts w:hint="eastAsia"/>
                      <w:bCs/>
                      <w:szCs w:val="21"/>
                    </w:rPr>
                    <w:t>40.3</w:t>
                  </w:r>
                </w:p>
              </w:tc>
              <w:tc>
                <w:tcPr>
                  <w:tcW w:w="605" w:type="pct"/>
                  <w:tcBorders>
                    <w:right w:val="single" w:color="auto" w:sz="4" w:space="0"/>
                  </w:tcBorders>
                  <w:vAlign w:val="center"/>
                </w:tcPr>
                <w:p w14:paraId="72801722">
                  <w:pPr>
                    <w:widowControl/>
                    <w:snapToGrid w:val="0"/>
                    <w:jc w:val="center"/>
                    <w:rPr>
                      <w:bCs/>
                      <w:szCs w:val="21"/>
                    </w:rPr>
                  </w:pPr>
                  <w:r>
                    <w:rPr>
                      <w:rFonts w:hint="eastAsia"/>
                      <w:bCs/>
                      <w:szCs w:val="21"/>
                    </w:rPr>
                    <w:t>40.3</w:t>
                  </w:r>
                </w:p>
              </w:tc>
              <w:tc>
                <w:tcPr>
                  <w:tcW w:w="605" w:type="pct"/>
                  <w:tcBorders>
                    <w:left w:val="single" w:color="auto" w:sz="4" w:space="0"/>
                    <w:right w:val="single" w:color="auto" w:sz="4" w:space="0"/>
                  </w:tcBorders>
                  <w:vAlign w:val="center"/>
                </w:tcPr>
                <w:p w14:paraId="5E340B1F">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4064BABB">
                  <w:pPr>
                    <w:widowControl/>
                    <w:snapToGrid w:val="0"/>
                    <w:jc w:val="center"/>
                    <w:rPr>
                      <w:bCs/>
                      <w:szCs w:val="21"/>
                    </w:rPr>
                  </w:pPr>
                  <w:r>
                    <w:rPr>
                      <w:rFonts w:hint="eastAsia"/>
                      <w:bCs/>
                      <w:szCs w:val="21"/>
                    </w:rPr>
                    <w:t>55</w:t>
                  </w:r>
                </w:p>
              </w:tc>
              <w:tc>
                <w:tcPr>
                  <w:tcW w:w="877" w:type="pct"/>
                  <w:vAlign w:val="center"/>
                </w:tcPr>
                <w:p w14:paraId="1993AAC6">
                  <w:pPr>
                    <w:widowControl/>
                    <w:snapToGrid w:val="0"/>
                    <w:jc w:val="center"/>
                    <w:rPr>
                      <w:bCs/>
                      <w:szCs w:val="21"/>
                    </w:rPr>
                  </w:pPr>
                  <w:r>
                    <w:rPr>
                      <w:bCs/>
                      <w:szCs w:val="21"/>
                    </w:rPr>
                    <w:t>达标</w:t>
                  </w:r>
                </w:p>
              </w:tc>
            </w:tr>
            <w:tr w14:paraId="647546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856" w:type="pct"/>
                  <w:vMerge w:val="continue"/>
                  <w:vAlign w:val="center"/>
                </w:tcPr>
                <w:p w14:paraId="764FAD00">
                  <w:pPr>
                    <w:widowControl/>
                    <w:snapToGrid w:val="0"/>
                    <w:jc w:val="center"/>
                    <w:rPr>
                      <w:bCs/>
                      <w:szCs w:val="21"/>
                    </w:rPr>
                  </w:pPr>
                </w:p>
              </w:tc>
              <w:tc>
                <w:tcPr>
                  <w:tcW w:w="858" w:type="pct"/>
                  <w:vAlign w:val="center"/>
                </w:tcPr>
                <w:p w14:paraId="04214E52">
                  <w:pPr>
                    <w:widowControl/>
                    <w:snapToGrid w:val="0"/>
                    <w:jc w:val="center"/>
                    <w:rPr>
                      <w:bCs/>
                      <w:szCs w:val="21"/>
                    </w:rPr>
                  </w:pPr>
                  <w:r>
                    <w:rPr>
                      <w:bCs/>
                      <w:szCs w:val="21"/>
                    </w:rPr>
                    <w:t>北</w:t>
                  </w:r>
                  <w:r>
                    <w:rPr>
                      <w:rFonts w:hint="eastAsia"/>
                      <w:bCs/>
                      <w:szCs w:val="21"/>
                    </w:rPr>
                    <w:t>场</w:t>
                  </w:r>
                  <w:r>
                    <w:rPr>
                      <w:bCs/>
                      <w:szCs w:val="21"/>
                    </w:rPr>
                    <w:t>界</w:t>
                  </w:r>
                </w:p>
              </w:tc>
              <w:tc>
                <w:tcPr>
                  <w:tcW w:w="606" w:type="pct"/>
                  <w:vAlign w:val="center"/>
                </w:tcPr>
                <w:p w14:paraId="1620169A">
                  <w:pPr>
                    <w:widowControl/>
                    <w:snapToGrid w:val="0"/>
                    <w:jc w:val="center"/>
                    <w:rPr>
                      <w:bCs/>
                      <w:szCs w:val="21"/>
                    </w:rPr>
                  </w:pPr>
                  <w:r>
                    <w:rPr>
                      <w:rFonts w:hint="eastAsia"/>
                      <w:bCs/>
                      <w:szCs w:val="21"/>
                    </w:rPr>
                    <w:t>45.8</w:t>
                  </w:r>
                </w:p>
              </w:tc>
              <w:tc>
                <w:tcPr>
                  <w:tcW w:w="605" w:type="pct"/>
                  <w:tcBorders>
                    <w:right w:val="single" w:color="auto" w:sz="4" w:space="0"/>
                  </w:tcBorders>
                  <w:vAlign w:val="center"/>
                </w:tcPr>
                <w:p w14:paraId="70559C79">
                  <w:pPr>
                    <w:widowControl/>
                    <w:snapToGrid w:val="0"/>
                    <w:jc w:val="center"/>
                    <w:rPr>
                      <w:bCs/>
                      <w:szCs w:val="21"/>
                    </w:rPr>
                  </w:pPr>
                  <w:r>
                    <w:rPr>
                      <w:rFonts w:hint="eastAsia"/>
                      <w:bCs/>
                      <w:szCs w:val="21"/>
                    </w:rPr>
                    <w:t>45.8</w:t>
                  </w:r>
                </w:p>
              </w:tc>
              <w:tc>
                <w:tcPr>
                  <w:tcW w:w="605" w:type="pct"/>
                  <w:tcBorders>
                    <w:left w:val="single" w:color="auto" w:sz="4" w:space="0"/>
                    <w:right w:val="single" w:color="auto" w:sz="4" w:space="0"/>
                  </w:tcBorders>
                  <w:vAlign w:val="center"/>
                </w:tcPr>
                <w:p w14:paraId="3989A3DE">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21C52B16">
                  <w:pPr>
                    <w:widowControl/>
                    <w:snapToGrid w:val="0"/>
                    <w:jc w:val="center"/>
                    <w:rPr>
                      <w:bCs/>
                      <w:szCs w:val="21"/>
                    </w:rPr>
                  </w:pPr>
                  <w:r>
                    <w:rPr>
                      <w:rFonts w:hint="eastAsia"/>
                      <w:bCs/>
                      <w:szCs w:val="21"/>
                    </w:rPr>
                    <w:t>55</w:t>
                  </w:r>
                </w:p>
              </w:tc>
              <w:tc>
                <w:tcPr>
                  <w:tcW w:w="877" w:type="pct"/>
                  <w:vAlign w:val="center"/>
                </w:tcPr>
                <w:p w14:paraId="2CC420E8">
                  <w:pPr>
                    <w:widowControl/>
                    <w:snapToGrid w:val="0"/>
                    <w:jc w:val="center"/>
                    <w:rPr>
                      <w:bCs/>
                      <w:szCs w:val="21"/>
                    </w:rPr>
                  </w:pPr>
                  <w:r>
                    <w:rPr>
                      <w:bCs/>
                      <w:szCs w:val="21"/>
                    </w:rPr>
                    <w:t>达标</w:t>
                  </w:r>
                </w:p>
              </w:tc>
            </w:tr>
          </w:tbl>
          <w:p w14:paraId="2B2D22A6">
            <w:pPr>
              <w:adjustRightInd w:val="0"/>
              <w:snapToGrid w:val="0"/>
              <w:spacing w:line="360" w:lineRule="auto"/>
              <w:ind w:firstLine="480" w:firstLineChars="200"/>
              <w:rPr>
                <w:bCs/>
                <w:sz w:val="24"/>
                <w:lang w:val="en-GB"/>
              </w:rPr>
            </w:pPr>
            <w:r>
              <w:rPr>
                <w:bCs/>
                <w:sz w:val="24"/>
                <w:lang w:val="en-GB"/>
              </w:rPr>
              <w:t>由预测结果可知，东、西、南、北场界的噪声</w:t>
            </w:r>
            <w:r>
              <w:rPr>
                <w:rFonts w:hint="eastAsia"/>
                <w:bCs/>
                <w:sz w:val="24"/>
                <w:lang w:val="en-GB"/>
              </w:rPr>
              <w:t>贡献值</w:t>
            </w:r>
            <w:r>
              <w:rPr>
                <w:bCs/>
                <w:sz w:val="24"/>
                <w:lang w:val="en-GB"/>
              </w:rPr>
              <w:t>最大值</w:t>
            </w:r>
            <w:r>
              <w:rPr>
                <w:rFonts w:hint="eastAsia"/>
                <w:bCs/>
                <w:sz w:val="24"/>
                <w:lang w:val="en-GB"/>
              </w:rPr>
              <w:t>48.9</w:t>
            </w:r>
            <w:r>
              <w:rPr>
                <w:bCs/>
                <w:sz w:val="24"/>
                <w:lang w:val="en-GB"/>
              </w:rPr>
              <w:t>dB（A），符合《</w:t>
            </w:r>
            <w:r>
              <w:rPr>
                <w:rFonts w:hint="eastAsia"/>
                <w:bCs/>
                <w:sz w:val="24"/>
                <w:lang w:val="en-GB"/>
              </w:rPr>
              <w:t>建筑施工噪声排放标准</w:t>
            </w:r>
            <w:r>
              <w:rPr>
                <w:bCs/>
                <w:sz w:val="24"/>
                <w:lang w:val="en-GB"/>
              </w:rPr>
              <w:t>》（GB12523-20</w:t>
            </w:r>
            <w:r>
              <w:rPr>
                <w:rFonts w:hint="eastAsia"/>
                <w:bCs/>
                <w:sz w:val="24"/>
                <w:lang w:val="en-GB"/>
              </w:rPr>
              <w:t>25</w:t>
            </w:r>
            <w:r>
              <w:rPr>
                <w:bCs/>
                <w:sz w:val="24"/>
                <w:lang w:val="en-GB"/>
              </w:rPr>
              <w:t>）要求</w:t>
            </w:r>
            <w:r>
              <w:rPr>
                <w:rFonts w:hint="eastAsia"/>
                <w:bCs/>
                <w:sz w:val="24"/>
                <w:lang w:val="en-GB"/>
              </w:rPr>
              <w:t>。</w:t>
            </w:r>
          </w:p>
          <w:p w14:paraId="240418CD">
            <w:pPr>
              <w:spacing w:line="360" w:lineRule="auto"/>
              <w:ind w:firstLine="480"/>
              <w:rPr>
                <w:sz w:val="24"/>
                <w:szCs w:val="22"/>
              </w:rPr>
            </w:pPr>
            <w:r>
              <w:rPr>
                <w:rFonts w:hint="eastAsia"/>
                <w:sz w:val="24"/>
                <w:szCs w:val="22"/>
              </w:rPr>
              <w:t>2、</w:t>
            </w:r>
            <w:r>
              <w:rPr>
                <w:sz w:val="24"/>
                <w:szCs w:val="22"/>
              </w:rPr>
              <w:t>试油阶段</w:t>
            </w:r>
          </w:p>
          <w:p w14:paraId="22F1E64B">
            <w:pPr>
              <w:spacing w:line="360" w:lineRule="auto"/>
              <w:ind w:firstLine="480"/>
              <w:rPr>
                <w:sz w:val="24"/>
                <w:szCs w:val="22"/>
              </w:rPr>
            </w:pPr>
            <w:r>
              <w:rPr>
                <w:sz w:val="24"/>
                <w:szCs w:val="22"/>
              </w:rPr>
              <w:t>试油阶段的噪声主要为</w:t>
            </w:r>
            <w:r>
              <w:rPr>
                <w:rFonts w:hint="eastAsia"/>
                <w:sz w:val="24"/>
                <w:szCs w:val="22"/>
              </w:rPr>
              <w:t>抽</w:t>
            </w:r>
            <w:r>
              <w:rPr>
                <w:sz w:val="24"/>
                <w:szCs w:val="22"/>
              </w:rPr>
              <w:t>油机、柴油发电机产生的噪声，设备源强及采取的降噪措施见下表</w:t>
            </w:r>
            <w:r>
              <w:rPr>
                <w:rFonts w:hint="eastAsia"/>
                <w:sz w:val="24"/>
                <w:szCs w:val="22"/>
              </w:rPr>
              <w:t>。</w:t>
            </w:r>
            <w:r>
              <w:rPr>
                <w:sz w:val="24"/>
              </w:rPr>
              <w:t>项目</w:t>
            </w:r>
            <w:r>
              <w:rPr>
                <w:rFonts w:hint="eastAsia"/>
                <w:sz w:val="24"/>
              </w:rPr>
              <w:t>3口勘探井依次试油，不会同时进行试油。</w:t>
            </w:r>
          </w:p>
          <w:p w14:paraId="68837172">
            <w:pPr>
              <w:autoSpaceDE w:val="0"/>
              <w:autoSpaceDN w:val="0"/>
              <w:adjustRightInd w:val="0"/>
              <w:jc w:val="center"/>
              <w:rPr>
                <w:b/>
                <w:kern w:val="0"/>
                <w:sz w:val="24"/>
                <w:szCs w:val="21"/>
              </w:rPr>
            </w:pPr>
            <w:r>
              <w:rPr>
                <w:b/>
                <w:kern w:val="0"/>
                <w:sz w:val="24"/>
                <w:szCs w:val="21"/>
              </w:rPr>
              <w:t>表4-</w:t>
            </w:r>
            <w:r>
              <w:rPr>
                <w:rFonts w:hint="eastAsia"/>
                <w:b/>
                <w:kern w:val="0"/>
                <w:sz w:val="24"/>
                <w:szCs w:val="21"/>
              </w:rPr>
              <w:t>5</w:t>
            </w:r>
            <w:r>
              <w:rPr>
                <w:b/>
                <w:kern w:val="0"/>
                <w:sz w:val="24"/>
                <w:szCs w:val="21"/>
              </w:rPr>
              <w:t xml:space="preserve"> 试油阶段噪声源强表</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383"/>
              <w:gridCol w:w="988"/>
              <w:gridCol w:w="706"/>
              <w:gridCol w:w="723"/>
              <w:gridCol w:w="598"/>
              <w:gridCol w:w="1124"/>
              <w:gridCol w:w="1254"/>
              <w:gridCol w:w="1419"/>
            </w:tblGrid>
            <w:tr w14:paraId="23D150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844" w:type="pct"/>
                  <w:vMerge w:val="restart"/>
                  <w:tcBorders>
                    <w:right w:val="single" w:color="auto" w:sz="4" w:space="0"/>
                  </w:tcBorders>
                  <w:vAlign w:val="center"/>
                </w:tcPr>
                <w:p w14:paraId="08703188">
                  <w:pPr>
                    <w:ind w:right="9"/>
                    <w:jc w:val="center"/>
                    <w:rPr>
                      <w:kern w:val="0"/>
                      <w:szCs w:val="21"/>
                    </w:rPr>
                  </w:pPr>
                  <w:r>
                    <w:rPr>
                      <w:rFonts w:hint="eastAsia"/>
                      <w:kern w:val="0"/>
                      <w:szCs w:val="21"/>
                    </w:rPr>
                    <w:t>井场</w:t>
                  </w:r>
                </w:p>
              </w:tc>
              <w:tc>
                <w:tcPr>
                  <w:tcW w:w="603" w:type="pct"/>
                  <w:vMerge w:val="restart"/>
                  <w:tcBorders>
                    <w:left w:val="single" w:color="auto" w:sz="4" w:space="0"/>
                  </w:tcBorders>
                  <w:vAlign w:val="center"/>
                </w:tcPr>
                <w:p w14:paraId="51D47EB6">
                  <w:pPr>
                    <w:ind w:right="9"/>
                    <w:jc w:val="center"/>
                    <w:rPr>
                      <w:kern w:val="0"/>
                      <w:szCs w:val="21"/>
                    </w:rPr>
                  </w:pPr>
                  <w:r>
                    <w:rPr>
                      <w:kern w:val="0"/>
                      <w:szCs w:val="21"/>
                    </w:rPr>
                    <w:t>装置</w:t>
                  </w:r>
                </w:p>
              </w:tc>
              <w:tc>
                <w:tcPr>
                  <w:tcW w:w="1237" w:type="pct"/>
                  <w:gridSpan w:val="3"/>
                  <w:tcBorders>
                    <w:bottom w:val="single" w:color="auto" w:sz="4" w:space="0"/>
                    <w:right w:val="single" w:color="auto" w:sz="4" w:space="0"/>
                  </w:tcBorders>
                  <w:vAlign w:val="center"/>
                </w:tcPr>
                <w:p w14:paraId="244BAFCD">
                  <w:pPr>
                    <w:jc w:val="center"/>
                    <w:rPr>
                      <w:kern w:val="0"/>
                      <w:szCs w:val="21"/>
                    </w:rPr>
                  </w:pPr>
                  <w:r>
                    <w:rPr>
                      <w:kern w:val="0"/>
                      <w:szCs w:val="21"/>
                    </w:rPr>
                    <w:t>空间相对位置</w:t>
                  </w:r>
                </w:p>
              </w:tc>
              <w:tc>
                <w:tcPr>
                  <w:tcW w:w="686" w:type="pct"/>
                  <w:vMerge w:val="restart"/>
                  <w:tcBorders>
                    <w:left w:val="single" w:color="auto" w:sz="4" w:space="0"/>
                    <w:right w:val="single" w:color="auto" w:sz="4" w:space="0"/>
                  </w:tcBorders>
                  <w:vAlign w:val="center"/>
                </w:tcPr>
                <w:p w14:paraId="0DC294CD">
                  <w:pPr>
                    <w:jc w:val="center"/>
                    <w:rPr>
                      <w:kern w:val="0"/>
                      <w:szCs w:val="21"/>
                    </w:rPr>
                  </w:pPr>
                  <w:r>
                    <w:rPr>
                      <w:kern w:val="0"/>
                      <w:szCs w:val="21"/>
                    </w:rPr>
                    <w:t>源强</w:t>
                  </w:r>
                </w:p>
                <w:p w14:paraId="1340179F">
                  <w:pPr>
                    <w:jc w:val="center"/>
                    <w:rPr>
                      <w:kern w:val="0"/>
                      <w:szCs w:val="21"/>
                    </w:rPr>
                  </w:pPr>
                  <w:r>
                    <w:rPr>
                      <w:kern w:val="0"/>
                      <w:szCs w:val="21"/>
                    </w:rPr>
                    <w:t>dB（A）</w:t>
                  </w:r>
                </w:p>
              </w:tc>
              <w:tc>
                <w:tcPr>
                  <w:tcW w:w="765" w:type="pct"/>
                  <w:vMerge w:val="restart"/>
                  <w:tcBorders>
                    <w:left w:val="single" w:color="auto" w:sz="4" w:space="0"/>
                  </w:tcBorders>
                  <w:vAlign w:val="center"/>
                </w:tcPr>
                <w:p w14:paraId="19C5B253">
                  <w:pPr>
                    <w:jc w:val="center"/>
                    <w:rPr>
                      <w:kern w:val="0"/>
                      <w:szCs w:val="21"/>
                    </w:rPr>
                  </w:pPr>
                  <w:r>
                    <w:rPr>
                      <w:rFonts w:hint="eastAsia"/>
                      <w:kern w:val="0"/>
                      <w:szCs w:val="21"/>
                    </w:rPr>
                    <w:t>降噪</w:t>
                  </w:r>
                  <w:r>
                    <w:rPr>
                      <w:kern w:val="0"/>
                      <w:szCs w:val="21"/>
                    </w:rPr>
                    <w:t>措施</w:t>
                  </w:r>
                </w:p>
              </w:tc>
              <w:tc>
                <w:tcPr>
                  <w:tcW w:w="865" w:type="pct"/>
                  <w:vMerge w:val="restart"/>
                  <w:vAlign w:val="center"/>
                </w:tcPr>
                <w:p w14:paraId="7A4EEA2D">
                  <w:pPr>
                    <w:ind w:left="3"/>
                    <w:jc w:val="center"/>
                    <w:rPr>
                      <w:kern w:val="0"/>
                      <w:szCs w:val="21"/>
                    </w:rPr>
                  </w:pPr>
                  <w:r>
                    <w:rPr>
                      <w:rFonts w:hint="eastAsia"/>
                      <w:kern w:val="0"/>
                      <w:szCs w:val="21"/>
                    </w:rPr>
                    <w:t>降噪后源强</w:t>
                  </w:r>
                </w:p>
                <w:p w14:paraId="15854249">
                  <w:pPr>
                    <w:ind w:left="3"/>
                    <w:jc w:val="center"/>
                    <w:rPr>
                      <w:kern w:val="0"/>
                      <w:szCs w:val="21"/>
                    </w:rPr>
                  </w:pPr>
                  <w:r>
                    <w:rPr>
                      <w:rFonts w:hint="eastAsia"/>
                      <w:kern w:val="0"/>
                      <w:szCs w:val="21"/>
                    </w:rPr>
                    <w:t>dB（A）</w:t>
                  </w:r>
                </w:p>
              </w:tc>
            </w:tr>
            <w:tr w14:paraId="7C056C6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844" w:type="pct"/>
                  <w:vMerge w:val="continue"/>
                  <w:tcBorders>
                    <w:right w:val="single" w:color="auto" w:sz="4" w:space="0"/>
                  </w:tcBorders>
                  <w:vAlign w:val="center"/>
                </w:tcPr>
                <w:p w14:paraId="3ADEFDEF">
                  <w:pPr>
                    <w:ind w:right="9"/>
                    <w:jc w:val="center"/>
                    <w:rPr>
                      <w:kern w:val="0"/>
                      <w:szCs w:val="21"/>
                    </w:rPr>
                  </w:pPr>
                </w:p>
              </w:tc>
              <w:tc>
                <w:tcPr>
                  <w:tcW w:w="603" w:type="pct"/>
                  <w:vMerge w:val="continue"/>
                  <w:tcBorders>
                    <w:left w:val="single" w:color="auto" w:sz="4" w:space="0"/>
                  </w:tcBorders>
                  <w:vAlign w:val="center"/>
                </w:tcPr>
                <w:p w14:paraId="2D981416">
                  <w:pPr>
                    <w:ind w:right="9"/>
                    <w:jc w:val="center"/>
                    <w:rPr>
                      <w:kern w:val="0"/>
                      <w:szCs w:val="21"/>
                    </w:rPr>
                  </w:pPr>
                </w:p>
              </w:tc>
              <w:tc>
                <w:tcPr>
                  <w:tcW w:w="431" w:type="pct"/>
                  <w:tcBorders>
                    <w:top w:val="single" w:color="auto" w:sz="4" w:space="0"/>
                  </w:tcBorders>
                  <w:vAlign w:val="center"/>
                </w:tcPr>
                <w:p w14:paraId="5903B9AD">
                  <w:pPr>
                    <w:ind w:left="3"/>
                    <w:jc w:val="center"/>
                    <w:rPr>
                      <w:kern w:val="0"/>
                      <w:szCs w:val="21"/>
                    </w:rPr>
                  </w:pPr>
                  <w:r>
                    <w:rPr>
                      <w:kern w:val="0"/>
                      <w:szCs w:val="21"/>
                    </w:rPr>
                    <w:t>X</w:t>
                  </w:r>
                </w:p>
              </w:tc>
              <w:tc>
                <w:tcPr>
                  <w:tcW w:w="441" w:type="pct"/>
                  <w:tcBorders>
                    <w:top w:val="single" w:color="auto" w:sz="4" w:space="0"/>
                    <w:right w:val="single" w:color="auto" w:sz="4" w:space="0"/>
                  </w:tcBorders>
                  <w:vAlign w:val="center"/>
                </w:tcPr>
                <w:p w14:paraId="41D314C1">
                  <w:pPr>
                    <w:jc w:val="center"/>
                    <w:rPr>
                      <w:kern w:val="0"/>
                      <w:szCs w:val="21"/>
                    </w:rPr>
                  </w:pPr>
                  <w:r>
                    <w:rPr>
                      <w:kern w:val="0"/>
                      <w:szCs w:val="21"/>
                    </w:rPr>
                    <w:t>Y</w:t>
                  </w:r>
                </w:p>
              </w:tc>
              <w:tc>
                <w:tcPr>
                  <w:tcW w:w="365" w:type="pct"/>
                  <w:tcBorders>
                    <w:top w:val="single" w:color="auto" w:sz="4" w:space="0"/>
                    <w:left w:val="single" w:color="auto" w:sz="4" w:space="0"/>
                    <w:right w:val="single" w:color="auto" w:sz="4" w:space="0"/>
                  </w:tcBorders>
                  <w:vAlign w:val="center"/>
                </w:tcPr>
                <w:p w14:paraId="0438CF39">
                  <w:pPr>
                    <w:jc w:val="center"/>
                    <w:rPr>
                      <w:kern w:val="0"/>
                      <w:szCs w:val="21"/>
                    </w:rPr>
                  </w:pPr>
                  <w:r>
                    <w:rPr>
                      <w:kern w:val="0"/>
                      <w:szCs w:val="21"/>
                    </w:rPr>
                    <w:t>Z</w:t>
                  </w:r>
                </w:p>
              </w:tc>
              <w:tc>
                <w:tcPr>
                  <w:tcW w:w="686" w:type="pct"/>
                  <w:vMerge w:val="continue"/>
                  <w:tcBorders>
                    <w:left w:val="single" w:color="auto" w:sz="4" w:space="0"/>
                    <w:right w:val="single" w:color="auto" w:sz="4" w:space="0"/>
                  </w:tcBorders>
                  <w:vAlign w:val="center"/>
                </w:tcPr>
                <w:p w14:paraId="5631E147">
                  <w:pPr>
                    <w:jc w:val="center"/>
                    <w:rPr>
                      <w:kern w:val="0"/>
                      <w:szCs w:val="21"/>
                    </w:rPr>
                  </w:pPr>
                </w:p>
              </w:tc>
              <w:tc>
                <w:tcPr>
                  <w:tcW w:w="765" w:type="pct"/>
                  <w:vMerge w:val="continue"/>
                  <w:tcBorders>
                    <w:left w:val="single" w:color="auto" w:sz="4" w:space="0"/>
                  </w:tcBorders>
                  <w:vAlign w:val="center"/>
                </w:tcPr>
                <w:p w14:paraId="4EAF4972">
                  <w:pPr>
                    <w:jc w:val="center"/>
                    <w:rPr>
                      <w:kern w:val="0"/>
                      <w:szCs w:val="21"/>
                    </w:rPr>
                  </w:pPr>
                </w:p>
              </w:tc>
              <w:tc>
                <w:tcPr>
                  <w:tcW w:w="865" w:type="pct"/>
                  <w:vMerge w:val="continue"/>
                  <w:vAlign w:val="center"/>
                </w:tcPr>
                <w:p w14:paraId="1A3BE9FE">
                  <w:pPr>
                    <w:ind w:left="3"/>
                    <w:jc w:val="center"/>
                    <w:rPr>
                      <w:kern w:val="0"/>
                      <w:szCs w:val="21"/>
                    </w:rPr>
                  </w:pPr>
                </w:p>
              </w:tc>
            </w:tr>
            <w:tr w14:paraId="68D0E24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44" w:type="pct"/>
                  <w:vMerge w:val="restart"/>
                  <w:tcBorders>
                    <w:right w:val="single" w:color="auto" w:sz="4" w:space="0"/>
                  </w:tcBorders>
                  <w:tcMar>
                    <w:left w:w="28" w:type="dxa"/>
                    <w:right w:w="28" w:type="dxa"/>
                  </w:tcMar>
                  <w:vAlign w:val="center"/>
                </w:tcPr>
                <w:p w14:paraId="72280C28">
                  <w:pPr>
                    <w:ind w:right="9"/>
                    <w:jc w:val="center"/>
                    <w:rPr>
                      <w:kern w:val="0"/>
                      <w:szCs w:val="21"/>
                    </w:rPr>
                  </w:pPr>
                  <w:r>
                    <w:rPr>
                      <w:rFonts w:hint="eastAsia"/>
                      <w:kern w:val="0"/>
                      <w:szCs w:val="21"/>
                    </w:rPr>
                    <w:t>1号井</w:t>
                  </w:r>
                </w:p>
              </w:tc>
              <w:tc>
                <w:tcPr>
                  <w:tcW w:w="603" w:type="pct"/>
                  <w:tcBorders>
                    <w:left w:val="single" w:color="auto" w:sz="4" w:space="0"/>
                  </w:tcBorders>
                  <w:tcMar>
                    <w:left w:w="28" w:type="dxa"/>
                    <w:right w:w="28" w:type="dxa"/>
                  </w:tcMar>
                  <w:vAlign w:val="center"/>
                </w:tcPr>
                <w:p w14:paraId="242F150C">
                  <w:pPr>
                    <w:ind w:right="9"/>
                    <w:jc w:val="center"/>
                    <w:rPr>
                      <w:kern w:val="0"/>
                      <w:szCs w:val="21"/>
                    </w:rPr>
                  </w:pPr>
                  <w:r>
                    <w:rPr>
                      <w:rFonts w:hint="eastAsia"/>
                      <w:kern w:val="0"/>
                      <w:szCs w:val="21"/>
                    </w:rPr>
                    <w:t>抽油</w:t>
                  </w:r>
                  <w:r>
                    <w:rPr>
                      <w:kern w:val="0"/>
                      <w:szCs w:val="21"/>
                    </w:rPr>
                    <w:t>机</w:t>
                  </w:r>
                </w:p>
              </w:tc>
              <w:tc>
                <w:tcPr>
                  <w:tcW w:w="431" w:type="pct"/>
                  <w:vAlign w:val="center"/>
                </w:tcPr>
                <w:p w14:paraId="6ECC59FB">
                  <w:pPr>
                    <w:spacing w:before="14"/>
                    <w:ind w:right="1"/>
                    <w:jc w:val="center"/>
                    <w:rPr>
                      <w:kern w:val="0"/>
                      <w:szCs w:val="21"/>
                    </w:rPr>
                  </w:pPr>
                  <w:r>
                    <w:rPr>
                      <w:rFonts w:hint="eastAsia"/>
                      <w:kern w:val="0"/>
                      <w:szCs w:val="21"/>
                    </w:rPr>
                    <w:t>80.0</w:t>
                  </w:r>
                </w:p>
              </w:tc>
              <w:tc>
                <w:tcPr>
                  <w:tcW w:w="441" w:type="pct"/>
                  <w:tcBorders>
                    <w:right w:val="single" w:color="auto" w:sz="4" w:space="0"/>
                  </w:tcBorders>
                  <w:vAlign w:val="center"/>
                </w:tcPr>
                <w:p w14:paraId="282480C5">
                  <w:pPr>
                    <w:ind w:right="9"/>
                    <w:jc w:val="center"/>
                    <w:rPr>
                      <w:kern w:val="0"/>
                      <w:szCs w:val="21"/>
                    </w:rPr>
                  </w:pPr>
                  <w:r>
                    <w:rPr>
                      <w:rFonts w:hint="eastAsia"/>
                      <w:kern w:val="0"/>
                      <w:szCs w:val="21"/>
                    </w:rPr>
                    <w:t>40.5</w:t>
                  </w:r>
                </w:p>
              </w:tc>
              <w:tc>
                <w:tcPr>
                  <w:tcW w:w="365" w:type="pct"/>
                  <w:tcBorders>
                    <w:left w:val="single" w:color="auto" w:sz="4" w:space="0"/>
                    <w:right w:val="single" w:color="auto" w:sz="4" w:space="0"/>
                  </w:tcBorders>
                  <w:vAlign w:val="center"/>
                </w:tcPr>
                <w:p w14:paraId="1CFBDA8F">
                  <w:pPr>
                    <w:ind w:right="9"/>
                    <w:jc w:val="center"/>
                    <w:rPr>
                      <w:kern w:val="0"/>
                      <w:szCs w:val="21"/>
                    </w:rPr>
                  </w:pPr>
                  <w:r>
                    <w:rPr>
                      <w:rFonts w:hint="eastAsia"/>
                      <w:kern w:val="0"/>
                      <w:szCs w:val="21"/>
                    </w:rPr>
                    <w:t>1</w:t>
                  </w:r>
                </w:p>
              </w:tc>
              <w:tc>
                <w:tcPr>
                  <w:tcW w:w="686" w:type="pct"/>
                  <w:tcBorders>
                    <w:left w:val="single" w:color="auto" w:sz="4" w:space="0"/>
                    <w:right w:val="single" w:color="auto" w:sz="4" w:space="0"/>
                  </w:tcBorders>
                  <w:vAlign w:val="center"/>
                </w:tcPr>
                <w:p w14:paraId="70D896E4">
                  <w:pPr>
                    <w:ind w:right="9"/>
                    <w:jc w:val="center"/>
                    <w:rPr>
                      <w:kern w:val="0"/>
                      <w:szCs w:val="21"/>
                    </w:rPr>
                  </w:pPr>
                  <w:r>
                    <w:rPr>
                      <w:rFonts w:hint="eastAsia"/>
                      <w:kern w:val="0"/>
                      <w:szCs w:val="21"/>
                    </w:rPr>
                    <w:t>75</w:t>
                  </w:r>
                </w:p>
              </w:tc>
              <w:tc>
                <w:tcPr>
                  <w:tcW w:w="765" w:type="pct"/>
                  <w:vMerge w:val="restart"/>
                  <w:tcBorders>
                    <w:left w:val="single" w:color="auto" w:sz="4" w:space="0"/>
                  </w:tcBorders>
                  <w:vAlign w:val="center"/>
                </w:tcPr>
                <w:p w14:paraId="060263E0">
                  <w:pPr>
                    <w:ind w:right="9"/>
                    <w:jc w:val="center"/>
                    <w:rPr>
                      <w:kern w:val="0"/>
                      <w:szCs w:val="21"/>
                    </w:rPr>
                  </w:pPr>
                  <w:r>
                    <w:rPr>
                      <w:rFonts w:hint="eastAsia"/>
                      <w:kern w:val="0"/>
                      <w:szCs w:val="21"/>
                    </w:rPr>
                    <w:t>基础减振</w:t>
                  </w:r>
                </w:p>
              </w:tc>
              <w:tc>
                <w:tcPr>
                  <w:tcW w:w="865" w:type="pct"/>
                  <w:vAlign w:val="center"/>
                </w:tcPr>
                <w:p w14:paraId="722049BF">
                  <w:pPr>
                    <w:ind w:right="9"/>
                    <w:jc w:val="center"/>
                    <w:rPr>
                      <w:kern w:val="0"/>
                      <w:szCs w:val="21"/>
                    </w:rPr>
                  </w:pPr>
                  <w:r>
                    <w:rPr>
                      <w:rFonts w:hint="eastAsia"/>
                      <w:kern w:val="0"/>
                      <w:szCs w:val="21"/>
                    </w:rPr>
                    <w:t>65</w:t>
                  </w:r>
                </w:p>
              </w:tc>
            </w:tr>
            <w:tr w14:paraId="45FE093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44" w:type="pct"/>
                  <w:vMerge w:val="continue"/>
                  <w:tcBorders>
                    <w:right w:val="single" w:color="auto" w:sz="4" w:space="0"/>
                  </w:tcBorders>
                  <w:tcMar>
                    <w:left w:w="28" w:type="dxa"/>
                    <w:right w:w="28" w:type="dxa"/>
                  </w:tcMar>
                  <w:vAlign w:val="center"/>
                </w:tcPr>
                <w:p w14:paraId="4EA84CD4">
                  <w:pPr>
                    <w:ind w:right="9"/>
                    <w:jc w:val="center"/>
                    <w:rPr>
                      <w:kern w:val="0"/>
                      <w:szCs w:val="21"/>
                    </w:rPr>
                  </w:pPr>
                </w:p>
              </w:tc>
              <w:tc>
                <w:tcPr>
                  <w:tcW w:w="603" w:type="pct"/>
                  <w:tcBorders>
                    <w:left w:val="single" w:color="auto" w:sz="4" w:space="0"/>
                  </w:tcBorders>
                  <w:tcMar>
                    <w:left w:w="28" w:type="dxa"/>
                    <w:right w:w="28" w:type="dxa"/>
                  </w:tcMar>
                  <w:vAlign w:val="center"/>
                </w:tcPr>
                <w:p w14:paraId="711E5817">
                  <w:pPr>
                    <w:ind w:right="9"/>
                    <w:jc w:val="center"/>
                    <w:rPr>
                      <w:kern w:val="0"/>
                      <w:szCs w:val="21"/>
                    </w:rPr>
                  </w:pPr>
                  <w:r>
                    <w:rPr>
                      <w:rFonts w:hint="eastAsia"/>
                      <w:kern w:val="0"/>
                      <w:szCs w:val="21"/>
                    </w:rPr>
                    <w:t>柴油机</w:t>
                  </w:r>
                </w:p>
              </w:tc>
              <w:tc>
                <w:tcPr>
                  <w:tcW w:w="431" w:type="pct"/>
                  <w:vAlign w:val="center"/>
                </w:tcPr>
                <w:p w14:paraId="229DD5DA">
                  <w:pPr>
                    <w:spacing w:before="14"/>
                    <w:ind w:right="1"/>
                    <w:jc w:val="center"/>
                    <w:rPr>
                      <w:kern w:val="0"/>
                      <w:szCs w:val="21"/>
                    </w:rPr>
                  </w:pPr>
                  <w:r>
                    <w:rPr>
                      <w:rFonts w:hint="eastAsia"/>
                      <w:kern w:val="0"/>
                      <w:szCs w:val="21"/>
                    </w:rPr>
                    <w:t>90.0</w:t>
                  </w:r>
                </w:p>
              </w:tc>
              <w:tc>
                <w:tcPr>
                  <w:tcW w:w="441" w:type="pct"/>
                  <w:tcBorders>
                    <w:right w:val="single" w:color="auto" w:sz="4" w:space="0"/>
                  </w:tcBorders>
                  <w:vAlign w:val="center"/>
                </w:tcPr>
                <w:p w14:paraId="7FD496AE">
                  <w:pPr>
                    <w:ind w:right="9"/>
                    <w:jc w:val="center"/>
                    <w:rPr>
                      <w:kern w:val="0"/>
                      <w:szCs w:val="21"/>
                    </w:rPr>
                  </w:pPr>
                  <w:r>
                    <w:rPr>
                      <w:rFonts w:hint="eastAsia"/>
                      <w:kern w:val="0"/>
                      <w:szCs w:val="21"/>
                    </w:rPr>
                    <w:t>52.5</w:t>
                  </w:r>
                </w:p>
              </w:tc>
              <w:tc>
                <w:tcPr>
                  <w:tcW w:w="365" w:type="pct"/>
                  <w:tcBorders>
                    <w:left w:val="single" w:color="auto" w:sz="4" w:space="0"/>
                    <w:right w:val="single" w:color="auto" w:sz="4" w:space="0"/>
                  </w:tcBorders>
                  <w:vAlign w:val="center"/>
                </w:tcPr>
                <w:p w14:paraId="72343DB0">
                  <w:pPr>
                    <w:ind w:right="9"/>
                    <w:jc w:val="center"/>
                    <w:rPr>
                      <w:kern w:val="0"/>
                      <w:szCs w:val="21"/>
                    </w:rPr>
                  </w:pPr>
                  <w:r>
                    <w:rPr>
                      <w:rFonts w:hint="eastAsia"/>
                      <w:kern w:val="0"/>
                      <w:szCs w:val="21"/>
                    </w:rPr>
                    <w:t>1</w:t>
                  </w:r>
                </w:p>
              </w:tc>
              <w:tc>
                <w:tcPr>
                  <w:tcW w:w="686" w:type="pct"/>
                  <w:tcBorders>
                    <w:left w:val="single" w:color="auto" w:sz="4" w:space="0"/>
                    <w:right w:val="single" w:color="auto" w:sz="4" w:space="0"/>
                  </w:tcBorders>
                  <w:vAlign w:val="center"/>
                </w:tcPr>
                <w:p w14:paraId="46DA2BA5">
                  <w:pPr>
                    <w:ind w:right="9"/>
                    <w:jc w:val="center"/>
                    <w:rPr>
                      <w:kern w:val="0"/>
                      <w:szCs w:val="21"/>
                    </w:rPr>
                  </w:pPr>
                  <w:r>
                    <w:rPr>
                      <w:rFonts w:hint="eastAsia"/>
                      <w:kern w:val="0"/>
                      <w:szCs w:val="21"/>
                    </w:rPr>
                    <w:t>100</w:t>
                  </w:r>
                </w:p>
              </w:tc>
              <w:tc>
                <w:tcPr>
                  <w:tcW w:w="765" w:type="pct"/>
                  <w:vMerge w:val="continue"/>
                  <w:tcBorders>
                    <w:left w:val="single" w:color="auto" w:sz="4" w:space="0"/>
                  </w:tcBorders>
                  <w:vAlign w:val="center"/>
                </w:tcPr>
                <w:p w14:paraId="7C85863E">
                  <w:pPr>
                    <w:ind w:right="9"/>
                    <w:jc w:val="center"/>
                    <w:rPr>
                      <w:kern w:val="0"/>
                      <w:szCs w:val="21"/>
                    </w:rPr>
                  </w:pPr>
                </w:p>
              </w:tc>
              <w:tc>
                <w:tcPr>
                  <w:tcW w:w="865" w:type="pct"/>
                  <w:vAlign w:val="center"/>
                </w:tcPr>
                <w:p w14:paraId="26335136">
                  <w:pPr>
                    <w:ind w:right="9"/>
                    <w:jc w:val="center"/>
                    <w:rPr>
                      <w:kern w:val="0"/>
                      <w:szCs w:val="21"/>
                    </w:rPr>
                  </w:pPr>
                  <w:r>
                    <w:rPr>
                      <w:rFonts w:hint="eastAsia"/>
                      <w:kern w:val="0"/>
                      <w:szCs w:val="21"/>
                    </w:rPr>
                    <w:t>80</w:t>
                  </w:r>
                </w:p>
              </w:tc>
            </w:tr>
            <w:tr w14:paraId="31197C0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44" w:type="pct"/>
                  <w:vMerge w:val="restart"/>
                  <w:tcBorders>
                    <w:right w:val="single" w:color="auto" w:sz="4" w:space="0"/>
                  </w:tcBorders>
                  <w:tcMar>
                    <w:left w:w="28" w:type="dxa"/>
                    <w:right w:w="28" w:type="dxa"/>
                  </w:tcMar>
                  <w:vAlign w:val="center"/>
                </w:tcPr>
                <w:p w14:paraId="0B79F4B1">
                  <w:pPr>
                    <w:ind w:right="9"/>
                    <w:jc w:val="center"/>
                    <w:rPr>
                      <w:kern w:val="0"/>
                      <w:szCs w:val="21"/>
                    </w:rPr>
                  </w:pPr>
                  <w:r>
                    <w:rPr>
                      <w:rFonts w:hint="eastAsia"/>
                      <w:kern w:val="0"/>
                      <w:szCs w:val="21"/>
                    </w:rPr>
                    <w:t>2号井</w:t>
                  </w:r>
                </w:p>
              </w:tc>
              <w:tc>
                <w:tcPr>
                  <w:tcW w:w="603" w:type="pct"/>
                  <w:tcBorders>
                    <w:left w:val="single" w:color="auto" w:sz="4" w:space="0"/>
                  </w:tcBorders>
                  <w:tcMar>
                    <w:left w:w="28" w:type="dxa"/>
                    <w:right w:w="28" w:type="dxa"/>
                  </w:tcMar>
                  <w:vAlign w:val="center"/>
                </w:tcPr>
                <w:p w14:paraId="52B7DC44">
                  <w:pPr>
                    <w:ind w:right="9"/>
                    <w:jc w:val="center"/>
                    <w:rPr>
                      <w:kern w:val="0"/>
                      <w:szCs w:val="21"/>
                    </w:rPr>
                  </w:pPr>
                  <w:r>
                    <w:rPr>
                      <w:rFonts w:hint="eastAsia"/>
                      <w:kern w:val="0"/>
                      <w:szCs w:val="21"/>
                    </w:rPr>
                    <w:t>抽油</w:t>
                  </w:r>
                  <w:r>
                    <w:rPr>
                      <w:kern w:val="0"/>
                      <w:szCs w:val="21"/>
                    </w:rPr>
                    <w:t>机</w:t>
                  </w:r>
                </w:p>
              </w:tc>
              <w:tc>
                <w:tcPr>
                  <w:tcW w:w="431" w:type="pct"/>
                  <w:vAlign w:val="center"/>
                </w:tcPr>
                <w:p w14:paraId="2AB8B401">
                  <w:pPr>
                    <w:spacing w:before="14"/>
                    <w:ind w:right="1"/>
                    <w:jc w:val="center"/>
                    <w:rPr>
                      <w:kern w:val="0"/>
                      <w:szCs w:val="21"/>
                    </w:rPr>
                  </w:pPr>
                  <w:r>
                    <w:rPr>
                      <w:rFonts w:hint="eastAsia"/>
                      <w:kern w:val="0"/>
                      <w:szCs w:val="21"/>
                    </w:rPr>
                    <w:t>67.5</w:t>
                  </w:r>
                </w:p>
              </w:tc>
              <w:tc>
                <w:tcPr>
                  <w:tcW w:w="441" w:type="pct"/>
                  <w:tcBorders>
                    <w:right w:val="single" w:color="auto" w:sz="4" w:space="0"/>
                  </w:tcBorders>
                  <w:vAlign w:val="center"/>
                </w:tcPr>
                <w:p w14:paraId="655B7F2D">
                  <w:pPr>
                    <w:ind w:right="9"/>
                    <w:jc w:val="center"/>
                    <w:rPr>
                      <w:kern w:val="0"/>
                      <w:szCs w:val="21"/>
                    </w:rPr>
                  </w:pPr>
                  <w:r>
                    <w:rPr>
                      <w:rFonts w:hint="eastAsia"/>
                      <w:kern w:val="0"/>
                      <w:szCs w:val="21"/>
                    </w:rPr>
                    <w:t>40.5</w:t>
                  </w:r>
                </w:p>
              </w:tc>
              <w:tc>
                <w:tcPr>
                  <w:tcW w:w="365" w:type="pct"/>
                  <w:tcBorders>
                    <w:left w:val="single" w:color="auto" w:sz="4" w:space="0"/>
                    <w:right w:val="single" w:color="auto" w:sz="4" w:space="0"/>
                  </w:tcBorders>
                  <w:vAlign w:val="center"/>
                </w:tcPr>
                <w:p w14:paraId="60654F57">
                  <w:pPr>
                    <w:ind w:right="9"/>
                    <w:jc w:val="center"/>
                    <w:rPr>
                      <w:kern w:val="0"/>
                      <w:szCs w:val="21"/>
                    </w:rPr>
                  </w:pPr>
                  <w:r>
                    <w:rPr>
                      <w:rFonts w:hint="eastAsia"/>
                      <w:kern w:val="0"/>
                      <w:szCs w:val="21"/>
                    </w:rPr>
                    <w:t>1</w:t>
                  </w:r>
                </w:p>
              </w:tc>
              <w:tc>
                <w:tcPr>
                  <w:tcW w:w="686" w:type="pct"/>
                  <w:tcBorders>
                    <w:left w:val="single" w:color="auto" w:sz="4" w:space="0"/>
                    <w:right w:val="single" w:color="auto" w:sz="4" w:space="0"/>
                  </w:tcBorders>
                  <w:vAlign w:val="center"/>
                </w:tcPr>
                <w:p w14:paraId="4A14786A">
                  <w:pPr>
                    <w:ind w:right="9"/>
                    <w:jc w:val="center"/>
                    <w:rPr>
                      <w:kern w:val="0"/>
                      <w:szCs w:val="21"/>
                    </w:rPr>
                  </w:pPr>
                  <w:r>
                    <w:rPr>
                      <w:rFonts w:hint="eastAsia"/>
                      <w:kern w:val="0"/>
                      <w:szCs w:val="21"/>
                    </w:rPr>
                    <w:t>75</w:t>
                  </w:r>
                </w:p>
              </w:tc>
              <w:tc>
                <w:tcPr>
                  <w:tcW w:w="765" w:type="pct"/>
                  <w:vMerge w:val="restart"/>
                  <w:tcBorders>
                    <w:left w:val="single" w:color="auto" w:sz="4" w:space="0"/>
                  </w:tcBorders>
                  <w:vAlign w:val="center"/>
                </w:tcPr>
                <w:p w14:paraId="7AB03CC5">
                  <w:pPr>
                    <w:ind w:right="9"/>
                    <w:jc w:val="center"/>
                    <w:rPr>
                      <w:kern w:val="0"/>
                      <w:szCs w:val="21"/>
                    </w:rPr>
                  </w:pPr>
                  <w:r>
                    <w:rPr>
                      <w:rFonts w:hint="eastAsia"/>
                      <w:kern w:val="0"/>
                      <w:szCs w:val="21"/>
                    </w:rPr>
                    <w:t>基础减振</w:t>
                  </w:r>
                </w:p>
              </w:tc>
              <w:tc>
                <w:tcPr>
                  <w:tcW w:w="865" w:type="pct"/>
                  <w:vAlign w:val="center"/>
                </w:tcPr>
                <w:p w14:paraId="40878E6C">
                  <w:pPr>
                    <w:ind w:right="9"/>
                    <w:jc w:val="center"/>
                    <w:rPr>
                      <w:kern w:val="0"/>
                      <w:szCs w:val="21"/>
                    </w:rPr>
                  </w:pPr>
                  <w:r>
                    <w:rPr>
                      <w:rFonts w:hint="eastAsia"/>
                      <w:kern w:val="0"/>
                      <w:szCs w:val="21"/>
                    </w:rPr>
                    <w:t>65</w:t>
                  </w:r>
                </w:p>
              </w:tc>
            </w:tr>
            <w:tr w14:paraId="03BC7D4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44" w:type="pct"/>
                  <w:vMerge w:val="continue"/>
                  <w:tcBorders>
                    <w:right w:val="single" w:color="auto" w:sz="4" w:space="0"/>
                  </w:tcBorders>
                  <w:tcMar>
                    <w:left w:w="28" w:type="dxa"/>
                    <w:right w:w="28" w:type="dxa"/>
                  </w:tcMar>
                  <w:vAlign w:val="center"/>
                </w:tcPr>
                <w:p w14:paraId="2BC54AFD">
                  <w:pPr>
                    <w:ind w:right="9"/>
                    <w:jc w:val="center"/>
                    <w:rPr>
                      <w:kern w:val="0"/>
                      <w:szCs w:val="21"/>
                    </w:rPr>
                  </w:pPr>
                </w:p>
              </w:tc>
              <w:tc>
                <w:tcPr>
                  <w:tcW w:w="603" w:type="pct"/>
                  <w:tcBorders>
                    <w:left w:val="single" w:color="auto" w:sz="4" w:space="0"/>
                  </w:tcBorders>
                  <w:tcMar>
                    <w:left w:w="28" w:type="dxa"/>
                    <w:right w:w="28" w:type="dxa"/>
                  </w:tcMar>
                  <w:vAlign w:val="center"/>
                </w:tcPr>
                <w:p w14:paraId="45FA8521">
                  <w:pPr>
                    <w:ind w:right="9"/>
                    <w:jc w:val="center"/>
                    <w:rPr>
                      <w:kern w:val="0"/>
                      <w:szCs w:val="21"/>
                    </w:rPr>
                  </w:pPr>
                  <w:r>
                    <w:rPr>
                      <w:rFonts w:hint="eastAsia"/>
                      <w:kern w:val="0"/>
                      <w:szCs w:val="21"/>
                    </w:rPr>
                    <w:t>柴油机</w:t>
                  </w:r>
                </w:p>
              </w:tc>
              <w:tc>
                <w:tcPr>
                  <w:tcW w:w="431" w:type="pct"/>
                  <w:vAlign w:val="center"/>
                </w:tcPr>
                <w:p w14:paraId="2FB41228">
                  <w:pPr>
                    <w:spacing w:before="14"/>
                    <w:ind w:right="1"/>
                    <w:jc w:val="center"/>
                    <w:rPr>
                      <w:kern w:val="0"/>
                      <w:szCs w:val="21"/>
                    </w:rPr>
                  </w:pPr>
                  <w:r>
                    <w:rPr>
                      <w:rFonts w:hint="eastAsia"/>
                      <w:kern w:val="0"/>
                      <w:szCs w:val="21"/>
                    </w:rPr>
                    <w:t>90.0</w:t>
                  </w:r>
                </w:p>
              </w:tc>
              <w:tc>
                <w:tcPr>
                  <w:tcW w:w="441" w:type="pct"/>
                  <w:tcBorders>
                    <w:right w:val="single" w:color="auto" w:sz="4" w:space="0"/>
                  </w:tcBorders>
                  <w:vAlign w:val="center"/>
                </w:tcPr>
                <w:p w14:paraId="22951A4A">
                  <w:pPr>
                    <w:ind w:right="9"/>
                    <w:jc w:val="center"/>
                    <w:rPr>
                      <w:kern w:val="0"/>
                      <w:szCs w:val="21"/>
                    </w:rPr>
                  </w:pPr>
                  <w:r>
                    <w:rPr>
                      <w:rFonts w:hint="eastAsia"/>
                      <w:kern w:val="0"/>
                      <w:szCs w:val="21"/>
                    </w:rPr>
                    <w:t>52.5</w:t>
                  </w:r>
                </w:p>
              </w:tc>
              <w:tc>
                <w:tcPr>
                  <w:tcW w:w="365" w:type="pct"/>
                  <w:tcBorders>
                    <w:left w:val="single" w:color="auto" w:sz="4" w:space="0"/>
                    <w:right w:val="single" w:color="auto" w:sz="4" w:space="0"/>
                  </w:tcBorders>
                  <w:vAlign w:val="center"/>
                </w:tcPr>
                <w:p w14:paraId="6449B9EE">
                  <w:pPr>
                    <w:ind w:right="9"/>
                    <w:jc w:val="center"/>
                    <w:rPr>
                      <w:kern w:val="0"/>
                      <w:szCs w:val="21"/>
                    </w:rPr>
                  </w:pPr>
                  <w:r>
                    <w:rPr>
                      <w:rFonts w:hint="eastAsia"/>
                      <w:kern w:val="0"/>
                      <w:szCs w:val="21"/>
                    </w:rPr>
                    <w:t>1</w:t>
                  </w:r>
                </w:p>
              </w:tc>
              <w:tc>
                <w:tcPr>
                  <w:tcW w:w="686" w:type="pct"/>
                  <w:tcBorders>
                    <w:left w:val="single" w:color="auto" w:sz="4" w:space="0"/>
                    <w:right w:val="single" w:color="auto" w:sz="4" w:space="0"/>
                  </w:tcBorders>
                  <w:vAlign w:val="center"/>
                </w:tcPr>
                <w:p w14:paraId="5EFF1315">
                  <w:pPr>
                    <w:ind w:right="9"/>
                    <w:jc w:val="center"/>
                    <w:rPr>
                      <w:kern w:val="0"/>
                      <w:szCs w:val="21"/>
                    </w:rPr>
                  </w:pPr>
                  <w:r>
                    <w:rPr>
                      <w:rFonts w:hint="eastAsia"/>
                      <w:kern w:val="0"/>
                      <w:szCs w:val="21"/>
                    </w:rPr>
                    <w:t>100</w:t>
                  </w:r>
                </w:p>
              </w:tc>
              <w:tc>
                <w:tcPr>
                  <w:tcW w:w="765" w:type="pct"/>
                  <w:vMerge w:val="continue"/>
                  <w:tcBorders>
                    <w:left w:val="single" w:color="auto" w:sz="4" w:space="0"/>
                  </w:tcBorders>
                  <w:vAlign w:val="center"/>
                </w:tcPr>
                <w:p w14:paraId="0499B24F">
                  <w:pPr>
                    <w:ind w:right="9"/>
                    <w:jc w:val="center"/>
                    <w:rPr>
                      <w:kern w:val="0"/>
                      <w:szCs w:val="21"/>
                    </w:rPr>
                  </w:pPr>
                </w:p>
              </w:tc>
              <w:tc>
                <w:tcPr>
                  <w:tcW w:w="865" w:type="pct"/>
                  <w:vAlign w:val="center"/>
                </w:tcPr>
                <w:p w14:paraId="7CCCC922">
                  <w:pPr>
                    <w:ind w:right="9"/>
                    <w:jc w:val="center"/>
                    <w:rPr>
                      <w:kern w:val="0"/>
                      <w:szCs w:val="21"/>
                    </w:rPr>
                  </w:pPr>
                  <w:r>
                    <w:rPr>
                      <w:rFonts w:hint="eastAsia"/>
                      <w:kern w:val="0"/>
                      <w:szCs w:val="21"/>
                    </w:rPr>
                    <w:t>80</w:t>
                  </w:r>
                </w:p>
              </w:tc>
            </w:tr>
            <w:tr w14:paraId="6C08EB6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44" w:type="pct"/>
                  <w:vMerge w:val="restart"/>
                  <w:tcBorders>
                    <w:right w:val="single" w:color="auto" w:sz="4" w:space="0"/>
                  </w:tcBorders>
                  <w:tcMar>
                    <w:left w:w="28" w:type="dxa"/>
                    <w:right w:w="28" w:type="dxa"/>
                  </w:tcMar>
                  <w:vAlign w:val="center"/>
                </w:tcPr>
                <w:p w14:paraId="78602DC6">
                  <w:pPr>
                    <w:ind w:right="9"/>
                    <w:jc w:val="center"/>
                    <w:rPr>
                      <w:kern w:val="0"/>
                      <w:szCs w:val="21"/>
                    </w:rPr>
                  </w:pPr>
                  <w:r>
                    <w:rPr>
                      <w:rFonts w:hint="eastAsia"/>
                      <w:kern w:val="0"/>
                      <w:szCs w:val="21"/>
                    </w:rPr>
                    <w:t>3号井</w:t>
                  </w:r>
                </w:p>
              </w:tc>
              <w:tc>
                <w:tcPr>
                  <w:tcW w:w="603" w:type="pct"/>
                  <w:tcBorders>
                    <w:left w:val="single" w:color="auto" w:sz="4" w:space="0"/>
                  </w:tcBorders>
                  <w:tcMar>
                    <w:left w:w="28" w:type="dxa"/>
                    <w:right w:w="28" w:type="dxa"/>
                  </w:tcMar>
                  <w:vAlign w:val="center"/>
                </w:tcPr>
                <w:p w14:paraId="50680BA2">
                  <w:pPr>
                    <w:ind w:right="9"/>
                    <w:jc w:val="center"/>
                    <w:rPr>
                      <w:kern w:val="0"/>
                      <w:szCs w:val="21"/>
                    </w:rPr>
                  </w:pPr>
                  <w:r>
                    <w:rPr>
                      <w:rFonts w:hint="eastAsia"/>
                      <w:kern w:val="0"/>
                      <w:szCs w:val="21"/>
                    </w:rPr>
                    <w:t>抽油</w:t>
                  </w:r>
                  <w:r>
                    <w:rPr>
                      <w:kern w:val="0"/>
                      <w:szCs w:val="21"/>
                    </w:rPr>
                    <w:t>机</w:t>
                  </w:r>
                </w:p>
              </w:tc>
              <w:tc>
                <w:tcPr>
                  <w:tcW w:w="431" w:type="pct"/>
                  <w:vAlign w:val="center"/>
                </w:tcPr>
                <w:p w14:paraId="682D4E5D">
                  <w:pPr>
                    <w:spacing w:before="14"/>
                    <w:ind w:right="1"/>
                    <w:jc w:val="center"/>
                    <w:rPr>
                      <w:kern w:val="0"/>
                      <w:szCs w:val="21"/>
                    </w:rPr>
                  </w:pPr>
                  <w:r>
                    <w:rPr>
                      <w:rFonts w:hint="eastAsia"/>
                      <w:kern w:val="0"/>
                      <w:szCs w:val="21"/>
                    </w:rPr>
                    <w:t>55.5</w:t>
                  </w:r>
                </w:p>
              </w:tc>
              <w:tc>
                <w:tcPr>
                  <w:tcW w:w="441" w:type="pct"/>
                  <w:tcBorders>
                    <w:right w:val="single" w:color="auto" w:sz="4" w:space="0"/>
                  </w:tcBorders>
                  <w:vAlign w:val="center"/>
                </w:tcPr>
                <w:p w14:paraId="6DD3B8BA">
                  <w:pPr>
                    <w:ind w:right="9"/>
                    <w:jc w:val="center"/>
                    <w:rPr>
                      <w:kern w:val="0"/>
                      <w:szCs w:val="21"/>
                    </w:rPr>
                  </w:pPr>
                  <w:r>
                    <w:rPr>
                      <w:rFonts w:hint="eastAsia"/>
                      <w:kern w:val="0"/>
                      <w:szCs w:val="21"/>
                    </w:rPr>
                    <w:t>40.5</w:t>
                  </w:r>
                </w:p>
              </w:tc>
              <w:tc>
                <w:tcPr>
                  <w:tcW w:w="365" w:type="pct"/>
                  <w:tcBorders>
                    <w:left w:val="single" w:color="auto" w:sz="4" w:space="0"/>
                    <w:right w:val="single" w:color="auto" w:sz="4" w:space="0"/>
                  </w:tcBorders>
                  <w:vAlign w:val="center"/>
                </w:tcPr>
                <w:p w14:paraId="17288D1A">
                  <w:pPr>
                    <w:ind w:right="9"/>
                    <w:jc w:val="center"/>
                    <w:rPr>
                      <w:kern w:val="0"/>
                      <w:szCs w:val="21"/>
                    </w:rPr>
                  </w:pPr>
                  <w:r>
                    <w:rPr>
                      <w:rFonts w:hint="eastAsia"/>
                      <w:kern w:val="0"/>
                      <w:szCs w:val="21"/>
                    </w:rPr>
                    <w:t>1</w:t>
                  </w:r>
                </w:p>
              </w:tc>
              <w:tc>
                <w:tcPr>
                  <w:tcW w:w="686" w:type="pct"/>
                  <w:tcBorders>
                    <w:left w:val="single" w:color="auto" w:sz="4" w:space="0"/>
                    <w:right w:val="single" w:color="auto" w:sz="4" w:space="0"/>
                  </w:tcBorders>
                  <w:vAlign w:val="center"/>
                </w:tcPr>
                <w:p w14:paraId="0328B92B">
                  <w:pPr>
                    <w:ind w:right="9"/>
                    <w:jc w:val="center"/>
                    <w:rPr>
                      <w:kern w:val="0"/>
                      <w:szCs w:val="21"/>
                    </w:rPr>
                  </w:pPr>
                  <w:r>
                    <w:rPr>
                      <w:rFonts w:hint="eastAsia"/>
                      <w:kern w:val="0"/>
                      <w:szCs w:val="21"/>
                    </w:rPr>
                    <w:t>75</w:t>
                  </w:r>
                </w:p>
              </w:tc>
              <w:tc>
                <w:tcPr>
                  <w:tcW w:w="765" w:type="pct"/>
                  <w:vMerge w:val="restart"/>
                  <w:tcBorders>
                    <w:left w:val="single" w:color="auto" w:sz="4" w:space="0"/>
                  </w:tcBorders>
                  <w:vAlign w:val="center"/>
                </w:tcPr>
                <w:p w14:paraId="3BAA161A">
                  <w:pPr>
                    <w:ind w:right="9"/>
                    <w:jc w:val="center"/>
                    <w:rPr>
                      <w:kern w:val="0"/>
                      <w:szCs w:val="21"/>
                    </w:rPr>
                  </w:pPr>
                  <w:r>
                    <w:rPr>
                      <w:rFonts w:hint="eastAsia"/>
                      <w:kern w:val="0"/>
                      <w:szCs w:val="21"/>
                    </w:rPr>
                    <w:t>基础减振</w:t>
                  </w:r>
                </w:p>
              </w:tc>
              <w:tc>
                <w:tcPr>
                  <w:tcW w:w="865" w:type="pct"/>
                  <w:vAlign w:val="center"/>
                </w:tcPr>
                <w:p w14:paraId="45FB44F9">
                  <w:pPr>
                    <w:ind w:right="9"/>
                    <w:jc w:val="center"/>
                    <w:rPr>
                      <w:kern w:val="0"/>
                      <w:szCs w:val="21"/>
                    </w:rPr>
                  </w:pPr>
                  <w:r>
                    <w:rPr>
                      <w:rFonts w:hint="eastAsia"/>
                      <w:kern w:val="0"/>
                      <w:szCs w:val="21"/>
                    </w:rPr>
                    <w:t>65</w:t>
                  </w:r>
                </w:p>
              </w:tc>
            </w:tr>
            <w:tr w14:paraId="6D6455D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844" w:type="pct"/>
                  <w:vMerge w:val="continue"/>
                  <w:tcBorders>
                    <w:right w:val="single" w:color="auto" w:sz="4" w:space="0"/>
                  </w:tcBorders>
                  <w:tcMar>
                    <w:left w:w="28" w:type="dxa"/>
                    <w:right w:w="28" w:type="dxa"/>
                  </w:tcMar>
                  <w:vAlign w:val="center"/>
                </w:tcPr>
                <w:p w14:paraId="1F157452">
                  <w:pPr>
                    <w:ind w:right="9"/>
                    <w:jc w:val="center"/>
                    <w:rPr>
                      <w:kern w:val="0"/>
                      <w:szCs w:val="21"/>
                    </w:rPr>
                  </w:pPr>
                </w:p>
              </w:tc>
              <w:tc>
                <w:tcPr>
                  <w:tcW w:w="603" w:type="pct"/>
                  <w:tcBorders>
                    <w:left w:val="single" w:color="auto" w:sz="4" w:space="0"/>
                  </w:tcBorders>
                  <w:tcMar>
                    <w:left w:w="28" w:type="dxa"/>
                    <w:right w:w="28" w:type="dxa"/>
                  </w:tcMar>
                  <w:vAlign w:val="center"/>
                </w:tcPr>
                <w:p w14:paraId="213EB2CA">
                  <w:pPr>
                    <w:ind w:right="9"/>
                    <w:jc w:val="center"/>
                    <w:rPr>
                      <w:kern w:val="0"/>
                      <w:szCs w:val="21"/>
                    </w:rPr>
                  </w:pPr>
                  <w:r>
                    <w:rPr>
                      <w:rFonts w:hint="eastAsia"/>
                      <w:kern w:val="0"/>
                      <w:szCs w:val="21"/>
                    </w:rPr>
                    <w:t>柴油机</w:t>
                  </w:r>
                </w:p>
              </w:tc>
              <w:tc>
                <w:tcPr>
                  <w:tcW w:w="431" w:type="pct"/>
                  <w:vAlign w:val="center"/>
                </w:tcPr>
                <w:p w14:paraId="7D1372B4">
                  <w:pPr>
                    <w:spacing w:before="14"/>
                    <w:ind w:right="1"/>
                    <w:jc w:val="center"/>
                    <w:rPr>
                      <w:kern w:val="0"/>
                      <w:szCs w:val="21"/>
                    </w:rPr>
                  </w:pPr>
                  <w:r>
                    <w:rPr>
                      <w:rFonts w:hint="eastAsia"/>
                      <w:kern w:val="0"/>
                      <w:szCs w:val="21"/>
                    </w:rPr>
                    <w:t>90.0</w:t>
                  </w:r>
                </w:p>
              </w:tc>
              <w:tc>
                <w:tcPr>
                  <w:tcW w:w="441" w:type="pct"/>
                  <w:tcBorders>
                    <w:right w:val="single" w:color="auto" w:sz="4" w:space="0"/>
                  </w:tcBorders>
                  <w:vAlign w:val="center"/>
                </w:tcPr>
                <w:p w14:paraId="0AC825A1">
                  <w:pPr>
                    <w:ind w:right="9"/>
                    <w:jc w:val="center"/>
                    <w:rPr>
                      <w:kern w:val="0"/>
                      <w:szCs w:val="21"/>
                    </w:rPr>
                  </w:pPr>
                  <w:r>
                    <w:rPr>
                      <w:rFonts w:hint="eastAsia"/>
                      <w:kern w:val="0"/>
                      <w:szCs w:val="21"/>
                    </w:rPr>
                    <w:t>52.5</w:t>
                  </w:r>
                </w:p>
              </w:tc>
              <w:tc>
                <w:tcPr>
                  <w:tcW w:w="365" w:type="pct"/>
                  <w:tcBorders>
                    <w:left w:val="single" w:color="auto" w:sz="4" w:space="0"/>
                    <w:right w:val="single" w:color="auto" w:sz="4" w:space="0"/>
                  </w:tcBorders>
                  <w:vAlign w:val="center"/>
                </w:tcPr>
                <w:p w14:paraId="075F4B07">
                  <w:pPr>
                    <w:ind w:right="9"/>
                    <w:jc w:val="center"/>
                    <w:rPr>
                      <w:kern w:val="0"/>
                      <w:szCs w:val="21"/>
                    </w:rPr>
                  </w:pPr>
                  <w:r>
                    <w:rPr>
                      <w:rFonts w:hint="eastAsia"/>
                      <w:kern w:val="0"/>
                      <w:szCs w:val="21"/>
                    </w:rPr>
                    <w:t>1</w:t>
                  </w:r>
                </w:p>
              </w:tc>
              <w:tc>
                <w:tcPr>
                  <w:tcW w:w="686" w:type="pct"/>
                  <w:tcBorders>
                    <w:left w:val="single" w:color="auto" w:sz="4" w:space="0"/>
                    <w:right w:val="single" w:color="auto" w:sz="4" w:space="0"/>
                  </w:tcBorders>
                  <w:vAlign w:val="center"/>
                </w:tcPr>
                <w:p w14:paraId="45B794C1">
                  <w:pPr>
                    <w:ind w:right="9"/>
                    <w:jc w:val="center"/>
                    <w:rPr>
                      <w:kern w:val="0"/>
                      <w:szCs w:val="21"/>
                    </w:rPr>
                  </w:pPr>
                  <w:r>
                    <w:rPr>
                      <w:rFonts w:hint="eastAsia"/>
                      <w:kern w:val="0"/>
                      <w:szCs w:val="21"/>
                    </w:rPr>
                    <w:t>100</w:t>
                  </w:r>
                </w:p>
              </w:tc>
              <w:tc>
                <w:tcPr>
                  <w:tcW w:w="765" w:type="pct"/>
                  <w:vMerge w:val="continue"/>
                  <w:tcBorders>
                    <w:left w:val="single" w:color="auto" w:sz="4" w:space="0"/>
                  </w:tcBorders>
                  <w:vAlign w:val="center"/>
                </w:tcPr>
                <w:p w14:paraId="2FB823C3">
                  <w:pPr>
                    <w:ind w:right="9"/>
                    <w:jc w:val="center"/>
                    <w:rPr>
                      <w:kern w:val="0"/>
                      <w:szCs w:val="21"/>
                    </w:rPr>
                  </w:pPr>
                </w:p>
              </w:tc>
              <w:tc>
                <w:tcPr>
                  <w:tcW w:w="865" w:type="pct"/>
                  <w:vAlign w:val="center"/>
                </w:tcPr>
                <w:p w14:paraId="15452D82">
                  <w:pPr>
                    <w:ind w:right="9"/>
                    <w:jc w:val="center"/>
                    <w:rPr>
                      <w:kern w:val="0"/>
                      <w:szCs w:val="21"/>
                    </w:rPr>
                  </w:pPr>
                  <w:r>
                    <w:rPr>
                      <w:rFonts w:hint="eastAsia"/>
                      <w:kern w:val="0"/>
                      <w:szCs w:val="21"/>
                    </w:rPr>
                    <w:t>80</w:t>
                  </w:r>
                </w:p>
              </w:tc>
            </w:tr>
            <w:tr w14:paraId="40B828E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5000" w:type="pct"/>
                  <w:gridSpan w:val="8"/>
                  <w:vAlign w:val="center"/>
                </w:tcPr>
                <w:p w14:paraId="24CFF634">
                  <w:pPr>
                    <w:ind w:right="9"/>
                    <w:jc w:val="left"/>
                    <w:rPr>
                      <w:kern w:val="0"/>
                      <w:szCs w:val="21"/>
                    </w:rPr>
                  </w:pPr>
                  <w:r>
                    <w:rPr>
                      <w:rFonts w:hint="eastAsia"/>
                      <w:kern w:val="0"/>
                      <w:szCs w:val="21"/>
                    </w:rPr>
                    <w:t>注：以磴4平台井场西南角为坐标原点。</w:t>
                  </w:r>
                </w:p>
              </w:tc>
            </w:tr>
          </w:tbl>
          <w:p w14:paraId="1E76796F">
            <w:pPr>
              <w:adjustRightInd w:val="0"/>
              <w:snapToGrid w:val="0"/>
              <w:spacing w:line="360" w:lineRule="auto"/>
              <w:ind w:firstLine="480" w:firstLineChars="200"/>
              <w:rPr>
                <w:sz w:val="24"/>
              </w:rPr>
            </w:pPr>
            <w:r>
              <w:rPr>
                <w:rFonts w:hint="eastAsia"/>
                <w:sz w:val="24"/>
              </w:rPr>
              <w:t>按照噪声预测模式，结合各噪声源到预测点距离，通过计算，得出项目试油阶段噪声源对场界四周的贡献值</w:t>
            </w:r>
            <w:r>
              <w:rPr>
                <w:sz w:val="24"/>
              </w:rPr>
              <w:t>。</w:t>
            </w:r>
          </w:p>
          <w:p w14:paraId="174F93A0">
            <w:pPr>
              <w:autoSpaceDE w:val="0"/>
              <w:autoSpaceDN w:val="0"/>
              <w:adjustRightInd w:val="0"/>
              <w:jc w:val="center"/>
              <w:rPr>
                <w:b/>
                <w:bCs/>
                <w:sz w:val="24"/>
              </w:rPr>
            </w:pPr>
            <w:r>
              <w:rPr>
                <w:b/>
                <w:kern w:val="0"/>
                <w:sz w:val="24"/>
                <w:szCs w:val="21"/>
              </w:rPr>
              <w:t>表4-</w:t>
            </w:r>
            <w:r>
              <w:rPr>
                <w:rFonts w:hint="eastAsia"/>
                <w:b/>
                <w:kern w:val="0"/>
                <w:sz w:val="24"/>
                <w:szCs w:val="21"/>
              </w:rPr>
              <w:t xml:space="preserve">6 </w:t>
            </w:r>
            <w:r>
              <w:rPr>
                <w:rFonts w:hint="eastAsia"/>
                <w:b/>
                <w:bCs/>
                <w:sz w:val="24"/>
              </w:rPr>
              <w:t>试油阶段</w:t>
            </w:r>
            <w:r>
              <w:rPr>
                <w:b/>
                <w:bCs/>
                <w:sz w:val="24"/>
              </w:rPr>
              <w:t>场界噪声</w:t>
            </w:r>
            <w:r>
              <w:rPr>
                <w:rFonts w:hint="eastAsia"/>
                <w:b/>
                <w:bCs/>
                <w:sz w:val="24"/>
              </w:rPr>
              <w:t>贡献情况</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6" w:type="dxa"/>
                <w:bottom w:w="0" w:type="dxa"/>
                <w:right w:w="6" w:type="dxa"/>
              </w:tblCellMar>
            </w:tblPr>
            <w:tblGrid>
              <w:gridCol w:w="1814"/>
              <w:gridCol w:w="995"/>
              <w:gridCol w:w="993"/>
              <w:gridCol w:w="992"/>
              <w:gridCol w:w="992"/>
              <w:gridCol w:w="972"/>
              <w:gridCol w:w="1437"/>
            </w:tblGrid>
            <w:tr w14:paraId="7F17DE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40" w:hRule="atLeast"/>
                <w:jc w:val="center"/>
              </w:trPr>
              <w:tc>
                <w:tcPr>
                  <w:tcW w:w="1714" w:type="pct"/>
                  <w:gridSpan w:val="2"/>
                  <w:vMerge w:val="restart"/>
                  <w:vAlign w:val="center"/>
                </w:tcPr>
                <w:p w14:paraId="23F8CBDE">
                  <w:pPr>
                    <w:widowControl/>
                    <w:snapToGrid w:val="0"/>
                    <w:jc w:val="center"/>
                    <w:rPr>
                      <w:bCs/>
                      <w:szCs w:val="21"/>
                    </w:rPr>
                  </w:pPr>
                  <w:r>
                    <w:rPr>
                      <w:bCs/>
                      <w:szCs w:val="21"/>
                    </w:rPr>
                    <w:t>预测点名称</w:t>
                  </w:r>
                </w:p>
              </w:tc>
              <w:tc>
                <w:tcPr>
                  <w:tcW w:w="1211" w:type="pct"/>
                  <w:gridSpan w:val="2"/>
                  <w:vAlign w:val="center"/>
                </w:tcPr>
                <w:p w14:paraId="5E1B0DDB">
                  <w:pPr>
                    <w:widowControl/>
                    <w:snapToGrid w:val="0"/>
                    <w:jc w:val="center"/>
                    <w:rPr>
                      <w:bCs/>
                      <w:szCs w:val="21"/>
                    </w:rPr>
                  </w:pPr>
                  <w:r>
                    <w:rPr>
                      <w:rFonts w:hint="eastAsia"/>
                      <w:bCs/>
                      <w:szCs w:val="21"/>
                    </w:rPr>
                    <w:t>贡献值dB（A）</w:t>
                  </w:r>
                </w:p>
              </w:tc>
              <w:tc>
                <w:tcPr>
                  <w:tcW w:w="1198" w:type="pct"/>
                  <w:gridSpan w:val="2"/>
                  <w:vAlign w:val="center"/>
                </w:tcPr>
                <w:p w14:paraId="41E98D50">
                  <w:pPr>
                    <w:widowControl/>
                    <w:snapToGrid w:val="0"/>
                    <w:jc w:val="center"/>
                    <w:rPr>
                      <w:bCs/>
                      <w:szCs w:val="21"/>
                    </w:rPr>
                  </w:pPr>
                  <w:r>
                    <w:rPr>
                      <w:bCs/>
                      <w:szCs w:val="21"/>
                    </w:rPr>
                    <w:t>标准值</w:t>
                  </w:r>
                  <w:r>
                    <w:rPr>
                      <w:rFonts w:hint="eastAsia"/>
                      <w:bCs/>
                      <w:szCs w:val="21"/>
                    </w:rPr>
                    <w:t>dB（A）</w:t>
                  </w:r>
                </w:p>
              </w:tc>
              <w:tc>
                <w:tcPr>
                  <w:tcW w:w="877" w:type="pct"/>
                  <w:vMerge w:val="restart"/>
                  <w:vAlign w:val="center"/>
                </w:tcPr>
                <w:p w14:paraId="2138F183">
                  <w:pPr>
                    <w:widowControl/>
                    <w:snapToGrid w:val="0"/>
                    <w:jc w:val="center"/>
                    <w:rPr>
                      <w:bCs/>
                      <w:szCs w:val="21"/>
                    </w:rPr>
                  </w:pPr>
                  <w:r>
                    <w:rPr>
                      <w:bCs/>
                      <w:szCs w:val="21"/>
                    </w:rPr>
                    <w:t>达标情况</w:t>
                  </w:r>
                </w:p>
              </w:tc>
            </w:tr>
            <w:tr w14:paraId="4E7D8A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40" w:hRule="atLeast"/>
                <w:jc w:val="center"/>
              </w:trPr>
              <w:tc>
                <w:tcPr>
                  <w:tcW w:w="1714" w:type="pct"/>
                  <w:gridSpan w:val="2"/>
                  <w:vMerge w:val="continue"/>
                  <w:vAlign w:val="center"/>
                </w:tcPr>
                <w:p w14:paraId="3B868382">
                  <w:pPr>
                    <w:widowControl/>
                    <w:snapToGrid w:val="0"/>
                    <w:jc w:val="center"/>
                    <w:rPr>
                      <w:bCs/>
                      <w:szCs w:val="21"/>
                    </w:rPr>
                  </w:pPr>
                </w:p>
              </w:tc>
              <w:tc>
                <w:tcPr>
                  <w:tcW w:w="606" w:type="pct"/>
                  <w:vAlign w:val="center"/>
                </w:tcPr>
                <w:p w14:paraId="299D2D20">
                  <w:pPr>
                    <w:widowControl/>
                    <w:snapToGrid w:val="0"/>
                    <w:jc w:val="center"/>
                    <w:rPr>
                      <w:bCs/>
                      <w:szCs w:val="21"/>
                    </w:rPr>
                  </w:pPr>
                  <w:r>
                    <w:rPr>
                      <w:bCs/>
                      <w:szCs w:val="21"/>
                    </w:rPr>
                    <w:t>昼间</w:t>
                  </w:r>
                </w:p>
              </w:tc>
              <w:tc>
                <w:tcPr>
                  <w:tcW w:w="605" w:type="pct"/>
                  <w:tcBorders>
                    <w:right w:val="single" w:color="auto" w:sz="4" w:space="0"/>
                  </w:tcBorders>
                  <w:vAlign w:val="center"/>
                </w:tcPr>
                <w:p w14:paraId="4CF967CA">
                  <w:pPr>
                    <w:widowControl/>
                    <w:snapToGrid w:val="0"/>
                    <w:jc w:val="center"/>
                    <w:rPr>
                      <w:bCs/>
                      <w:szCs w:val="21"/>
                    </w:rPr>
                  </w:pPr>
                  <w:r>
                    <w:rPr>
                      <w:bCs/>
                      <w:szCs w:val="21"/>
                    </w:rPr>
                    <w:t>夜间</w:t>
                  </w:r>
                </w:p>
              </w:tc>
              <w:tc>
                <w:tcPr>
                  <w:tcW w:w="605" w:type="pct"/>
                  <w:tcBorders>
                    <w:left w:val="single" w:color="auto" w:sz="4" w:space="0"/>
                    <w:right w:val="single" w:color="auto" w:sz="4" w:space="0"/>
                  </w:tcBorders>
                  <w:vAlign w:val="center"/>
                </w:tcPr>
                <w:p w14:paraId="12DD5812">
                  <w:pPr>
                    <w:widowControl/>
                    <w:snapToGrid w:val="0"/>
                    <w:jc w:val="center"/>
                    <w:rPr>
                      <w:bCs/>
                      <w:szCs w:val="21"/>
                    </w:rPr>
                  </w:pPr>
                  <w:r>
                    <w:rPr>
                      <w:bCs/>
                      <w:szCs w:val="21"/>
                    </w:rPr>
                    <w:t>昼间</w:t>
                  </w:r>
                </w:p>
              </w:tc>
              <w:tc>
                <w:tcPr>
                  <w:tcW w:w="593" w:type="pct"/>
                  <w:tcBorders>
                    <w:left w:val="single" w:color="auto" w:sz="4" w:space="0"/>
                  </w:tcBorders>
                  <w:vAlign w:val="center"/>
                </w:tcPr>
                <w:p w14:paraId="56039892">
                  <w:pPr>
                    <w:widowControl/>
                    <w:snapToGrid w:val="0"/>
                    <w:jc w:val="center"/>
                    <w:rPr>
                      <w:bCs/>
                      <w:szCs w:val="21"/>
                    </w:rPr>
                  </w:pPr>
                  <w:r>
                    <w:rPr>
                      <w:bCs/>
                      <w:szCs w:val="21"/>
                    </w:rPr>
                    <w:t>夜间</w:t>
                  </w:r>
                </w:p>
              </w:tc>
              <w:tc>
                <w:tcPr>
                  <w:tcW w:w="877" w:type="pct"/>
                  <w:vMerge w:val="continue"/>
                  <w:vAlign w:val="center"/>
                </w:tcPr>
                <w:p w14:paraId="0DF6E6A3">
                  <w:pPr>
                    <w:widowControl/>
                    <w:snapToGrid w:val="0"/>
                    <w:jc w:val="center"/>
                    <w:rPr>
                      <w:bCs/>
                      <w:szCs w:val="21"/>
                    </w:rPr>
                  </w:pPr>
                </w:p>
              </w:tc>
            </w:tr>
            <w:tr w14:paraId="7C4AF6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restart"/>
                  <w:vAlign w:val="center"/>
                </w:tcPr>
                <w:p w14:paraId="1383C0E5">
                  <w:pPr>
                    <w:widowControl/>
                    <w:snapToGrid w:val="0"/>
                    <w:jc w:val="center"/>
                    <w:rPr>
                      <w:bCs/>
                      <w:szCs w:val="21"/>
                    </w:rPr>
                  </w:pPr>
                  <w:r>
                    <w:rPr>
                      <w:rFonts w:hint="eastAsia"/>
                      <w:bCs/>
                      <w:szCs w:val="21"/>
                    </w:rPr>
                    <w:t>1号井</w:t>
                  </w:r>
                </w:p>
              </w:tc>
              <w:tc>
                <w:tcPr>
                  <w:tcW w:w="607" w:type="pct"/>
                  <w:vAlign w:val="center"/>
                </w:tcPr>
                <w:p w14:paraId="7AA6A900">
                  <w:pPr>
                    <w:widowControl/>
                    <w:snapToGrid w:val="0"/>
                    <w:jc w:val="center"/>
                    <w:rPr>
                      <w:bCs/>
                      <w:szCs w:val="21"/>
                    </w:rPr>
                  </w:pPr>
                  <w:r>
                    <w:rPr>
                      <w:bCs/>
                      <w:szCs w:val="21"/>
                    </w:rPr>
                    <w:t>东</w:t>
                  </w:r>
                  <w:r>
                    <w:rPr>
                      <w:rFonts w:hint="eastAsia"/>
                      <w:bCs/>
                      <w:szCs w:val="21"/>
                    </w:rPr>
                    <w:t>场</w:t>
                  </w:r>
                  <w:r>
                    <w:rPr>
                      <w:bCs/>
                      <w:szCs w:val="21"/>
                    </w:rPr>
                    <w:t>界</w:t>
                  </w:r>
                </w:p>
              </w:tc>
              <w:tc>
                <w:tcPr>
                  <w:tcW w:w="606" w:type="pct"/>
                  <w:vAlign w:val="center"/>
                </w:tcPr>
                <w:p w14:paraId="2C31AF1C">
                  <w:pPr>
                    <w:widowControl/>
                    <w:snapToGrid w:val="0"/>
                    <w:jc w:val="center"/>
                    <w:rPr>
                      <w:bCs/>
                      <w:szCs w:val="21"/>
                    </w:rPr>
                  </w:pPr>
                  <w:r>
                    <w:rPr>
                      <w:rFonts w:hint="eastAsia"/>
                      <w:bCs/>
                      <w:szCs w:val="21"/>
                    </w:rPr>
                    <w:t>40.1</w:t>
                  </w:r>
                </w:p>
              </w:tc>
              <w:tc>
                <w:tcPr>
                  <w:tcW w:w="605" w:type="pct"/>
                  <w:tcBorders>
                    <w:right w:val="single" w:color="auto" w:sz="4" w:space="0"/>
                  </w:tcBorders>
                  <w:vAlign w:val="center"/>
                </w:tcPr>
                <w:p w14:paraId="200475D6">
                  <w:pPr>
                    <w:widowControl/>
                    <w:snapToGrid w:val="0"/>
                    <w:jc w:val="center"/>
                    <w:rPr>
                      <w:bCs/>
                      <w:szCs w:val="21"/>
                    </w:rPr>
                  </w:pPr>
                  <w:r>
                    <w:rPr>
                      <w:rFonts w:hint="eastAsia"/>
                      <w:bCs/>
                      <w:szCs w:val="21"/>
                    </w:rPr>
                    <w:t>40.1</w:t>
                  </w:r>
                </w:p>
              </w:tc>
              <w:tc>
                <w:tcPr>
                  <w:tcW w:w="605" w:type="pct"/>
                  <w:tcBorders>
                    <w:left w:val="single" w:color="auto" w:sz="4" w:space="0"/>
                    <w:right w:val="single" w:color="auto" w:sz="4" w:space="0"/>
                  </w:tcBorders>
                  <w:vAlign w:val="center"/>
                </w:tcPr>
                <w:p w14:paraId="2EC24DF0">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70BE1C15">
                  <w:pPr>
                    <w:widowControl/>
                    <w:snapToGrid w:val="0"/>
                    <w:jc w:val="center"/>
                    <w:rPr>
                      <w:bCs/>
                      <w:szCs w:val="21"/>
                    </w:rPr>
                  </w:pPr>
                  <w:r>
                    <w:rPr>
                      <w:rFonts w:hint="eastAsia"/>
                      <w:bCs/>
                      <w:szCs w:val="21"/>
                    </w:rPr>
                    <w:t>55</w:t>
                  </w:r>
                </w:p>
              </w:tc>
              <w:tc>
                <w:tcPr>
                  <w:tcW w:w="877" w:type="pct"/>
                  <w:vAlign w:val="center"/>
                </w:tcPr>
                <w:p w14:paraId="74DC2391">
                  <w:pPr>
                    <w:widowControl/>
                    <w:snapToGrid w:val="0"/>
                    <w:jc w:val="center"/>
                    <w:rPr>
                      <w:bCs/>
                      <w:szCs w:val="21"/>
                    </w:rPr>
                  </w:pPr>
                  <w:r>
                    <w:rPr>
                      <w:bCs/>
                      <w:szCs w:val="21"/>
                    </w:rPr>
                    <w:t>达标</w:t>
                  </w:r>
                </w:p>
              </w:tc>
            </w:tr>
            <w:tr w14:paraId="10ECD7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97" w:hRule="atLeast"/>
                <w:jc w:val="center"/>
              </w:trPr>
              <w:tc>
                <w:tcPr>
                  <w:tcW w:w="1107" w:type="pct"/>
                  <w:vMerge w:val="continue"/>
                  <w:vAlign w:val="center"/>
                </w:tcPr>
                <w:p w14:paraId="626524E1">
                  <w:pPr>
                    <w:widowControl/>
                    <w:snapToGrid w:val="0"/>
                    <w:jc w:val="center"/>
                    <w:rPr>
                      <w:bCs/>
                      <w:szCs w:val="21"/>
                    </w:rPr>
                  </w:pPr>
                </w:p>
              </w:tc>
              <w:tc>
                <w:tcPr>
                  <w:tcW w:w="607" w:type="pct"/>
                  <w:vAlign w:val="center"/>
                </w:tcPr>
                <w:p w14:paraId="31E91FA3">
                  <w:pPr>
                    <w:widowControl/>
                    <w:snapToGrid w:val="0"/>
                    <w:jc w:val="center"/>
                    <w:rPr>
                      <w:bCs/>
                      <w:szCs w:val="21"/>
                    </w:rPr>
                  </w:pPr>
                  <w:r>
                    <w:rPr>
                      <w:bCs/>
                      <w:szCs w:val="21"/>
                    </w:rPr>
                    <w:t>南</w:t>
                  </w:r>
                  <w:r>
                    <w:rPr>
                      <w:rFonts w:hint="eastAsia"/>
                      <w:bCs/>
                      <w:szCs w:val="21"/>
                    </w:rPr>
                    <w:t>场</w:t>
                  </w:r>
                  <w:r>
                    <w:rPr>
                      <w:bCs/>
                      <w:szCs w:val="21"/>
                    </w:rPr>
                    <w:t>界</w:t>
                  </w:r>
                </w:p>
              </w:tc>
              <w:tc>
                <w:tcPr>
                  <w:tcW w:w="606" w:type="pct"/>
                  <w:vAlign w:val="center"/>
                </w:tcPr>
                <w:p w14:paraId="58B73FD2">
                  <w:pPr>
                    <w:widowControl/>
                    <w:snapToGrid w:val="0"/>
                    <w:jc w:val="center"/>
                    <w:rPr>
                      <w:bCs/>
                      <w:szCs w:val="21"/>
                    </w:rPr>
                  </w:pPr>
                  <w:r>
                    <w:rPr>
                      <w:rFonts w:hint="eastAsia"/>
                      <w:bCs/>
                      <w:szCs w:val="21"/>
                    </w:rPr>
                    <w:t>34.1</w:t>
                  </w:r>
                </w:p>
              </w:tc>
              <w:tc>
                <w:tcPr>
                  <w:tcW w:w="605" w:type="pct"/>
                  <w:tcBorders>
                    <w:right w:val="single" w:color="auto" w:sz="4" w:space="0"/>
                  </w:tcBorders>
                  <w:vAlign w:val="center"/>
                </w:tcPr>
                <w:p w14:paraId="1A0536AC">
                  <w:pPr>
                    <w:widowControl/>
                    <w:snapToGrid w:val="0"/>
                    <w:jc w:val="center"/>
                    <w:rPr>
                      <w:bCs/>
                      <w:szCs w:val="21"/>
                    </w:rPr>
                  </w:pPr>
                  <w:r>
                    <w:rPr>
                      <w:rFonts w:hint="eastAsia"/>
                      <w:bCs/>
                      <w:szCs w:val="21"/>
                    </w:rPr>
                    <w:t>34.1</w:t>
                  </w:r>
                </w:p>
              </w:tc>
              <w:tc>
                <w:tcPr>
                  <w:tcW w:w="605" w:type="pct"/>
                  <w:tcBorders>
                    <w:left w:val="single" w:color="auto" w:sz="4" w:space="0"/>
                    <w:right w:val="single" w:color="auto" w:sz="4" w:space="0"/>
                  </w:tcBorders>
                  <w:vAlign w:val="center"/>
                </w:tcPr>
                <w:p w14:paraId="4B91B5EB">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2776094E">
                  <w:pPr>
                    <w:widowControl/>
                    <w:snapToGrid w:val="0"/>
                    <w:jc w:val="center"/>
                    <w:rPr>
                      <w:bCs/>
                      <w:szCs w:val="21"/>
                    </w:rPr>
                  </w:pPr>
                  <w:r>
                    <w:rPr>
                      <w:rFonts w:hint="eastAsia"/>
                      <w:bCs/>
                      <w:szCs w:val="21"/>
                    </w:rPr>
                    <w:t>55</w:t>
                  </w:r>
                </w:p>
              </w:tc>
              <w:tc>
                <w:tcPr>
                  <w:tcW w:w="877" w:type="pct"/>
                  <w:vAlign w:val="center"/>
                </w:tcPr>
                <w:p w14:paraId="6EE50E16">
                  <w:pPr>
                    <w:widowControl/>
                    <w:snapToGrid w:val="0"/>
                    <w:jc w:val="center"/>
                    <w:rPr>
                      <w:bCs/>
                      <w:szCs w:val="21"/>
                    </w:rPr>
                  </w:pPr>
                  <w:r>
                    <w:rPr>
                      <w:bCs/>
                      <w:szCs w:val="21"/>
                    </w:rPr>
                    <w:t>达标</w:t>
                  </w:r>
                </w:p>
              </w:tc>
            </w:tr>
            <w:tr w14:paraId="6B0AEC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continue"/>
                  <w:vAlign w:val="center"/>
                </w:tcPr>
                <w:p w14:paraId="359CB695">
                  <w:pPr>
                    <w:widowControl/>
                    <w:snapToGrid w:val="0"/>
                    <w:jc w:val="center"/>
                    <w:rPr>
                      <w:bCs/>
                      <w:szCs w:val="21"/>
                    </w:rPr>
                  </w:pPr>
                </w:p>
              </w:tc>
              <w:tc>
                <w:tcPr>
                  <w:tcW w:w="607" w:type="pct"/>
                  <w:vAlign w:val="center"/>
                </w:tcPr>
                <w:p w14:paraId="1FB767AD">
                  <w:pPr>
                    <w:widowControl/>
                    <w:snapToGrid w:val="0"/>
                    <w:jc w:val="center"/>
                    <w:rPr>
                      <w:bCs/>
                      <w:szCs w:val="21"/>
                    </w:rPr>
                  </w:pPr>
                  <w:r>
                    <w:rPr>
                      <w:bCs/>
                      <w:szCs w:val="21"/>
                    </w:rPr>
                    <w:t>西</w:t>
                  </w:r>
                  <w:r>
                    <w:rPr>
                      <w:rFonts w:hint="eastAsia"/>
                      <w:bCs/>
                      <w:szCs w:val="21"/>
                    </w:rPr>
                    <w:t>场</w:t>
                  </w:r>
                  <w:r>
                    <w:rPr>
                      <w:bCs/>
                      <w:szCs w:val="21"/>
                    </w:rPr>
                    <w:t>界</w:t>
                  </w:r>
                </w:p>
              </w:tc>
              <w:tc>
                <w:tcPr>
                  <w:tcW w:w="606" w:type="pct"/>
                  <w:vAlign w:val="center"/>
                </w:tcPr>
                <w:p w14:paraId="1A3BC4AE">
                  <w:pPr>
                    <w:widowControl/>
                    <w:snapToGrid w:val="0"/>
                    <w:jc w:val="center"/>
                    <w:rPr>
                      <w:bCs/>
                      <w:szCs w:val="21"/>
                    </w:rPr>
                  </w:pPr>
                  <w:r>
                    <w:rPr>
                      <w:rFonts w:hint="eastAsia"/>
                      <w:bCs/>
                      <w:szCs w:val="21"/>
                    </w:rPr>
                    <w:t>28.0</w:t>
                  </w:r>
                </w:p>
              </w:tc>
              <w:tc>
                <w:tcPr>
                  <w:tcW w:w="605" w:type="pct"/>
                  <w:tcBorders>
                    <w:right w:val="single" w:color="auto" w:sz="4" w:space="0"/>
                  </w:tcBorders>
                  <w:vAlign w:val="center"/>
                </w:tcPr>
                <w:p w14:paraId="06AEFB67">
                  <w:pPr>
                    <w:widowControl/>
                    <w:snapToGrid w:val="0"/>
                    <w:jc w:val="center"/>
                    <w:rPr>
                      <w:bCs/>
                      <w:szCs w:val="21"/>
                    </w:rPr>
                  </w:pPr>
                  <w:r>
                    <w:rPr>
                      <w:rFonts w:hint="eastAsia"/>
                      <w:bCs/>
                      <w:szCs w:val="21"/>
                    </w:rPr>
                    <w:t>28.0</w:t>
                  </w:r>
                </w:p>
              </w:tc>
              <w:tc>
                <w:tcPr>
                  <w:tcW w:w="605" w:type="pct"/>
                  <w:tcBorders>
                    <w:left w:val="single" w:color="auto" w:sz="4" w:space="0"/>
                    <w:right w:val="single" w:color="auto" w:sz="4" w:space="0"/>
                  </w:tcBorders>
                  <w:vAlign w:val="center"/>
                </w:tcPr>
                <w:p w14:paraId="71D1E032">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2B25F305">
                  <w:pPr>
                    <w:widowControl/>
                    <w:snapToGrid w:val="0"/>
                    <w:jc w:val="center"/>
                    <w:rPr>
                      <w:bCs/>
                      <w:szCs w:val="21"/>
                    </w:rPr>
                  </w:pPr>
                  <w:r>
                    <w:rPr>
                      <w:rFonts w:hint="eastAsia"/>
                      <w:bCs/>
                      <w:szCs w:val="21"/>
                    </w:rPr>
                    <w:t>55</w:t>
                  </w:r>
                </w:p>
              </w:tc>
              <w:tc>
                <w:tcPr>
                  <w:tcW w:w="877" w:type="pct"/>
                  <w:vAlign w:val="center"/>
                </w:tcPr>
                <w:p w14:paraId="6B5F6E7E">
                  <w:pPr>
                    <w:widowControl/>
                    <w:snapToGrid w:val="0"/>
                    <w:jc w:val="center"/>
                    <w:rPr>
                      <w:bCs/>
                      <w:szCs w:val="21"/>
                    </w:rPr>
                  </w:pPr>
                  <w:r>
                    <w:rPr>
                      <w:bCs/>
                      <w:szCs w:val="21"/>
                    </w:rPr>
                    <w:t>达标</w:t>
                  </w:r>
                </w:p>
              </w:tc>
            </w:tr>
            <w:tr w14:paraId="0A1076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continue"/>
                  <w:vAlign w:val="center"/>
                </w:tcPr>
                <w:p w14:paraId="30790A22">
                  <w:pPr>
                    <w:widowControl/>
                    <w:snapToGrid w:val="0"/>
                    <w:jc w:val="center"/>
                    <w:rPr>
                      <w:bCs/>
                      <w:szCs w:val="21"/>
                    </w:rPr>
                  </w:pPr>
                </w:p>
              </w:tc>
              <w:tc>
                <w:tcPr>
                  <w:tcW w:w="607" w:type="pct"/>
                  <w:vAlign w:val="center"/>
                </w:tcPr>
                <w:p w14:paraId="76046158">
                  <w:pPr>
                    <w:widowControl/>
                    <w:snapToGrid w:val="0"/>
                    <w:jc w:val="center"/>
                    <w:rPr>
                      <w:bCs/>
                      <w:szCs w:val="21"/>
                    </w:rPr>
                  </w:pPr>
                  <w:r>
                    <w:rPr>
                      <w:bCs/>
                      <w:szCs w:val="21"/>
                    </w:rPr>
                    <w:t>北</w:t>
                  </w:r>
                  <w:r>
                    <w:rPr>
                      <w:rFonts w:hint="eastAsia"/>
                      <w:bCs/>
                      <w:szCs w:val="21"/>
                    </w:rPr>
                    <w:t>场</w:t>
                  </w:r>
                  <w:r>
                    <w:rPr>
                      <w:bCs/>
                      <w:szCs w:val="21"/>
                    </w:rPr>
                    <w:t>界</w:t>
                  </w:r>
                </w:p>
              </w:tc>
              <w:tc>
                <w:tcPr>
                  <w:tcW w:w="606" w:type="pct"/>
                  <w:vAlign w:val="center"/>
                </w:tcPr>
                <w:p w14:paraId="45C7A1C9">
                  <w:pPr>
                    <w:widowControl/>
                    <w:snapToGrid w:val="0"/>
                    <w:jc w:val="center"/>
                    <w:rPr>
                      <w:bCs/>
                      <w:szCs w:val="21"/>
                    </w:rPr>
                  </w:pPr>
                  <w:r>
                    <w:rPr>
                      <w:rFonts w:hint="eastAsia"/>
                      <w:bCs/>
                      <w:szCs w:val="21"/>
                    </w:rPr>
                    <w:t>40.0</w:t>
                  </w:r>
                </w:p>
              </w:tc>
              <w:tc>
                <w:tcPr>
                  <w:tcW w:w="605" w:type="pct"/>
                  <w:tcBorders>
                    <w:right w:val="single" w:color="auto" w:sz="4" w:space="0"/>
                  </w:tcBorders>
                  <w:vAlign w:val="center"/>
                </w:tcPr>
                <w:p w14:paraId="4F3F33D6">
                  <w:pPr>
                    <w:widowControl/>
                    <w:snapToGrid w:val="0"/>
                    <w:jc w:val="center"/>
                    <w:rPr>
                      <w:bCs/>
                      <w:szCs w:val="21"/>
                    </w:rPr>
                  </w:pPr>
                  <w:r>
                    <w:rPr>
                      <w:rFonts w:hint="eastAsia"/>
                      <w:bCs/>
                      <w:szCs w:val="21"/>
                    </w:rPr>
                    <w:t>40.0</w:t>
                  </w:r>
                </w:p>
              </w:tc>
              <w:tc>
                <w:tcPr>
                  <w:tcW w:w="605" w:type="pct"/>
                  <w:tcBorders>
                    <w:left w:val="single" w:color="auto" w:sz="4" w:space="0"/>
                    <w:right w:val="single" w:color="auto" w:sz="4" w:space="0"/>
                  </w:tcBorders>
                  <w:vAlign w:val="center"/>
                </w:tcPr>
                <w:p w14:paraId="6EA38513">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0E8C2B57">
                  <w:pPr>
                    <w:widowControl/>
                    <w:snapToGrid w:val="0"/>
                    <w:jc w:val="center"/>
                    <w:rPr>
                      <w:bCs/>
                      <w:szCs w:val="21"/>
                    </w:rPr>
                  </w:pPr>
                  <w:r>
                    <w:rPr>
                      <w:rFonts w:hint="eastAsia"/>
                      <w:bCs/>
                      <w:szCs w:val="21"/>
                    </w:rPr>
                    <w:t>55</w:t>
                  </w:r>
                </w:p>
              </w:tc>
              <w:tc>
                <w:tcPr>
                  <w:tcW w:w="877" w:type="pct"/>
                  <w:vAlign w:val="center"/>
                </w:tcPr>
                <w:p w14:paraId="59B9F3B8">
                  <w:pPr>
                    <w:widowControl/>
                    <w:snapToGrid w:val="0"/>
                    <w:jc w:val="center"/>
                    <w:rPr>
                      <w:bCs/>
                      <w:szCs w:val="21"/>
                    </w:rPr>
                  </w:pPr>
                  <w:r>
                    <w:rPr>
                      <w:bCs/>
                      <w:szCs w:val="21"/>
                    </w:rPr>
                    <w:t>达标</w:t>
                  </w:r>
                </w:p>
              </w:tc>
            </w:tr>
            <w:tr w14:paraId="6623A0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restart"/>
                  <w:vAlign w:val="center"/>
                </w:tcPr>
                <w:p w14:paraId="49B464F2">
                  <w:pPr>
                    <w:widowControl/>
                    <w:snapToGrid w:val="0"/>
                    <w:jc w:val="center"/>
                    <w:rPr>
                      <w:bCs/>
                      <w:szCs w:val="21"/>
                    </w:rPr>
                  </w:pPr>
                  <w:r>
                    <w:rPr>
                      <w:rFonts w:hint="eastAsia"/>
                      <w:bCs/>
                      <w:szCs w:val="21"/>
                    </w:rPr>
                    <w:t>2号井</w:t>
                  </w:r>
                </w:p>
              </w:tc>
              <w:tc>
                <w:tcPr>
                  <w:tcW w:w="607" w:type="pct"/>
                  <w:vAlign w:val="center"/>
                </w:tcPr>
                <w:p w14:paraId="34FD2217">
                  <w:pPr>
                    <w:widowControl/>
                    <w:snapToGrid w:val="0"/>
                    <w:jc w:val="center"/>
                    <w:rPr>
                      <w:bCs/>
                      <w:szCs w:val="21"/>
                    </w:rPr>
                  </w:pPr>
                  <w:r>
                    <w:rPr>
                      <w:bCs/>
                      <w:szCs w:val="21"/>
                    </w:rPr>
                    <w:t>东</w:t>
                  </w:r>
                  <w:r>
                    <w:rPr>
                      <w:rFonts w:hint="eastAsia"/>
                      <w:bCs/>
                      <w:szCs w:val="21"/>
                    </w:rPr>
                    <w:t>场</w:t>
                  </w:r>
                  <w:r>
                    <w:rPr>
                      <w:bCs/>
                      <w:szCs w:val="21"/>
                    </w:rPr>
                    <w:t>界</w:t>
                  </w:r>
                </w:p>
              </w:tc>
              <w:tc>
                <w:tcPr>
                  <w:tcW w:w="606" w:type="pct"/>
                  <w:vAlign w:val="center"/>
                </w:tcPr>
                <w:p w14:paraId="0348590F">
                  <w:pPr>
                    <w:widowControl/>
                    <w:snapToGrid w:val="0"/>
                    <w:jc w:val="center"/>
                    <w:rPr>
                      <w:bCs/>
                      <w:szCs w:val="21"/>
                    </w:rPr>
                  </w:pPr>
                  <w:r>
                    <w:rPr>
                      <w:rFonts w:hint="eastAsia"/>
                      <w:bCs/>
                      <w:szCs w:val="21"/>
                    </w:rPr>
                    <w:t>40.0</w:t>
                  </w:r>
                </w:p>
              </w:tc>
              <w:tc>
                <w:tcPr>
                  <w:tcW w:w="605" w:type="pct"/>
                  <w:tcBorders>
                    <w:right w:val="single" w:color="auto" w:sz="4" w:space="0"/>
                  </w:tcBorders>
                  <w:vAlign w:val="center"/>
                </w:tcPr>
                <w:p w14:paraId="19D0E3D5">
                  <w:pPr>
                    <w:widowControl/>
                    <w:snapToGrid w:val="0"/>
                    <w:jc w:val="center"/>
                    <w:rPr>
                      <w:bCs/>
                      <w:szCs w:val="21"/>
                    </w:rPr>
                  </w:pPr>
                  <w:r>
                    <w:rPr>
                      <w:rFonts w:hint="eastAsia"/>
                      <w:bCs/>
                      <w:szCs w:val="21"/>
                    </w:rPr>
                    <w:t>40.0</w:t>
                  </w:r>
                </w:p>
              </w:tc>
              <w:tc>
                <w:tcPr>
                  <w:tcW w:w="605" w:type="pct"/>
                  <w:tcBorders>
                    <w:left w:val="single" w:color="auto" w:sz="4" w:space="0"/>
                    <w:right w:val="single" w:color="auto" w:sz="4" w:space="0"/>
                  </w:tcBorders>
                  <w:vAlign w:val="center"/>
                </w:tcPr>
                <w:p w14:paraId="0EB38E88">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2B82ED19">
                  <w:pPr>
                    <w:widowControl/>
                    <w:snapToGrid w:val="0"/>
                    <w:jc w:val="center"/>
                    <w:rPr>
                      <w:bCs/>
                      <w:szCs w:val="21"/>
                    </w:rPr>
                  </w:pPr>
                  <w:r>
                    <w:rPr>
                      <w:rFonts w:hint="eastAsia"/>
                      <w:bCs/>
                      <w:szCs w:val="21"/>
                    </w:rPr>
                    <w:t>55</w:t>
                  </w:r>
                </w:p>
              </w:tc>
              <w:tc>
                <w:tcPr>
                  <w:tcW w:w="877" w:type="pct"/>
                  <w:vAlign w:val="center"/>
                </w:tcPr>
                <w:p w14:paraId="06A64085">
                  <w:pPr>
                    <w:widowControl/>
                    <w:snapToGrid w:val="0"/>
                    <w:jc w:val="center"/>
                    <w:rPr>
                      <w:bCs/>
                      <w:szCs w:val="21"/>
                    </w:rPr>
                  </w:pPr>
                  <w:r>
                    <w:rPr>
                      <w:bCs/>
                      <w:szCs w:val="21"/>
                    </w:rPr>
                    <w:t>达标</w:t>
                  </w:r>
                </w:p>
              </w:tc>
            </w:tr>
            <w:tr w14:paraId="0ED10F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97" w:hRule="atLeast"/>
                <w:jc w:val="center"/>
              </w:trPr>
              <w:tc>
                <w:tcPr>
                  <w:tcW w:w="1107" w:type="pct"/>
                  <w:vMerge w:val="continue"/>
                  <w:vAlign w:val="center"/>
                </w:tcPr>
                <w:p w14:paraId="14FDCCB6">
                  <w:pPr>
                    <w:widowControl/>
                    <w:snapToGrid w:val="0"/>
                    <w:jc w:val="center"/>
                    <w:rPr>
                      <w:bCs/>
                      <w:szCs w:val="21"/>
                    </w:rPr>
                  </w:pPr>
                </w:p>
              </w:tc>
              <w:tc>
                <w:tcPr>
                  <w:tcW w:w="607" w:type="pct"/>
                  <w:vAlign w:val="center"/>
                </w:tcPr>
                <w:p w14:paraId="4329E200">
                  <w:pPr>
                    <w:widowControl/>
                    <w:snapToGrid w:val="0"/>
                    <w:jc w:val="center"/>
                    <w:rPr>
                      <w:bCs/>
                      <w:szCs w:val="21"/>
                    </w:rPr>
                  </w:pPr>
                  <w:r>
                    <w:rPr>
                      <w:bCs/>
                      <w:szCs w:val="21"/>
                    </w:rPr>
                    <w:t>南</w:t>
                  </w:r>
                  <w:r>
                    <w:rPr>
                      <w:rFonts w:hint="eastAsia"/>
                      <w:bCs/>
                      <w:szCs w:val="21"/>
                    </w:rPr>
                    <w:t>场</w:t>
                  </w:r>
                  <w:r>
                    <w:rPr>
                      <w:bCs/>
                      <w:szCs w:val="21"/>
                    </w:rPr>
                    <w:t>界</w:t>
                  </w:r>
                </w:p>
              </w:tc>
              <w:tc>
                <w:tcPr>
                  <w:tcW w:w="606" w:type="pct"/>
                  <w:vAlign w:val="center"/>
                </w:tcPr>
                <w:p w14:paraId="514AFBAF">
                  <w:pPr>
                    <w:widowControl/>
                    <w:snapToGrid w:val="0"/>
                    <w:jc w:val="center"/>
                    <w:rPr>
                      <w:bCs/>
                      <w:szCs w:val="21"/>
                    </w:rPr>
                  </w:pPr>
                  <w:r>
                    <w:rPr>
                      <w:rFonts w:hint="eastAsia"/>
                      <w:bCs/>
                      <w:szCs w:val="21"/>
                    </w:rPr>
                    <w:t>34.1</w:t>
                  </w:r>
                </w:p>
              </w:tc>
              <w:tc>
                <w:tcPr>
                  <w:tcW w:w="605" w:type="pct"/>
                  <w:tcBorders>
                    <w:right w:val="single" w:color="auto" w:sz="4" w:space="0"/>
                  </w:tcBorders>
                  <w:vAlign w:val="center"/>
                </w:tcPr>
                <w:p w14:paraId="543F8B70">
                  <w:pPr>
                    <w:widowControl/>
                    <w:snapToGrid w:val="0"/>
                    <w:jc w:val="center"/>
                    <w:rPr>
                      <w:bCs/>
                      <w:szCs w:val="21"/>
                    </w:rPr>
                  </w:pPr>
                  <w:r>
                    <w:rPr>
                      <w:rFonts w:hint="eastAsia"/>
                      <w:bCs/>
                      <w:szCs w:val="21"/>
                    </w:rPr>
                    <w:t>34.1</w:t>
                  </w:r>
                </w:p>
              </w:tc>
              <w:tc>
                <w:tcPr>
                  <w:tcW w:w="605" w:type="pct"/>
                  <w:tcBorders>
                    <w:left w:val="single" w:color="auto" w:sz="4" w:space="0"/>
                    <w:right w:val="single" w:color="auto" w:sz="4" w:space="0"/>
                  </w:tcBorders>
                  <w:vAlign w:val="center"/>
                </w:tcPr>
                <w:p w14:paraId="28DAA4D3">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726C81AC">
                  <w:pPr>
                    <w:widowControl/>
                    <w:snapToGrid w:val="0"/>
                    <w:jc w:val="center"/>
                    <w:rPr>
                      <w:bCs/>
                      <w:szCs w:val="21"/>
                    </w:rPr>
                  </w:pPr>
                  <w:r>
                    <w:rPr>
                      <w:rFonts w:hint="eastAsia"/>
                      <w:bCs/>
                      <w:szCs w:val="21"/>
                    </w:rPr>
                    <w:t>55</w:t>
                  </w:r>
                </w:p>
              </w:tc>
              <w:tc>
                <w:tcPr>
                  <w:tcW w:w="877" w:type="pct"/>
                  <w:vAlign w:val="center"/>
                </w:tcPr>
                <w:p w14:paraId="63116945">
                  <w:pPr>
                    <w:widowControl/>
                    <w:snapToGrid w:val="0"/>
                    <w:jc w:val="center"/>
                    <w:rPr>
                      <w:bCs/>
                      <w:szCs w:val="21"/>
                    </w:rPr>
                  </w:pPr>
                  <w:r>
                    <w:rPr>
                      <w:bCs/>
                      <w:szCs w:val="21"/>
                    </w:rPr>
                    <w:t>达标</w:t>
                  </w:r>
                </w:p>
              </w:tc>
            </w:tr>
            <w:tr w14:paraId="0D8723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continue"/>
                  <w:vAlign w:val="center"/>
                </w:tcPr>
                <w:p w14:paraId="305616A0">
                  <w:pPr>
                    <w:widowControl/>
                    <w:snapToGrid w:val="0"/>
                    <w:jc w:val="center"/>
                    <w:rPr>
                      <w:bCs/>
                      <w:szCs w:val="21"/>
                    </w:rPr>
                  </w:pPr>
                </w:p>
              </w:tc>
              <w:tc>
                <w:tcPr>
                  <w:tcW w:w="607" w:type="pct"/>
                  <w:vAlign w:val="center"/>
                </w:tcPr>
                <w:p w14:paraId="525EF4CD">
                  <w:pPr>
                    <w:widowControl/>
                    <w:snapToGrid w:val="0"/>
                    <w:jc w:val="center"/>
                    <w:rPr>
                      <w:bCs/>
                      <w:szCs w:val="21"/>
                    </w:rPr>
                  </w:pPr>
                  <w:r>
                    <w:rPr>
                      <w:bCs/>
                      <w:szCs w:val="21"/>
                    </w:rPr>
                    <w:t>西</w:t>
                  </w:r>
                  <w:r>
                    <w:rPr>
                      <w:rFonts w:hint="eastAsia"/>
                      <w:bCs/>
                      <w:szCs w:val="21"/>
                    </w:rPr>
                    <w:t>场</w:t>
                  </w:r>
                  <w:r>
                    <w:rPr>
                      <w:bCs/>
                      <w:szCs w:val="21"/>
                    </w:rPr>
                    <w:t>界</w:t>
                  </w:r>
                </w:p>
              </w:tc>
              <w:tc>
                <w:tcPr>
                  <w:tcW w:w="606" w:type="pct"/>
                  <w:vAlign w:val="center"/>
                </w:tcPr>
                <w:p w14:paraId="70E3C34D">
                  <w:pPr>
                    <w:widowControl/>
                    <w:snapToGrid w:val="0"/>
                    <w:jc w:val="center"/>
                    <w:rPr>
                      <w:bCs/>
                      <w:szCs w:val="21"/>
                    </w:rPr>
                  </w:pPr>
                  <w:r>
                    <w:rPr>
                      <w:rFonts w:hint="eastAsia"/>
                      <w:bCs/>
                      <w:szCs w:val="21"/>
                    </w:rPr>
                    <w:t>28.0</w:t>
                  </w:r>
                </w:p>
              </w:tc>
              <w:tc>
                <w:tcPr>
                  <w:tcW w:w="605" w:type="pct"/>
                  <w:tcBorders>
                    <w:right w:val="single" w:color="auto" w:sz="4" w:space="0"/>
                  </w:tcBorders>
                  <w:vAlign w:val="center"/>
                </w:tcPr>
                <w:p w14:paraId="1D25BDD2">
                  <w:pPr>
                    <w:widowControl/>
                    <w:snapToGrid w:val="0"/>
                    <w:jc w:val="center"/>
                    <w:rPr>
                      <w:bCs/>
                      <w:szCs w:val="21"/>
                    </w:rPr>
                  </w:pPr>
                  <w:r>
                    <w:rPr>
                      <w:rFonts w:hint="eastAsia"/>
                      <w:bCs/>
                      <w:szCs w:val="21"/>
                    </w:rPr>
                    <w:t>28.0</w:t>
                  </w:r>
                </w:p>
              </w:tc>
              <w:tc>
                <w:tcPr>
                  <w:tcW w:w="605" w:type="pct"/>
                  <w:tcBorders>
                    <w:left w:val="single" w:color="auto" w:sz="4" w:space="0"/>
                    <w:right w:val="single" w:color="auto" w:sz="4" w:space="0"/>
                  </w:tcBorders>
                  <w:vAlign w:val="center"/>
                </w:tcPr>
                <w:p w14:paraId="465FB3F2">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2237BB57">
                  <w:pPr>
                    <w:widowControl/>
                    <w:snapToGrid w:val="0"/>
                    <w:jc w:val="center"/>
                    <w:rPr>
                      <w:bCs/>
                      <w:szCs w:val="21"/>
                    </w:rPr>
                  </w:pPr>
                  <w:r>
                    <w:rPr>
                      <w:rFonts w:hint="eastAsia"/>
                      <w:bCs/>
                      <w:szCs w:val="21"/>
                    </w:rPr>
                    <w:t>55</w:t>
                  </w:r>
                </w:p>
              </w:tc>
              <w:tc>
                <w:tcPr>
                  <w:tcW w:w="877" w:type="pct"/>
                  <w:vAlign w:val="center"/>
                </w:tcPr>
                <w:p w14:paraId="1EDF470C">
                  <w:pPr>
                    <w:widowControl/>
                    <w:snapToGrid w:val="0"/>
                    <w:jc w:val="center"/>
                    <w:rPr>
                      <w:bCs/>
                      <w:szCs w:val="21"/>
                    </w:rPr>
                  </w:pPr>
                  <w:r>
                    <w:rPr>
                      <w:bCs/>
                      <w:szCs w:val="21"/>
                    </w:rPr>
                    <w:t>达标</w:t>
                  </w:r>
                </w:p>
              </w:tc>
            </w:tr>
            <w:tr w14:paraId="0DF722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continue"/>
                  <w:vAlign w:val="center"/>
                </w:tcPr>
                <w:p w14:paraId="3E276660">
                  <w:pPr>
                    <w:widowControl/>
                    <w:snapToGrid w:val="0"/>
                    <w:jc w:val="center"/>
                    <w:rPr>
                      <w:bCs/>
                      <w:szCs w:val="21"/>
                    </w:rPr>
                  </w:pPr>
                </w:p>
              </w:tc>
              <w:tc>
                <w:tcPr>
                  <w:tcW w:w="607" w:type="pct"/>
                  <w:vAlign w:val="center"/>
                </w:tcPr>
                <w:p w14:paraId="23FB99F5">
                  <w:pPr>
                    <w:widowControl/>
                    <w:snapToGrid w:val="0"/>
                    <w:jc w:val="center"/>
                    <w:rPr>
                      <w:bCs/>
                      <w:szCs w:val="21"/>
                    </w:rPr>
                  </w:pPr>
                  <w:r>
                    <w:rPr>
                      <w:bCs/>
                      <w:szCs w:val="21"/>
                    </w:rPr>
                    <w:t>北</w:t>
                  </w:r>
                  <w:r>
                    <w:rPr>
                      <w:rFonts w:hint="eastAsia"/>
                      <w:bCs/>
                      <w:szCs w:val="21"/>
                    </w:rPr>
                    <w:t>场</w:t>
                  </w:r>
                  <w:r>
                    <w:rPr>
                      <w:bCs/>
                      <w:szCs w:val="21"/>
                    </w:rPr>
                    <w:t>界</w:t>
                  </w:r>
                </w:p>
              </w:tc>
              <w:tc>
                <w:tcPr>
                  <w:tcW w:w="606" w:type="pct"/>
                  <w:vAlign w:val="center"/>
                </w:tcPr>
                <w:p w14:paraId="3AC58199">
                  <w:pPr>
                    <w:widowControl/>
                    <w:snapToGrid w:val="0"/>
                    <w:jc w:val="center"/>
                    <w:rPr>
                      <w:bCs/>
                      <w:szCs w:val="21"/>
                    </w:rPr>
                  </w:pPr>
                  <w:r>
                    <w:rPr>
                      <w:rFonts w:hint="eastAsia"/>
                      <w:bCs/>
                      <w:szCs w:val="21"/>
                    </w:rPr>
                    <w:t>40.0</w:t>
                  </w:r>
                </w:p>
              </w:tc>
              <w:tc>
                <w:tcPr>
                  <w:tcW w:w="605" w:type="pct"/>
                  <w:tcBorders>
                    <w:right w:val="single" w:color="auto" w:sz="4" w:space="0"/>
                  </w:tcBorders>
                  <w:vAlign w:val="center"/>
                </w:tcPr>
                <w:p w14:paraId="1296BB0A">
                  <w:pPr>
                    <w:widowControl/>
                    <w:snapToGrid w:val="0"/>
                    <w:jc w:val="center"/>
                    <w:rPr>
                      <w:bCs/>
                      <w:szCs w:val="21"/>
                    </w:rPr>
                  </w:pPr>
                  <w:r>
                    <w:rPr>
                      <w:rFonts w:hint="eastAsia"/>
                      <w:bCs/>
                      <w:szCs w:val="21"/>
                    </w:rPr>
                    <w:t>40.0</w:t>
                  </w:r>
                </w:p>
              </w:tc>
              <w:tc>
                <w:tcPr>
                  <w:tcW w:w="605" w:type="pct"/>
                  <w:tcBorders>
                    <w:left w:val="single" w:color="auto" w:sz="4" w:space="0"/>
                    <w:right w:val="single" w:color="auto" w:sz="4" w:space="0"/>
                  </w:tcBorders>
                  <w:vAlign w:val="center"/>
                </w:tcPr>
                <w:p w14:paraId="00EACB18">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1FC8E78">
                  <w:pPr>
                    <w:widowControl/>
                    <w:snapToGrid w:val="0"/>
                    <w:jc w:val="center"/>
                    <w:rPr>
                      <w:bCs/>
                      <w:szCs w:val="21"/>
                    </w:rPr>
                  </w:pPr>
                  <w:r>
                    <w:rPr>
                      <w:rFonts w:hint="eastAsia"/>
                      <w:bCs/>
                      <w:szCs w:val="21"/>
                    </w:rPr>
                    <w:t>55</w:t>
                  </w:r>
                </w:p>
              </w:tc>
              <w:tc>
                <w:tcPr>
                  <w:tcW w:w="877" w:type="pct"/>
                  <w:vAlign w:val="center"/>
                </w:tcPr>
                <w:p w14:paraId="06F96703">
                  <w:pPr>
                    <w:widowControl/>
                    <w:snapToGrid w:val="0"/>
                    <w:jc w:val="center"/>
                    <w:rPr>
                      <w:bCs/>
                      <w:szCs w:val="21"/>
                    </w:rPr>
                  </w:pPr>
                  <w:r>
                    <w:rPr>
                      <w:bCs/>
                      <w:szCs w:val="21"/>
                    </w:rPr>
                    <w:t>达标</w:t>
                  </w:r>
                </w:p>
              </w:tc>
            </w:tr>
            <w:tr w14:paraId="746E59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restart"/>
                  <w:vAlign w:val="center"/>
                </w:tcPr>
                <w:p w14:paraId="1259C0CF">
                  <w:pPr>
                    <w:widowControl/>
                    <w:snapToGrid w:val="0"/>
                    <w:jc w:val="center"/>
                    <w:rPr>
                      <w:bCs/>
                      <w:szCs w:val="21"/>
                    </w:rPr>
                  </w:pPr>
                  <w:r>
                    <w:rPr>
                      <w:rFonts w:hint="eastAsia"/>
                      <w:bCs/>
                      <w:szCs w:val="21"/>
                    </w:rPr>
                    <w:t>3号井</w:t>
                  </w:r>
                </w:p>
              </w:tc>
              <w:tc>
                <w:tcPr>
                  <w:tcW w:w="607" w:type="pct"/>
                  <w:vAlign w:val="center"/>
                </w:tcPr>
                <w:p w14:paraId="118588ED">
                  <w:pPr>
                    <w:widowControl/>
                    <w:snapToGrid w:val="0"/>
                    <w:jc w:val="center"/>
                    <w:rPr>
                      <w:bCs/>
                      <w:szCs w:val="21"/>
                    </w:rPr>
                  </w:pPr>
                  <w:r>
                    <w:rPr>
                      <w:bCs/>
                      <w:szCs w:val="21"/>
                    </w:rPr>
                    <w:t>东</w:t>
                  </w:r>
                  <w:r>
                    <w:rPr>
                      <w:rFonts w:hint="eastAsia"/>
                      <w:bCs/>
                      <w:szCs w:val="21"/>
                    </w:rPr>
                    <w:t>场</w:t>
                  </w:r>
                  <w:r>
                    <w:rPr>
                      <w:bCs/>
                      <w:szCs w:val="21"/>
                    </w:rPr>
                    <w:t>界</w:t>
                  </w:r>
                </w:p>
              </w:tc>
              <w:tc>
                <w:tcPr>
                  <w:tcW w:w="606" w:type="pct"/>
                  <w:vAlign w:val="center"/>
                </w:tcPr>
                <w:p w14:paraId="7BC71CA2">
                  <w:pPr>
                    <w:widowControl/>
                    <w:snapToGrid w:val="0"/>
                    <w:jc w:val="center"/>
                    <w:rPr>
                      <w:bCs/>
                      <w:szCs w:val="21"/>
                    </w:rPr>
                  </w:pPr>
                  <w:r>
                    <w:rPr>
                      <w:rFonts w:hint="eastAsia"/>
                      <w:bCs/>
                      <w:szCs w:val="21"/>
                    </w:rPr>
                    <w:t>40.0</w:t>
                  </w:r>
                </w:p>
              </w:tc>
              <w:tc>
                <w:tcPr>
                  <w:tcW w:w="605" w:type="pct"/>
                  <w:tcBorders>
                    <w:right w:val="single" w:color="auto" w:sz="4" w:space="0"/>
                  </w:tcBorders>
                  <w:vAlign w:val="center"/>
                </w:tcPr>
                <w:p w14:paraId="01E523A8">
                  <w:pPr>
                    <w:widowControl/>
                    <w:snapToGrid w:val="0"/>
                    <w:jc w:val="center"/>
                    <w:rPr>
                      <w:bCs/>
                      <w:szCs w:val="21"/>
                    </w:rPr>
                  </w:pPr>
                  <w:r>
                    <w:rPr>
                      <w:rFonts w:hint="eastAsia"/>
                      <w:bCs/>
                      <w:szCs w:val="21"/>
                    </w:rPr>
                    <w:t>40.0</w:t>
                  </w:r>
                </w:p>
              </w:tc>
              <w:tc>
                <w:tcPr>
                  <w:tcW w:w="605" w:type="pct"/>
                  <w:tcBorders>
                    <w:left w:val="single" w:color="auto" w:sz="4" w:space="0"/>
                    <w:right w:val="single" w:color="auto" w:sz="4" w:space="0"/>
                  </w:tcBorders>
                  <w:vAlign w:val="center"/>
                </w:tcPr>
                <w:p w14:paraId="5779E7FD">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24DCCD5C">
                  <w:pPr>
                    <w:widowControl/>
                    <w:snapToGrid w:val="0"/>
                    <w:jc w:val="center"/>
                    <w:rPr>
                      <w:bCs/>
                      <w:szCs w:val="21"/>
                    </w:rPr>
                  </w:pPr>
                  <w:r>
                    <w:rPr>
                      <w:rFonts w:hint="eastAsia"/>
                      <w:bCs/>
                      <w:szCs w:val="21"/>
                    </w:rPr>
                    <w:t>55</w:t>
                  </w:r>
                </w:p>
              </w:tc>
              <w:tc>
                <w:tcPr>
                  <w:tcW w:w="877" w:type="pct"/>
                  <w:vAlign w:val="center"/>
                </w:tcPr>
                <w:p w14:paraId="1C84802E">
                  <w:pPr>
                    <w:widowControl/>
                    <w:snapToGrid w:val="0"/>
                    <w:jc w:val="center"/>
                    <w:rPr>
                      <w:bCs/>
                      <w:szCs w:val="21"/>
                    </w:rPr>
                  </w:pPr>
                  <w:r>
                    <w:rPr>
                      <w:bCs/>
                      <w:szCs w:val="21"/>
                    </w:rPr>
                    <w:t>达标</w:t>
                  </w:r>
                </w:p>
              </w:tc>
            </w:tr>
            <w:tr w14:paraId="69AC88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97" w:hRule="atLeast"/>
                <w:jc w:val="center"/>
              </w:trPr>
              <w:tc>
                <w:tcPr>
                  <w:tcW w:w="1107" w:type="pct"/>
                  <w:vMerge w:val="continue"/>
                  <w:vAlign w:val="center"/>
                </w:tcPr>
                <w:p w14:paraId="54E35915">
                  <w:pPr>
                    <w:widowControl/>
                    <w:snapToGrid w:val="0"/>
                    <w:jc w:val="center"/>
                    <w:rPr>
                      <w:bCs/>
                      <w:szCs w:val="21"/>
                    </w:rPr>
                  </w:pPr>
                </w:p>
              </w:tc>
              <w:tc>
                <w:tcPr>
                  <w:tcW w:w="607" w:type="pct"/>
                  <w:vAlign w:val="center"/>
                </w:tcPr>
                <w:p w14:paraId="1FD6138F">
                  <w:pPr>
                    <w:widowControl/>
                    <w:snapToGrid w:val="0"/>
                    <w:jc w:val="center"/>
                    <w:rPr>
                      <w:bCs/>
                      <w:szCs w:val="21"/>
                    </w:rPr>
                  </w:pPr>
                  <w:r>
                    <w:rPr>
                      <w:bCs/>
                      <w:szCs w:val="21"/>
                    </w:rPr>
                    <w:t>南</w:t>
                  </w:r>
                  <w:r>
                    <w:rPr>
                      <w:rFonts w:hint="eastAsia"/>
                      <w:bCs/>
                      <w:szCs w:val="21"/>
                    </w:rPr>
                    <w:t>场</w:t>
                  </w:r>
                  <w:r>
                    <w:rPr>
                      <w:bCs/>
                      <w:szCs w:val="21"/>
                    </w:rPr>
                    <w:t>界</w:t>
                  </w:r>
                </w:p>
              </w:tc>
              <w:tc>
                <w:tcPr>
                  <w:tcW w:w="606" w:type="pct"/>
                  <w:vAlign w:val="center"/>
                </w:tcPr>
                <w:p w14:paraId="19B67800">
                  <w:pPr>
                    <w:widowControl/>
                    <w:snapToGrid w:val="0"/>
                    <w:jc w:val="center"/>
                    <w:rPr>
                      <w:bCs/>
                      <w:szCs w:val="21"/>
                    </w:rPr>
                  </w:pPr>
                  <w:r>
                    <w:rPr>
                      <w:rFonts w:hint="eastAsia"/>
                      <w:bCs/>
                      <w:szCs w:val="21"/>
                    </w:rPr>
                    <w:t>34.0</w:t>
                  </w:r>
                </w:p>
              </w:tc>
              <w:tc>
                <w:tcPr>
                  <w:tcW w:w="605" w:type="pct"/>
                  <w:tcBorders>
                    <w:right w:val="single" w:color="auto" w:sz="4" w:space="0"/>
                  </w:tcBorders>
                  <w:vAlign w:val="center"/>
                </w:tcPr>
                <w:p w14:paraId="66060CC2">
                  <w:pPr>
                    <w:widowControl/>
                    <w:snapToGrid w:val="0"/>
                    <w:jc w:val="center"/>
                    <w:rPr>
                      <w:bCs/>
                      <w:szCs w:val="21"/>
                    </w:rPr>
                  </w:pPr>
                  <w:r>
                    <w:rPr>
                      <w:rFonts w:hint="eastAsia"/>
                      <w:bCs/>
                      <w:szCs w:val="21"/>
                    </w:rPr>
                    <w:t>34.0</w:t>
                  </w:r>
                </w:p>
              </w:tc>
              <w:tc>
                <w:tcPr>
                  <w:tcW w:w="605" w:type="pct"/>
                  <w:tcBorders>
                    <w:left w:val="single" w:color="auto" w:sz="4" w:space="0"/>
                    <w:right w:val="single" w:color="auto" w:sz="4" w:space="0"/>
                  </w:tcBorders>
                  <w:vAlign w:val="center"/>
                </w:tcPr>
                <w:p w14:paraId="35A9C8E3">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4EAFAD5D">
                  <w:pPr>
                    <w:widowControl/>
                    <w:snapToGrid w:val="0"/>
                    <w:jc w:val="center"/>
                    <w:rPr>
                      <w:bCs/>
                      <w:szCs w:val="21"/>
                    </w:rPr>
                  </w:pPr>
                  <w:r>
                    <w:rPr>
                      <w:rFonts w:hint="eastAsia"/>
                      <w:bCs/>
                      <w:szCs w:val="21"/>
                    </w:rPr>
                    <w:t>55</w:t>
                  </w:r>
                </w:p>
              </w:tc>
              <w:tc>
                <w:tcPr>
                  <w:tcW w:w="877" w:type="pct"/>
                  <w:vAlign w:val="center"/>
                </w:tcPr>
                <w:p w14:paraId="230F964A">
                  <w:pPr>
                    <w:widowControl/>
                    <w:snapToGrid w:val="0"/>
                    <w:jc w:val="center"/>
                    <w:rPr>
                      <w:bCs/>
                      <w:szCs w:val="21"/>
                    </w:rPr>
                  </w:pPr>
                  <w:r>
                    <w:rPr>
                      <w:bCs/>
                      <w:szCs w:val="21"/>
                    </w:rPr>
                    <w:t>达标</w:t>
                  </w:r>
                </w:p>
              </w:tc>
            </w:tr>
            <w:tr w14:paraId="6A605A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continue"/>
                  <w:vAlign w:val="center"/>
                </w:tcPr>
                <w:p w14:paraId="4AEEFB9D">
                  <w:pPr>
                    <w:widowControl/>
                    <w:snapToGrid w:val="0"/>
                    <w:jc w:val="center"/>
                    <w:rPr>
                      <w:bCs/>
                      <w:szCs w:val="21"/>
                    </w:rPr>
                  </w:pPr>
                </w:p>
              </w:tc>
              <w:tc>
                <w:tcPr>
                  <w:tcW w:w="607" w:type="pct"/>
                  <w:vAlign w:val="center"/>
                </w:tcPr>
                <w:p w14:paraId="041A1030">
                  <w:pPr>
                    <w:widowControl/>
                    <w:snapToGrid w:val="0"/>
                    <w:jc w:val="center"/>
                    <w:rPr>
                      <w:bCs/>
                      <w:szCs w:val="21"/>
                    </w:rPr>
                  </w:pPr>
                  <w:r>
                    <w:rPr>
                      <w:bCs/>
                      <w:szCs w:val="21"/>
                    </w:rPr>
                    <w:t>西</w:t>
                  </w:r>
                  <w:r>
                    <w:rPr>
                      <w:rFonts w:hint="eastAsia"/>
                      <w:bCs/>
                      <w:szCs w:val="21"/>
                    </w:rPr>
                    <w:t>场</w:t>
                  </w:r>
                  <w:r>
                    <w:rPr>
                      <w:bCs/>
                      <w:szCs w:val="21"/>
                    </w:rPr>
                    <w:t>界</w:t>
                  </w:r>
                </w:p>
              </w:tc>
              <w:tc>
                <w:tcPr>
                  <w:tcW w:w="606" w:type="pct"/>
                  <w:vAlign w:val="center"/>
                </w:tcPr>
                <w:p w14:paraId="7B0E8FC8">
                  <w:pPr>
                    <w:widowControl/>
                    <w:snapToGrid w:val="0"/>
                    <w:jc w:val="center"/>
                    <w:rPr>
                      <w:bCs/>
                      <w:szCs w:val="21"/>
                    </w:rPr>
                  </w:pPr>
                  <w:r>
                    <w:rPr>
                      <w:rFonts w:hint="eastAsia"/>
                      <w:bCs/>
                      <w:szCs w:val="21"/>
                    </w:rPr>
                    <w:t>28.1</w:t>
                  </w:r>
                </w:p>
              </w:tc>
              <w:tc>
                <w:tcPr>
                  <w:tcW w:w="605" w:type="pct"/>
                  <w:tcBorders>
                    <w:right w:val="single" w:color="auto" w:sz="4" w:space="0"/>
                  </w:tcBorders>
                  <w:vAlign w:val="center"/>
                </w:tcPr>
                <w:p w14:paraId="4DD8B035">
                  <w:pPr>
                    <w:widowControl/>
                    <w:snapToGrid w:val="0"/>
                    <w:jc w:val="center"/>
                    <w:rPr>
                      <w:bCs/>
                      <w:szCs w:val="21"/>
                    </w:rPr>
                  </w:pPr>
                  <w:r>
                    <w:rPr>
                      <w:rFonts w:hint="eastAsia"/>
                      <w:bCs/>
                      <w:szCs w:val="21"/>
                    </w:rPr>
                    <w:t>28.1</w:t>
                  </w:r>
                </w:p>
              </w:tc>
              <w:tc>
                <w:tcPr>
                  <w:tcW w:w="605" w:type="pct"/>
                  <w:tcBorders>
                    <w:left w:val="single" w:color="auto" w:sz="4" w:space="0"/>
                    <w:right w:val="single" w:color="auto" w:sz="4" w:space="0"/>
                  </w:tcBorders>
                  <w:vAlign w:val="center"/>
                </w:tcPr>
                <w:p w14:paraId="66EF50F0">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FFC2EEC">
                  <w:pPr>
                    <w:widowControl/>
                    <w:snapToGrid w:val="0"/>
                    <w:jc w:val="center"/>
                    <w:rPr>
                      <w:bCs/>
                      <w:szCs w:val="21"/>
                    </w:rPr>
                  </w:pPr>
                  <w:r>
                    <w:rPr>
                      <w:rFonts w:hint="eastAsia"/>
                      <w:bCs/>
                      <w:szCs w:val="21"/>
                    </w:rPr>
                    <w:t>55</w:t>
                  </w:r>
                </w:p>
              </w:tc>
              <w:tc>
                <w:tcPr>
                  <w:tcW w:w="877" w:type="pct"/>
                  <w:vAlign w:val="center"/>
                </w:tcPr>
                <w:p w14:paraId="35097F6C">
                  <w:pPr>
                    <w:widowControl/>
                    <w:snapToGrid w:val="0"/>
                    <w:jc w:val="center"/>
                    <w:rPr>
                      <w:bCs/>
                      <w:szCs w:val="21"/>
                    </w:rPr>
                  </w:pPr>
                  <w:r>
                    <w:rPr>
                      <w:bCs/>
                      <w:szCs w:val="21"/>
                    </w:rPr>
                    <w:t>达标</w:t>
                  </w:r>
                </w:p>
              </w:tc>
            </w:tr>
            <w:tr w14:paraId="1BC863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6" w:type="dxa"/>
                  <w:bottom w:w="0" w:type="dxa"/>
                  <w:right w:w="6" w:type="dxa"/>
                </w:tblCellMar>
              </w:tblPrEx>
              <w:trPr>
                <w:trHeight w:val="397" w:hRule="atLeast"/>
                <w:jc w:val="center"/>
              </w:trPr>
              <w:tc>
                <w:tcPr>
                  <w:tcW w:w="1107" w:type="pct"/>
                  <w:vMerge w:val="continue"/>
                  <w:vAlign w:val="center"/>
                </w:tcPr>
                <w:p w14:paraId="610BF877">
                  <w:pPr>
                    <w:widowControl/>
                    <w:snapToGrid w:val="0"/>
                    <w:jc w:val="center"/>
                    <w:rPr>
                      <w:bCs/>
                      <w:szCs w:val="21"/>
                    </w:rPr>
                  </w:pPr>
                </w:p>
              </w:tc>
              <w:tc>
                <w:tcPr>
                  <w:tcW w:w="607" w:type="pct"/>
                  <w:vAlign w:val="center"/>
                </w:tcPr>
                <w:p w14:paraId="0FDD232C">
                  <w:pPr>
                    <w:widowControl/>
                    <w:snapToGrid w:val="0"/>
                    <w:jc w:val="center"/>
                    <w:rPr>
                      <w:bCs/>
                      <w:szCs w:val="21"/>
                    </w:rPr>
                  </w:pPr>
                  <w:r>
                    <w:rPr>
                      <w:bCs/>
                      <w:szCs w:val="21"/>
                    </w:rPr>
                    <w:t>北</w:t>
                  </w:r>
                  <w:r>
                    <w:rPr>
                      <w:rFonts w:hint="eastAsia"/>
                      <w:bCs/>
                      <w:szCs w:val="21"/>
                    </w:rPr>
                    <w:t>场</w:t>
                  </w:r>
                  <w:r>
                    <w:rPr>
                      <w:bCs/>
                      <w:szCs w:val="21"/>
                    </w:rPr>
                    <w:t>界</w:t>
                  </w:r>
                </w:p>
              </w:tc>
              <w:tc>
                <w:tcPr>
                  <w:tcW w:w="606" w:type="pct"/>
                  <w:vAlign w:val="center"/>
                </w:tcPr>
                <w:p w14:paraId="0E909C12">
                  <w:pPr>
                    <w:widowControl/>
                    <w:snapToGrid w:val="0"/>
                    <w:jc w:val="center"/>
                    <w:rPr>
                      <w:bCs/>
                      <w:szCs w:val="21"/>
                    </w:rPr>
                  </w:pPr>
                  <w:r>
                    <w:rPr>
                      <w:rFonts w:hint="eastAsia"/>
                      <w:bCs/>
                      <w:szCs w:val="21"/>
                    </w:rPr>
                    <w:t>40.0</w:t>
                  </w:r>
                </w:p>
              </w:tc>
              <w:tc>
                <w:tcPr>
                  <w:tcW w:w="605" w:type="pct"/>
                  <w:tcBorders>
                    <w:right w:val="single" w:color="auto" w:sz="4" w:space="0"/>
                  </w:tcBorders>
                  <w:vAlign w:val="center"/>
                </w:tcPr>
                <w:p w14:paraId="7F302FE9">
                  <w:pPr>
                    <w:widowControl/>
                    <w:snapToGrid w:val="0"/>
                    <w:jc w:val="center"/>
                    <w:rPr>
                      <w:bCs/>
                      <w:szCs w:val="21"/>
                    </w:rPr>
                  </w:pPr>
                  <w:r>
                    <w:rPr>
                      <w:rFonts w:hint="eastAsia"/>
                      <w:bCs/>
                      <w:szCs w:val="21"/>
                    </w:rPr>
                    <w:t>40.0</w:t>
                  </w:r>
                </w:p>
              </w:tc>
              <w:tc>
                <w:tcPr>
                  <w:tcW w:w="605" w:type="pct"/>
                  <w:tcBorders>
                    <w:left w:val="single" w:color="auto" w:sz="4" w:space="0"/>
                    <w:right w:val="single" w:color="auto" w:sz="4" w:space="0"/>
                  </w:tcBorders>
                  <w:vAlign w:val="center"/>
                </w:tcPr>
                <w:p w14:paraId="71748B7A">
                  <w:pPr>
                    <w:widowControl/>
                    <w:snapToGrid w:val="0"/>
                    <w:jc w:val="center"/>
                    <w:rPr>
                      <w:bCs/>
                      <w:szCs w:val="21"/>
                    </w:rPr>
                  </w:pPr>
                  <w:r>
                    <w:rPr>
                      <w:rFonts w:hint="eastAsia"/>
                      <w:bCs/>
                      <w:szCs w:val="21"/>
                    </w:rPr>
                    <w:t>70</w:t>
                  </w:r>
                </w:p>
              </w:tc>
              <w:tc>
                <w:tcPr>
                  <w:tcW w:w="593" w:type="pct"/>
                  <w:tcBorders>
                    <w:left w:val="single" w:color="auto" w:sz="4" w:space="0"/>
                  </w:tcBorders>
                  <w:vAlign w:val="center"/>
                </w:tcPr>
                <w:p w14:paraId="51121D1E">
                  <w:pPr>
                    <w:widowControl/>
                    <w:snapToGrid w:val="0"/>
                    <w:jc w:val="center"/>
                    <w:rPr>
                      <w:bCs/>
                      <w:szCs w:val="21"/>
                    </w:rPr>
                  </w:pPr>
                  <w:r>
                    <w:rPr>
                      <w:rFonts w:hint="eastAsia"/>
                      <w:bCs/>
                      <w:szCs w:val="21"/>
                    </w:rPr>
                    <w:t>55</w:t>
                  </w:r>
                </w:p>
              </w:tc>
              <w:tc>
                <w:tcPr>
                  <w:tcW w:w="877" w:type="pct"/>
                  <w:vAlign w:val="center"/>
                </w:tcPr>
                <w:p w14:paraId="302070EF">
                  <w:pPr>
                    <w:widowControl/>
                    <w:snapToGrid w:val="0"/>
                    <w:jc w:val="center"/>
                    <w:rPr>
                      <w:bCs/>
                      <w:szCs w:val="21"/>
                    </w:rPr>
                  </w:pPr>
                  <w:r>
                    <w:rPr>
                      <w:bCs/>
                      <w:szCs w:val="21"/>
                    </w:rPr>
                    <w:t>达标</w:t>
                  </w:r>
                </w:p>
              </w:tc>
            </w:tr>
          </w:tbl>
          <w:p w14:paraId="716B3EC5">
            <w:pPr>
              <w:spacing w:line="360" w:lineRule="auto"/>
              <w:ind w:firstLine="480"/>
              <w:rPr>
                <w:sz w:val="24"/>
              </w:rPr>
            </w:pPr>
            <w:r>
              <w:rPr>
                <w:bCs/>
                <w:sz w:val="24"/>
                <w:lang w:val="en-GB"/>
              </w:rPr>
              <w:t>由预测结果可知，东、西、南、北场界的噪声</w:t>
            </w:r>
            <w:r>
              <w:rPr>
                <w:rFonts w:hint="eastAsia"/>
                <w:bCs/>
                <w:sz w:val="24"/>
                <w:lang w:val="en-GB"/>
              </w:rPr>
              <w:t>贡献值</w:t>
            </w:r>
            <w:r>
              <w:rPr>
                <w:bCs/>
                <w:sz w:val="24"/>
                <w:lang w:val="en-GB"/>
              </w:rPr>
              <w:t>最大值</w:t>
            </w:r>
            <w:r>
              <w:rPr>
                <w:rFonts w:hint="eastAsia"/>
                <w:bCs/>
                <w:sz w:val="24"/>
                <w:lang w:val="en-GB"/>
              </w:rPr>
              <w:t>40.1</w:t>
            </w:r>
            <w:r>
              <w:rPr>
                <w:bCs/>
                <w:sz w:val="24"/>
                <w:lang w:val="en-GB"/>
              </w:rPr>
              <w:t>dB（A），符合《</w:t>
            </w:r>
            <w:r>
              <w:rPr>
                <w:rFonts w:hint="eastAsia"/>
                <w:bCs/>
                <w:sz w:val="24"/>
                <w:lang w:val="en-GB"/>
              </w:rPr>
              <w:t>建筑施工噪声排放标准</w:t>
            </w:r>
            <w:r>
              <w:rPr>
                <w:bCs/>
                <w:sz w:val="24"/>
                <w:lang w:val="en-GB"/>
              </w:rPr>
              <w:t>》（GB12523-20</w:t>
            </w:r>
            <w:r>
              <w:rPr>
                <w:rFonts w:hint="eastAsia"/>
                <w:bCs/>
                <w:sz w:val="24"/>
                <w:lang w:val="en-GB"/>
              </w:rPr>
              <w:t>25</w:t>
            </w:r>
            <w:r>
              <w:rPr>
                <w:bCs/>
                <w:sz w:val="24"/>
                <w:lang w:val="en-GB"/>
              </w:rPr>
              <w:t>）要求</w:t>
            </w:r>
            <w:r>
              <w:rPr>
                <w:rFonts w:hint="eastAsia"/>
                <w:bCs/>
                <w:sz w:val="24"/>
                <w:lang w:val="en-GB"/>
              </w:rPr>
              <w:t>。</w:t>
            </w:r>
          </w:p>
          <w:p w14:paraId="69E3CD83">
            <w:pPr>
              <w:spacing w:line="360" w:lineRule="auto"/>
              <w:ind w:firstLine="480"/>
              <w:rPr>
                <w:sz w:val="24"/>
              </w:rPr>
            </w:pPr>
            <w:r>
              <w:rPr>
                <w:rFonts w:hint="eastAsia"/>
                <w:sz w:val="24"/>
              </w:rPr>
              <w:t>综上，施工期通过采取降噪措施后，场界噪声值可满足《建筑施工噪声排放标准》（GB12523-2025）昼夜间限值要求，且场界周围50m范围内无声环境保护目标，对周围声环境影响可接受。</w:t>
            </w:r>
          </w:p>
          <w:p w14:paraId="137FEE94">
            <w:pPr>
              <w:spacing w:line="360" w:lineRule="auto"/>
              <w:ind w:firstLine="482"/>
              <w:rPr>
                <w:sz w:val="24"/>
              </w:rPr>
            </w:pPr>
            <w:r>
              <w:rPr>
                <w:rFonts w:hint="eastAsia"/>
                <w:sz w:val="24"/>
              </w:rPr>
              <w:t>3、其他</w:t>
            </w:r>
          </w:p>
          <w:p w14:paraId="17E023BC">
            <w:pPr>
              <w:spacing w:line="360" w:lineRule="auto"/>
              <w:ind w:firstLine="482"/>
              <w:rPr>
                <w:sz w:val="24"/>
              </w:rPr>
            </w:pPr>
            <w:r>
              <w:rPr>
                <w:rFonts w:hint="eastAsia"/>
                <w:sz w:val="24"/>
              </w:rPr>
              <w:t>此外，钻前工程主要涉及场地平整等移动施工设备产生的噪声，主要为推土机、压路机、运输车辆等移动源设备噪声，噪声值一般为7</w:t>
            </w:r>
            <w:r>
              <w:rPr>
                <w:sz w:val="24"/>
              </w:rPr>
              <w:t>0-80</w:t>
            </w:r>
            <w:r>
              <w:rPr>
                <w:rFonts w:hint="eastAsia"/>
                <w:sz w:val="24"/>
              </w:rPr>
              <w:t>d</w:t>
            </w:r>
            <w:r>
              <w:rPr>
                <w:sz w:val="24"/>
              </w:rPr>
              <w:t>B</w:t>
            </w:r>
            <w:r>
              <w:rPr>
                <w:rFonts w:hint="eastAsia"/>
                <w:sz w:val="24"/>
              </w:rPr>
              <w:t>（A）之间，该产噪设备特点为流动性、间歇性及短暂性。</w:t>
            </w:r>
          </w:p>
          <w:p w14:paraId="40BA80F8">
            <w:pPr>
              <w:spacing w:line="360" w:lineRule="auto"/>
              <w:ind w:firstLine="480"/>
              <w:rPr>
                <w:sz w:val="24"/>
              </w:rPr>
            </w:pPr>
            <w:r>
              <w:rPr>
                <w:rFonts w:hint="eastAsia"/>
                <w:sz w:val="24"/>
              </w:rPr>
              <w:t>施工作业过程中，通过采取使用低噪声机械设备、合理安排施工时间、禁止夜间进行钻前工程的作业等措施，同时在施工过程中应设置专人对设备进行定期保养和维护，并负责对现场工作人员进行培训，严格按操作规范使用各类机械后，钻前工程产噪移动源对周围声环境影响较小。</w:t>
            </w:r>
          </w:p>
          <w:p w14:paraId="6695E3CA">
            <w:pPr>
              <w:spacing w:line="360" w:lineRule="auto"/>
              <w:ind w:firstLine="480"/>
              <w:rPr>
                <w:sz w:val="24"/>
              </w:rPr>
            </w:pPr>
            <w:r>
              <w:rPr>
                <w:sz w:val="24"/>
              </w:rPr>
              <w:t>项目施工结束后，噪声影响随即消失，对声环境影响较小</w:t>
            </w:r>
            <w:r>
              <w:rPr>
                <w:rFonts w:hint="eastAsia"/>
                <w:sz w:val="24"/>
              </w:rPr>
              <w:t>。</w:t>
            </w:r>
          </w:p>
          <w:p w14:paraId="234D1671">
            <w:pPr>
              <w:spacing w:line="360" w:lineRule="auto"/>
              <w:ind w:firstLine="480"/>
              <w:rPr>
                <w:b/>
                <w:sz w:val="24"/>
              </w:rPr>
            </w:pPr>
            <w:r>
              <w:rPr>
                <w:rFonts w:hint="eastAsia"/>
                <w:b/>
                <w:sz w:val="24"/>
              </w:rPr>
              <w:t>四、施工期固体废物影响</w:t>
            </w:r>
            <w:r>
              <w:rPr>
                <w:b/>
                <w:sz w:val="24"/>
              </w:rPr>
              <w:t>分析</w:t>
            </w:r>
          </w:p>
          <w:p w14:paraId="62AC30F0">
            <w:pPr>
              <w:spacing w:line="360" w:lineRule="auto"/>
              <w:ind w:firstLine="480"/>
              <w:rPr>
                <w:sz w:val="24"/>
              </w:rPr>
            </w:pPr>
            <w:r>
              <w:rPr>
                <w:rFonts w:hint="eastAsia"/>
                <w:sz w:val="24"/>
              </w:rPr>
              <w:t>施工</w:t>
            </w:r>
            <w:r>
              <w:rPr>
                <w:sz w:val="24"/>
              </w:rPr>
              <w:t>过程中</w:t>
            </w:r>
            <w:r>
              <w:rPr>
                <w:rFonts w:hint="eastAsia"/>
                <w:sz w:val="24"/>
              </w:rPr>
              <w:t>固废</w:t>
            </w:r>
            <w:r>
              <w:rPr>
                <w:sz w:val="24"/>
              </w:rPr>
              <w:t>主要有废弃泥浆</w:t>
            </w:r>
            <w:r>
              <w:rPr>
                <w:rFonts w:hint="eastAsia"/>
                <w:sz w:val="24"/>
              </w:rPr>
              <w:t>、</w:t>
            </w:r>
            <w:r>
              <w:rPr>
                <w:sz w:val="24"/>
              </w:rPr>
              <w:t>钻井岩屑</w:t>
            </w:r>
            <w:r>
              <w:rPr>
                <w:rFonts w:hint="eastAsia"/>
                <w:sz w:val="24"/>
              </w:rPr>
              <w:t>，废润滑油，落地油、废防渗材料，</w:t>
            </w:r>
            <w:r>
              <w:rPr>
                <w:sz w:val="24"/>
              </w:rPr>
              <w:t>生活垃圾</w:t>
            </w:r>
            <w:r>
              <w:rPr>
                <w:rFonts w:hint="eastAsia"/>
                <w:sz w:val="24"/>
              </w:rPr>
              <w:t>。泥浆材料废弃包装物等均由泥浆材料供应单位回收处置。</w:t>
            </w:r>
          </w:p>
          <w:p w14:paraId="73B73A62">
            <w:pPr>
              <w:spacing w:line="360" w:lineRule="auto"/>
              <w:ind w:firstLine="480"/>
              <w:rPr>
                <w:sz w:val="24"/>
              </w:rPr>
            </w:pPr>
            <w:r>
              <w:rPr>
                <w:rFonts w:hint="eastAsia"/>
                <w:sz w:val="24"/>
              </w:rPr>
              <w:t>1、固体废物产生情况及处置</w:t>
            </w:r>
          </w:p>
          <w:p w14:paraId="6C321694">
            <w:pPr>
              <w:spacing w:line="360" w:lineRule="auto"/>
              <w:ind w:firstLine="480"/>
              <w:rPr>
                <w:sz w:val="24"/>
              </w:rPr>
            </w:pPr>
            <w:r>
              <w:rPr>
                <w:sz w:val="24"/>
              </w:rPr>
              <w:t>（1）一般固体废物</w:t>
            </w:r>
          </w:p>
          <w:p w14:paraId="4570B581">
            <w:pPr>
              <w:spacing w:line="360" w:lineRule="auto"/>
              <w:ind w:firstLine="480"/>
              <w:rPr>
                <w:sz w:val="24"/>
              </w:rPr>
            </w:pPr>
            <w:r>
              <w:rPr>
                <w:rFonts w:hint="eastAsia" w:ascii="宋体" w:hAnsi="宋体" w:cs="宋体"/>
                <w:sz w:val="24"/>
              </w:rPr>
              <w:t>①</w:t>
            </w:r>
            <w:r>
              <w:rPr>
                <w:sz w:val="24"/>
              </w:rPr>
              <w:t>废弃泥浆、钻井岩屑</w:t>
            </w:r>
          </w:p>
          <w:p w14:paraId="71805B06">
            <w:pPr>
              <w:spacing w:line="360" w:lineRule="auto"/>
              <w:ind w:firstLine="480"/>
              <w:rPr>
                <w:sz w:val="24"/>
              </w:rPr>
            </w:pPr>
            <w:r>
              <w:rPr>
                <w:sz w:val="24"/>
              </w:rPr>
              <w:t>A</w:t>
            </w:r>
            <w:r>
              <w:rPr>
                <w:rFonts w:hint="eastAsia"/>
                <w:sz w:val="24"/>
              </w:rPr>
              <w:t>、</w:t>
            </w:r>
            <w:r>
              <w:rPr>
                <w:sz w:val="24"/>
              </w:rPr>
              <w:t>废弃泥浆</w:t>
            </w:r>
          </w:p>
          <w:p w14:paraId="7A6C5158">
            <w:pPr>
              <w:spacing w:line="360" w:lineRule="auto"/>
              <w:ind w:firstLine="480"/>
              <w:rPr>
                <w:sz w:val="24"/>
              </w:rPr>
            </w:pPr>
            <w:r>
              <w:rPr>
                <w:sz w:val="24"/>
              </w:rPr>
              <w:t>废弃泥浆是指在钻井过程中无法利用或钻井完工后剩余的泥浆，其产生量随井深和井径的不同而改变。</w:t>
            </w:r>
            <w:r>
              <w:rPr>
                <w:rFonts w:hint="eastAsia"/>
                <w:sz w:val="24"/>
              </w:rPr>
              <w:t>钻井泥浆的主要成分是膨润土、纯碱、烧碱和无机及有机添加剂，以水为连续相配置。</w:t>
            </w:r>
            <w:r>
              <w:rPr>
                <w:sz w:val="24"/>
              </w:rPr>
              <w:t>废弃泥浆产生量可按照经验公式推算：</w:t>
            </w:r>
          </w:p>
          <w:p w14:paraId="4CC36716">
            <w:pPr>
              <w:spacing w:line="360" w:lineRule="auto"/>
              <w:jc w:val="center"/>
              <w:rPr>
                <w:sz w:val="24"/>
              </w:rPr>
            </w:pPr>
            <w:r>
              <w:rPr>
                <w:sz w:val="24"/>
              </w:rPr>
              <w:t>V=0.125πD</w:t>
            </w:r>
            <w:r>
              <w:rPr>
                <w:sz w:val="24"/>
                <w:vertAlign w:val="superscript"/>
              </w:rPr>
              <w:t>2</w:t>
            </w:r>
            <w:r>
              <w:rPr>
                <w:sz w:val="24"/>
              </w:rPr>
              <w:t>h+18（h-1000）/500+116</w:t>
            </w:r>
          </w:p>
          <w:p w14:paraId="0518598D">
            <w:pPr>
              <w:spacing w:line="360" w:lineRule="auto"/>
              <w:ind w:firstLine="480" w:firstLineChars="200"/>
              <w:rPr>
                <w:sz w:val="24"/>
              </w:rPr>
            </w:pPr>
            <w:r>
              <w:rPr>
                <w:sz w:val="24"/>
              </w:rPr>
              <w:t>式中：V</w:t>
            </w:r>
            <w:r>
              <w:rPr>
                <w:rFonts w:hint="eastAsia"/>
                <w:sz w:val="24"/>
              </w:rPr>
              <w:t>-废弃</w:t>
            </w:r>
            <w:r>
              <w:rPr>
                <w:sz w:val="24"/>
              </w:rPr>
              <w:t>钻井泥浆产生量，m</w:t>
            </w:r>
            <w:r>
              <w:rPr>
                <w:sz w:val="24"/>
                <w:vertAlign w:val="superscript"/>
              </w:rPr>
              <w:t>3</w:t>
            </w:r>
            <w:r>
              <w:rPr>
                <w:sz w:val="24"/>
              </w:rPr>
              <w:t>；</w:t>
            </w:r>
          </w:p>
          <w:p w14:paraId="7DA19BD4">
            <w:pPr>
              <w:spacing w:line="360" w:lineRule="auto"/>
              <w:ind w:firstLine="1200" w:firstLineChars="500"/>
              <w:rPr>
                <w:sz w:val="24"/>
              </w:rPr>
            </w:pPr>
            <w:r>
              <w:rPr>
                <w:sz w:val="24"/>
              </w:rPr>
              <w:t>D</w:t>
            </w:r>
            <w:r>
              <w:rPr>
                <w:rFonts w:hint="eastAsia"/>
                <w:sz w:val="24"/>
              </w:rPr>
              <w:t>-</w:t>
            </w:r>
            <w:r>
              <w:rPr>
                <w:sz w:val="24"/>
              </w:rPr>
              <w:t>钻井的直径，m，一开井段：0.</w:t>
            </w:r>
            <w:r>
              <w:rPr>
                <w:rFonts w:hint="eastAsia"/>
                <w:sz w:val="24"/>
              </w:rPr>
              <w:t>3112</w:t>
            </w:r>
            <w:r>
              <w:rPr>
                <w:sz w:val="24"/>
              </w:rPr>
              <w:t>m</w:t>
            </w:r>
            <w:r>
              <w:rPr>
                <w:rFonts w:hint="eastAsia"/>
                <w:sz w:val="24"/>
              </w:rPr>
              <w:t>，</w:t>
            </w:r>
            <w:r>
              <w:rPr>
                <w:sz w:val="24"/>
              </w:rPr>
              <w:t>二开井段：</w:t>
            </w:r>
            <w:r>
              <w:rPr>
                <w:rFonts w:hint="eastAsia"/>
                <w:sz w:val="24"/>
              </w:rPr>
              <w:t>0.2159m</w:t>
            </w:r>
            <w:r>
              <w:rPr>
                <w:sz w:val="24"/>
              </w:rPr>
              <w:t>；</w:t>
            </w:r>
          </w:p>
          <w:p w14:paraId="3333DC68">
            <w:pPr>
              <w:spacing w:line="360" w:lineRule="auto"/>
              <w:ind w:firstLine="1200" w:firstLineChars="500"/>
              <w:rPr>
                <w:sz w:val="24"/>
              </w:rPr>
            </w:pPr>
            <w:r>
              <w:rPr>
                <w:sz w:val="24"/>
              </w:rPr>
              <w:t>h</w:t>
            </w:r>
            <w:r>
              <w:rPr>
                <w:rFonts w:hint="eastAsia"/>
                <w:sz w:val="24"/>
              </w:rPr>
              <w:t>-</w:t>
            </w:r>
            <w:r>
              <w:rPr>
                <w:sz w:val="24"/>
              </w:rPr>
              <w:t>钻井的深度，m</w:t>
            </w:r>
            <w:r>
              <w:rPr>
                <w:rFonts w:hint="eastAsia"/>
                <w:sz w:val="24"/>
              </w:rPr>
              <w:t>，</w:t>
            </w:r>
            <w:r>
              <w:rPr>
                <w:sz w:val="24"/>
              </w:rPr>
              <w:t>一开井段：</w:t>
            </w:r>
            <w:r>
              <w:rPr>
                <w:rFonts w:hint="eastAsia"/>
                <w:sz w:val="24"/>
              </w:rPr>
              <w:t>501</w:t>
            </w:r>
            <w:r>
              <w:rPr>
                <w:sz w:val="24"/>
              </w:rPr>
              <w:t>m</w:t>
            </w:r>
            <w:r>
              <w:rPr>
                <w:rFonts w:hint="eastAsia"/>
                <w:sz w:val="24"/>
              </w:rPr>
              <w:t>，</w:t>
            </w:r>
            <w:r>
              <w:rPr>
                <w:sz w:val="24"/>
              </w:rPr>
              <w:t>二开井段：</w:t>
            </w:r>
            <w:r>
              <w:rPr>
                <w:rFonts w:hint="eastAsia"/>
                <w:sz w:val="24"/>
              </w:rPr>
              <w:t>1号井3499m、2号井3599m、3号井3599m。</w:t>
            </w:r>
          </w:p>
          <w:p w14:paraId="73B6A4A4">
            <w:pPr>
              <w:spacing w:line="360" w:lineRule="auto"/>
              <w:ind w:firstLine="480"/>
              <w:rPr>
                <w:sz w:val="24"/>
              </w:rPr>
            </w:pPr>
            <w:r>
              <w:rPr>
                <w:rFonts w:hint="eastAsia"/>
                <w:sz w:val="24"/>
              </w:rPr>
              <w:t>计算可知，1号井</w:t>
            </w:r>
            <w:r>
              <w:rPr>
                <w:sz w:val="24"/>
              </w:rPr>
              <w:t>废弃泥浆产生量为</w:t>
            </w:r>
            <w:r>
              <w:rPr>
                <w:rFonts w:hint="eastAsia"/>
                <w:sz w:val="24"/>
              </w:rPr>
              <w:t>387.06</w:t>
            </w:r>
            <w:r>
              <w:rPr>
                <w:sz w:val="24"/>
              </w:rPr>
              <w:t>m</w:t>
            </w:r>
            <w:r>
              <w:rPr>
                <w:sz w:val="24"/>
                <w:vertAlign w:val="superscript"/>
              </w:rPr>
              <w:t>3</w:t>
            </w:r>
            <w:r>
              <w:rPr>
                <w:sz w:val="24"/>
              </w:rPr>
              <w:t>，</w:t>
            </w:r>
            <w:r>
              <w:rPr>
                <w:rFonts w:hint="eastAsia"/>
                <w:sz w:val="24"/>
              </w:rPr>
              <w:t>2号井</w:t>
            </w:r>
            <w:r>
              <w:rPr>
                <w:sz w:val="24"/>
              </w:rPr>
              <w:t>钻井泥浆产生量为</w:t>
            </w:r>
            <w:r>
              <w:rPr>
                <w:rFonts w:hint="eastAsia"/>
                <w:sz w:val="24"/>
              </w:rPr>
              <w:t>392.49</w:t>
            </w:r>
            <w:r>
              <w:rPr>
                <w:sz w:val="24"/>
              </w:rPr>
              <w:t>m</w:t>
            </w:r>
            <w:r>
              <w:rPr>
                <w:sz w:val="24"/>
                <w:vertAlign w:val="superscript"/>
              </w:rPr>
              <w:t>3</w:t>
            </w:r>
            <w:r>
              <w:rPr>
                <w:sz w:val="24"/>
              </w:rPr>
              <w:t>，</w:t>
            </w:r>
            <w:r>
              <w:rPr>
                <w:rFonts w:hint="eastAsia"/>
                <w:sz w:val="24"/>
              </w:rPr>
              <w:t>3号井</w:t>
            </w:r>
            <w:r>
              <w:rPr>
                <w:sz w:val="24"/>
              </w:rPr>
              <w:t>钻井泥浆产生量为</w:t>
            </w:r>
            <w:r>
              <w:rPr>
                <w:rFonts w:hint="eastAsia"/>
                <w:sz w:val="24"/>
              </w:rPr>
              <w:t>392.49</w:t>
            </w:r>
            <w:r>
              <w:rPr>
                <w:sz w:val="24"/>
              </w:rPr>
              <w:t>m</w:t>
            </w:r>
            <w:r>
              <w:rPr>
                <w:sz w:val="24"/>
                <w:vertAlign w:val="superscript"/>
              </w:rPr>
              <w:t>3</w:t>
            </w:r>
            <w:r>
              <w:rPr>
                <w:rFonts w:hint="eastAsia"/>
                <w:sz w:val="24"/>
              </w:rPr>
              <w:t>。</w:t>
            </w:r>
          </w:p>
          <w:p w14:paraId="615C632F">
            <w:pPr>
              <w:spacing w:line="360" w:lineRule="auto"/>
              <w:ind w:firstLine="480"/>
              <w:rPr>
                <w:sz w:val="24"/>
              </w:rPr>
            </w:pPr>
            <w:r>
              <w:rPr>
                <w:sz w:val="24"/>
              </w:rPr>
              <w:t>B、钻井岩屑</w:t>
            </w:r>
          </w:p>
          <w:p w14:paraId="2A19A8D9">
            <w:pPr>
              <w:spacing w:line="360" w:lineRule="auto"/>
              <w:ind w:firstLine="480"/>
              <w:rPr>
                <w:sz w:val="24"/>
              </w:rPr>
            </w:pPr>
            <w:r>
              <w:rPr>
                <w:sz w:val="24"/>
              </w:rPr>
              <w:t>钻井过程中，岩石被钻头破碎成钻井岩屑，其中50%混入钻井泥浆中，其余经钻井泥浆循环泵带出井口。钻井岩屑的产生量可按经验公式计算：</w:t>
            </w:r>
          </w:p>
          <w:p w14:paraId="06FABE1E">
            <w:pPr>
              <w:spacing w:line="360" w:lineRule="auto"/>
              <w:jc w:val="center"/>
              <w:rPr>
                <w:sz w:val="24"/>
              </w:rPr>
            </w:pPr>
            <w:r>
              <w:rPr>
                <w:sz w:val="24"/>
              </w:rPr>
              <w:t>W=πD</w:t>
            </w:r>
            <w:r>
              <w:rPr>
                <w:sz w:val="24"/>
                <w:vertAlign w:val="superscript"/>
              </w:rPr>
              <w:t>2</w:t>
            </w:r>
            <w:r>
              <w:rPr>
                <w:sz w:val="24"/>
              </w:rPr>
              <w:t>hd/4×50%</w:t>
            </w:r>
          </w:p>
          <w:p w14:paraId="648F6719">
            <w:pPr>
              <w:spacing w:line="360" w:lineRule="auto"/>
              <w:ind w:firstLine="480"/>
              <w:rPr>
                <w:sz w:val="24"/>
              </w:rPr>
            </w:pPr>
            <w:r>
              <w:rPr>
                <w:sz w:val="24"/>
              </w:rPr>
              <w:t>式中：W—井场钻井岩屑产生量，t；</w:t>
            </w:r>
          </w:p>
          <w:p w14:paraId="26CC09C3">
            <w:pPr>
              <w:spacing w:line="360" w:lineRule="auto"/>
              <w:ind w:firstLine="1200" w:firstLineChars="500"/>
              <w:rPr>
                <w:sz w:val="24"/>
              </w:rPr>
            </w:pPr>
            <w:r>
              <w:rPr>
                <w:sz w:val="24"/>
              </w:rPr>
              <w:t>D</w:t>
            </w:r>
            <w:r>
              <w:rPr>
                <w:rFonts w:hint="eastAsia"/>
                <w:sz w:val="24"/>
              </w:rPr>
              <w:t>-</w:t>
            </w:r>
            <w:r>
              <w:rPr>
                <w:sz w:val="24"/>
              </w:rPr>
              <w:t>钻井的直径，m，一开井段0.</w:t>
            </w:r>
            <w:r>
              <w:rPr>
                <w:rFonts w:hint="eastAsia"/>
                <w:sz w:val="24"/>
              </w:rPr>
              <w:t>3112</w:t>
            </w:r>
            <w:r>
              <w:rPr>
                <w:sz w:val="24"/>
              </w:rPr>
              <w:t>m</w:t>
            </w:r>
            <w:r>
              <w:rPr>
                <w:rFonts w:hint="eastAsia"/>
                <w:sz w:val="24"/>
              </w:rPr>
              <w:t>，</w:t>
            </w:r>
            <w:r>
              <w:rPr>
                <w:sz w:val="24"/>
              </w:rPr>
              <w:t>二开井段</w:t>
            </w:r>
            <w:r>
              <w:rPr>
                <w:rFonts w:hint="eastAsia"/>
                <w:sz w:val="24"/>
              </w:rPr>
              <w:t>0.2159m</w:t>
            </w:r>
            <w:r>
              <w:rPr>
                <w:sz w:val="24"/>
              </w:rPr>
              <w:t>；</w:t>
            </w:r>
          </w:p>
          <w:p w14:paraId="1C1A3D9F">
            <w:pPr>
              <w:spacing w:line="360" w:lineRule="auto"/>
              <w:ind w:firstLine="1200" w:firstLineChars="500"/>
              <w:rPr>
                <w:sz w:val="24"/>
              </w:rPr>
            </w:pPr>
            <w:r>
              <w:rPr>
                <w:sz w:val="24"/>
              </w:rPr>
              <w:t>h</w:t>
            </w:r>
            <w:r>
              <w:rPr>
                <w:rFonts w:hint="eastAsia"/>
                <w:sz w:val="24"/>
              </w:rPr>
              <w:t>-</w:t>
            </w:r>
            <w:r>
              <w:rPr>
                <w:sz w:val="24"/>
              </w:rPr>
              <w:t>钻井的深度，m</w:t>
            </w:r>
            <w:r>
              <w:rPr>
                <w:rFonts w:hint="eastAsia"/>
                <w:sz w:val="24"/>
              </w:rPr>
              <w:t>，</w:t>
            </w:r>
            <w:r>
              <w:rPr>
                <w:sz w:val="24"/>
              </w:rPr>
              <w:t>一开井段：</w:t>
            </w:r>
            <w:r>
              <w:rPr>
                <w:rFonts w:hint="eastAsia"/>
                <w:sz w:val="24"/>
              </w:rPr>
              <w:t>501</w:t>
            </w:r>
            <w:r>
              <w:rPr>
                <w:sz w:val="24"/>
              </w:rPr>
              <w:t>m</w:t>
            </w:r>
            <w:r>
              <w:rPr>
                <w:rFonts w:hint="eastAsia"/>
                <w:sz w:val="24"/>
              </w:rPr>
              <w:t>，</w:t>
            </w:r>
            <w:r>
              <w:rPr>
                <w:sz w:val="24"/>
              </w:rPr>
              <w:t>二开井段：</w:t>
            </w:r>
            <w:r>
              <w:rPr>
                <w:rFonts w:hint="eastAsia"/>
                <w:sz w:val="24"/>
              </w:rPr>
              <w:t>1号井3499m、2号井3599m、3号井3599m。</w:t>
            </w:r>
          </w:p>
          <w:p w14:paraId="7AC2DA85">
            <w:pPr>
              <w:spacing w:line="360" w:lineRule="auto"/>
              <w:ind w:firstLine="1200" w:firstLineChars="500"/>
              <w:rPr>
                <w:sz w:val="24"/>
              </w:rPr>
            </w:pPr>
            <w:r>
              <w:rPr>
                <w:sz w:val="24"/>
              </w:rPr>
              <w:t>d</w:t>
            </w:r>
            <w:r>
              <w:rPr>
                <w:rFonts w:hint="eastAsia"/>
                <w:sz w:val="24"/>
              </w:rPr>
              <w:t>-</w:t>
            </w:r>
            <w:r>
              <w:rPr>
                <w:sz w:val="24"/>
              </w:rPr>
              <w:t>岩石密度，t/m</w:t>
            </w:r>
            <w:r>
              <w:rPr>
                <w:sz w:val="24"/>
                <w:vertAlign w:val="superscript"/>
              </w:rPr>
              <w:t>3</w:t>
            </w:r>
            <w:r>
              <w:rPr>
                <w:sz w:val="24"/>
              </w:rPr>
              <w:t>，取2.2t/m</w:t>
            </w:r>
            <w:r>
              <w:rPr>
                <w:sz w:val="24"/>
                <w:vertAlign w:val="superscript"/>
              </w:rPr>
              <w:t>3</w:t>
            </w:r>
            <w:r>
              <w:rPr>
                <w:sz w:val="24"/>
              </w:rPr>
              <w:t>。</w:t>
            </w:r>
          </w:p>
          <w:p w14:paraId="598E7F78">
            <w:pPr>
              <w:spacing w:line="360" w:lineRule="auto"/>
              <w:ind w:firstLine="480"/>
              <w:rPr>
                <w:sz w:val="24"/>
              </w:rPr>
            </w:pPr>
            <w:r>
              <w:rPr>
                <w:sz w:val="24"/>
              </w:rPr>
              <w:t>计算可知，1号井废弃钻井岩屑产生量为83.06m</w:t>
            </w:r>
            <w:r>
              <w:rPr>
                <w:sz w:val="24"/>
                <w:vertAlign w:val="superscript"/>
              </w:rPr>
              <w:t>3</w:t>
            </w:r>
            <w:r>
              <w:rPr>
                <w:sz w:val="24"/>
              </w:rPr>
              <w:t>，2号井废弃钻井岩屑产生量为84.89m</w:t>
            </w:r>
            <w:r>
              <w:rPr>
                <w:sz w:val="24"/>
                <w:vertAlign w:val="superscript"/>
              </w:rPr>
              <w:t>3</w:t>
            </w:r>
            <w:r>
              <w:rPr>
                <w:sz w:val="24"/>
              </w:rPr>
              <w:t>，3号井废弃钻井岩屑产生量为84.89m</w:t>
            </w:r>
            <w:r>
              <w:rPr>
                <w:sz w:val="24"/>
                <w:vertAlign w:val="superscript"/>
              </w:rPr>
              <w:t>3</w:t>
            </w:r>
            <w:r>
              <w:rPr>
                <w:sz w:val="24"/>
              </w:rPr>
              <w:t>。</w:t>
            </w:r>
          </w:p>
          <w:p w14:paraId="7FC2BBC2">
            <w:pPr>
              <w:snapToGrid w:val="0"/>
              <w:spacing w:line="360" w:lineRule="auto"/>
              <w:ind w:firstLine="480" w:firstLineChars="200"/>
              <w:jc w:val="left"/>
              <w:rPr>
                <w:sz w:val="24"/>
              </w:rPr>
            </w:pPr>
            <w:r>
              <w:rPr>
                <w:bCs/>
                <w:sz w:val="24"/>
              </w:rPr>
              <w:t>根据《国家危险废物名录》（2025年）以及《关于发布〈危险废物排除管理清单（2026年版）〉的公告》（生态环境部公告2026年第2号），废弃水基泥浆、钻井岩屑为一般工业固体废物，固体废物代码为071-001-S12。</w:t>
            </w:r>
          </w:p>
          <w:p w14:paraId="22370F85">
            <w:pPr>
              <w:autoSpaceDE w:val="0"/>
              <w:autoSpaceDN w:val="0"/>
              <w:adjustRightInd w:val="0"/>
              <w:jc w:val="center"/>
              <w:rPr>
                <w:b/>
                <w:kern w:val="0"/>
                <w:sz w:val="24"/>
                <w:szCs w:val="21"/>
              </w:rPr>
            </w:pPr>
            <w:r>
              <w:rPr>
                <w:b/>
                <w:kern w:val="0"/>
                <w:sz w:val="24"/>
                <w:szCs w:val="21"/>
              </w:rPr>
              <w:t>表4-7 废弃泥浆、钻井岩屑产生量统计表</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247"/>
              <w:gridCol w:w="1561"/>
              <w:gridCol w:w="1559"/>
              <w:gridCol w:w="1559"/>
              <w:gridCol w:w="2269"/>
            </w:tblGrid>
            <w:tr w14:paraId="0397550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761" w:type="pct"/>
                  <w:tcMar>
                    <w:left w:w="28" w:type="dxa"/>
                    <w:right w:w="28" w:type="dxa"/>
                  </w:tcMar>
                  <w:vAlign w:val="center"/>
                </w:tcPr>
                <w:p w14:paraId="69ED564F">
                  <w:pPr>
                    <w:ind w:right="9"/>
                    <w:jc w:val="center"/>
                    <w:rPr>
                      <w:kern w:val="0"/>
                      <w:szCs w:val="21"/>
                    </w:rPr>
                  </w:pPr>
                  <w:r>
                    <w:rPr>
                      <w:kern w:val="0"/>
                      <w:szCs w:val="21"/>
                    </w:rPr>
                    <w:t>井号</w:t>
                  </w:r>
                </w:p>
              </w:tc>
              <w:tc>
                <w:tcPr>
                  <w:tcW w:w="952" w:type="pct"/>
                  <w:tcMar>
                    <w:left w:w="28" w:type="dxa"/>
                    <w:right w:w="28" w:type="dxa"/>
                  </w:tcMar>
                  <w:vAlign w:val="center"/>
                </w:tcPr>
                <w:p w14:paraId="2CF4FEF1">
                  <w:pPr>
                    <w:spacing w:before="14"/>
                    <w:ind w:right="1"/>
                    <w:jc w:val="center"/>
                    <w:rPr>
                      <w:kern w:val="0"/>
                      <w:szCs w:val="21"/>
                    </w:rPr>
                  </w:pPr>
                  <w:r>
                    <w:rPr>
                      <w:kern w:val="0"/>
                      <w:szCs w:val="21"/>
                    </w:rPr>
                    <w:t>废弃泥浆（m</w:t>
                  </w:r>
                  <w:r>
                    <w:rPr>
                      <w:kern w:val="0"/>
                      <w:szCs w:val="21"/>
                      <w:vertAlign w:val="superscript"/>
                    </w:rPr>
                    <w:t>3</w:t>
                  </w:r>
                  <w:r>
                    <w:rPr>
                      <w:kern w:val="0"/>
                      <w:szCs w:val="21"/>
                    </w:rPr>
                    <w:t>）</w:t>
                  </w:r>
                </w:p>
              </w:tc>
              <w:tc>
                <w:tcPr>
                  <w:tcW w:w="951" w:type="pct"/>
                  <w:tcMar>
                    <w:left w:w="28" w:type="dxa"/>
                    <w:right w:w="28" w:type="dxa"/>
                  </w:tcMar>
                  <w:vAlign w:val="center"/>
                </w:tcPr>
                <w:p w14:paraId="5080499A">
                  <w:pPr>
                    <w:ind w:right="9"/>
                    <w:jc w:val="center"/>
                    <w:rPr>
                      <w:kern w:val="0"/>
                      <w:szCs w:val="21"/>
                    </w:rPr>
                  </w:pPr>
                  <w:r>
                    <w:rPr>
                      <w:kern w:val="0"/>
                      <w:szCs w:val="21"/>
                    </w:rPr>
                    <w:t>废弃钻井岩屑（m</w:t>
                  </w:r>
                  <w:r>
                    <w:rPr>
                      <w:kern w:val="0"/>
                      <w:szCs w:val="21"/>
                      <w:vertAlign w:val="superscript"/>
                    </w:rPr>
                    <w:t>3</w:t>
                  </w:r>
                  <w:r>
                    <w:rPr>
                      <w:kern w:val="0"/>
                      <w:szCs w:val="21"/>
                    </w:rPr>
                    <w:t>）</w:t>
                  </w:r>
                </w:p>
              </w:tc>
              <w:tc>
                <w:tcPr>
                  <w:tcW w:w="951" w:type="pct"/>
                  <w:tcMar>
                    <w:left w:w="28" w:type="dxa"/>
                    <w:right w:w="28" w:type="dxa"/>
                  </w:tcMar>
                  <w:vAlign w:val="center"/>
                </w:tcPr>
                <w:p w14:paraId="74F43F11">
                  <w:pPr>
                    <w:ind w:right="9"/>
                    <w:jc w:val="center"/>
                    <w:rPr>
                      <w:kern w:val="0"/>
                      <w:szCs w:val="21"/>
                    </w:rPr>
                  </w:pPr>
                  <w:r>
                    <w:rPr>
                      <w:kern w:val="0"/>
                      <w:szCs w:val="21"/>
                    </w:rPr>
                    <w:t>进入泥饼废弃物废水（m</w:t>
                  </w:r>
                  <w:r>
                    <w:rPr>
                      <w:kern w:val="0"/>
                      <w:szCs w:val="21"/>
                      <w:vertAlign w:val="superscript"/>
                    </w:rPr>
                    <w:t>3</w:t>
                  </w:r>
                  <w:r>
                    <w:rPr>
                      <w:kern w:val="0"/>
                      <w:szCs w:val="21"/>
                    </w:rPr>
                    <w:t>）</w:t>
                  </w:r>
                </w:p>
              </w:tc>
              <w:tc>
                <w:tcPr>
                  <w:tcW w:w="1384" w:type="pct"/>
                  <w:tcMar>
                    <w:left w:w="28" w:type="dxa"/>
                    <w:right w:w="28" w:type="dxa"/>
                  </w:tcMar>
                  <w:vAlign w:val="center"/>
                </w:tcPr>
                <w:p w14:paraId="3F9E3BFD">
                  <w:pPr>
                    <w:ind w:right="9"/>
                    <w:jc w:val="center"/>
                    <w:rPr>
                      <w:kern w:val="0"/>
                      <w:szCs w:val="21"/>
                    </w:rPr>
                  </w:pPr>
                  <w:r>
                    <w:rPr>
                      <w:kern w:val="0"/>
                      <w:szCs w:val="21"/>
                    </w:rPr>
                    <w:t>合计</w:t>
                  </w:r>
                </w:p>
              </w:tc>
            </w:tr>
            <w:tr w14:paraId="71DD45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1" w:type="pct"/>
                  <w:tcMar>
                    <w:left w:w="28" w:type="dxa"/>
                    <w:right w:w="28" w:type="dxa"/>
                  </w:tcMar>
                  <w:vAlign w:val="center"/>
                </w:tcPr>
                <w:p w14:paraId="5857361E">
                  <w:pPr>
                    <w:ind w:right="9"/>
                    <w:jc w:val="center"/>
                    <w:rPr>
                      <w:kern w:val="0"/>
                      <w:szCs w:val="21"/>
                    </w:rPr>
                  </w:pPr>
                  <w:r>
                    <w:rPr>
                      <w:kern w:val="0"/>
                      <w:szCs w:val="21"/>
                    </w:rPr>
                    <w:t>1号井</w:t>
                  </w:r>
                </w:p>
              </w:tc>
              <w:tc>
                <w:tcPr>
                  <w:tcW w:w="952" w:type="pct"/>
                  <w:tcMar>
                    <w:left w:w="28" w:type="dxa"/>
                    <w:right w:w="28" w:type="dxa"/>
                  </w:tcMar>
                  <w:vAlign w:val="center"/>
                </w:tcPr>
                <w:p w14:paraId="3E697733">
                  <w:pPr>
                    <w:spacing w:before="14"/>
                    <w:ind w:right="1"/>
                    <w:jc w:val="center"/>
                    <w:rPr>
                      <w:kern w:val="0"/>
                      <w:szCs w:val="21"/>
                    </w:rPr>
                  </w:pPr>
                  <w:r>
                    <w:rPr>
                      <w:kern w:val="0"/>
                      <w:szCs w:val="21"/>
                    </w:rPr>
                    <w:t>387.06</w:t>
                  </w:r>
                </w:p>
              </w:tc>
              <w:tc>
                <w:tcPr>
                  <w:tcW w:w="951" w:type="pct"/>
                  <w:tcMar>
                    <w:left w:w="28" w:type="dxa"/>
                    <w:right w:w="28" w:type="dxa"/>
                  </w:tcMar>
                  <w:vAlign w:val="center"/>
                </w:tcPr>
                <w:p w14:paraId="42A5B220">
                  <w:pPr>
                    <w:ind w:right="9"/>
                    <w:jc w:val="center"/>
                    <w:rPr>
                      <w:kern w:val="0"/>
                      <w:szCs w:val="21"/>
                    </w:rPr>
                  </w:pPr>
                  <w:r>
                    <w:rPr>
                      <w:kern w:val="0"/>
                      <w:szCs w:val="21"/>
                    </w:rPr>
                    <w:t>83.06</w:t>
                  </w:r>
                </w:p>
              </w:tc>
              <w:tc>
                <w:tcPr>
                  <w:tcW w:w="951" w:type="pct"/>
                  <w:tcMar>
                    <w:left w:w="28" w:type="dxa"/>
                    <w:right w:w="28" w:type="dxa"/>
                  </w:tcMar>
                  <w:vAlign w:val="center"/>
                </w:tcPr>
                <w:p w14:paraId="7B75E83E">
                  <w:pPr>
                    <w:ind w:right="9"/>
                    <w:jc w:val="center"/>
                    <w:rPr>
                      <w:kern w:val="0"/>
                      <w:szCs w:val="21"/>
                    </w:rPr>
                  </w:pPr>
                  <w:r>
                    <w:rPr>
                      <w:kern w:val="0"/>
                      <w:szCs w:val="21"/>
                    </w:rPr>
                    <w:t>320</w:t>
                  </w:r>
                </w:p>
              </w:tc>
              <w:tc>
                <w:tcPr>
                  <w:tcW w:w="1384" w:type="pct"/>
                  <w:tcMar>
                    <w:left w:w="28" w:type="dxa"/>
                    <w:right w:w="28" w:type="dxa"/>
                  </w:tcMar>
                  <w:vAlign w:val="center"/>
                </w:tcPr>
                <w:p w14:paraId="28E23331">
                  <w:pPr>
                    <w:ind w:right="9"/>
                    <w:jc w:val="center"/>
                    <w:rPr>
                      <w:kern w:val="0"/>
                      <w:szCs w:val="21"/>
                    </w:rPr>
                  </w:pPr>
                  <w:r>
                    <w:rPr>
                      <w:kern w:val="0"/>
                      <w:szCs w:val="21"/>
                    </w:rPr>
                    <w:t>790.12m</w:t>
                  </w:r>
                  <w:r>
                    <w:rPr>
                      <w:kern w:val="0"/>
                      <w:szCs w:val="21"/>
                      <w:vertAlign w:val="superscript"/>
                    </w:rPr>
                    <w:t>3</w:t>
                  </w:r>
                  <w:r>
                    <w:rPr>
                      <w:kern w:val="0"/>
                      <w:szCs w:val="21"/>
                    </w:rPr>
                    <w:t>（16.46m</w:t>
                  </w:r>
                  <w:r>
                    <w:rPr>
                      <w:kern w:val="0"/>
                      <w:szCs w:val="21"/>
                      <w:vertAlign w:val="superscript"/>
                    </w:rPr>
                    <w:t>3</w:t>
                  </w:r>
                  <w:r>
                    <w:rPr>
                      <w:kern w:val="0"/>
                      <w:szCs w:val="21"/>
                    </w:rPr>
                    <w:t>/d）</w:t>
                  </w:r>
                </w:p>
              </w:tc>
            </w:tr>
            <w:tr w14:paraId="52A2B53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1" w:type="pct"/>
                  <w:tcMar>
                    <w:left w:w="28" w:type="dxa"/>
                    <w:right w:w="28" w:type="dxa"/>
                  </w:tcMar>
                  <w:vAlign w:val="center"/>
                </w:tcPr>
                <w:p w14:paraId="580A6F4E">
                  <w:pPr>
                    <w:ind w:right="9"/>
                    <w:jc w:val="center"/>
                    <w:rPr>
                      <w:kern w:val="0"/>
                      <w:szCs w:val="21"/>
                    </w:rPr>
                  </w:pPr>
                  <w:r>
                    <w:rPr>
                      <w:kern w:val="0"/>
                      <w:szCs w:val="21"/>
                    </w:rPr>
                    <w:t>2号井</w:t>
                  </w:r>
                </w:p>
              </w:tc>
              <w:tc>
                <w:tcPr>
                  <w:tcW w:w="952" w:type="pct"/>
                  <w:tcMar>
                    <w:left w:w="28" w:type="dxa"/>
                    <w:right w:w="28" w:type="dxa"/>
                  </w:tcMar>
                  <w:vAlign w:val="center"/>
                </w:tcPr>
                <w:p w14:paraId="71AF65F4">
                  <w:pPr>
                    <w:spacing w:before="14"/>
                    <w:ind w:right="1"/>
                    <w:jc w:val="center"/>
                    <w:rPr>
                      <w:kern w:val="0"/>
                      <w:szCs w:val="21"/>
                    </w:rPr>
                  </w:pPr>
                  <w:r>
                    <w:rPr>
                      <w:kern w:val="0"/>
                      <w:szCs w:val="21"/>
                    </w:rPr>
                    <w:t>392.49</w:t>
                  </w:r>
                </w:p>
              </w:tc>
              <w:tc>
                <w:tcPr>
                  <w:tcW w:w="951" w:type="pct"/>
                  <w:tcMar>
                    <w:left w:w="28" w:type="dxa"/>
                    <w:right w:w="28" w:type="dxa"/>
                  </w:tcMar>
                  <w:vAlign w:val="center"/>
                </w:tcPr>
                <w:p w14:paraId="06BD593A">
                  <w:pPr>
                    <w:ind w:right="9"/>
                    <w:jc w:val="center"/>
                    <w:rPr>
                      <w:kern w:val="0"/>
                      <w:szCs w:val="21"/>
                    </w:rPr>
                  </w:pPr>
                  <w:r>
                    <w:rPr>
                      <w:kern w:val="0"/>
                      <w:szCs w:val="21"/>
                    </w:rPr>
                    <w:t>84.89</w:t>
                  </w:r>
                </w:p>
              </w:tc>
              <w:tc>
                <w:tcPr>
                  <w:tcW w:w="951" w:type="pct"/>
                  <w:tcMar>
                    <w:left w:w="28" w:type="dxa"/>
                    <w:right w:w="28" w:type="dxa"/>
                  </w:tcMar>
                  <w:vAlign w:val="center"/>
                </w:tcPr>
                <w:p w14:paraId="46A21936">
                  <w:pPr>
                    <w:ind w:right="9"/>
                    <w:jc w:val="center"/>
                    <w:rPr>
                      <w:kern w:val="0"/>
                      <w:szCs w:val="21"/>
                    </w:rPr>
                  </w:pPr>
                  <w:r>
                    <w:rPr>
                      <w:kern w:val="0"/>
                      <w:szCs w:val="21"/>
                    </w:rPr>
                    <w:t>328</w:t>
                  </w:r>
                </w:p>
              </w:tc>
              <w:tc>
                <w:tcPr>
                  <w:tcW w:w="1384" w:type="pct"/>
                  <w:tcMar>
                    <w:left w:w="28" w:type="dxa"/>
                    <w:right w:w="28" w:type="dxa"/>
                  </w:tcMar>
                  <w:vAlign w:val="center"/>
                </w:tcPr>
                <w:p w14:paraId="69F03773">
                  <w:pPr>
                    <w:ind w:right="9"/>
                    <w:jc w:val="center"/>
                    <w:rPr>
                      <w:kern w:val="0"/>
                      <w:szCs w:val="21"/>
                    </w:rPr>
                  </w:pPr>
                  <w:r>
                    <w:rPr>
                      <w:kern w:val="0"/>
                      <w:szCs w:val="21"/>
                    </w:rPr>
                    <w:t>805.38m</w:t>
                  </w:r>
                  <w:r>
                    <w:rPr>
                      <w:kern w:val="0"/>
                      <w:szCs w:val="21"/>
                      <w:vertAlign w:val="superscript"/>
                    </w:rPr>
                    <w:t>3</w:t>
                  </w:r>
                  <w:r>
                    <w:rPr>
                      <w:kern w:val="0"/>
                      <w:szCs w:val="21"/>
                    </w:rPr>
                    <w:t>（16.78m</w:t>
                  </w:r>
                  <w:r>
                    <w:rPr>
                      <w:kern w:val="0"/>
                      <w:szCs w:val="21"/>
                      <w:vertAlign w:val="superscript"/>
                    </w:rPr>
                    <w:t>3</w:t>
                  </w:r>
                  <w:r>
                    <w:rPr>
                      <w:kern w:val="0"/>
                      <w:szCs w:val="21"/>
                    </w:rPr>
                    <w:t>/d）</w:t>
                  </w:r>
                </w:p>
              </w:tc>
            </w:tr>
            <w:tr w14:paraId="135F215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1" w:type="pct"/>
                  <w:tcMar>
                    <w:left w:w="28" w:type="dxa"/>
                    <w:right w:w="28" w:type="dxa"/>
                  </w:tcMar>
                  <w:vAlign w:val="center"/>
                </w:tcPr>
                <w:p w14:paraId="571CA707">
                  <w:pPr>
                    <w:ind w:right="9"/>
                    <w:jc w:val="center"/>
                    <w:rPr>
                      <w:kern w:val="0"/>
                      <w:szCs w:val="21"/>
                    </w:rPr>
                  </w:pPr>
                  <w:r>
                    <w:rPr>
                      <w:kern w:val="0"/>
                      <w:szCs w:val="21"/>
                    </w:rPr>
                    <w:t>3号井</w:t>
                  </w:r>
                </w:p>
              </w:tc>
              <w:tc>
                <w:tcPr>
                  <w:tcW w:w="952" w:type="pct"/>
                  <w:tcMar>
                    <w:left w:w="28" w:type="dxa"/>
                    <w:right w:w="28" w:type="dxa"/>
                  </w:tcMar>
                  <w:vAlign w:val="center"/>
                </w:tcPr>
                <w:p w14:paraId="666248CC">
                  <w:pPr>
                    <w:spacing w:before="14"/>
                    <w:ind w:right="1"/>
                    <w:jc w:val="center"/>
                    <w:rPr>
                      <w:kern w:val="0"/>
                      <w:szCs w:val="21"/>
                    </w:rPr>
                  </w:pPr>
                  <w:r>
                    <w:rPr>
                      <w:kern w:val="0"/>
                      <w:szCs w:val="21"/>
                    </w:rPr>
                    <w:t>392.49</w:t>
                  </w:r>
                </w:p>
              </w:tc>
              <w:tc>
                <w:tcPr>
                  <w:tcW w:w="951" w:type="pct"/>
                  <w:tcMar>
                    <w:left w:w="28" w:type="dxa"/>
                    <w:right w:w="28" w:type="dxa"/>
                  </w:tcMar>
                  <w:vAlign w:val="center"/>
                </w:tcPr>
                <w:p w14:paraId="7C51928A">
                  <w:pPr>
                    <w:ind w:right="9"/>
                    <w:jc w:val="center"/>
                    <w:rPr>
                      <w:kern w:val="0"/>
                      <w:szCs w:val="21"/>
                    </w:rPr>
                  </w:pPr>
                  <w:r>
                    <w:rPr>
                      <w:kern w:val="0"/>
                      <w:szCs w:val="21"/>
                    </w:rPr>
                    <w:t>84.89</w:t>
                  </w:r>
                </w:p>
              </w:tc>
              <w:tc>
                <w:tcPr>
                  <w:tcW w:w="951" w:type="pct"/>
                  <w:tcMar>
                    <w:left w:w="28" w:type="dxa"/>
                    <w:right w:w="28" w:type="dxa"/>
                  </w:tcMar>
                  <w:vAlign w:val="center"/>
                </w:tcPr>
                <w:p w14:paraId="22C18C0F">
                  <w:pPr>
                    <w:ind w:right="9"/>
                    <w:jc w:val="center"/>
                    <w:rPr>
                      <w:kern w:val="0"/>
                      <w:szCs w:val="21"/>
                    </w:rPr>
                  </w:pPr>
                  <w:r>
                    <w:rPr>
                      <w:kern w:val="0"/>
                      <w:szCs w:val="21"/>
                    </w:rPr>
                    <w:t>328</w:t>
                  </w:r>
                </w:p>
              </w:tc>
              <w:tc>
                <w:tcPr>
                  <w:tcW w:w="1384" w:type="pct"/>
                  <w:tcMar>
                    <w:left w:w="28" w:type="dxa"/>
                    <w:right w:w="28" w:type="dxa"/>
                  </w:tcMar>
                  <w:vAlign w:val="center"/>
                </w:tcPr>
                <w:p w14:paraId="04AF4994">
                  <w:pPr>
                    <w:ind w:right="9"/>
                    <w:jc w:val="center"/>
                    <w:rPr>
                      <w:kern w:val="0"/>
                      <w:szCs w:val="21"/>
                    </w:rPr>
                  </w:pPr>
                  <w:r>
                    <w:rPr>
                      <w:kern w:val="0"/>
                      <w:szCs w:val="21"/>
                    </w:rPr>
                    <w:t>805.38m</w:t>
                  </w:r>
                  <w:r>
                    <w:rPr>
                      <w:kern w:val="0"/>
                      <w:szCs w:val="21"/>
                      <w:vertAlign w:val="superscript"/>
                    </w:rPr>
                    <w:t>3</w:t>
                  </w:r>
                  <w:r>
                    <w:rPr>
                      <w:kern w:val="0"/>
                      <w:szCs w:val="21"/>
                    </w:rPr>
                    <w:t>（16.78m</w:t>
                  </w:r>
                  <w:r>
                    <w:rPr>
                      <w:kern w:val="0"/>
                      <w:szCs w:val="21"/>
                      <w:vertAlign w:val="superscript"/>
                    </w:rPr>
                    <w:t>3</w:t>
                  </w:r>
                  <w:r>
                    <w:rPr>
                      <w:kern w:val="0"/>
                      <w:szCs w:val="21"/>
                    </w:rPr>
                    <w:t>/d）</w:t>
                  </w:r>
                </w:p>
              </w:tc>
            </w:tr>
            <w:tr w14:paraId="722D2CE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1" w:type="pct"/>
                  <w:tcMar>
                    <w:left w:w="28" w:type="dxa"/>
                    <w:right w:w="28" w:type="dxa"/>
                  </w:tcMar>
                  <w:vAlign w:val="center"/>
                </w:tcPr>
                <w:p w14:paraId="32C477D0">
                  <w:pPr>
                    <w:ind w:right="9"/>
                    <w:jc w:val="center"/>
                    <w:rPr>
                      <w:kern w:val="0"/>
                      <w:szCs w:val="21"/>
                    </w:rPr>
                  </w:pPr>
                  <w:r>
                    <w:rPr>
                      <w:kern w:val="0"/>
                      <w:szCs w:val="21"/>
                    </w:rPr>
                    <w:t>合计</w:t>
                  </w:r>
                </w:p>
              </w:tc>
              <w:tc>
                <w:tcPr>
                  <w:tcW w:w="952" w:type="pct"/>
                  <w:tcMar>
                    <w:left w:w="28" w:type="dxa"/>
                    <w:right w:w="28" w:type="dxa"/>
                  </w:tcMar>
                  <w:vAlign w:val="center"/>
                </w:tcPr>
                <w:p w14:paraId="3B1B1CB5">
                  <w:pPr>
                    <w:spacing w:before="14"/>
                    <w:ind w:right="1"/>
                    <w:jc w:val="center"/>
                    <w:rPr>
                      <w:kern w:val="0"/>
                      <w:szCs w:val="21"/>
                    </w:rPr>
                  </w:pPr>
                  <w:r>
                    <w:rPr>
                      <w:kern w:val="0"/>
                      <w:szCs w:val="21"/>
                    </w:rPr>
                    <w:t>1172.04</w:t>
                  </w:r>
                </w:p>
              </w:tc>
              <w:tc>
                <w:tcPr>
                  <w:tcW w:w="951" w:type="pct"/>
                  <w:tcMar>
                    <w:left w:w="28" w:type="dxa"/>
                    <w:right w:w="28" w:type="dxa"/>
                  </w:tcMar>
                  <w:vAlign w:val="center"/>
                </w:tcPr>
                <w:p w14:paraId="6F41FA2B">
                  <w:pPr>
                    <w:ind w:right="9"/>
                    <w:jc w:val="center"/>
                    <w:rPr>
                      <w:kern w:val="0"/>
                      <w:szCs w:val="21"/>
                    </w:rPr>
                  </w:pPr>
                  <w:r>
                    <w:rPr>
                      <w:kern w:val="0"/>
                      <w:szCs w:val="21"/>
                    </w:rPr>
                    <w:t>252.84</w:t>
                  </w:r>
                </w:p>
              </w:tc>
              <w:tc>
                <w:tcPr>
                  <w:tcW w:w="951" w:type="pct"/>
                  <w:tcMar>
                    <w:left w:w="28" w:type="dxa"/>
                    <w:right w:w="28" w:type="dxa"/>
                  </w:tcMar>
                  <w:vAlign w:val="center"/>
                </w:tcPr>
                <w:p w14:paraId="72A75C41">
                  <w:pPr>
                    <w:ind w:right="9"/>
                    <w:jc w:val="center"/>
                    <w:rPr>
                      <w:kern w:val="0"/>
                      <w:szCs w:val="21"/>
                    </w:rPr>
                  </w:pPr>
                  <w:r>
                    <w:rPr>
                      <w:kern w:val="0"/>
                      <w:szCs w:val="21"/>
                    </w:rPr>
                    <w:t>976</w:t>
                  </w:r>
                </w:p>
              </w:tc>
              <w:tc>
                <w:tcPr>
                  <w:tcW w:w="1384" w:type="pct"/>
                  <w:tcMar>
                    <w:left w:w="28" w:type="dxa"/>
                    <w:right w:w="28" w:type="dxa"/>
                  </w:tcMar>
                  <w:vAlign w:val="center"/>
                </w:tcPr>
                <w:p w14:paraId="0D69887F">
                  <w:pPr>
                    <w:ind w:right="9"/>
                    <w:jc w:val="center"/>
                    <w:rPr>
                      <w:kern w:val="0"/>
                      <w:szCs w:val="21"/>
                    </w:rPr>
                  </w:pPr>
                  <w:r>
                    <w:rPr>
                      <w:kern w:val="0"/>
                      <w:szCs w:val="21"/>
                    </w:rPr>
                    <w:t>2400.88m</w:t>
                  </w:r>
                  <w:r>
                    <w:rPr>
                      <w:kern w:val="0"/>
                      <w:szCs w:val="21"/>
                      <w:vertAlign w:val="superscript"/>
                    </w:rPr>
                    <w:t>3</w:t>
                  </w:r>
                  <w:r>
                    <w:rPr>
                      <w:kern w:val="0"/>
                      <w:szCs w:val="21"/>
                    </w:rPr>
                    <w:t>（16.67m</w:t>
                  </w:r>
                  <w:r>
                    <w:rPr>
                      <w:kern w:val="0"/>
                      <w:szCs w:val="21"/>
                      <w:vertAlign w:val="superscript"/>
                    </w:rPr>
                    <w:t>3</w:t>
                  </w:r>
                  <w:r>
                    <w:rPr>
                      <w:kern w:val="0"/>
                      <w:szCs w:val="21"/>
                    </w:rPr>
                    <w:t>/d）</w:t>
                  </w:r>
                </w:p>
              </w:tc>
            </w:tr>
          </w:tbl>
          <w:p w14:paraId="5B7504EA">
            <w:pPr>
              <w:spacing w:line="360" w:lineRule="auto"/>
              <w:ind w:firstLine="480"/>
              <w:rPr>
                <w:sz w:val="24"/>
              </w:rPr>
            </w:pPr>
            <w:r>
              <w:rPr>
                <w:sz w:val="24"/>
              </w:rPr>
              <w:t>根据上述（1）、（2）核算，绝干废弃泥浆、钻井岩屑产生量为</w:t>
            </w:r>
            <w:r>
              <w:rPr>
                <w:bCs/>
                <w:sz w:val="24"/>
              </w:rPr>
              <w:t>1424.88m</w:t>
            </w:r>
            <w:r>
              <w:rPr>
                <w:bCs/>
                <w:sz w:val="24"/>
                <w:vertAlign w:val="superscript"/>
              </w:rPr>
              <w:t>3</w:t>
            </w:r>
            <w:r>
              <w:rPr>
                <w:bCs/>
                <w:sz w:val="24"/>
              </w:rPr>
              <w:t>/钻井期。</w:t>
            </w:r>
            <w:r>
              <w:rPr>
                <w:sz w:val="24"/>
              </w:rPr>
              <w:t>结合项目水平衡情况，钻井过程产生的废弃泥浆、钻井岩屑约</w:t>
            </w:r>
            <w:r>
              <w:rPr>
                <w:bCs/>
                <w:sz w:val="24"/>
              </w:rPr>
              <w:t>2400.88m</w:t>
            </w:r>
            <w:r>
              <w:rPr>
                <w:bCs/>
                <w:sz w:val="24"/>
                <w:vertAlign w:val="superscript"/>
              </w:rPr>
              <w:t>3</w:t>
            </w:r>
            <w:r>
              <w:rPr>
                <w:bCs/>
                <w:sz w:val="24"/>
              </w:rPr>
              <w:t>/钻井期（16.67m</w:t>
            </w:r>
            <w:r>
              <w:rPr>
                <w:bCs/>
                <w:sz w:val="24"/>
                <w:vertAlign w:val="superscript"/>
              </w:rPr>
              <w:t>3</w:t>
            </w:r>
            <w:r>
              <w:rPr>
                <w:bCs/>
                <w:sz w:val="24"/>
              </w:rPr>
              <w:t>/d）</w:t>
            </w:r>
            <w:r>
              <w:rPr>
                <w:sz w:val="24"/>
              </w:rPr>
              <w:t>，</w:t>
            </w:r>
            <w:r>
              <w:rPr>
                <w:sz w:val="24"/>
                <w:szCs w:val="21"/>
              </w:rPr>
              <w:t>收集至泥浆不落地循环系统装置旁的</w:t>
            </w:r>
            <w:r>
              <w:rPr>
                <w:sz w:val="24"/>
              </w:rPr>
              <w:t>3具30m</w:t>
            </w:r>
            <w:r>
              <w:rPr>
                <w:sz w:val="24"/>
                <w:vertAlign w:val="superscript"/>
              </w:rPr>
              <w:t>3</w:t>
            </w:r>
            <w:r>
              <w:rPr>
                <w:sz w:val="24"/>
                <w:szCs w:val="21"/>
              </w:rPr>
              <w:t>可移动废水罐临时贮存，定期</w:t>
            </w:r>
            <w:r>
              <w:rPr>
                <w:sz w:val="24"/>
              </w:rPr>
              <w:t>拉运至内蒙古众宁环保科技有限公司油气田废弃物集中处理厂处理</w:t>
            </w:r>
            <w:r>
              <w:rPr>
                <w:bCs/>
                <w:sz w:val="24"/>
              </w:rPr>
              <w:t>。</w:t>
            </w:r>
          </w:p>
          <w:p w14:paraId="517CC01D">
            <w:pPr>
              <w:spacing w:line="360" w:lineRule="auto"/>
              <w:ind w:firstLine="480"/>
              <w:rPr>
                <w:sz w:val="24"/>
              </w:rPr>
            </w:pPr>
            <w:r>
              <w:rPr>
                <w:rFonts w:hint="eastAsia" w:ascii="宋体" w:hAnsi="宋体" w:cs="宋体"/>
                <w:sz w:val="24"/>
              </w:rPr>
              <w:t>②</w:t>
            </w:r>
            <w:r>
              <w:rPr>
                <w:sz w:val="24"/>
              </w:rPr>
              <w:t>生活垃圾</w:t>
            </w:r>
          </w:p>
          <w:p w14:paraId="78FAA953">
            <w:pPr>
              <w:spacing w:line="360" w:lineRule="auto"/>
              <w:ind w:firstLine="480"/>
              <w:rPr>
                <w:sz w:val="24"/>
              </w:rPr>
            </w:pPr>
            <w:r>
              <w:rPr>
                <w:sz w:val="24"/>
              </w:rPr>
              <w:t>项目劳动定员40人，勘探期180天，按每人每天产生0.5kg生活垃圾计算，则产生量为3.6t/勘探期。井场设置垃圾桶，集中收集后，拉运至当地乡镇生活垃圾点，由当地环卫部门处理。</w:t>
            </w:r>
            <w:r>
              <w:rPr>
                <w:bCs/>
                <w:sz w:val="24"/>
              </w:rPr>
              <w:t>固体废物代码为SW61和SW62。</w:t>
            </w:r>
          </w:p>
          <w:p w14:paraId="6E35BB04">
            <w:pPr>
              <w:spacing w:line="360" w:lineRule="auto"/>
              <w:ind w:firstLine="480"/>
              <w:rPr>
                <w:sz w:val="24"/>
              </w:rPr>
            </w:pPr>
            <w:r>
              <w:rPr>
                <w:sz w:val="24"/>
              </w:rPr>
              <w:t>（2）危险废物</w:t>
            </w:r>
          </w:p>
          <w:p w14:paraId="32A3118D">
            <w:pPr>
              <w:spacing w:line="360" w:lineRule="auto"/>
              <w:ind w:firstLine="480"/>
              <w:rPr>
                <w:sz w:val="24"/>
              </w:rPr>
            </w:pPr>
            <w:r>
              <w:rPr>
                <w:rFonts w:hint="eastAsia" w:ascii="宋体" w:hAnsi="宋体" w:cs="宋体"/>
                <w:sz w:val="24"/>
              </w:rPr>
              <w:t>①</w:t>
            </w:r>
            <w:r>
              <w:rPr>
                <w:sz w:val="24"/>
              </w:rPr>
              <w:t>废润滑油</w:t>
            </w:r>
          </w:p>
          <w:p w14:paraId="7AF3337B">
            <w:pPr>
              <w:spacing w:line="360" w:lineRule="auto"/>
              <w:ind w:firstLine="480" w:firstLineChars="200"/>
              <w:rPr>
                <w:sz w:val="24"/>
              </w:rPr>
            </w:pPr>
            <w:r>
              <w:rPr>
                <w:sz w:val="24"/>
              </w:rPr>
              <w:t>废润滑油主要来源于钻井设备机械维修过程中产生的废发动机油、制动器油、自动变速器油、齿轮油等，类比华北油田探井废润滑油产生量统计数据，项目废润滑油产生量约0.2t，危险废物代码为900-214-08，危险特性为T，I。</w:t>
            </w:r>
          </w:p>
          <w:p w14:paraId="25C1EE11">
            <w:pPr>
              <w:spacing w:line="360" w:lineRule="auto"/>
              <w:ind w:firstLine="480"/>
              <w:rPr>
                <w:sz w:val="24"/>
              </w:rPr>
            </w:pPr>
            <w:r>
              <w:rPr>
                <w:sz w:val="24"/>
              </w:rPr>
              <w:t>项目废润滑油采用密封铁皮桶收集，暂存于撬装式危废贮存点内，最终交有资质单位拉运处置。钻井设备委托第三方维修服务单位进行维修或更换机油等，更换后的油桶由第三方维修服务单位回收再利用。因此不再进行废油桶的分析。</w:t>
            </w:r>
          </w:p>
          <w:p w14:paraId="41CEDFD9">
            <w:pPr>
              <w:spacing w:line="360" w:lineRule="auto"/>
              <w:ind w:firstLine="480"/>
              <w:rPr>
                <w:sz w:val="24"/>
              </w:rPr>
            </w:pPr>
            <w:r>
              <w:rPr>
                <w:rFonts w:hint="eastAsia" w:ascii="宋体" w:hAnsi="宋体" w:cs="宋体"/>
                <w:sz w:val="24"/>
              </w:rPr>
              <w:t>②</w:t>
            </w:r>
            <w:r>
              <w:rPr>
                <w:sz w:val="24"/>
              </w:rPr>
              <w:t>落地油、废防渗材料</w:t>
            </w:r>
          </w:p>
          <w:p w14:paraId="6FB5E1AF">
            <w:pPr>
              <w:spacing w:line="360" w:lineRule="auto"/>
              <w:ind w:firstLine="480"/>
              <w:rPr>
                <w:sz w:val="24"/>
              </w:rPr>
            </w:pPr>
            <w:r>
              <w:rPr>
                <w:sz w:val="24"/>
              </w:rPr>
              <w:t>项目采用过平衡钻井方式，在油井钻井过程中，井筒液柱压力大于或略小于地层孔隙压力，严禁地层流体进入井筒，正常情况下钻井过程中无液体伴随井筒回到地面，因此钻井过程中无落地油产生。</w:t>
            </w:r>
          </w:p>
          <w:p w14:paraId="48AD86DE">
            <w:pPr>
              <w:spacing w:line="360" w:lineRule="auto"/>
              <w:ind w:firstLine="480"/>
              <w:rPr>
                <w:sz w:val="24"/>
              </w:rPr>
            </w:pPr>
            <w:r>
              <w:rPr>
                <w:sz w:val="24"/>
              </w:rPr>
              <w:t>项目钻井设备、试油设备、柴油罐等下铺设双层2mm厚高密度聚乙烯防渗膜，同时防渗膜敷设外延50cm以上，以防止落地油污染土壤环境。采出液密闭输送至储液罐内暂存，因此正常工况不会产生落地油。</w:t>
            </w:r>
          </w:p>
          <w:p w14:paraId="5CF3FE2A">
            <w:pPr>
              <w:spacing w:line="360" w:lineRule="auto"/>
              <w:ind w:firstLine="480" w:firstLineChars="200"/>
              <w:rPr>
                <w:sz w:val="24"/>
              </w:rPr>
            </w:pPr>
            <w:r>
              <w:rPr>
                <w:sz w:val="24"/>
              </w:rPr>
              <w:t>施工过程中储罐阀门、法兰等渗漏或施工操作不当会产生少量落地油，产生量约0.2t，危险废物代码为071-001-08，防渗膜将有效收集事故状态产生的落地油；施工过程中及施工结束后场地清理过程中会产生少量废防渗材料，产生量约0.5t，危险废物代码为900-249-08。落地油、废防渗材料暂存于井场撬装式危废贮存点内，定期交有资质单位</w:t>
            </w:r>
            <w:r>
              <w:rPr>
                <w:rFonts w:hint="eastAsia"/>
                <w:sz w:val="24"/>
              </w:rPr>
              <w:t>拉运处置</w:t>
            </w:r>
            <w:r>
              <w:rPr>
                <w:sz w:val="24"/>
              </w:rPr>
              <w:t>。</w:t>
            </w:r>
          </w:p>
          <w:p w14:paraId="307318C7">
            <w:pPr>
              <w:spacing w:line="360" w:lineRule="auto"/>
              <w:ind w:firstLine="480"/>
              <w:rPr>
                <w:sz w:val="24"/>
              </w:rPr>
            </w:pPr>
            <w:r>
              <w:rPr>
                <w:rFonts w:hint="eastAsia"/>
                <w:bCs/>
                <w:sz w:val="24"/>
              </w:rPr>
              <w:t>项目固废产生情况具体见下表。</w:t>
            </w:r>
          </w:p>
          <w:p w14:paraId="75CC27CC">
            <w:pPr>
              <w:autoSpaceDE w:val="0"/>
              <w:autoSpaceDN w:val="0"/>
              <w:adjustRightInd w:val="0"/>
              <w:ind w:firstLine="482" w:firstLineChars="200"/>
              <w:jc w:val="center"/>
              <w:rPr>
                <w:b/>
                <w:kern w:val="0"/>
                <w:sz w:val="24"/>
                <w:szCs w:val="21"/>
              </w:rPr>
            </w:pPr>
            <w:r>
              <w:rPr>
                <w:b/>
                <w:kern w:val="0"/>
                <w:sz w:val="24"/>
                <w:szCs w:val="21"/>
              </w:rPr>
              <w:t>表</w:t>
            </w:r>
            <w:r>
              <w:rPr>
                <w:rFonts w:hint="eastAsia"/>
                <w:b/>
                <w:kern w:val="0"/>
                <w:sz w:val="24"/>
                <w:szCs w:val="21"/>
              </w:rPr>
              <w:t xml:space="preserve">4-8 </w:t>
            </w:r>
            <w:r>
              <w:rPr>
                <w:b/>
                <w:kern w:val="0"/>
                <w:sz w:val="24"/>
                <w:szCs w:val="21"/>
              </w:rPr>
              <w:t>项目固体废物产生量一览表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05"/>
              <w:gridCol w:w="1076"/>
              <w:gridCol w:w="1222"/>
              <w:gridCol w:w="1091"/>
              <w:gridCol w:w="2290"/>
              <w:gridCol w:w="1411"/>
            </w:tblGrid>
            <w:tr w14:paraId="38800A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736" w:type="pct"/>
                  <w:tcMar>
                    <w:left w:w="28" w:type="dxa"/>
                    <w:right w:w="28" w:type="dxa"/>
                  </w:tcMar>
                  <w:vAlign w:val="center"/>
                </w:tcPr>
                <w:p w14:paraId="44D68D56">
                  <w:pPr>
                    <w:jc w:val="center"/>
                    <w:rPr>
                      <w:bCs/>
                      <w:szCs w:val="21"/>
                    </w:rPr>
                  </w:pPr>
                  <w:r>
                    <w:rPr>
                      <w:bCs/>
                      <w:szCs w:val="21"/>
                    </w:rPr>
                    <w:t>种类</w:t>
                  </w:r>
                </w:p>
              </w:tc>
              <w:tc>
                <w:tcPr>
                  <w:tcW w:w="718" w:type="pct"/>
                  <w:tcMar>
                    <w:left w:w="28" w:type="dxa"/>
                    <w:right w:w="28" w:type="dxa"/>
                  </w:tcMar>
                  <w:vAlign w:val="center"/>
                </w:tcPr>
                <w:p w14:paraId="79CBFA22">
                  <w:pPr>
                    <w:jc w:val="center"/>
                    <w:rPr>
                      <w:bCs/>
                      <w:szCs w:val="21"/>
                    </w:rPr>
                  </w:pPr>
                  <w:r>
                    <w:rPr>
                      <w:bCs/>
                      <w:szCs w:val="21"/>
                    </w:rPr>
                    <w:t>来源</w:t>
                  </w:r>
                </w:p>
              </w:tc>
              <w:tc>
                <w:tcPr>
                  <w:tcW w:w="657" w:type="pct"/>
                  <w:tcMar>
                    <w:left w:w="28" w:type="dxa"/>
                    <w:right w:w="28" w:type="dxa"/>
                  </w:tcMar>
                  <w:vAlign w:val="center"/>
                </w:tcPr>
                <w:p w14:paraId="6FE835ED">
                  <w:pPr>
                    <w:jc w:val="center"/>
                    <w:rPr>
                      <w:bCs/>
                      <w:szCs w:val="21"/>
                    </w:rPr>
                  </w:pPr>
                  <w:r>
                    <w:rPr>
                      <w:bCs/>
                      <w:szCs w:val="21"/>
                    </w:rPr>
                    <w:t>产生量</w:t>
                  </w:r>
                </w:p>
              </w:tc>
              <w:tc>
                <w:tcPr>
                  <w:tcW w:w="727" w:type="pct"/>
                  <w:tcMar>
                    <w:left w:w="28" w:type="dxa"/>
                    <w:right w:w="28" w:type="dxa"/>
                  </w:tcMar>
                  <w:vAlign w:val="center"/>
                </w:tcPr>
                <w:p w14:paraId="53B94BF3">
                  <w:pPr>
                    <w:jc w:val="center"/>
                    <w:rPr>
                      <w:bCs/>
                      <w:szCs w:val="21"/>
                    </w:rPr>
                  </w:pPr>
                  <w:r>
                    <w:rPr>
                      <w:bCs/>
                      <w:szCs w:val="21"/>
                    </w:rPr>
                    <w:t>主要成分</w:t>
                  </w:r>
                </w:p>
              </w:tc>
              <w:tc>
                <w:tcPr>
                  <w:tcW w:w="1459" w:type="pct"/>
                  <w:tcMar>
                    <w:left w:w="28" w:type="dxa"/>
                    <w:right w:w="28" w:type="dxa"/>
                  </w:tcMar>
                  <w:vAlign w:val="center"/>
                </w:tcPr>
                <w:p w14:paraId="13C9D048">
                  <w:pPr>
                    <w:jc w:val="center"/>
                    <w:rPr>
                      <w:bCs/>
                      <w:szCs w:val="21"/>
                    </w:rPr>
                  </w:pPr>
                  <w:r>
                    <w:rPr>
                      <w:bCs/>
                      <w:szCs w:val="21"/>
                    </w:rPr>
                    <w:t>处理处置方式</w:t>
                  </w:r>
                </w:p>
              </w:tc>
              <w:tc>
                <w:tcPr>
                  <w:tcW w:w="703" w:type="pct"/>
                  <w:tcMar>
                    <w:left w:w="28" w:type="dxa"/>
                    <w:right w:w="28" w:type="dxa"/>
                  </w:tcMar>
                  <w:vAlign w:val="center"/>
                </w:tcPr>
                <w:p w14:paraId="40152586">
                  <w:pPr>
                    <w:jc w:val="center"/>
                    <w:rPr>
                      <w:bCs/>
                      <w:szCs w:val="21"/>
                    </w:rPr>
                  </w:pPr>
                  <w:r>
                    <w:rPr>
                      <w:bCs/>
                      <w:szCs w:val="21"/>
                    </w:rPr>
                    <w:t>分类</w:t>
                  </w:r>
                </w:p>
              </w:tc>
            </w:tr>
            <w:tr w14:paraId="10BD12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92" w:hRule="atLeast"/>
                <w:jc w:val="center"/>
              </w:trPr>
              <w:tc>
                <w:tcPr>
                  <w:tcW w:w="736" w:type="pct"/>
                  <w:tcMar>
                    <w:left w:w="28" w:type="dxa"/>
                    <w:right w:w="28" w:type="dxa"/>
                  </w:tcMar>
                  <w:vAlign w:val="center"/>
                </w:tcPr>
                <w:p w14:paraId="432E87BF">
                  <w:pPr>
                    <w:jc w:val="center"/>
                    <w:rPr>
                      <w:bCs/>
                      <w:szCs w:val="21"/>
                    </w:rPr>
                  </w:pPr>
                  <w:r>
                    <w:rPr>
                      <w:rFonts w:hint="eastAsia"/>
                      <w:bCs/>
                      <w:szCs w:val="21"/>
                    </w:rPr>
                    <w:t>废弃泥浆、钻井岩屑（含钻井废水）</w:t>
                  </w:r>
                </w:p>
              </w:tc>
              <w:tc>
                <w:tcPr>
                  <w:tcW w:w="718" w:type="pct"/>
                  <w:tcMar>
                    <w:left w:w="28" w:type="dxa"/>
                    <w:right w:w="28" w:type="dxa"/>
                  </w:tcMar>
                  <w:vAlign w:val="center"/>
                </w:tcPr>
                <w:p w14:paraId="7852C007">
                  <w:pPr>
                    <w:jc w:val="center"/>
                    <w:rPr>
                      <w:bCs/>
                      <w:szCs w:val="21"/>
                    </w:rPr>
                  </w:pPr>
                  <w:r>
                    <w:rPr>
                      <w:bCs/>
                      <w:szCs w:val="21"/>
                    </w:rPr>
                    <w:t>钻井过程</w:t>
                  </w:r>
                </w:p>
              </w:tc>
              <w:tc>
                <w:tcPr>
                  <w:tcW w:w="657" w:type="pct"/>
                  <w:tcMar>
                    <w:left w:w="28" w:type="dxa"/>
                    <w:right w:w="28" w:type="dxa"/>
                  </w:tcMar>
                  <w:vAlign w:val="center"/>
                </w:tcPr>
                <w:p w14:paraId="56D97F6A">
                  <w:pPr>
                    <w:jc w:val="center"/>
                    <w:rPr>
                      <w:bCs/>
                      <w:szCs w:val="21"/>
                    </w:rPr>
                  </w:pPr>
                  <w:r>
                    <w:rPr>
                      <w:rFonts w:hint="eastAsia"/>
                      <w:bCs/>
                      <w:szCs w:val="21"/>
                    </w:rPr>
                    <w:t>2400.88m</w:t>
                  </w:r>
                  <w:r>
                    <w:rPr>
                      <w:rFonts w:hint="eastAsia"/>
                      <w:bCs/>
                      <w:szCs w:val="21"/>
                      <w:vertAlign w:val="superscript"/>
                    </w:rPr>
                    <w:t>3</w:t>
                  </w:r>
                </w:p>
              </w:tc>
              <w:tc>
                <w:tcPr>
                  <w:tcW w:w="727" w:type="pct"/>
                  <w:tcMar>
                    <w:left w:w="28" w:type="dxa"/>
                    <w:right w:w="28" w:type="dxa"/>
                  </w:tcMar>
                  <w:vAlign w:val="center"/>
                </w:tcPr>
                <w:p w14:paraId="283363E7">
                  <w:pPr>
                    <w:jc w:val="center"/>
                    <w:rPr>
                      <w:bCs/>
                      <w:szCs w:val="21"/>
                    </w:rPr>
                  </w:pPr>
                  <w:r>
                    <w:rPr>
                      <w:rFonts w:hint="eastAsia"/>
                      <w:bCs/>
                      <w:szCs w:val="21"/>
                    </w:rPr>
                    <w:t>水、粘土、岩石、土壤、泥浆材料等</w:t>
                  </w:r>
                </w:p>
              </w:tc>
              <w:tc>
                <w:tcPr>
                  <w:tcW w:w="1459" w:type="pct"/>
                  <w:tcMar>
                    <w:left w:w="28" w:type="dxa"/>
                    <w:right w:w="28" w:type="dxa"/>
                  </w:tcMar>
                  <w:vAlign w:val="center"/>
                </w:tcPr>
                <w:p w14:paraId="626BCA35">
                  <w:pPr>
                    <w:jc w:val="center"/>
                    <w:rPr>
                      <w:bCs/>
                      <w:szCs w:val="21"/>
                    </w:rPr>
                  </w:pPr>
                  <w:r>
                    <w:rPr>
                      <w:rFonts w:hint="eastAsia"/>
                      <w:bCs/>
                      <w:szCs w:val="21"/>
                    </w:rPr>
                    <w:t>收集可移动废水罐，定期拉运至内蒙古众宁环保科技有限公司油气田废弃物集中处理厂处理</w:t>
                  </w:r>
                  <w:r>
                    <w:rPr>
                      <w:bCs/>
                      <w:szCs w:val="21"/>
                    </w:rPr>
                    <w:t>。</w:t>
                  </w:r>
                </w:p>
              </w:tc>
              <w:tc>
                <w:tcPr>
                  <w:tcW w:w="703" w:type="pct"/>
                  <w:tcMar>
                    <w:left w:w="28" w:type="dxa"/>
                    <w:right w:w="28" w:type="dxa"/>
                  </w:tcMar>
                  <w:vAlign w:val="center"/>
                </w:tcPr>
                <w:p w14:paraId="61FD5A93">
                  <w:pPr>
                    <w:jc w:val="center"/>
                    <w:rPr>
                      <w:bCs/>
                      <w:szCs w:val="21"/>
                    </w:rPr>
                  </w:pPr>
                  <w:r>
                    <w:rPr>
                      <w:rFonts w:hint="eastAsia" w:ascii="宋体" w:hAnsi="宋体"/>
                      <w:bCs/>
                      <w:szCs w:val="21"/>
                    </w:rPr>
                    <w:t>Ⅱ</w:t>
                  </w:r>
                  <w:r>
                    <w:rPr>
                      <w:bCs/>
                      <w:szCs w:val="21"/>
                    </w:rPr>
                    <w:t>类一般工业固废071-001-S12</w:t>
                  </w:r>
                </w:p>
              </w:tc>
            </w:tr>
            <w:tr w14:paraId="389E64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736" w:type="pct"/>
                  <w:tcMar>
                    <w:left w:w="28" w:type="dxa"/>
                    <w:right w:w="28" w:type="dxa"/>
                  </w:tcMar>
                  <w:vAlign w:val="center"/>
                </w:tcPr>
                <w:p w14:paraId="3E2C66FC">
                  <w:pPr>
                    <w:jc w:val="center"/>
                    <w:rPr>
                      <w:bCs/>
                      <w:szCs w:val="21"/>
                    </w:rPr>
                  </w:pPr>
                  <w:r>
                    <w:rPr>
                      <w:bCs/>
                      <w:szCs w:val="21"/>
                    </w:rPr>
                    <w:t>废润滑油</w:t>
                  </w:r>
                </w:p>
              </w:tc>
              <w:tc>
                <w:tcPr>
                  <w:tcW w:w="718" w:type="pct"/>
                  <w:tcMar>
                    <w:left w:w="28" w:type="dxa"/>
                    <w:right w:w="28" w:type="dxa"/>
                  </w:tcMar>
                  <w:vAlign w:val="center"/>
                </w:tcPr>
                <w:p w14:paraId="01F6EA2F">
                  <w:pPr>
                    <w:jc w:val="center"/>
                    <w:rPr>
                      <w:bCs/>
                      <w:szCs w:val="21"/>
                    </w:rPr>
                  </w:pPr>
                  <w:r>
                    <w:rPr>
                      <w:bCs/>
                      <w:szCs w:val="21"/>
                    </w:rPr>
                    <w:t>设备</w:t>
                  </w:r>
                </w:p>
              </w:tc>
              <w:tc>
                <w:tcPr>
                  <w:tcW w:w="657" w:type="pct"/>
                  <w:tcMar>
                    <w:left w:w="28" w:type="dxa"/>
                    <w:right w:w="28" w:type="dxa"/>
                  </w:tcMar>
                  <w:vAlign w:val="center"/>
                </w:tcPr>
                <w:p w14:paraId="46B7D942">
                  <w:pPr>
                    <w:jc w:val="center"/>
                    <w:rPr>
                      <w:bCs/>
                      <w:szCs w:val="21"/>
                    </w:rPr>
                  </w:pPr>
                  <w:r>
                    <w:rPr>
                      <w:rFonts w:hint="eastAsia"/>
                      <w:bCs/>
                      <w:szCs w:val="21"/>
                    </w:rPr>
                    <w:t>0.2</w:t>
                  </w:r>
                  <w:r>
                    <w:rPr>
                      <w:bCs/>
                      <w:szCs w:val="21"/>
                    </w:rPr>
                    <w:t>t</w:t>
                  </w:r>
                </w:p>
              </w:tc>
              <w:tc>
                <w:tcPr>
                  <w:tcW w:w="727" w:type="pct"/>
                  <w:tcMar>
                    <w:left w:w="28" w:type="dxa"/>
                    <w:right w:w="28" w:type="dxa"/>
                  </w:tcMar>
                  <w:vAlign w:val="center"/>
                </w:tcPr>
                <w:p w14:paraId="7ED08FB4">
                  <w:pPr>
                    <w:jc w:val="center"/>
                    <w:rPr>
                      <w:bCs/>
                      <w:szCs w:val="21"/>
                    </w:rPr>
                  </w:pPr>
                  <w:r>
                    <w:rPr>
                      <w:bCs/>
                      <w:szCs w:val="21"/>
                    </w:rPr>
                    <w:t>矿物油</w:t>
                  </w:r>
                </w:p>
              </w:tc>
              <w:tc>
                <w:tcPr>
                  <w:tcW w:w="1459" w:type="pct"/>
                  <w:vMerge w:val="restart"/>
                  <w:tcMar>
                    <w:left w:w="28" w:type="dxa"/>
                    <w:right w:w="28" w:type="dxa"/>
                  </w:tcMar>
                  <w:vAlign w:val="center"/>
                </w:tcPr>
                <w:p w14:paraId="127DA087">
                  <w:pPr>
                    <w:jc w:val="center"/>
                    <w:rPr>
                      <w:bCs/>
                      <w:szCs w:val="21"/>
                    </w:rPr>
                  </w:pPr>
                  <w:r>
                    <w:rPr>
                      <w:rFonts w:hint="eastAsia"/>
                      <w:bCs/>
                      <w:szCs w:val="21"/>
                    </w:rPr>
                    <w:t>暂存在井场设置的撬装式危废贮存点，交有资质单位拉运处置</w:t>
                  </w:r>
                </w:p>
              </w:tc>
              <w:tc>
                <w:tcPr>
                  <w:tcW w:w="703" w:type="pct"/>
                  <w:tcMar>
                    <w:left w:w="28" w:type="dxa"/>
                    <w:right w:w="28" w:type="dxa"/>
                  </w:tcMar>
                  <w:vAlign w:val="center"/>
                </w:tcPr>
                <w:p w14:paraId="067EA711">
                  <w:pPr>
                    <w:jc w:val="center"/>
                    <w:rPr>
                      <w:bCs/>
                      <w:szCs w:val="21"/>
                    </w:rPr>
                  </w:pPr>
                  <w:r>
                    <w:rPr>
                      <w:bCs/>
                      <w:szCs w:val="21"/>
                    </w:rPr>
                    <w:t>危险废物</w:t>
                  </w:r>
                </w:p>
              </w:tc>
            </w:tr>
            <w:tr w14:paraId="152BD8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736" w:type="pct"/>
                  <w:tcMar>
                    <w:left w:w="28" w:type="dxa"/>
                    <w:right w:w="28" w:type="dxa"/>
                  </w:tcMar>
                  <w:vAlign w:val="center"/>
                </w:tcPr>
                <w:p w14:paraId="46D3B737">
                  <w:pPr>
                    <w:jc w:val="center"/>
                    <w:rPr>
                      <w:bCs/>
                      <w:szCs w:val="21"/>
                    </w:rPr>
                  </w:pPr>
                  <w:r>
                    <w:rPr>
                      <w:bCs/>
                      <w:szCs w:val="21"/>
                    </w:rPr>
                    <w:t>落地油</w:t>
                  </w:r>
                </w:p>
              </w:tc>
              <w:tc>
                <w:tcPr>
                  <w:tcW w:w="718" w:type="pct"/>
                  <w:tcMar>
                    <w:left w:w="28" w:type="dxa"/>
                    <w:right w:w="28" w:type="dxa"/>
                  </w:tcMar>
                  <w:vAlign w:val="center"/>
                </w:tcPr>
                <w:p w14:paraId="365F4E0D">
                  <w:pPr>
                    <w:jc w:val="center"/>
                    <w:rPr>
                      <w:bCs/>
                      <w:szCs w:val="21"/>
                    </w:rPr>
                  </w:pPr>
                  <w:r>
                    <w:rPr>
                      <w:rFonts w:hint="eastAsia"/>
                      <w:bCs/>
                      <w:szCs w:val="21"/>
                    </w:rPr>
                    <w:t>非正常工况</w:t>
                  </w:r>
                </w:p>
              </w:tc>
              <w:tc>
                <w:tcPr>
                  <w:tcW w:w="657" w:type="pct"/>
                  <w:tcMar>
                    <w:left w:w="28" w:type="dxa"/>
                    <w:right w:w="28" w:type="dxa"/>
                  </w:tcMar>
                  <w:vAlign w:val="center"/>
                </w:tcPr>
                <w:p w14:paraId="073547A2">
                  <w:pPr>
                    <w:jc w:val="center"/>
                    <w:rPr>
                      <w:bCs/>
                      <w:szCs w:val="21"/>
                    </w:rPr>
                  </w:pPr>
                  <w:r>
                    <w:rPr>
                      <w:rFonts w:hint="eastAsia"/>
                      <w:bCs/>
                      <w:szCs w:val="21"/>
                    </w:rPr>
                    <w:t>0.2</w:t>
                  </w:r>
                  <w:r>
                    <w:rPr>
                      <w:bCs/>
                      <w:szCs w:val="21"/>
                    </w:rPr>
                    <w:t>t</w:t>
                  </w:r>
                </w:p>
              </w:tc>
              <w:tc>
                <w:tcPr>
                  <w:tcW w:w="727" w:type="pct"/>
                  <w:tcMar>
                    <w:left w:w="28" w:type="dxa"/>
                    <w:right w:w="28" w:type="dxa"/>
                  </w:tcMar>
                  <w:vAlign w:val="center"/>
                </w:tcPr>
                <w:p w14:paraId="7F5B81CE">
                  <w:pPr>
                    <w:jc w:val="center"/>
                    <w:rPr>
                      <w:bCs/>
                      <w:szCs w:val="21"/>
                    </w:rPr>
                  </w:pPr>
                  <w:r>
                    <w:rPr>
                      <w:bCs/>
                      <w:szCs w:val="21"/>
                    </w:rPr>
                    <w:t>矿物油</w:t>
                  </w:r>
                </w:p>
              </w:tc>
              <w:tc>
                <w:tcPr>
                  <w:tcW w:w="1459" w:type="pct"/>
                  <w:vMerge w:val="continue"/>
                  <w:tcMar>
                    <w:left w:w="28" w:type="dxa"/>
                    <w:right w:w="28" w:type="dxa"/>
                  </w:tcMar>
                  <w:vAlign w:val="center"/>
                </w:tcPr>
                <w:p w14:paraId="4EA99A6D">
                  <w:pPr>
                    <w:jc w:val="center"/>
                    <w:rPr>
                      <w:bCs/>
                      <w:szCs w:val="21"/>
                    </w:rPr>
                  </w:pPr>
                </w:p>
              </w:tc>
              <w:tc>
                <w:tcPr>
                  <w:tcW w:w="703" w:type="pct"/>
                  <w:tcMar>
                    <w:left w:w="28" w:type="dxa"/>
                    <w:right w:w="28" w:type="dxa"/>
                  </w:tcMar>
                  <w:vAlign w:val="center"/>
                </w:tcPr>
                <w:p w14:paraId="23A8CF41">
                  <w:pPr>
                    <w:jc w:val="center"/>
                    <w:rPr>
                      <w:bCs/>
                      <w:szCs w:val="21"/>
                    </w:rPr>
                  </w:pPr>
                  <w:r>
                    <w:rPr>
                      <w:bCs/>
                      <w:szCs w:val="21"/>
                    </w:rPr>
                    <w:t>危险废物</w:t>
                  </w:r>
                </w:p>
              </w:tc>
            </w:tr>
            <w:tr w14:paraId="1D49C2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736" w:type="pct"/>
                  <w:tcMar>
                    <w:left w:w="28" w:type="dxa"/>
                    <w:right w:w="28" w:type="dxa"/>
                  </w:tcMar>
                  <w:vAlign w:val="center"/>
                </w:tcPr>
                <w:p w14:paraId="6400D8A8">
                  <w:pPr>
                    <w:jc w:val="center"/>
                    <w:rPr>
                      <w:bCs/>
                      <w:szCs w:val="21"/>
                    </w:rPr>
                  </w:pPr>
                  <w:r>
                    <w:rPr>
                      <w:bCs/>
                      <w:szCs w:val="21"/>
                    </w:rPr>
                    <w:t>废防渗材料</w:t>
                  </w:r>
                </w:p>
              </w:tc>
              <w:tc>
                <w:tcPr>
                  <w:tcW w:w="718" w:type="pct"/>
                  <w:tcMar>
                    <w:left w:w="28" w:type="dxa"/>
                    <w:right w:w="28" w:type="dxa"/>
                  </w:tcMar>
                  <w:vAlign w:val="center"/>
                </w:tcPr>
                <w:p w14:paraId="7CB397A1">
                  <w:pPr>
                    <w:jc w:val="center"/>
                    <w:rPr>
                      <w:bCs/>
                      <w:szCs w:val="21"/>
                    </w:rPr>
                  </w:pPr>
                  <w:r>
                    <w:rPr>
                      <w:bCs/>
                      <w:szCs w:val="21"/>
                    </w:rPr>
                    <w:t>施工过程</w:t>
                  </w:r>
                </w:p>
              </w:tc>
              <w:tc>
                <w:tcPr>
                  <w:tcW w:w="657" w:type="pct"/>
                  <w:tcMar>
                    <w:left w:w="28" w:type="dxa"/>
                    <w:right w:w="28" w:type="dxa"/>
                  </w:tcMar>
                  <w:vAlign w:val="center"/>
                </w:tcPr>
                <w:p w14:paraId="1AC9827F">
                  <w:pPr>
                    <w:jc w:val="center"/>
                    <w:rPr>
                      <w:bCs/>
                      <w:szCs w:val="21"/>
                    </w:rPr>
                  </w:pPr>
                  <w:r>
                    <w:rPr>
                      <w:rFonts w:hint="eastAsia"/>
                      <w:bCs/>
                      <w:szCs w:val="21"/>
                    </w:rPr>
                    <w:t>0.5t</w:t>
                  </w:r>
                </w:p>
              </w:tc>
              <w:tc>
                <w:tcPr>
                  <w:tcW w:w="727" w:type="pct"/>
                  <w:tcMar>
                    <w:left w:w="28" w:type="dxa"/>
                    <w:right w:w="28" w:type="dxa"/>
                  </w:tcMar>
                  <w:vAlign w:val="center"/>
                </w:tcPr>
                <w:p w14:paraId="65DE7BAB">
                  <w:pPr>
                    <w:jc w:val="center"/>
                    <w:rPr>
                      <w:bCs/>
                      <w:szCs w:val="21"/>
                    </w:rPr>
                  </w:pPr>
                  <w:r>
                    <w:rPr>
                      <w:rFonts w:hint="eastAsia"/>
                      <w:bCs/>
                      <w:szCs w:val="21"/>
                    </w:rPr>
                    <w:t>矿物油</w:t>
                  </w:r>
                </w:p>
              </w:tc>
              <w:tc>
                <w:tcPr>
                  <w:tcW w:w="1459" w:type="pct"/>
                  <w:vMerge w:val="continue"/>
                  <w:tcMar>
                    <w:left w:w="28" w:type="dxa"/>
                    <w:right w:w="28" w:type="dxa"/>
                  </w:tcMar>
                  <w:vAlign w:val="center"/>
                </w:tcPr>
                <w:p w14:paraId="1066A5AF">
                  <w:pPr>
                    <w:jc w:val="center"/>
                    <w:rPr>
                      <w:bCs/>
                      <w:szCs w:val="21"/>
                    </w:rPr>
                  </w:pPr>
                </w:p>
              </w:tc>
              <w:tc>
                <w:tcPr>
                  <w:tcW w:w="703" w:type="pct"/>
                  <w:tcMar>
                    <w:left w:w="28" w:type="dxa"/>
                    <w:right w:w="28" w:type="dxa"/>
                  </w:tcMar>
                  <w:vAlign w:val="center"/>
                </w:tcPr>
                <w:p w14:paraId="2F0AD51D">
                  <w:pPr>
                    <w:jc w:val="center"/>
                    <w:rPr>
                      <w:bCs/>
                      <w:szCs w:val="21"/>
                    </w:rPr>
                  </w:pPr>
                  <w:r>
                    <w:rPr>
                      <w:bCs/>
                      <w:szCs w:val="21"/>
                    </w:rPr>
                    <w:t>危险废物</w:t>
                  </w:r>
                </w:p>
              </w:tc>
            </w:tr>
            <w:tr w14:paraId="7611B7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736" w:type="pct"/>
                  <w:tcMar>
                    <w:left w:w="28" w:type="dxa"/>
                    <w:right w:w="28" w:type="dxa"/>
                  </w:tcMar>
                  <w:vAlign w:val="center"/>
                </w:tcPr>
                <w:p w14:paraId="5F956D0E">
                  <w:pPr>
                    <w:jc w:val="center"/>
                    <w:rPr>
                      <w:bCs/>
                      <w:szCs w:val="21"/>
                    </w:rPr>
                  </w:pPr>
                  <w:r>
                    <w:rPr>
                      <w:bCs/>
                      <w:szCs w:val="21"/>
                    </w:rPr>
                    <w:t>生活垃圾</w:t>
                  </w:r>
                </w:p>
              </w:tc>
              <w:tc>
                <w:tcPr>
                  <w:tcW w:w="718" w:type="pct"/>
                  <w:tcMar>
                    <w:left w:w="28" w:type="dxa"/>
                    <w:right w:w="28" w:type="dxa"/>
                  </w:tcMar>
                  <w:vAlign w:val="center"/>
                </w:tcPr>
                <w:p w14:paraId="2670E52C">
                  <w:pPr>
                    <w:jc w:val="center"/>
                    <w:rPr>
                      <w:bCs/>
                      <w:szCs w:val="21"/>
                    </w:rPr>
                  </w:pPr>
                  <w:r>
                    <w:rPr>
                      <w:bCs/>
                      <w:szCs w:val="21"/>
                    </w:rPr>
                    <w:t>钻井队生活</w:t>
                  </w:r>
                </w:p>
              </w:tc>
              <w:tc>
                <w:tcPr>
                  <w:tcW w:w="657" w:type="pct"/>
                  <w:tcMar>
                    <w:left w:w="28" w:type="dxa"/>
                    <w:right w:w="28" w:type="dxa"/>
                  </w:tcMar>
                  <w:vAlign w:val="center"/>
                </w:tcPr>
                <w:p w14:paraId="1D9D04C9">
                  <w:pPr>
                    <w:jc w:val="center"/>
                    <w:rPr>
                      <w:bCs/>
                      <w:szCs w:val="21"/>
                    </w:rPr>
                  </w:pPr>
                  <w:r>
                    <w:rPr>
                      <w:rFonts w:hint="eastAsia"/>
                      <w:bCs/>
                      <w:szCs w:val="21"/>
                    </w:rPr>
                    <w:t>3.6t</w:t>
                  </w:r>
                </w:p>
              </w:tc>
              <w:tc>
                <w:tcPr>
                  <w:tcW w:w="727" w:type="pct"/>
                  <w:tcMar>
                    <w:left w:w="28" w:type="dxa"/>
                    <w:right w:w="28" w:type="dxa"/>
                  </w:tcMar>
                  <w:vAlign w:val="center"/>
                </w:tcPr>
                <w:p w14:paraId="73CF59BD">
                  <w:pPr>
                    <w:jc w:val="center"/>
                    <w:rPr>
                      <w:bCs/>
                      <w:szCs w:val="21"/>
                    </w:rPr>
                  </w:pPr>
                  <w:r>
                    <w:rPr>
                      <w:bCs/>
                      <w:szCs w:val="21"/>
                    </w:rPr>
                    <w:t>生活垃圾</w:t>
                  </w:r>
                </w:p>
              </w:tc>
              <w:tc>
                <w:tcPr>
                  <w:tcW w:w="1459" w:type="pct"/>
                  <w:tcMar>
                    <w:left w:w="28" w:type="dxa"/>
                    <w:right w:w="28" w:type="dxa"/>
                  </w:tcMar>
                  <w:vAlign w:val="center"/>
                </w:tcPr>
                <w:p w14:paraId="77E4AB91">
                  <w:pPr>
                    <w:jc w:val="center"/>
                    <w:rPr>
                      <w:bCs/>
                      <w:szCs w:val="21"/>
                    </w:rPr>
                  </w:pPr>
                  <w:r>
                    <w:rPr>
                      <w:rFonts w:hint="eastAsia"/>
                      <w:bCs/>
                      <w:szCs w:val="21"/>
                    </w:rPr>
                    <w:t>井场设置垃圾桶，集中收集后，拉运至当地乡镇生活垃圾点，由环卫部门处理，做到现场无遗留。</w:t>
                  </w:r>
                </w:p>
              </w:tc>
              <w:tc>
                <w:tcPr>
                  <w:tcW w:w="703" w:type="pct"/>
                  <w:tcMar>
                    <w:left w:w="28" w:type="dxa"/>
                    <w:right w:w="28" w:type="dxa"/>
                  </w:tcMar>
                  <w:vAlign w:val="center"/>
                </w:tcPr>
                <w:p w14:paraId="22FA88D7">
                  <w:pPr>
                    <w:jc w:val="center"/>
                    <w:rPr>
                      <w:bCs/>
                      <w:szCs w:val="21"/>
                    </w:rPr>
                  </w:pPr>
                  <w:r>
                    <w:rPr>
                      <w:bCs/>
                      <w:szCs w:val="21"/>
                    </w:rPr>
                    <w:t>生活垃圾SW</w:t>
                  </w:r>
                  <w:r>
                    <w:rPr>
                      <w:rFonts w:hint="eastAsia"/>
                      <w:bCs/>
                      <w:szCs w:val="21"/>
                    </w:rPr>
                    <w:t>61和SW62</w:t>
                  </w:r>
                </w:p>
              </w:tc>
            </w:tr>
          </w:tbl>
          <w:p w14:paraId="166090E2">
            <w:pPr>
              <w:autoSpaceDE w:val="0"/>
              <w:autoSpaceDN w:val="0"/>
              <w:adjustRightInd w:val="0"/>
              <w:ind w:firstLine="482" w:firstLineChars="200"/>
              <w:jc w:val="center"/>
              <w:rPr>
                <w:b/>
                <w:kern w:val="0"/>
                <w:sz w:val="24"/>
                <w:szCs w:val="21"/>
              </w:rPr>
            </w:pPr>
            <w:r>
              <w:rPr>
                <w:b/>
                <w:kern w:val="0"/>
                <w:sz w:val="24"/>
                <w:szCs w:val="21"/>
              </w:rPr>
              <w:t>表</w:t>
            </w:r>
            <w:r>
              <w:rPr>
                <w:rFonts w:hint="eastAsia"/>
                <w:b/>
                <w:kern w:val="0"/>
                <w:sz w:val="24"/>
                <w:szCs w:val="21"/>
              </w:rPr>
              <w:t>4-9</w:t>
            </w:r>
            <w:r>
              <w:rPr>
                <w:b/>
                <w:kern w:val="0"/>
                <w:sz w:val="24"/>
                <w:szCs w:val="21"/>
              </w:rPr>
              <w:t xml:space="preserve"> 危险废物产生情况一览表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389"/>
              <w:gridCol w:w="762"/>
              <w:gridCol w:w="763"/>
              <w:gridCol w:w="1277"/>
              <w:gridCol w:w="803"/>
              <w:gridCol w:w="984"/>
              <w:gridCol w:w="464"/>
              <w:gridCol w:w="522"/>
              <w:gridCol w:w="667"/>
              <w:gridCol w:w="700"/>
              <w:gridCol w:w="864"/>
            </w:tblGrid>
            <w:tr w14:paraId="5A238A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243" w:type="pct"/>
                  <w:vAlign w:val="center"/>
                </w:tcPr>
                <w:p w14:paraId="5A7EB6B4">
                  <w:pPr>
                    <w:jc w:val="center"/>
                    <w:textAlignment w:val="baseline"/>
                    <w:rPr>
                      <w:bCs/>
                      <w:kern w:val="0"/>
                      <w:szCs w:val="21"/>
                    </w:rPr>
                  </w:pPr>
                  <w:r>
                    <w:rPr>
                      <w:bCs/>
                      <w:kern w:val="0"/>
                      <w:szCs w:val="21"/>
                    </w:rPr>
                    <w:t>序号</w:t>
                  </w:r>
                </w:p>
              </w:tc>
              <w:tc>
                <w:tcPr>
                  <w:tcW w:w="470" w:type="pct"/>
                  <w:vAlign w:val="center"/>
                </w:tcPr>
                <w:p w14:paraId="04272BB3">
                  <w:pPr>
                    <w:jc w:val="center"/>
                    <w:textAlignment w:val="baseline"/>
                    <w:rPr>
                      <w:bCs/>
                      <w:kern w:val="0"/>
                      <w:szCs w:val="21"/>
                    </w:rPr>
                  </w:pPr>
                  <w:r>
                    <w:rPr>
                      <w:bCs/>
                      <w:kern w:val="0"/>
                      <w:szCs w:val="21"/>
                    </w:rPr>
                    <w:t>危险废物名称</w:t>
                  </w:r>
                </w:p>
              </w:tc>
              <w:tc>
                <w:tcPr>
                  <w:tcW w:w="471" w:type="pct"/>
                  <w:vAlign w:val="center"/>
                </w:tcPr>
                <w:p w14:paraId="1C07E8C2">
                  <w:pPr>
                    <w:jc w:val="center"/>
                    <w:textAlignment w:val="baseline"/>
                    <w:rPr>
                      <w:bCs/>
                      <w:kern w:val="0"/>
                      <w:szCs w:val="21"/>
                    </w:rPr>
                  </w:pPr>
                  <w:r>
                    <w:rPr>
                      <w:bCs/>
                      <w:kern w:val="0"/>
                      <w:szCs w:val="21"/>
                    </w:rPr>
                    <w:t>危险废物类别</w:t>
                  </w:r>
                </w:p>
              </w:tc>
              <w:tc>
                <w:tcPr>
                  <w:tcW w:w="728" w:type="pct"/>
                  <w:vAlign w:val="center"/>
                </w:tcPr>
                <w:p w14:paraId="0EAE46D9">
                  <w:pPr>
                    <w:jc w:val="center"/>
                    <w:textAlignment w:val="baseline"/>
                    <w:rPr>
                      <w:bCs/>
                      <w:kern w:val="0"/>
                      <w:szCs w:val="21"/>
                    </w:rPr>
                  </w:pPr>
                  <w:r>
                    <w:rPr>
                      <w:bCs/>
                      <w:kern w:val="0"/>
                      <w:szCs w:val="21"/>
                    </w:rPr>
                    <w:t>危险废物代码</w:t>
                  </w:r>
                </w:p>
              </w:tc>
              <w:tc>
                <w:tcPr>
                  <w:tcW w:w="495" w:type="pct"/>
                  <w:vAlign w:val="center"/>
                </w:tcPr>
                <w:p w14:paraId="1722E4D0">
                  <w:pPr>
                    <w:jc w:val="center"/>
                    <w:textAlignment w:val="baseline"/>
                    <w:rPr>
                      <w:bCs/>
                      <w:kern w:val="0"/>
                      <w:szCs w:val="21"/>
                    </w:rPr>
                  </w:pPr>
                  <w:r>
                    <w:rPr>
                      <w:bCs/>
                      <w:kern w:val="0"/>
                      <w:szCs w:val="21"/>
                    </w:rPr>
                    <w:t>产生量（t/a）</w:t>
                  </w:r>
                </w:p>
              </w:tc>
              <w:tc>
                <w:tcPr>
                  <w:tcW w:w="605" w:type="pct"/>
                  <w:vAlign w:val="center"/>
                </w:tcPr>
                <w:p w14:paraId="52A9E8D5">
                  <w:pPr>
                    <w:jc w:val="center"/>
                    <w:textAlignment w:val="baseline"/>
                    <w:rPr>
                      <w:bCs/>
                      <w:kern w:val="0"/>
                      <w:szCs w:val="21"/>
                    </w:rPr>
                  </w:pPr>
                  <w:r>
                    <w:rPr>
                      <w:bCs/>
                      <w:kern w:val="0"/>
                      <w:szCs w:val="21"/>
                    </w:rPr>
                    <w:t>产生工序及装置</w:t>
                  </w:r>
                </w:p>
              </w:tc>
              <w:tc>
                <w:tcPr>
                  <w:tcW w:w="288" w:type="pct"/>
                  <w:vAlign w:val="center"/>
                </w:tcPr>
                <w:p w14:paraId="72C54020">
                  <w:pPr>
                    <w:jc w:val="center"/>
                    <w:textAlignment w:val="baseline"/>
                    <w:rPr>
                      <w:bCs/>
                      <w:kern w:val="0"/>
                      <w:szCs w:val="21"/>
                    </w:rPr>
                  </w:pPr>
                  <w:r>
                    <w:rPr>
                      <w:bCs/>
                      <w:kern w:val="0"/>
                      <w:szCs w:val="21"/>
                    </w:rPr>
                    <w:t>形态</w:t>
                  </w:r>
                </w:p>
              </w:tc>
              <w:tc>
                <w:tcPr>
                  <w:tcW w:w="323" w:type="pct"/>
                  <w:vAlign w:val="center"/>
                </w:tcPr>
                <w:p w14:paraId="171D6339">
                  <w:pPr>
                    <w:jc w:val="center"/>
                    <w:textAlignment w:val="baseline"/>
                    <w:rPr>
                      <w:bCs/>
                      <w:kern w:val="0"/>
                      <w:szCs w:val="21"/>
                    </w:rPr>
                  </w:pPr>
                  <w:r>
                    <w:rPr>
                      <w:bCs/>
                      <w:kern w:val="0"/>
                      <w:szCs w:val="21"/>
                    </w:rPr>
                    <w:t>主要成分</w:t>
                  </w:r>
                </w:p>
              </w:tc>
              <w:tc>
                <w:tcPr>
                  <w:tcW w:w="412" w:type="pct"/>
                  <w:vAlign w:val="center"/>
                </w:tcPr>
                <w:p w14:paraId="6A29762D">
                  <w:pPr>
                    <w:jc w:val="center"/>
                    <w:textAlignment w:val="baseline"/>
                    <w:rPr>
                      <w:bCs/>
                      <w:kern w:val="0"/>
                      <w:szCs w:val="21"/>
                    </w:rPr>
                  </w:pPr>
                  <w:r>
                    <w:rPr>
                      <w:bCs/>
                      <w:kern w:val="0"/>
                      <w:szCs w:val="21"/>
                    </w:rPr>
                    <w:t>产废周期</w:t>
                  </w:r>
                </w:p>
              </w:tc>
              <w:tc>
                <w:tcPr>
                  <w:tcW w:w="432" w:type="pct"/>
                  <w:vAlign w:val="center"/>
                </w:tcPr>
                <w:p w14:paraId="22EAAC2D">
                  <w:pPr>
                    <w:jc w:val="center"/>
                    <w:textAlignment w:val="baseline"/>
                    <w:rPr>
                      <w:bCs/>
                      <w:kern w:val="0"/>
                      <w:szCs w:val="21"/>
                    </w:rPr>
                  </w:pPr>
                  <w:r>
                    <w:rPr>
                      <w:bCs/>
                      <w:kern w:val="0"/>
                      <w:szCs w:val="21"/>
                    </w:rPr>
                    <w:t>危险</w:t>
                  </w:r>
                </w:p>
                <w:p w14:paraId="2C2C32EF">
                  <w:pPr>
                    <w:jc w:val="center"/>
                    <w:textAlignment w:val="baseline"/>
                    <w:rPr>
                      <w:bCs/>
                      <w:kern w:val="0"/>
                      <w:szCs w:val="21"/>
                    </w:rPr>
                  </w:pPr>
                  <w:r>
                    <w:rPr>
                      <w:bCs/>
                      <w:kern w:val="0"/>
                      <w:szCs w:val="21"/>
                    </w:rPr>
                    <w:t>特性</w:t>
                  </w:r>
                </w:p>
              </w:tc>
              <w:tc>
                <w:tcPr>
                  <w:tcW w:w="532" w:type="pct"/>
                  <w:vAlign w:val="center"/>
                </w:tcPr>
                <w:p w14:paraId="00F5023C">
                  <w:pPr>
                    <w:jc w:val="center"/>
                    <w:textAlignment w:val="baseline"/>
                    <w:rPr>
                      <w:bCs/>
                      <w:kern w:val="0"/>
                      <w:szCs w:val="21"/>
                    </w:rPr>
                  </w:pPr>
                  <w:r>
                    <w:rPr>
                      <w:bCs/>
                      <w:kern w:val="0"/>
                      <w:szCs w:val="21"/>
                    </w:rPr>
                    <w:t>污染防治措施</w:t>
                  </w:r>
                </w:p>
              </w:tc>
            </w:tr>
            <w:tr w14:paraId="7BA466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58" w:hRule="atLeast"/>
                <w:jc w:val="center"/>
              </w:trPr>
              <w:tc>
                <w:tcPr>
                  <w:tcW w:w="243" w:type="pct"/>
                  <w:vAlign w:val="center"/>
                </w:tcPr>
                <w:p w14:paraId="18E83675">
                  <w:pPr>
                    <w:jc w:val="center"/>
                    <w:textAlignment w:val="baseline"/>
                    <w:rPr>
                      <w:bCs/>
                      <w:kern w:val="0"/>
                      <w:szCs w:val="21"/>
                    </w:rPr>
                  </w:pPr>
                  <w:r>
                    <w:rPr>
                      <w:rFonts w:hint="eastAsia"/>
                      <w:bCs/>
                      <w:kern w:val="0"/>
                      <w:szCs w:val="21"/>
                    </w:rPr>
                    <w:t>1</w:t>
                  </w:r>
                </w:p>
              </w:tc>
              <w:tc>
                <w:tcPr>
                  <w:tcW w:w="470" w:type="pct"/>
                  <w:vAlign w:val="center"/>
                </w:tcPr>
                <w:p w14:paraId="03D767EE">
                  <w:pPr>
                    <w:jc w:val="center"/>
                    <w:textAlignment w:val="baseline"/>
                    <w:rPr>
                      <w:bCs/>
                      <w:kern w:val="0"/>
                      <w:szCs w:val="21"/>
                    </w:rPr>
                  </w:pPr>
                  <w:r>
                    <w:rPr>
                      <w:bCs/>
                      <w:kern w:val="0"/>
                      <w:szCs w:val="21"/>
                    </w:rPr>
                    <w:t>废润滑油</w:t>
                  </w:r>
                </w:p>
              </w:tc>
              <w:tc>
                <w:tcPr>
                  <w:tcW w:w="471" w:type="pct"/>
                  <w:vAlign w:val="center"/>
                </w:tcPr>
                <w:p w14:paraId="1BE7A91F">
                  <w:pPr>
                    <w:jc w:val="center"/>
                    <w:textAlignment w:val="baseline"/>
                    <w:rPr>
                      <w:bCs/>
                      <w:kern w:val="0"/>
                      <w:szCs w:val="21"/>
                    </w:rPr>
                  </w:pPr>
                  <w:r>
                    <w:rPr>
                      <w:bCs/>
                      <w:kern w:val="0"/>
                      <w:szCs w:val="21"/>
                    </w:rPr>
                    <w:t>HW08</w:t>
                  </w:r>
                </w:p>
              </w:tc>
              <w:tc>
                <w:tcPr>
                  <w:tcW w:w="728" w:type="pct"/>
                  <w:vAlign w:val="center"/>
                </w:tcPr>
                <w:p w14:paraId="31611869">
                  <w:pPr>
                    <w:jc w:val="center"/>
                    <w:textAlignment w:val="baseline"/>
                    <w:rPr>
                      <w:bCs/>
                      <w:kern w:val="0"/>
                      <w:szCs w:val="21"/>
                    </w:rPr>
                  </w:pPr>
                  <w:r>
                    <w:rPr>
                      <w:szCs w:val="21"/>
                    </w:rPr>
                    <w:t>900-214-08</w:t>
                  </w:r>
                </w:p>
              </w:tc>
              <w:tc>
                <w:tcPr>
                  <w:tcW w:w="495" w:type="pct"/>
                  <w:vAlign w:val="center"/>
                </w:tcPr>
                <w:p w14:paraId="42242F92">
                  <w:pPr>
                    <w:jc w:val="center"/>
                    <w:textAlignment w:val="baseline"/>
                    <w:rPr>
                      <w:bCs/>
                      <w:kern w:val="0"/>
                      <w:szCs w:val="21"/>
                    </w:rPr>
                  </w:pPr>
                  <w:r>
                    <w:rPr>
                      <w:rFonts w:hint="eastAsia"/>
                      <w:bCs/>
                      <w:kern w:val="0"/>
                      <w:szCs w:val="21"/>
                    </w:rPr>
                    <w:t>0.2</w:t>
                  </w:r>
                </w:p>
              </w:tc>
              <w:tc>
                <w:tcPr>
                  <w:tcW w:w="605" w:type="pct"/>
                  <w:vAlign w:val="center"/>
                </w:tcPr>
                <w:p w14:paraId="6FF159CF">
                  <w:pPr>
                    <w:jc w:val="center"/>
                    <w:textAlignment w:val="baseline"/>
                    <w:rPr>
                      <w:bCs/>
                      <w:kern w:val="0"/>
                      <w:szCs w:val="21"/>
                    </w:rPr>
                  </w:pPr>
                  <w:r>
                    <w:rPr>
                      <w:bCs/>
                      <w:kern w:val="0"/>
                      <w:szCs w:val="21"/>
                    </w:rPr>
                    <w:t>钻井、试油</w:t>
                  </w:r>
                </w:p>
              </w:tc>
              <w:tc>
                <w:tcPr>
                  <w:tcW w:w="288" w:type="pct"/>
                  <w:vAlign w:val="center"/>
                </w:tcPr>
                <w:p w14:paraId="31EB5C90">
                  <w:pPr>
                    <w:jc w:val="center"/>
                    <w:textAlignment w:val="baseline"/>
                    <w:rPr>
                      <w:bCs/>
                      <w:kern w:val="0"/>
                      <w:szCs w:val="21"/>
                    </w:rPr>
                  </w:pPr>
                  <w:r>
                    <w:rPr>
                      <w:bCs/>
                      <w:kern w:val="0"/>
                      <w:szCs w:val="21"/>
                    </w:rPr>
                    <w:t>液态</w:t>
                  </w:r>
                </w:p>
              </w:tc>
              <w:tc>
                <w:tcPr>
                  <w:tcW w:w="323" w:type="pct"/>
                  <w:vAlign w:val="center"/>
                </w:tcPr>
                <w:p w14:paraId="36B7FB5F">
                  <w:pPr>
                    <w:jc w:val="center"/>
                    <w:textAlignment w:val="baseline"/>
                    <w:rPr>
                      <w:bCs/>
                      <w:kern w:val="0"/>
                      <w:szCs w:val="21"/>
                    </w:rPr>
                  </w:pPr>
                  <w:r>
                    <w:rPr>
                      <w:bCs/>
                      <w:kern w:val="0"/>
                      <w:szCs w:val="21"/>
                    </w:rPr>
                    <w:t>矿物油</w:t>
                  </w:r>
                </w:p>
              </w:tc>
              <w:tc>
                <w:tcPr>
                  <w:tcW w:w="412" w:type="pct"/>
                  <w:vAlign w:val="center"/>
                </w:tcPr>
                <w:p w14:paraId="59087918">
                  <w:pPr>
                    <w:jc w:val="center"/>
                    <w:textAlignment w:val="baseline"/>
                    <w:rPr>
                      <w:bCs/>
                      <w:kern w:val="0"/>
                      <w:szCs w:val="21"/>
                    </w:rPr>
                  </w:pPr>
                  <w:r>
                    <w:rPr>
                      <w:rFonts w:hint="eastAsia"/>
                      <w:bCs/>
                      <w:kern w:val="0"/>
                      <w:szCs w:val="21"/>
                    </w:rPr>
                    <w:t>勘探</w:t>
                  </w:r>
                  <w:r>
                    <w:rPr>
                      <w:bCs/>
                      <w:kern w:val="0"/>
                      <w:szCs w:val="21"/>
                    </w:rPr>
                    <w:t>期</w:t>
                  </w:r>
                </w:p>
              </w:tc>
              <w:tc>
                <w:tcPr>
                  <w:tcW w:w="432" w:type="pct"/>
                  <w:vAlign w:val="center"/>
                </w:tcPr>
                <w:p w14:paraId="2E927FB4">
                  <w:pPr>
                    <w:jc w:val="center"/>
                    <w:textAlignment w:val="baseline"/>
                    <w:rPr>
                      <w:bCs/>
                      <w:kern w:val="0"/>
                      <w:szCs w:val="21"/>
                    </w:rPr>
                  </w:pPr>
                  <w:r>
                    <w:rPr>
                      <w:bCs/>
                      <w:kern w:val="0"/>
                      <w:szCs w:val="21"/>
                    </w:rPr>
                    <w:t>T</w:t>
                  </w:r>
                  <w:r>
                    <w:rPr>
                      <w:rFonts w:hint="eastAsia"/>
                      <w:bCs/>
                      <w:kern w:val="0"/>
                      <w:szCs w:val="21"/>
                    </w:rPr>
                    <w:t>，</w:t>
                  </w:r>
                  <w:r>
                    <w:rPr>
                      <w:bCs/>
                      <w:kern w:val="0"/>
                      <w:szCs w:val="21"/>
                    </w:rPr>
                    <w:t>I</w:t>
                  </w:r>
                </w:p>
              </w:tc>
              <w:tc>
                <w:tcPr>
                  <w:tcW w:w="532" w:type="pct"/>
                  <w:vMerge w:val="restart"/>
                  <w:vAlign w:val="center"/>
                </w:tcPr>
                <w:p w14:paraId="5FF68AE6">
                  <w:pPr>
                    <w:jc w:val="center"/>
                    <w:textAlignment w:val="baseline"/>
                    <w:rPr>
                      <w:bCs/>
                      <w:kern w:val="0"/>
                      <w:szCs w:val="21"/>
                    </w:rPr>
                  </w:pPr>
                  <w:r>
                    <w:rPr>
                      <w:bCs/>
                      <w:kern w:val="0"/>
                      <w:szCs w:val="21"/>
                    </w:rPr>
                    <w:t>专用容器收集，定期由</w:t>
                  </w:r>
                  <w:r>
                    <w:rPr>
                      <w:rFonts w:hint="eastAsia"/>
                      <w:bCs/>
                      <w:kern w:val="0"/>
                      <w:szCs w:val="21"/>
                    </w:rPr>
                    <w:t>有资质的单位处置。</w:t>
                  </w:r>
                </w:p>
              </w:tc>
            </w:tr>
            <w:tr w14:paraId="17C1AD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jc w:val="center"/>
              </w:trPr>
              <w:tc>
                <w:tcPr>
                  <w:tcW w:w="243" w:type="pct"/>
                  <w:vAlign w:val="center"/>
                </w:tcPr>
                <w:p w14:paraId="6F9BD38A">
                  <w:pPr>
                    <w:jc w:val="center"/>
                    <w:textAlignment w:val="baseline"/>
                    <w:rPr>
                      <w:bCs/>
                      <w:kern w:val="0"/>
                      <w:szCs w:val="21"/>
                    </w:rPr>
                  </w:pPr>
                  <w:r>
                    <w:rPr>
                      <w:rFonts w:hint="eastAsia"/>
                      <w:bCs/>
                      <w:kern w:val="0"/>
                      <w:szCs w:val="21"/>
                    </w:rPr>
                    <w:t>2</w:t>
                  </w:r>
                </w:p>
              </w:tc>
              <w:tc>
                <w:tcPr>
                  <w:tcW w:w="470" w:type="pct"/>
                  <w:vAlign w:val="center"/>
                </w:tcPr>
                <w:p w14:paraId="695723F1">
                  <w:pPr>
                    <w:jc w:val="center"/>
                    <w:textAlignment w:val="baseline"/>
                    <w:rPr>
                      <w:bCs/>
                      <w:kern w:val="0"/>
                      <w:szCs w:val="21"/>
                    </w:rPr>
                  </w:pPr>
                  <w:r>
                    <w:rPr>
                      <w:bCs/>
                      <w:kern w:val="0"/>
                      <w:szCs w:val="21"/>
                    </w:rPr>
                    <w:t>落地油</w:t>
                  </w:r>
                </w:p>
              </w:tc>
              <w:tc>
                <w:tcPr>
                  <w:tcW w:w="471" w:type="pct"/>
                  <w:vAlign w:val="center"/>
                </w:tcPr>
                <w:p w14:paraId="1DEA0627">
                  <w:pPr>
                    <w:jc w:val="center"/>
                    <w:textAlignment w:val="baseline"/>
                    <w:rPr>
                      <w:bCs/>
                      <w:kern w:val="0"/>
                      <w:szCs w:val="21"/>
                    </w:rPr>
                  </w:pPr>
                  <w:r>
                    <w:rPr>
                      <w:bCs/>
                      <w:kern w:val="0"/>
                      <w:szCs w:val="21"/>
                    </w:rPr>
                    <w:t>HW08</w:t>
                  </w:r>
                </w:p>
              </w:tc>
              <w:tc>
                <w:tcPr>
                  <w:tcW w:w="728" w:type="pct"/>
                  <w:vAlign w:val="center"/>
                </w:tcPr>
                <w:p w14:paraId="64C35312">
                  <w:pPr>
                    <w:jc w:val="center"/>
                    <w:textAlignment w:val="baseline"/>
                    <w:rPr>
                      <w:bCs/>
                      <w:kern w:val="0"/>
                      <w:szCs w:val="21"/>
                    </w:rPr>
                  </w:pPr>
                  <w:r>
                    <w:rPr>
                      <w:bCs/>
                      <w:kern w:val="0"/>
                      <w:szCs w:val="21"/>
                    </w:rPr>
                    <w:t>071-001-08</w:t>
                  </w:r>
                </w:p>
              </w:tc>
              <w:tc>
                <w:tcPr>
                  <w:tcW w:w="495" w:type="pct"/>
                  <w:vAlign w:val="center"/>
                </w:tcPr>
                <w:p w14:paraId="40BFA8C1">
                  <w:pPr>
                    <w:jc w:val="center"/>
                    <w:textAlignment w:val="baseline"/>
                    <w:rPr>
                      <w:bCs/>
                      <w:kern w:val="0"/>
                      <w:szCs w:val="21"/>
                    </w:rPr>
                  </w:pPr>
                  <w:r>
                    <w:rPr>
                      <w:rFonts w:hint="eastAsia"/>
                      <w:bCs/>
                      <w:kern w:val="0"/>
                      <w:szCs w:val="21"/>
                    </w:rPr>
                    <w:t>0.2</w:t>
                  </w:r>
                </w:p>
              </w:tc>
              <w:tc>
                <w:tcPr>
                  <w:tcW w:w="605" w:type="pct"/>
                  <w:vAlign w:val="center"/>
                </w:tcPr>
                <w:p w14:paraId="4A3CCF09">
                  <w:pPr>
                    <w:jc w:val="center"/>
                    <w:textAlignment w:val="baseline"/>
                    <w:rPr>
                      <w:bCs/>
                      <w:kern w:val="0"/>
                      <w:szCs w:val="21"/>
                    </w:rPr>
                  </w:pPr>
                  <w:r>
                    <w:rPr>
                      <w:bCs/>
                      <w:kern w:val="0"/>
                      <w:szCs w:val="21"/>
                    </w:rPr>
                    <w:t>钻井、试油</w:t>
                  </w:r>
                </w:p>
              </w:tc>
              <w:tc>
                <w:tcPr>
                  <w:tcW w:w="288" w:type="pct"/>
                  <w:vAlign w:val="center"/>
                </w:tcPr>
                <w:p w14:paraId="4FFA1BCB">
                  <w:pPr>
                    <w:jc w:val="center"/>
                    <w:textAlignment w:val="baseline"/>
                    <w:rPr>
                      <w:bCs/>
                      <w:kern w:val="0"/>
                      <w:szCs w:val="21"/>
                    </w:rPr>
                  </w:pPr>
                  <w:r>
                    <w:rPr>
                      <w:bCs/>
                      <w:kern w:val="0"/>
                      <w:szCs w:val="21"/>
                    </w:rPr>
                    <w:t>液态</w:t>
                  </w:r>
                </w:p>
              </w:tc>
              <w:tc>
                <w:tcPr>
                  <w:tcW w:w="323" w:type="pct"/>
                  <w:vAlign w:val="center"/>
                </w:tcPr>
                <w:p w14:paraId="37F1D783">
                  <w:pPr>
                    <w:jc w:val="center"/>
                    <w:textAlignment w:val="baseline"/>
                    <w:rPr>
                      <w:bCs/>
                      <w:kern w:val="0"/>
                      <w:szCs w:val="21"/>
                    </w:rPr>
                  </w:pPr>
                  <w:r>
                    <w:rPr>
                      <w:bCs/>
                      <w:kern w:val="0"/>
                      <w:szCs w:val="21"/>
                    </w:rPr>
                    <w:t>矿物油</w:t>
                  </w:r>
                </w:p>
              </w:tc>
              <w:tc>
                <w:tcPr>
                  <w:tcW w:w="412" w:type="pct"/>
                  <w:vAlign w:val="center"/>
                </w:tcPr>
                <w:p w14:paraId="1ECF71B5">
                  <w:pPr>
                    <w:jc w:val="center"/>
                    <w:textAlignment w:val="baseline"/>
                    <w:rPr>
                      <w:bCs/>
                      <w:kern w:val="0"/>
                      <w:szCs w:val="21"/>
                    </w:rPr>
                  </w:pPr>
                  <w:r>
                    <w:rPr>
                      <w:rFonts w:hint="eastAsia"/>
                      <w:bCs/>
                      <w:kern w:val="0"/>
                      <w:szCs w:val="21"/>
                    </w:rPr>
                    <w:t>勘探</w:t>
                  </w:r>
                  <w:r>
                    <w:rPr>
                      <w:bCs/>
                      <w:kern w:val="0"/>
                      <w:szCs w:val="21"/>
                    </w:rPr>
                    <w:t>期</w:t>
                  </w:r>
                </w:p>
              </w:tc>
              <w:tc>
                <w:tcPr>
                  <w:tcW w:w="432" w:type="pct"/>
                  <w:vAlign w:val="center"/>
                </w:tcPr>
                <w:p w14:paraId="094DC482">
                  <w:pPr>
                    <w:jc w:val="center"/>
                    <w:textAlignment w:val="baseline"/>
                    <w:rPr>
                      <w:bCs/>
                      <w:kern w:val="0"/>
                      <w:szCs w:val="21"/>
                    </w:rPr>
                  </w:pPr>
                  <w:r>
                    <w:rPr>
                      <w:bCs/>
                      <w:kern w:val="0"/>
                      <w:szCs w:val="21"/>
                    </w:rPr>
                    <w:t>T</w:t>
                  </w:r>
                  <w:r>
                    <w:rPr>
                      <w:rFonts w:hint="eastAsia"/>
                      <w:bCs/>
                      <w:kern w:val="0"/>
                      <w:szCs w:val="21"/>
                    </w:rPr>
                    <w:t>，</w:t>
                  </w:r>
                  <w:r>
                    <w:rPr>
                      <w:bCs/>
                      <w:kern w:val="0"/>
                      <w:szCs w:val="21"/>
                    </w:rPr>
                    <w:t>I</w:t>
                  </w:r>
                </w:p>
              </w:tc>
              <w:tc>
                <w:tcPr>
                  <w:tcW w:w="532" w:type="pct"/>
                  <w:vMerge w:val="continue"/>
                  <w:vAlign w:val="center"/>
                </w:tcPr>
                <w:p w14:paraId="0A5927D9">
                  <w:pPr>
                    <w:jc w:val="center"/>
                    <w:textAlignment w:val="baseline"/>
                    <w:rPr>
                      <w:bCs/>
                      <w:kern w:val="0"/>
                      <w:szCs w:val="21"/>
                    </w:rPr>
                  </w:pPr>
                </w:p>
              </w:tc>
            </w:tr>
            <w:tr w14:paraId="05D7F9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jc w:val="center"/>
              </w:trPr>
              <w:tc>
                <w:tcPr>
                  <w:tcW w:w="243" w:type="pct"/>
                  <w:vAlign w:val="center"/>
                </w:tcPr>
                <w:p w14:paraId="0FFE604C">
                  <w:pPr>
                    <w:jc w:val="center"/>
                    <w:textAlignment w:val="baseline"/>
                    <w:rPr>
                      <w:bCs/>
                      <w:kern w:val="0"/>
                      <w:szCs w:val="21"/>
                    </w:rPr>
                  </w:pPr>
                  <w:r>
                    <w:rPr>
                      <w:rFonts w:hint="eastAsia"/>
                      <w:bCs/>
                      <w:kern w:val="0"/>
                      <w:szCs w:val="21"/>
                    </w:rPr>
                    <w:t>3</w:t>
                  </w:r>
                </w:p>
              </w:tc>
              <w:tc>
                <w:tcPr>
                  <w:tcW w:w="470" w:type="pct"/>
                  <w:vAlign w:val="center"/>
                </w:tcPr>
                <w:p w14:paraId="4E7D1FAD">
                  <w:pPr>
                    <w:jc w:val="center"/>
                    <w:textAlignment w:val="baseline"/>
                    <w:rPr>
                      <w:bCs/>
                      <w:kern w:val="0"/>
                      <w:szCs w:val="21"/>
                    </w:rPr>
                  </w:pPr>
                  <w:r>
                    <w:rPr>
                      <w:rFonts w:hint="eastAsia"/>
                      <w:bCs/>
                      <w:kern w:val="0"/>
                      <w:szCs w:val="21"/>
                    </w:rPr>
                    <w:t>废防渗材料</w:t>
                  </w:r>
                </w:p>
              </w:tc>
              <w:tc>
                <w:tcPr>
                  <w:tcW w:w="471" w:type="pct"/>
                  <w:vAlign w:val="center"/>
                </w:tcPr>
                <w:p w14:paraId="7E9AD5AB">
                  <w:pPr>
                    <w:jc w:val="center"/>
                    <w:textAlignment w:val="baseline"/>
                    <w:rPr>
                      <w:bCs/>
                      <w:kern w:val="0"/>
                      <w:szCs w:val="21"/>
                    </w:rPr>
                  </w:pPr>
                  <w:r>
                    <w:rPr>
                      <w:bCs/>
                      <w:kern w:val="0"/>
                      <w:szCs w:val="21"/>
                    </w:rPr>
                    <w:t>HW08</w:t>
                  </w:r>
                </w:p>
              </w:tc>
              <w:tc>
                <w:tcPr>
                  <w:tcW w:w="728" w:type="pct"/>
                  <w:vAlign w:val="center"/>
                </w:tcPr>
                <w:p w14:paraId="13114A8D">
                  <w:pPr>
                    <w:jc w:val="center"/>
                    <w:textAlignment w:val="baseline"/>
                    <w:rPr>
                      <w:bCs/>
                      <w:kern w:val="0"/>
                      <w:szCs w:val="21"/>
                    </w:rPr>
                  </w:pPr>
                  <w:r>
                    <w:rPr>
                      <w:bCs/>
                      <w:kern w:val="0"/>
                      <w:szCs w:val="21"/>
                    </w:rPr>
                    <w:t>900-249-08</w:t>
                  </w:r>
                </w:p>
              </w:tc>
              <w:tc>
                <w:tcPr>
                  <w:tcW w:w="495" w:type="pct"/>
                  <w:vAlign w:val="center"/>
                </w:tcPr>
                <w:p w14:paraId="0D4A6C9E">
                  <w:pPr>
                    <w:jc w:val="center"/>
                    <w:textAlignment w:val="baseline"/>
                    <w:rPr>
                      <w:bCs/>
                      <w:kern w:val="0"/>
                      <w:szCs w:val="21"/>
                    </w:rPr>
                  </w:pPr>
                  <w:r>
                    <w:rPr>
                      <w:rFonts w:hint="eastAsia"/>
                      <w:bCs/>
                      <w:kern w:val="0"/>
                      <w:szCs w:val="21"/>
                    </w:rPr>
                    <w:t>0.5</w:t>
                  </w:r>
                </w:p>
              </w:tc>
              <w:tc>
                <w:tcPr>
                  <w:tcW w:w="605" w:type="pct"/>
                  <w:vAlign w:val="center"/>
                </w:tcPr>
                <w:p w14:paraId="054EAAF4">
                  <w:pPr>
                    <w:jc w:val="center"/>
                    <w:textAlignment w:val="baseline"/>
                    <w:rPr>
                      <w:bCs/>
                      <w:kern w:val="0"/>
                      <w:szCs w:val="21"/>
                    </w:rPr>
                  </w:pPr>
                  <w:r>
                    <w:rPr>
                      <w:bCs/>
                      <w:kern w:val="0"/>
                      <w:szCs w:val="21"/>
                    </w:rPr>
                    <w:t>钻井、试油</w:t>
                  </w:r>
                </w:p>
              </w:tc>
              <w:tc>
                <w:tcPr>
                  <w:tcW w:w="288" w:type="pct"/>
                  <w:vAlign w:val="center"/>
                </w:tcPr>
                <w:p w14:paraId="06BC1471">
                  <w:pPr>
                    <w:jc w:val="center"/>
                    <w:textAlignment w:val="baseline"/>
                    <w:rPr>
                      <w:bCs/>
                      <w:kern w:val="0"/>
                      <w:szCs w:val="21"/>
                    </w:rPr>
                  </w:pPr>
                  <w:r>
                    <w:rPr>
                      <w:bCs/>
                      <w:kern w:val="0"/>
                      <w:szCs w:val="21"/>
                    </w:rPr>
                    <w:t>固体</w:t>
                  </w:r>
                </w:p>
              </w:tc>
              <w:tc>
                <w:tcPr>
                  <w:tcW w:w="323" w:type="pct"/>
                  <w:vAlign w:val="center"/>
                </w:tcPr>
                <w:p w14:paraId="7BBE06C4">
                  <w:pPr>
                    <w:jc w:val="center"/>
                    <w:textAlignment w:val="baseline"/>
                    <w:rPr>
                      <w:bCs/>
                      <w:kern w:val="0"/>
                      <w:szCs w:val="21"/>
                    </w:rPr>
                  </w:pPr>
                  <w:r>
                    <w:rPr>
                      <w:bCs/>
                      <w:kern w:val="0"/>
                      <w:szCs w:val="21"/>
                    </w:rPr>
                    <w:t>矿物油</w:t>
                  </w:r>
                </w:p>
              </w:tc>
              <w:tc>
                <w:tcPr>
                  <w:tcW w:w="412" w:type="pct"/>
                  <w:vAlign w:val="center"/>
                </w:tcPr>
                <w:p w14:paraId="4CFF850C">
                  <w:pPr>
                    <w:jc w:val="center"/>
                    <w:textAlignment w:val="baseline"/>
                    <w:rPr>
                      <w:bCs/>
                      <w:kern w:val="0"/>
                      <w:szCs w:val="21"/>
                    </w:rPr>
                  </w:pPr>
                  <w:r>
                    <w:rPr>
                      <w:rFonts w:hint="eastAsia"/>
                      <w:bCs/>
                      <w:kern w:val="0"/>
                      <w:szCs w:val="21"/>
                    </w:rPr>
                    <w:t>勘探</w:t>
                  </w:r>
                  <w:r>
                    <w:rPr>
                      <w:bCs/>
                      <w:kern w:val="0"/>
                      <w:szCs w:val="21"/>
                    </w:rPr>
                    <w:t>期</w:t>
                  </w:r>
                </w:p>
              </w:tc>
              <w:tc>
                <w:tcPr>
                  <w:tcW w:w="432" w:type="pct"/>
                  <w:vAlign w:val="center"/>
                </w:tcPr>
                <w:p w14:paraId="3003C641">
                  <w:pPr>
                    <w:jc w:val="center"/>
                    <w:textAlignment w:val="baseline"/>
                    <w:rPr>
                      <w:bCs/>
                      <w:kern w:val="0"/>
                      <w:szCs w:val="21"/>
                    </w:rPr>
                  </w:pPr>
                  <w:r>
                    <w:rPr>
                      <w:bCs/>
                      <w:kern w:val="0"/>
                      <w:szCs w:val="21"/>
                    </w:rPr>
                    <w:t>T</w:t>
                  </w:r>
                  <w:r>
                    <w:rPr>
                      <w:rFonts w:hint="eastAsia"/>
                      <w:bCs/>
                      <w:kern w:val="0"/>
                      <w:szCs w:val="21"/>
                    </w:rPr>
                    <w:t>，</w:t>
                  </w:r>
                  <w:r>
                    <w:rPr>
                      <w:bCs/>
                      <w:kern w:val="0"/>
                      <w:szCs w:val="21"/>
                    </w:rPr>
                    <w:t>I</w:t>
                  </w:r>
                </w:p>
              </w:tc>
              <w:tc>
                <w:tcPr>
                  <w:tcW w:w="532" w:type="pct"/>
                  <w:vMerge w:val="continue"/>
                  <w:vAlign w:val="center"/>
                </w:tcPr>
                <w:p w14:paraId="061DBB9A">
                  <w:pPr>
                    <w:jc w:val="center"/>
                    <w:textAlignment w:val="baseline"/>
                    <w:rPr>
                      <w:bCs/>
                      <w:kern w:val="0"/>
                      <w:szCs w:val="21"/>
                    </w:rPr>
                  </w:pPr>
                </w:p>
              </w:tc>
            </w:tr>
          </w:tbl>
          <w:p w14:paraId="725F1F51">
            <w:pPr>
              <w:autoSpaceDE w:val="0"/>
              <w:autoSpaceDN w:val="0"/>
              <w:adjustRightInd w:val="0"/>
              <w:ind w:firstLine="482" w:firstLineChars="200"/>
              <w:jc w:val="center"/>
              <w:rPr>
                <w:b/>
                <w:kern w:val="0"/>
                <w:sz w:val="24"/>
              </w:rPr>
            </w:pPr>
            <w:r>
              <w:rPr>
                <w:b/>
                <w:kern w:val="0"/>
                <w:sz w:val="24"/>
              </w:rPr>
              <w:t>表</w:t>
            </w:r>
            <w:r>
              <w:rPr>
                <w:rFonts w:hint="eastAsia"/>
                <w:b/>
                <w:kern w:val="0"/>
                <w:sz w:val="24"/>
              </w:rPr>
              <w:t xml:space="preserve">4-10 </w:t>
            </w:r>
            <w:r>
              <w:rPr>
                <w:b/>
                <w:kern w:val="0"/>
                <w:sz w:val="24"/>
              </w:rPr>
              <w:t>建设项目危险废物贮存场所（设施）基本情况</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420"/>
              <w:gridCol w:w="855"/>
              <w:gridCol w:w="810"/>
              <w:gridCol w:w="849"/>
              <w:gridCol w:w="1437"/>
              <w:gridCol w:w="879"/>
              <w:gridCol w:w="781"/>
              <w:gridCol w:w="702"/>
              <w:gridCol w:w="705"/>
              <w:gridCol w:w="757"/>
            </w:tblGrid>
            <w:tr w14:paraId="1F8BFA3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76" w:type="pct"/>
                  <w:tcMar>
                    <w:left w:w="0" w:type="dxa"/>
                    <w:right w:w="0" w:type="dxa"/>
                  </w:tcMar>
                  <w:vAlign w:val="center"/>
                </w:tcPr>
                <w:p w14:paraId="53748409">
                  <w:pPr>
                    <w:adjustRightInd w:val="0"/>
                    <w:jc w:val="center"/>
                    <w:textAlignment w:val="baseline"/>
                    <w:rPr>
                      <w:rFonts w:hAnsi="宋体"/>
                      <w:bCs/>
                      <w:kern w:val="0"/>
                    </w:rPr>
                  </w:pPr>
                  <w:r>
                    <w:rPr>
                      <w:rFonts w:hint="eastAsia" w:hAnsi="宋体"/>
                      <w:bCs/>
                      <w:kern w:val="0"/>
                    </w:rPr>
                    <w:t>序号</w:t>
                  </w:r>
                </w:p>
              </w:tc>
              <w:tc>
                <w:tcPr>
                  <w:tcW w:w="541" w:type="pct"/>
                  <w:tcMar>
                    <w:left w:w="0" w:type="dxa"/>
                    <w:right w:w="0" w:type="dxa"/>
                  </w:tcMar>
                  <w:vAlign w:val="center"/>
                </w:tcPr>
                <w:p w14:paraId="6B34293F">
                  <w:pPr>
                    <w:adjustRightInd w:val="0"/>
                    <w:jc w:val="center"/>
                    <w:textAlignment w:val="baseline"/>
                    <w:rPr>
                      <w:rFonts w:hAnsi="宋体"/>
                      <w:bCs/>
                      <w:kern w:val="0"/>
                    </w:rPr>
                  </w:pPr>
                  <w:r>
                    <w:rPr>
                      <w:rFonts w:hint="eastAsia" w:hAnsi="宋体"/>
                      <w:bCs/>
                      <w:kern w:val="0"/>
                    </w:rPr>
                    <w:t>贮存场所名称</w:t>
                  </w:r>
                </w:p>
              </w:tc>
              <w:tc>
                <w:tcPr>
                  <w:tcW w:w="514" w:type="pct"/>
                  <w:tcMar>
                    <w:left w:w="0" w:type="dxa"/>
                    <w:right w:w="0" w:type="dxa"/>
                  </w:tcMar>
                  <w:vAlign w:val="center"/>
                </w:tcPr>
                <w:p w14:paraId="6EFA98C9">
                  <w:pPr>
                    <w:adjustRightInd w:val="0"/>
                    <w:jc w:val="center"/>
                    <w:textAlignment w:val="baseline"/>
                    <w:rPr>
                      <w:rFonts w:hAnsi="宋体"/>
                      <w:bCs/>
                      <w:kern w:val="0"/>
                    </w:rPr>
                  </w:pPr>
                  <w:r>
                    <w:rPr>
                      <w:rFonts w:hint="eastAsia" w:hAnsi="宋体"/>
                      <w:bCs/>
                      <w:kern w:val="0"/>
                    </w:rPr>
                    <w:t>危险废物名称</w:t>
                  </w:r>
                </w:p>
              </w:tc>
              <w:tc>
                <w:tcPr>
                  <w:tcW w:w="536" w:type="pct"/>
                  <w:tcMar>
                    <w:left w:w="0" w:type="dxa"/>
                    <w:right w:w="0" w:type="dxa"/>
                  </w:tcMar>
                  <w:vAlign w:val="center"/>
                </w:tcPr>
                <w:p w14:paraId="78C76885">
                  <w:pPr>
                    <w:adjustRightInd w:val="0"/>
                    <w:jc w:val="center"/>
                    <w:textAlignment w:val="baseline"/>
                    <w:rPr>
                      <w:rFonts w:hAnsi="宋体"/>
                      <w:bCs/>
                      <w:kern w:val="0"/>
                    </w:rPr>
                  </w:pPr>
                  <w:r>
                    <w:rPr>
                      <w:rFonts w:hint="eastAsia" w:hAnsi="宋体"/>
                      <w:bCs/>
                      <w:kern w:val="0"/>
                    </w:rPr>
                    <w:t>危险废物类别</w:t>
                  </w:r>
                </w:p>
              </w:tc>
              <w:tc>
                <w:tcPr>
                  <w:tcW w:w="772" w:type="pct"/>
                  <w:tcMar>
                    <w:left w:w="0" w:type="dxa"/>
                    <w:right w:w="0" w:type="dxa"/>
                  </w:tcMar>
                  <w:vAlign w:val="center"/>
                </w:tcPr>
                <w:p w14:paraId="64DBA7A1">
                  <w:pPr>
                    <w:adjustRightInd w:val="0"/>
                    <w:jc w:val="center"/>
                    <w:textAlignment w:val="baseline"/>
                    <w:rPr>
                      <w:rFonts w:hAnsi="宋体"/>
                      <w:bCs/>
                      <w:kern w:val="0"/>
                    </w:rPr>
                  </w:pPr>
                  <w:r>
                    <w:rPr>
                      <w:rFonts w:hint="eastAsia" w:hAnsi="宋体"/>
                      <w:bCs/>
                      <w:kern w:val="0"/>
                    </w:rPr>
                    <w:t>危险废物代码</w:t>
                  </w:r>
                </w:p>
              </w:tc>
              <w:tc>
                <w:tcPr>
                  <w:tcW w:w="557" w:type="pct"/>
                  <w:tcMar>
                    <w:left w:w="0" w:type="dxa"/>
                    <w:right w:w="0" w:type="dxa"/>
                  </w:tcMar>
                  <w:vAlign w:val="center"/>
                </w:tcPr>
                <w:p w14:paraId="4E237CE1">
                  <w:pPr>
                    <w:adjustRightInd w:val="0"/>
                    <w:jc w:val="center"/>
                    <w:textAlignment w:val="baseline"/>
                    <w:rPr>
                      <w:rFonts w:hAnsi="宋体"/>
                      <w:bCs/>
                      <w:kern w:val="0"/>
                    </w:rPr>
                  </w:pPr>
                  <w:r>
                    <w:rPr>
                      <w:rFonts w:hint="eastAsia" w:hAnsi="宋体"/>
                      <w:bCs/>
                      <w:kern w:val="0"/>
                    </w:rPr>
                    <w:t>位置</w:t>
                  </w:r>
                </w:p>
              </w:tc>
              <w:tc>
                <w:tcPr>
                  <w:tcW w:w="426" w:type="pct"/>
                  <w:tcMar>
                    <w:left w:w="0" w:type="dxa"/>
                    <w:right w:w="0" w:type="dxa"/>
                  </w:tcMar>
                  <w:vAlign w:val="center"/>
                </w:tcPr>
                <w:p w14:paraId="75A280B3">
                  <w:pPr>
                    <w:adjustRightInd w:val="0"/>
                    <w:jc w:val="center"/>
                    <w:textAlignment w:val="baseline"/>
                    <w:rPr>
                      <w:rFonts w:hAnsi="宋体"/>
                      <w:bCs/>
                      <w:kern w:val="0"/>
                    </w:rPr>
                  </w:pPr>
                  <w:r>
                    <w:rPr>
                      <w:rFonts w:hint="eastAsia" w:hAnsi="宋体"/>
                      <w:bCs/>
                      <w:kern w:val="0"/>
                    </w:rPr>
                    <w:t>占地面积</w:t>
                  </w:r>
                </w:p>
              </w:tc>
              <w:tc>
                <w:tcPr>
                  <w:tcW w:w="448" w:type="pct"/>
                  <w:tcMar>
                    <w:left w:w="0" w:type="dxa"/>
                    <w:right w:w="0" w:type="dxa"/>
                  </w:tcMar>
                  <w:vAlign w:val="center"/>
                </w:tcPr>
                <w:p w14:paraId="2833F53D">
                  <w:pPr>
                    <w:adjustRightInd w:val="0"/>
                    <w:jc w:val="center"/>
                    <w:textAlignment w:val="baseline"/>
                    <w:rPr>
                      <w:rFonts w:hAnsi="宋体"/>
                      <w:bCs/>
                      <w:kern w:val="0"/>
                    </w:rPr>
                  </w:pPr>
                  <w:r>
                    <w:rPr>
                      <w:rFonts w:hint="eastAsia" w:hAnsi="宋体"/>
                      <w:bCs/>
                      <w:kern w:val="0"/>
                    </w:rPr>
                    <w:t>贮存方式</w:t>
                  </w:r>
                </w:p>
              </w:tc>
              <w:tc>
                <w:tcPr>
                  <w:tcW w:w="449" w:type="pct"/>
                  <w:tcMar>
                    <w:left w:w="0" w:type="dxa"/>
                    <w:right w:w="0" w:type="dxa"/>
                  </w:tcMar>
                  <w:vAlign w:val="center"/>
                </w:tcPr>
                <w:p w14:paraId="076F78C9">
                  <w:pPr>
                    <w:adjustRightInd w:val="0"/>
                    <w:jc w:val="center"/>
                    <w:textAlignment w:val="baseline"/>
                    <w:rPr>
                      <w:rFonts w:hAnsi="宋体"/>
                      <w:bCs/>
                      <w:kern w:val="0"/>
                    </w:rPr>
                  </w:pPr>
                  <w:r>
                    <w:rPr>
                      <w:rFonts w:hint="eastAsia" w:hAnsi="宋体"/>
                      <w:bCs/>
                      <w:kern w:val="0"/>
                    </w:rPr>
                    <w:t>贮存能力</w:t>
                  </w:r>
                </w:p>
              </w:tc>
              <w:tc>
                <w:tcPr>
                  <w:tcW w:w="481" w:type="pct"/>
                  <w:tcMar>
                    <w:left w:w="0" w:type="dxa"/>
                    <w:right w:w="0" w:type="dxa"/>
                  </w:tcMar>
                  <w:vAlign w:val="center"/>
                </w:tcPr>
                <w:p w14:paraId="0866BB52">
                  <w:pPr>
                    <w:adjustRightInd w:val="0"/>
                    <w:jc w:val="center"/>
                    <w:textAlignment w:val="baseline"/>
                    <w:rPr>
                      <w:rFonts w:hAnsi="宋体"/>
                      <w:bCs/>
                      <w:kern w:val="0"/>
                    </w:rPr>
                  </w:pPr>
                  <w:r>
                    <w:rPr>
                      <w:rFonts w:hint="eastAsia" w:hAnsi="宋体"/>
                      <w:bCs/>
                      <w:kern w:val="0"/>
                    </w:rPr>
                    <w:t>贮存周期</w:t>
                  </w:r>
                </w:p>
              </w:tc>
            </w:tr>
            <w:tr w14:paraId="445AB3F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76" w:type="pct"/>
                  <w:vAlign w:val="center"/>
                </w:tcPr>
                <w:p w14:paraId="7BEC8640">
                  <w:pPr>
                    <w:adjustRightInd w:val="0"/>
                    <w:jc w:val="center"/>
                    <w:textAlignment w:val="baseline"/>
                    <w:rPr>
                      <w:bCs/>
                      <w:kern w:val="0"/>
                    </w:rPr>
                  </w:pPr>
                  <w:r>
                    <w:rPr>
                      <w:rFonts w:hint="eastAsia"/>
                      <w:bCs/>
                      <w:kern w:val="0"/>
                    </w:rPr>
                    <w:t>1</w:t>
                  </w:r>
                </w:p>
              </w:tc>
              <w:tc>
                <w:tcPr>
                  <w:tcW w:w="541" w:type="pct"/>
                  <w:vMerge w:val="restart"/>
                  <w:tcMar>
                    <w:left w:w="0" w:type="dxa"/>
                    <w:right w:w="0" w:type="dxa"/>
                  </w:tcMar>
                  <w:vAlign w:val="center"/>
                </w:tcPr>
                <w:p w14:paraId="12D0ADF4">
                  <w:pPr>
                    <w:jc w:val="center"/>
                    <w:textAlignment w:val="baseline"/>
                    <w:rPr>
                      <w:bCs/>
                      <w:kern w:val="0"/>
                    </w:rPr>
                  </w:pPr>
                  <w:r>
                    <w:rPr>
                      <w:bCs/>
                      <w:kern w:val="0"/>
                    </w:rPr>
                    <w:t>撬装式危废贮存点</w:t>
                  </w:r>
                </w:p>
              </w:tc>
              <w:tc>
                <w:tcPr>
                  <w:tcW w:w="514" w:type="pct"/>
                  <w:tcMar>
                    <w:left w:w="0" w:type="dxa"/>
                    <w:right w:w="0" w:type="dxa"/>
                  </w:tcMar>
                  <w:vAlign w:val="center"/>
                </w:tcPr>
                <w:p w14:paraId="1FD24E03">
                  <w:pPr>
                    <w:jc w:val="center"/>
                    <w:textAlignment w:val="baseline"/>
                    <w:rPr>
                      <w:bCs/>
                      <w:kern w:val="0"/>
                    </w:rPr>
                  </w:pPr>
                  <w:r>
                    <w:rPr>
                      <w:bCs/>
                      <w:kern w:val="0"/>
                    </w:rPr>
                    <w:t>废润滑油</w:t>
                  </w:r>
                </w:p>
              </w:tc>
              <w:tc>
                <w:tcPr>
                  <w:tcW w:w="536" w:type="pct"/>
                  <w:vAlign w:val="center"/>
                </w:tcPr>
                <w:p w14:paraId="471E60C7">
                  <w:pPr>
                    <w:jc w:val="center"/>
                    <w:textAlignment w:val="baseline"/>
                    <w:rPr>
                      <w:bCs/>
                      <w:kern w:val="0"/>
                    </w:rPr>
                  </w:pPr>
                  <w:r>
                    <w:rPr>
                      <w:bCs/>
                      <w:kern w:val="0"/>
                      <w:szCs w:val="21"/>
                    </w:rPr>
                    <w:t>HW08</w:t>
                  </w:r>
                </w:p>
              </w:tc>
              <w:tc>
                <w:tcPr>
                  <w:tcW w:w="772" w:type="pct"/>
                  <w:vAlign w:val="center"/>
                </w:tcPr>
                <w:p w14:paraId="4CBD3B3B">
                  <w:pPr>
                    <w:jc w:val="center"/>
                    <w:textAlignment w:val="baseline"/>
                    <w:rPr>
                      <w:bCs/>
                      <w:kern w:val="0"/>
                    </w:rPr>
                  </w:pPr>
                  <w:r>
                    <w:rPr>
                      <w:szCs w:val="21"/>
                    </w:rPr>
                    <w:t>900-214-08</w:t>
                  </w:r>
                </w:p>
              </w:tc>
              <w:tc>
                <w:tcPr>
                  <w:tcW w:w="557" w:type="pct"/>
                  <w:vMerge w:val="restart"/>
                  <w:vAlign w:val="center"/>
                </w:tcPr>
                <w:p w14:paraId="2B7213ED">
                  <w:pPr>
                    <w:adjustRightInd w:val="0"/>
                    <w:jc w:val="center"/>
                    <w:textAlignment w:val="baseline"/>
                    <w:rPr>
                      <w:bCs/>
                      <w:kern w:val="0"/>
                    </w:rPr>
                  </w:pPr>
                  <w:r>
                    <w:rPr>
                      <w:bCs/>
                      <w:kern w:val="0"/>
                    </w:rPr>
                    <w:t>井场</w:t>
                  </w:r>
                </w:p>
              </w:tc>
              <w:tc>
                <w:tcPr>
                  <w:tcW w:w="426" w:type="pct"/>
                  <w:vMerge w:val="restart"/>
                  <w:vAlign w:val="center"/>
                </w:tcPr>
                <w:p w14:paraId="7D5E49A5">
                  <w:pPr>
                    <w:adjustRightInd w:val="0"/>
                    <w:jc w:val="center"/>
                    <w:textAlignment w:val="baseline"/>
                    <w:rPr>
                      <w:bCs/>
                      <w:kern w:val="0"/>
                    </w:rPr>
                  </w:pPr>
                  <w:r>
                    <w:rPr>
                      <w:bCs/>
                      <w:kern w:val="0"/>
                    </w:rPr>
                    <w:t>10m</w:t>
                  </w:r>
                  <w:r>
                    <w:rPr>
                      <w:bCs/>
                      <w:kern w:val="0"/>
                      <w:vertAlign w:val="superscript"/>
                    </w:rPr>
                    <w:t>2</w:t>
                  </w:r>
                </w:p>
              </w:tc>
              <w:tc>
                <w:tcPr>
                  <w:tcW w:w="448" w:type="pct"/>
                  <w:vAlign w:val="center"/>
                </w:tcPr>
                <w:p w14:paraId="3B0D1610">
                  <w:pPr>
                    <w:adjustRightInd w:val="0"/>
                    <w:jc w:val="center"/>
                    <w:textAlignment w:val="baseline"/>
                    <w:rPr>
                      <w:bCs/>
                      <w:kern w:val="0"/>
                    </w:rPr>
                  </w:pPr>
                  <w:r>
                    <w:rPr>
                      <w:bCs/>
                      <w:kern w:val="0"/>
                    </w:rPr>
                    <w:t>桶内贮存</w:t>
                  </w:r>
                </w:p>
              </w:tc>
              <w:tc>
                <w:tcPr>
                  <w:tcW w:w="449" w:type="pct"/>
                  <w:vMerge w:val="restart"/>
                  <w:vAlign w:val="center"/>
                </w:tcPr>
                <w:p w14:paraId="10056654">
                  <w:pPr>
                    <w:adjustRightInd w:val="0"/>
                    <w:jc w:val="center"/>
                    <w:textAlignment w:val="baseline"/>
                    <w:rPr>
                      <w:bCs/>
                      <w:kern w:val="0"/>
                    </w:rPr>
                  </w:pPr>
                  <w:r>
                    <w:rPr>
                      <w:rFonts w:hint="eastAsia"/>
                      <w:bCs/>
                      <w:kern w:val="0"/>
                    </w:rPr>
                    <w:t>3t</w:t>
                  </w:r>
                </w:p>
              </w:tc>
              <w:tc>
                <w:tcPr>
                  <w:tcW w:w="481" w:type="pct"/>
                  <w:tcMar>
                    <w:left w:w="0" w:type="dxa"/>
                    <w:right w:w="0" w:type="dxa"/>
                  </w:tcMar>
                  <w:vAlign w:val="center"/>
                </w:tcPr>
                <w:p w14:paraId="3EE39C7E">
                  <w:pPr>
                    <w:adjustRightInd w:val="0"/>
                    <w:jc w:val="center"/>
                    <w:textAlignment w:val="baseline"/>
                    <w:rPr>
                      <w:bCs/>
                      <w:kern w:val="0"/>
                    </w:rPr>
                  </w:pPr>
                  <w:r>
                    <w:rPr>
                      <w:rFonts w:hint="eastAsia"/>
                      <w:bCs/>
                      <w:kern w:val="0"/>
                    </w:rPr>
                    <w:t>勘探</w:t>
                  </w:r>
                  <w:r>
                    <w:rPr>
                      <w:bCs/>
                      <w:kern w:val="0"/>
                    </w:rPr>
                    <w:t>期</w:t>
                  </w:r>
                </w:p>
              </w:tc>
            </w:tr>
            <w:tr w14:paraId="3280C7B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76" w:type="pct"/>
                  <w:vAlign w:val="center"/>
                </w:tcPr>
                <w:p w14:paraId="1ACA2E10">
                  <w:pPr>
                    <w:adjustRightInd w:val="0"/>
                    <w:jc w:val="center"/>
                    <w:textAlignment w:val="baseline"/>
                    <w:rPr>
                      <w:bCs/>
                      <w:kern w:val="0"/>
                    </w:rPr>
                  </w:pPr>
                  <w:r>
                    <w:rPr>
                      <w:rFonts w:hint="eastAsia"/>
                      <w:bCs/>
                      <w:kern w:val="0"/>
                    </w:rPr>
                    <w:t>2</w:t>
                  </w:r>
                </w:p>
              </w:tc>
              <w:tc>
                <w:tcPr>
                  <w:tcW w:w="541" w:type="pct"/>
                  <w:vMerge w:val="continue"/>
                  <w:tcMar>
                    <w:left w:w="0" w:type="dxa"/>
                    <w:right w:w="0" w:type="dxa"/>
                  </w:tcMar>
                  <w:vAlign w:val="center"/>
                </w:tcPr>
                <w:p w14:paraId="6332A086">
                  <w:pPr>
                    <w:jc w:val="center"/>
                    <w:textAlignment w:val="baseline"/>
                    <w:rPr>
                      <w:bCs/>
                      <w:kern w:val="0"/>
                    </w:rPr>
                  </w:pPr>
                </w:p>
              </w:tc>
              <w:tc>
                <w:tcPr>
                  <w:tcW w:w="514" w:type="pct"/>
                  <w:tcMar>
                    <w:left w:w="0" w:type="dxa"/>
                    <w:right w:w="0" w:type="dxa"/>
                  </w:tcMar>
                  <w:vAlign w:val="center"/>
                </w:tcPr>
                <w:p w14:paraId="64B8B4E0">
                  <w:pPr>
                    <w:jc w:val="center"/>
                    <w:textAlignment w:val="baseline"/>
                    <w:rPr>
                      <w:bCs/>
                      <w:kern w:val="0"/>
                    </w:rPr>
                  </w:pPr>
                  <w:r>
                    <w:rPr>
                      <w:bCs/>
                      <w:kern w:val="0"/>
                    </w:rPr>
                    <w:t>落地油</w:t>
                  </w:r>
                </w:p>
              </w:tc>
              <w:tc>
                <w:tcPr>
                  <w:tcW w:w="536" w:type="pct"/>
                  <w:vAlign w:val="center"/>
                </w:tcPr>
                <w:p w14:paraId="42D8B2F8">
                  <w:pPr>
                    <w:jc w:val="center"/>
                    <w:textAlignment w:val="baseline"/>
                    <w:rPr>
                      <w:bCs/>
                      <w:kern w:val="0"/>
                      <w:szCs w:val="21"/>
                    </w:rPr>
                  </w:pPr>
                  <w:r>
                    <w:rPr>
                      <w:bCs/>
                      <w:kern w:val="0"/>
                    </w:rPr>
                    <w:t>HW08</w:t>
                  </w:r>
                </w:p>
              </w:tc>
              <w:tc>
                <w:tcPr>
                  <w:tcW w:w="772" w:type="pct"/>
                  <w:vAlign w:val="center"/>
                </w:tcPr>
                <w:p w14:paraId="7A84669C">
                  <w:pPr>
                    <w:jc w:val="center"/>
                    <w:textAlignment w:val="baseline"/>
                    <w:rPr>
                      <w:szCs w:val="21"/>
                    </w:rPr>
                  </w:pPr>
                  <w:r>
                    <w:rPr>
                      <w:bCs/>
                      <w:kern w:val="0"/>
                    </w:rPr>
                    <w:t>071-001-08</w:t>
                  </w:r>
                </w:p>
              </w:tc>
              <w:tc>
                <w:tcPr>
                  <w:tcW w:w="557" w:type="pct"/>
                  <w:vMerge w:val="continue"/>
                  <w:vAlign w:val="center"/>
                </w:tcPr>
                <w:p w14:paraId="79D937A7">
                  <w:pPr>
                    <w:adjustRightInd w:val="0"/>
                    <w:jc w:val="center"/>
                    <w:textAlignment w:val="baseline"/>
                    <w:rPr>
                      <w:bCs/>
                      <w:kern w:val="0"/>
                    </w:rPr>
                  </w:pPr>
                </w:p>
              </w:tc>
              <w:tc>
                <w:tcPr>
                  <w:tcW w:w="426" w:type="pct"/>
                  <w:vMerge w:val="continue"/>
                  <w:vAlign w:val="center"/>
                </w:tcPr>
                <w:p w14:paraId="79303CFC">
                  <w:pPr>
                    <w:adjustRightInd w:val="0"/>
                    <w:jc w:val="center"/>
                    <w:textAlignment w:val="baseline"/>
                    <w:rPr>
                      <w:bCs/>
                      <w:kern w:val="0"/>
                    </w:rPr>
                  </w:pPr>
                </w:p>
              </w:tc>
              <w:tc>
                <w:tcPr>
                  <w:tcW w:w="448" w:type="pct"/>
                  <w:vAlign w:val="center"/>
                </w:tcPr>
                <w:p w14:paraId="349D8150">
                  <w:pPr>
                    <w:adjustRightInd w:val="0"/>
                    <w:jc w:val="center"/>
                    <w:textAlignment w:val="baseline"/>
                    <w:rPr>
                      <w:bCs/>
                      <w:kern w:val="0"/>
                    </w:rPr>
                  </w:pPr>
                  <w:r>
                    <w:rPr>
                      <w:bCs/>
                      <w:kern w:val="0"/>
                    </w:rPr>
                    <w:t>罐内贮存</w:t>
                  </w:r>
                </w:p>
              </w:tc>
              <w:tc>
                <w:tcPr>
                  <w:tcW w:w="449" w:type="pct"/>
                  <w:vMerge w:val="continue"/>
                  <w:vAlign w:val="center"/>
                </w:tcPr>
                <w:p w14:paraId="7FBC041A">
                  <w:pPr>
                    <w:adjustRightInd w:val="0"/>
                    <w:jc w:val="center"/>
                    <w:textAlignment w:val="baseline"/>
                    <w:rPr>
                      <w:bCs/>
                      <w:kern w:val="0"/>
                    </w:rPr>
                  </w:pPr>
                </w:p>
              </w:tc>
              <w:tc>
                <w:tcPr>
                  <w:tcW w:w="481" w:type="pct"/>
                  <w:tcMar>
                    <w:left w:w="0" w:type="dxa"/>
                    <w:right w:w="0" w:type="dxa"/>
                  </w:tcMar>
                  <w:vAlign w:val="center"/>
                </w:tcPr>
                <w:p w14:paraId="613D0559">
                  <w:pPr>
                    <w:adjustRightInd w:val="0"/>
                    <w:jc w:val="center"/>
                    <w:textAlignment w:val="baseline"/>
                    <w:rPr>
                      <w:bCs/>
                      <w:kern w:val="0"/>
                    </w:rPr>
                  </w:pPr>
                  <w:r>
                    <w:rPr>
                      <w:rFonts w:hint="eastAsia"/>
                      <w:bCs/>
                      <w:kern w:val="0"/>
                    </w:rPr>
                    <w:t>勘探</w:t>
                  </w:r>
                  <w:r>
                    <w:rPr>
                      <w:bCs/>
                      <w:kern w:val="0"/>
                    </w:rPr>
                    <w:t>期</w:t>
                  </w:r>
                </w:p>
              </w:tc>
            </w:tr>
            <w:tr w14:paraId="2DE2062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276" w:type="pct"/>
                  <w:vAlign w:val="center"/>
                </w:tcPr>
                <w:p w14:paraId="35E30E49">
                  <w:pPr>
                    <w:adjustRightInd w:val="0"/>
                    <w:jc w:val="center"/>
                    <w:textAlignment w:val="baseline"/>
                    <w:rPr>
                      <w:bCs/>
                      <w:kern w:val="0"/>
                    </w:rPr>
                  </w:pPr>
                  <w:r>
                    <w:rPr>
                      <w:rFonts w:hint="eastAsia"/>
                      <w:bCs/>
                      <w:kern w:val="0"/>
                    </w:rPr>
                    <w:t>3</w:t>
                  </w:r>
                </w:p>
              </w:tc>
              <w:tc>
                <w:tcPr>
                  <w:tcW w:w="541" w:type="pct"/>
                  <w:vMerge w:val="continue"/>
                  <w:tcMar>
                    <w:left w:w="0" w:type="dxa"/>
                    <w:right w:w="0" w:type="dxa"/>
                  </w:tcMar>
                  <w:vAlign w:val="center"/>
                </w:tcPr>
                <w:p w14:paraId="637FF3A5">
                  <w:pPr>
                    <w:jc w:val="center"/>
                    <w:textAlignment w:val="baseline"/>
                    <w:rPr>
                      <w:bCs/>
                      <w:kern w:val="0"/>
                    </w:rPr>
                  </w:pPr>
                </w:p>
              </w:tc>
              <w:tc>
                <w:tcPr>
                  <w:tcW w:w="514" w:type="pct"/>
                  <w:tcMar>
                    <w:left w:w="0" w:type="dxa"/>
                    <w:right w:w="0" w:type="dxa"/>
                  </w:tcMar>
                  <w:vAlign w:val="center"/>
                </w:tcPr>
                <w:p w14:paraId="2ED07959">
                  <w:pPr>
                    <w:jc w:val="center"/>
                    <w:textAlignment w:val="baseline"/>
                    <w:rPr>
                      <w:bCs/>
                      <w:kern w:val="0"/>
                    </w:rPr>
                  </w:pPr>
                  <w:r>
                    <w:rPr>
                      <w:rFonts w:hint="eastAsia"/>
                      <w:bCs/>
                      <w:kern w:val="0"/>
                      <w:szCs w:val="21"/>
                    </w:rPr>
                    <w:t>废防渗材料</w:t>
                  </w:r>
                </w:p>
              </w:tc>
              <w:tc>
                <w:tcPr>
                  <w:tcW w:w="536" w:type="pct"/>
                  <w:vAlign w:val="center"/>
                </w:tcPr>
                <w:p w14:paraId="490DE774">
                  <w:pPr>
                    <w:jc w:val="center"/>
                    <w:textAlignment w:val="baseline"/>
                    <w:rPr>
                      <w:bCs/>
                      <w:kern w:val="0"/>
                      <w:szCs w:val="21"/>
                    </w:rPr>
                  </w:pPr>
                  <w:r>
                    <w:rPr>
                      <w:bCs/>
                      <w:kern w:val="0"/>
                      <w:szCs w:val="21"/>
                    </w:rPr>
                    <w:t>HW08</w:t>
                  </w:r>
                </w:p>
              </w:tc>
              <w:tc>
                <w:tcPr>
                  <w:tcW w:w="772" w:type="pct"/>
                  <w:vAlign w:val="center"/>
                </w:tcPr>
                <w:p w14:paraId="59CC01FF">
                  <w:pPr>
                    <w:jc w:val="center"/>
                    <w:textAlignment w:val="baseline"/>
                    <w:rPr>
                      <w:bCs/>
                      <w:kern w:val="0"/>
                      <w:szCs w:val="21"/>
                    </w:rPr>
                  </w:pPr>
                  <w:r>
                    <w:rPr>
                      <w:bCs/>
                      <w:kern w:val="0"/>
                      <w:szCs w:val="21"/>
                    </w:rPr>
                    <w:t>900-249-08</w:t>
                  </w:r>
                </w:p>
              </w:tc>
              <w:tc>
                <w:tcPr>
                  <w:tcW w:w="557" w:type="pct"/>
                  <w:vMerge w:val="continue"/>
                  <w:vAlign w:val="center"/>
                </w:tcPr>
                <w:p w14:paraId="3EA1723B">
                  <w:pPr>
                    <w:adjustRightInd w:val="0"/>
                    <w:jc w:val="center"/>
                    <w:textAlignment w:val="baseline"/>
                    <w:rPr>
                      <w:bCs/>
                      <w:kern w:val="0"/>
                    </w:rPr>
                  </w:pPr>
                </w:p>
              </w:tc>
              <w:tc>
                <w:tcPr>
                  <w:tcW w:w="426" w:type="pct"/>
                  <w:vMerge w:val="continue"/>
                  <w:vAlign w:val="center"/>
                </w:tcPr>
                <w:p w14:paraId="096F7A8A">
                  <w:pPr>
                    <w:adjustRightInd w:val="0"/>
                    <w:jc w:val="center"/>
                    <w:textAlignment w:val="baseline"/>
                    <w:rPr>
                      <w:bCs/>
                      <w:kern w:val="0"/>
                    </w:rPr>
                  </w:pPr>
                </w:p>
              </w:tc>
              <w:tc>
                <w:tcPr>
                  <w:tcW w:w="448" w:type="pct"/>
                  <w:vAlign w:val="center"/>
                </w:tcPr>
                <w:p w14:paraId="1E4E5B74">
                  <w:pPr>
                    <w:adjustRightInd w:val="0"/>
                    <w:jc w:val="center"/>
                    <w:textAlignment w:val="baseline"/>
                    <w:rPr>
                      <w:bCs/>
                      <w:kern w:val="0"/>
                    </w:rPr>
                  </w:pPr>
                  <w:r>
                    <w:rPr>
                      <w:bCs/>
                      <w:kern w:val="0"/>
                    </w:rPr>
                    <w:t>编织袋内</w:t>
                  </w:r>
                </w:p>
              </w:tc>
              <w:tc>
                <w:tcPr>
                  <w:tcW w:w="449" w:type="pct"/>
                  <w:vMerge w:val="continue"/>
                  <w:vAlign w:val="center"/>
                </w:tcPr>
                <w:p w14:paraId="7A94A332">
                  <w:pPr>
                    <w:adjustRightInd w:val="0"/>
                    <w:jc w:val="center"/>
                    <w:textAlignment w:val="baseline"/>
                    <w:rPr>
                      <w:bCs/>
                      <w:kern w:val="0"/>
                    </w:rPr>
                  </w:pPr>
                </w:p>
              </w:tc>
              <w:tc>
                <w:tcPr>
                  <w:tcW w:w="481" w:type="pct"/>
                  <w:tcMar>
                    <w:left w:w="0" w:type="dxa"/>
                    <w:right w:w="0" w:type="dxa"/>
                  </w:tcMar>
                  <w:vAlign w:val="center"/>
                </w:tcPr>
                <w:p w14:paraId="48519F4F">
                  <w:pPr>
                    <w:adjustRightInd w:val="0"/>
                    <w:jc w:val="center"/>
                    <w:textAlignment w:val="baseline"/>
                    <w:rPr>
                      <w:bCs/>
                      <w:kern w:val="0"/>
                    </w:rPr>
                  </w:pPr>
                  <w:r>
                    <w:rPr>
                      <w:rFonts w:hint="eastAsia"/>
                      <w:bCs/>
                      <w:kern w:val="0"/>
                    </w:rPr>
                    <w:t>勘探</w:t>
                  </w:r>
                  <w:r>
                    <w:rPr>
                      <w:bCs/>
                      <w:kern w:val="0"/>
                    </w:rPr>
                    <w:t>期</w:t>
                  </w:r>
                </w:p>
              </w:tc>
            </w:tr>
          </w:tbl>
          <w:p w14:paraId="732E5CA3">
            <w:pPr>
              <w:spacing w:line="360" w:lineRule="auto"/>
              <w:ind w:firstLine="480"/>
              <w:rPr>
                <w:sz w:val="24"/>
              </w:rPr>
            </w:pPr>
            <w:r>
              <w:rPr>
                <w:sz w:val="24"/>
              </w:rPr>
              <w:t>2、固体废物影响分析</w:t>
            </w:r>
          </w:p>
          <w:p w14:paraId="014F691D">
            <w:pPr>
              <w:spacing w:line="360" w:lineRule="auto"/>
              <w:ind w:firstLine="480"/>
              <w:rPr>
                <w:sz w:val="24"/>
              </w:rPr>
            </w:pPr>
            <w:r>
              <w:rPr>
                <w:sz w:val="24"/>
              </w:rPr>
              <w:t>（1）一般固体废物环境影响分析</w:t>
            </w:r>
          </w:p>
          <w:p w14:paraId="6B64DBB2">
            <w:pPr>
              <w:spacing w:line="360" w:lineRule="auto"/>
              <w:ind w:firstLine="480"/>
              <w:rPr>
                <w:sz w:val="24"/>
              </w:rPr>
            </w:pPr>
            <w:r>
              <w:rPr>
                <w:sz w:val="24"/>
              </w:rPr>
              <w:t>项目废弃泥浆、岩屑收集至泥浆不落地循环系统装置旁的3具30m</w:t>
            </w:r>
            <w:r>
              <w:rPr>
                <w:sz w:val="24"/>
                <w:vertAlign w:val="superscript"/>
              </w:rPr>
              <w:t>3</w:t>
            </w:r>
            <w:r>
              <w:rPr>
                <w:sz w:val="24"/>
              </w:rPr>
              <w:t>（2×2.5×6m）、壁厚约5mm的可移动废水罐临时贮存，定期拉运至内蒙古众宁环保科技有限公司油气田废弃物集中处理厂处理；泥浆不落地循环系统装置配备钻井泥浆循环罐，下方铺设双层防渗膜，防渗性能可以满足1.0×10</w:t>
            </w:r>
            <w:r>
              <w:rPr>
                <w:sz w:val="24"/>
                <w:vertAlign w:val="superscript"/>
              </w:rPr>
              <w:t>-10</w:t>
            </w:r>
            <w:r>
              <w:rPr>
                <w:sz w:val="24"/>
              </w:rPr>
              <w:t>cm/s的要求，能够有效防止钻井泥浆循环罐中的污染物下渗，可避免对土壤、地下水环境等产生影响。生活垃圾集中收集后委托当地环卫部门处理。项目一般工业固体废物全部妥善处置，不外排，不会对周围环境产生影响。</w:t>
            </w:r>
          </w:p>
          <w:p w14:paraId="4EBFF998">
            <w:pPr>
              <w:spacing w:line="360" w:lineRule="auto"/>
              <w:ind w:firstLine="480"/>
              <w:rPr>
                <w:sz w:val="24"/>
              </w:rPr>
            </w:pPr>
            <w:r>
              <w:rPr>
                <w:rFonts w:hint="eastAsia"/>
                <w:sz w:val="24"/>
              </w:rPr>
              <w:t>（2）危险废物环境影响分析</w:t>
            </w:r>
          </w:p>
          <w:p w14:paraId="0C53B352">
            <w:pPr>
              <w:spacing w:line="360" w:lineRule="auto"/>
              <w:ind w:firstLine="480"/>
              <w:rPr>
                <w:sz w:val="24"/>
              </w:rPr>
            </w:pPr>
            <w:r>
              <w:rPr>
                <w:rFonts w:hint="eastAsia" w:ascii="宋体" w:hAnsi="宋体"/>
                <w:sz w:val="24"/>
              </w:rPr>
              <w:t>①</w:t>
            </w:r>
            <w:r>
              <w:rPr>
                <w:rFonts w:hint="eastAsia"/>
                <w:sz w:val="24"/>
              </w:rPr>
              <w:t>危险废物贮存场所选址分析</w:t>
            </w:r>
          </w:p>
          <w:p w14:paraId="5BB63724">
            <w:pPr>
              <w:spacing w:line="360" w:lineRule="auto"/>
              <w:ind w:firstLine="480"/>
              <w:rPr>
                <w:sz w:val="24"/>
              </w:rPr>
            </w:pPr>
            <w:r>
              <w:rPr>
                <w:rFonts w:hint="eastAsia"/>
                <w:sz w:val="24"/>
              </w:rPr>
              <w:t>危险废物收集后暂存于井场撬装式危废贮存点内，选址与《危险废物贮存污染控制标准》（GB18597-2023）相关要求符合性分析见下表。</w:t>
            </w:r>
          </w:p>
          <w:p w14:paraId="2DB0C1A1">
            <w:pPr>
              <w:autoSpaceDE w:val="0"/>
              <w:autoSpaceDN w:val="0"/>
              <w:adjustRightInd w:val="0"/>
              <w:jc w:val="center"/>
              <w:rPr>
                <w:b/>
                <w:kern w:val="0"/>
                <w:sz w:val="24"/>
                <w:szCs w:val="21"/>
              </w:rPr>
            </w:pPr>
            <w:r>
              <w:rPr>
                <w:b/>
                <w:kern w:val="0"/>
                <w:sz w:val="24"/>
                <w:szCs w:val="21"/>
              </w:rPr>
              <w:t>表4-</w:t>
            </w:r>
            <w:r>
              <w:rPr>
                <w:rFonts w:hint="eastAsia"/>
                <w:b/>
                <w:kern w:val="0"/>
                <w:sz w:val="24"/>
                <w:szCs w:val="21"/>
              </w:rPr>
              <w:t>11</w:t>
            </w:r>
            <w:r>
              <w:rPr>
                <w:b/>
                <w:kern w:val="0"/>
                <w:sz w:val="24"/>
                <w:szCs w:val="21"/>
              </w:rPr>
              <w:t xml:space="preserve"> 危险废物贮存场所选址分析</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3233"/>
              <w:gridCol w:w="4283"/>
              <w:gridCol w:w="679"/>
            </w:tblGrid>
            <w:tr w14:paraId="384ADE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3" w:hRule="atLeast"/>
                <w:jc w:val="center"/>
              </w:trPr>
              <w:tc>
                <w:tcPr>
                  <w:tcW w:w="1973" w:type="pct"/>
                  <w:vAlign w:val="center"/>
                </w:tcPr>
                <w:p w14:paraId="74DD6E63">
                  <w:pPr>
                    <w:pStyle w:val="235"/>
                    <w:snapToGrid/>
                    <w:spacing w:after="0" w:line="240" w:lineRule="auto"/>
                    <w:ind w:left="0" w:leftChars="0" w:firstLine="0" w:firstLineChars="0"/>
                    <w:jc w:val="center"/>
                    <w:rPr>
                      <w:rFonts w:hAnsi="宋体" w:eastAsia="宋体" w:cs="宋体"/>
                      <w:b/>
                      <w:bCs/>
                      <w:spacing w:val="-10"/>
                      <w:sz w:val="21"/>
                      <w:szCs w:val="21"/>
                    </w:rPr>
                  </w:pPr>
                  <w:r>
                    <w:rPr>
                      <w:rFonts w:hint="eastAsia" w:hAnsi="宋体" w:eastAsia="宋体" w:cs="宋体"/>
                      <w:b/>
                      <w:bCs/>
                      <w:spacing w:val="-10"/>
                      <w:sz w:val="21"/>
                      <w:szCs w:val="21"/>
                    </w:rPr>
                    <w:t>选址要求</w:t>
                  </w:r>
                </w:p>
              </w:tc>
              <w:tc>
                <w:tcPr>
                  <w:tcW w:w="2613" w:type="pct"/>
                  <w:vAlign w:val="center"/>
                </w:tcPr>
                <w:p w14:paraId="4813BCA9">
                  <w:pPr>
                    <w:pStyle w:val="235"/>
                    <w:snapToGrid/>
                    <w:spacing w:after="0" w:line="240" w:lineRule="auto"/>
                    <w:ind w:left="0" w:leftChars="0" w:firstLine="0" w:firstLineChars="0"/>
                    <w:jc w:val="center"/>
                    <w:rPr>
                      <w:rFonts w:hAnsi="宋体" w:eastAsia="宋体" w:cs="宋体"/>
                      <w:b/>
                      <w:bCs/>
                      <w:spacing w:val="-10"/>
                      <w:sz w:val="21"/>
                      <w:szCs w:val="21"/>
                    </w:rPr>
                  </w:pPr>
                  <w:r>
                    <w:rPr>
                      <w:rFonts w:hint="eastAsia" w:hAnsi="宋体" w:eastAsia="宋体" w:cs="宋体"/>
                      <w:b/>
                      <w:bCs/>
                      <w:spacing w:val="-10"/>
                      <w:sz w:val="21"/>
                      <w:szCs w:val="21"/>
                    </w:rPr>
                    <w:t>项目情况</w:t>
                  </w:r>
                </w:p>
              </w:tc>
              <w:tc>
                <w:tcPr>
                  <w:tcW w:w="414" w:type="pct"/>
                  <w:vAlign w:val="center"/>
                </w:tcPr>
                <w:p w14:paraId="4983F8F3">
                  <w:pPr>
                    <w:pStyle w:val="235"/>
                    <w:snapToGrid/>
                    <w:spacing w:after="0" w:line="240" w:lineRule="auto"/>
                    <w:ind w:left="0" w:leftChars="0" w:firstLine="0" w:firstLineChars="0"/>
                    <w:jc w:val="center"/>
                    <w:rPr>
                      <w:rFonts w:hAnsi="宋体" w:eastAsia="宋体" w:cs="宋体"/>
                      <w:b/>
                      <w:bCs/>
                      <w:spacing w:val="-10"/>
                      <w:sz w:val="21"/>
                      <w:szCs w:val="21"/>
                    </w:rPr>
                  </w:pPr>
                  <w:r>
                    <w:rPr>
                      <w:rFonts w:hint="eastAsia" w:hAnsi="宋体" w:eastAsia="宋体" w:cs="宋体"/>
                      <w:b/>
                      <w:bCs/>
                      <w:spacing w:val="-10"/>
                      <w:sz w:val="21"/>
                      <w:szCs w:val="21"/>
                    </w:rPr>
                    <w:t>符合性</w:t>
                  </w:r>
                </w:p>
              </w:tc>
            </w:tr>
            <w:tr w14:paraId="62617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973" w:type="pct"/>
                  <w:vAlign w:val="center"/>
                </w:tcPr>
                <w:p w14:paraId="4B8DC6DF">
                  <w:pPr>
                    <w:widowControl/>
                    <w:adjustRightInd w:val="0"/>
                    <w:rPr>
                      <w:szCs w:val="21"/>
                    </w:rPr>
                  </w:pPr>
                  <w:r>
                    <w:rPr>
                      <w:kern w:val="0"/>
                      <w:szCs w:val="21"/>
                      <w:lang w:bidi="ar"/>
                    </w:rPr>
                    <w:t>贮存设施选址应满足生态环境保护法律法规、规划和</w:t>
                  </w:r>
                  <w:r>
                    <w:rPr>
                      <w:rFonts w:ascii="宋体" w:hAnsi="宋体"/>
                      <w:kern w:val="0"/>
                      <w:szCs w:val="21"/>
                      <w:lang w:bidi="ar"/>
                    </w:rPr>
                    <w:t>“三线一单”</w:t>
                  </w:r>
                  <w:r>
                    <w:rPr>
                      <w:kern w:val="0"/>
                      <w:szCs w:val="21"/>
                      <w:lang w:bidi="ar"/>
                    </w:rPr>
                    <w:t>生态环境分区管控的要求，建设项目应依法进行环境影响评价</w:t>
                  </w:r>
                </w:p>
              </w:tc>
              <w:tc>
                <w:tcPr>
                  <w:tcW w:w="2613" w:type="pct"/>
                  <w:vAlign w:val="center"/>
                </w:tcPr>
                <w:p w14:paraId="0CF6EF8C">
                  <w:pPr>
                    <w:pStyle w:val="235"/>
                    <w:snapToGrid/>
                    <w:spacing w:after="0" w:line="240" w:lineRule="auto"/>
                    <w:ind w:left="0" w:leftChars="0" w:firstLine="420"/>
                    <w:jc w:val="left"/>
                    <w:rPr>
                      <w:rFonts w:hAnsi="宋体" w:eastAsia="宋体"/>
                      <w:sz w:val="21"/>
                      <w:szCs w:val="21"/>
                    </w:rPr>
                  </w:pPr>
                  <w:r>
                    <w:rPr>
                      <w:rFonts w:hAnsi="宋体" w:eastAsia="宋体"/>
                      <w:sz w:val="21"/>
                      <w:szCs w:val="21"/>
                      <w:lang w:bidi="ar"/>
                    </w:rPr>
                    <w:t>项目满足生态环境保护法律法规、规划和“三线一单”生态环境分区管控的要求。</w:t>
                  </w:r>
                </w:p>
              </w:tc>
              <w:tc>
                <w:tcPr>
                  <w:tcW w:w="414" w:type="pct"/>
                  <w:vAlign w:val="center"/>
                </w:tcPr>
                <w:p w14:paraId="4B6D76B1">
                  <w:pPr>
                    <w:adjustRightInd w:val="0"/>
                    <w:jc w:val="center"/>
                    <w:rPr>
                      <w:szCs w:val="21"/>
                    </w:rPr>
                  </w:pPr>
                  <w:r>
                    <w:rPr>
                      <w:szCs w:val="21"/>
                    </w:rPr>
                    <w:t>符合</w:t>
                  </w:r>
                </w:p>
              </w:tc>
            </w:tr>
            <w:tr w14:paraId="621A65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973" w:type="pct"/>
                  <w:vAlign w:val="center"/>
                </w:tcPr>
                <w:p w14:paraId="1542FF6E">
                  <w:pPr>
                    <w:widowControl/>
                    <w:adjustRightInd w:val="0"/>
                    <w:rPr>
                      <w:szCs w:val="21"/>
                    </w:rPr>
                  </w:pPr>
                  <w:r>
                    <w:rPr>
                      <w:kern w:val="0"/>
                      <w:szCs w:val="21"/>
                      <w:lang w:bidi="ar"/>
                    </w:rPr>
                    <w:t>集中贮存设施不应选在生态保护红线区域、永久基本农田和其他需要特别保护的区域内，不应建在溶洞区或易遭受洪水、滑坡、泥石流、潮汐等严重自然灾害影响的地区</w:t>
                  </w:r>
                </w:p>
              </w:tc>
              <w:tc>
                <w:tcPr>
                  <w:tcW w:w="2613" w:type="pct"/>
                  <w:vAlign w:val="center"/>
                </w:tcPr>
                <w:p w14:paraId="113D907D">
                  <w:pPr>
                    <w:pStyle w:val="235"/>
                    <w:snapToGrid/>
                    <w:spacing w:after="0" w:line="240" w:lineRule="auto"/>
                    <w:ind w:left="0" w:leftChars="0" w:firstLine="420"/>
                    <w:jc w:val="left"/>
                    <w:rPr>
                      <w:rFonts w:ascii="Times New Roman" w:eastAsia="宋体"/>
                      <w:sz w:val="21"/>
                      <w:szCs w:val="21"/>
                    </w:rPr>
                  </w:pPr>
                  <w:r>
                    <w:rPr>
                      <w:rFonts w:ascii="Times New Roman" w:eastAsia="宋体"/>
                      <w:sz w:val="21"/>
                      <w:szCs w:val="21"/>
                      <w:lang w:bidi="ar"/>
                    </w:rPr>
                    <w:t>项目撬装式危废贮存点不属于集中贮存设施，</w:t>
                  </w:r>
                  <w:r>
                    <w:rPr>
                      <w:rFonts w:hint="eastAsia" w:ascii="Times New Roman" w:eastAsia="宋体"/>
                      <w:sz w:val="21"/>
                      <w:szCs w:val="21"/>
                      <w:lang w:bidi="ar"/>
                    </w:rPr>
                    <w:t>设置在井场施工范围内，贮存的危险废物定期委托有资质单位拉运处置，施工结束后</w:t>
                  </w:r>
                  <w:r>
                    <w:rPr>
                      <w:rFonts w:ascii="Times New Roman" w:eastAsia="宋体"/>
                      <w:sz w:val="21"/>
                      <w:szCs w:val="21"/>
                      <w:lang w:bidi="ar"/>
                    </w:rPr>
                    <w:t>撬装式危废贮存点</w:t>
                  </w:r>
                  <w:r>
                    <w:rPr>
                      <w:rFonts w:hint="eastAsia" w:ascii="Times New Roman" w:eastAsia="宋体"/>
                      <w:sz w:val="21"/>
                      <w:szCs w:val="21"/>
                      <w:lang w:bidi="ar"/>
                    </w:rPr>
                    <w:t>拉运至下一个井场继续使用。</w:t>
                  </w:r>
                  <w:r>
                    <w:rPr>
                      <w:rFonts w:ascii="Times New Roman" w:eastAsia="宋体"/>
                      <w:sz w:val="21"/>
                      <w:szCs w:val="21"/>
                      <w:lang w:bidi="ar"/>
                    </w:rPr>
                    <w:t>撬装式危废贮存点</w:t>
                  </w:r>
                  <w:r>
                    <w:rPr>
                      <w:rFonts w:hint="eastAsia" w:ascii="Times New Roman" w:eastAsia="宋体"/>
                      <w:sz w:val="21"/>
                      <w:szCs w:val="21"/>
                      <w:lang w:bidi="ar"/>
                    </w:rPr>
                    <w:t>所在井场</w:t>
                  </w:r>
                  <w:r>
                    <w:rPr>
                      <w:rFonts w:ascii="Times New Roman" w:eastAsia="宋体"/>
                      <w:sz w:val="21"/>
                      <w:szCs w:val="21"/>
                      <w:lang w:bidi="ar"/>
                    </w:rPr>
                    <w:t>不在生态保护红线区域、</w:t>
                  </w:r>
                  <w:r>
                    <w:rPr>
                      <w:rFonts w:hint="eastAsia" w:ascii="Times New Roman" w:eastAsia="宋体"/>
                      <w:sz w:val="21"/>
                      <w:szCs w:val="21"/>
                      <w:lang w:bidi="ar"/>
                    </w:rPr>
                    <w:t>永久基本农田和其他需要特别保护的区域内</w:t>
                  </w:r>
                  <w:r>
                    <w:rPr>
                      <w:rFonts w:ascii="Times New Roman" w:eastAsia="宋体"/>
                      <w:sz w:val="21"/>
                      <w:szCs w:val="21"/>
                      <w:lang w:bidi="ar"/>
                    </w:rPr>
                    <w:t>，不在易受严重自然灾害影响的地区</w:t>
                  </w:r>
                  <w:r>
                    <w:rPr>
                      <w:rFonts w:hint="eastAsia" w:ascii="Times New Roman" w:eastAsia="宋体"/>
                      <w:sz w:val="21"/>
                      <w:szCs w:val="21"/>
                      <w:lang w:bidi="ar"/>
                    </w:rPr>
                    <w:t>。</w:t>
                  </w:r>
                </w:p>
              </w:tc>
              <w:tc>
                <w:tcPr>
                  <w:tcW w:w="414" w:type="pct"/>
                  <w:vAlign w:val="center"/>
                </w:tcPr>
                <w:p w14:paraId="2C660E2F">
                  <w:pPr>
                    <w:adjustRightInd w:val="0"/>
                    <w:jc w:val="center"/>
                    <w:rPr>
                      <w:szCs w:val="21"/>
                    </w:rPr>
                  </w:pPr>
                  <w:r>
                    <w:rPr>
                      <w:szCs w:val="21"/>
                    </w:rPr>
                    <w:t>符合</w:t>
                  </w:r>
                </w:p>
              </w:tc>
            </w:tr>
            <w:tr w14:paraId="08AD0F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973" w:type="pct"/>
                  <w:vAlign w:val="center"/>
                </w:tcPr>
                <w:p w14:paraId="3C684D11">
                  <w:pPr>
                    <w:widowControl/>
                    <w:adjustRightInd w:val="0"/>
                    <w:rPr>
                      <w:rFonts w:hAnsi="宋体" w:cs="宋体"/>
                      <w:szCs w:val="21"/>
                    </w:rPr>
                  </w:pPr>
                  <w:r>
                    <w:rPr>
                      <w:rFonts w:hint="eastAsia" w:hAnsi="宋体" w:cs="宋体"/>
                      <w:kern w:val="0"/>
                      <w:szCs w:val="21"/>
                      <w:lang w:bidi="ar"/>
                    </w:rPr>
                    <w:t>贮存设施不应选在江河、湖泊、运河、渠道、水库及其最高水位线以下的滩地和岸坡，以及法律法规规定禁止贮存危险废物的其他地点</w:t>
                  </w:r>
                </w:p>
              </w:tc>
              <w:tc>
                <w:tcPr>
                  <w:tcW w:w="2613" w:type="pct"/>
                  <w:vAlign w:val="center"/>
                </w:tcPr>
                <w:p w14:paraId="7DFABA19">
                  <w:pPr>
                    <w:pStyle w:val="235"/>
                    <w:snapToGrid/>
                    <w:spacing w:after="0" w:line="240" w:lineRule="auto"/>
                    <w:ind w:left="0" w:leftChars="0" w:firstLine="420"/>
                    <w:jc w:val="left"/>
                    <w:rPr>
                      <w:rFonts w:hAnsi="宋体" w:eastAsia="宋体" w:cs="宋体"/>
                      <w:sz w:val="21"/>
                      <w:szCs w:val="21"/>
                    </w:rPr>
                  </w:pPr>
                  <w:r>
                    <w:rPr>
                      <w:rFonts w:hint="eastAsia" w:hAnsi="宋体" w:eastAsia="宋体" w:cs="宋体"/>
                      <w:sz w:val="21"/>
                      <w:szCs w:val="21"/>
                    </w:rPr>
                    <w:t>项目不在</w:t>
                  </w:r>
                  <w:r>
                    <w:rPr>
                      <w:rFonts w:hint="eastAsia" w:hAnsi="宋体" w:eastAsia="宋体" w:cs="宋体"/>
                      <w:sz w:val="21"/>
                      <w:szCs w:val="21"/>
                      <w:lang w:bidi="ar"/>
                    </w:rPr>
                    <w:t>江河、湖泊等最高水位线以下的滩地和岸坡。</w:t>
                  </w:r>
                </w:p>
              </w:tc>
              <w:tc>
                <w:tcPr>
                  <w:tcW w:w="414" w:type="pct"/>
                  <w:vAlign w:val="center"/>
                </w:tcPr>
                <w:p w14:paraId="204F3203">
                  <w:pPr>
                    <w:adjustRightInd w:val="0"/>
                    <w:jc w:val="center"/>
                    <w:rPr>
                      <w:rFonts w:hAnsi="宋体" w:cs="宋体"/>
                      <w:szCs w:val="21"/>
                    </w:rPr>
                  </w:pPr>
                  <w:r>
                    <w:rPr>
                      <w:rFonts w:hint="eastAsia" w:hAnsi="宋体" w:cs="宋体"/>
                      <w:szCs w:val="21"/>
                    </w:rPr>
                    <w:t>符合</w:t>
                  </w:r>
                </w:p>
              </w:tc>
            </w:tr>
            <w:tr w14:paraId="680DA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973" w:type="pct"/>
                  <w:vAlign w:val="center"/>
                </w:tcPr>
                <w:p w14:paraId="6A37187D">
                  <w:pPr>
                    <w:widowControl/>
                    <w:adjustRightInd w:val="0"/>
                    <w:rPr>
                      <w:rFonts w:hAnsi="宋体" w:cs="宋体"/>
                      <w:szCs w:val="21"/>
                    </w:rPr>
                  </w:pPr>
                  <w:r>
                    <w:rPr>
                      <w:rFonts w:hint="eastAsia" w:hAnsi="宋体" w:cs="宋体"/>
                      <w:kern w:val="0"/>
                      <w:szCs w:val="21"/>
                      <w:lang w:bidi="ar"/>
                    </w:rPr>
                    <w:t>贮存设施场址的位置以及其与周围环境敏感目标的距离应依据环境影响评价文件确定</w:t>
                  </w:r>
                </w:p>
              </w:tc>
              <w:tc>
                <w:tcPr>
                  <w:tcW w:w="2613" w:type="pct"/>
                  <w:vAlign w:val="center"/>
                </w:tcPr>
                <w:p w14:paraId="35B83BB3">
                  <w:pPr>
                    <w:pStyle w:val="235"/>
                    <w:snapToGrid/>
                    <w:spacing w:after="0" w:line="240" w:lineRule="auto"/>
                    <w:ind w:left="0" w:leftChars="0" w:firstLine="420"/>
                    <w:rPr>
                      <w:rFonts w:hAnsi="宋体" w:eastAsia="宋体" w:cs="宋体"/>
                      <w:sz w:val="21"/>
                      <w:szCs w:val="21"/>
                    </w:rPr>
                  </w:pPr>
                  <w:r>
                    <w:rPr>
                      <w:rFonts w:hint="eastAsia" w:hAnsi="宋体" w:eastAsia="宋体" w:cs="宋体"/>
                      <w:sz w:val="21"/>
                      <w:szCs w:val="21"/>
                    </w:rPr>
                    <w:t>项目仅涉及施工期，施工期危险废物产生量较小，且撬装式危废贮存点采取了重点防渗措施，不会对周围环境敏感目标产生污染影响。</w:t>
                  </w:r>
                </w:p>
              </w:tc>
              <w:tc>
                <w:tcPr>
                  <w:tcW w:w="414" w:type="pct"/>
                  <w:vAlign w:val="center"/>
                </w:tcPr>
                <w:p w14:paraId="0B1FB0B2">
                  <w:pPr>
                    <w:adjustRightInd w:val="0"/>
                    <w:jc w:val="center"/>
                    <w:rPr>
                      <w:rFonts w:hAnsi="宋体" w:cs="宋体"/>
                      <w:szCs w:val="21"/>
                    </w:rPr>
                  </w:pPr>
                  <w:r>
                    <w:rPr>
                      <w:rFonts w:hint="eastAsia" w:hAnsi="宋体" w:cs="宋体"/>
                      <w:szCs w:val="21"/>
                    </w:rPr>
                    <w:t>符合</w:t>
                  </w:r>
                </w:p>
              </w:tc>
            </w:tr>
          </w:tbl>
          <w:p w14:paraId="1863FCAB">
            <w:pPr>
              <w:spacing w:line="360" w:lineRule="auto"/>
              <w:ind w:firstLine="480"/>
              <w:rPr>
                <w:sz w:val="24"/>
              </w:rPr>
            </w:pPr>
            <w:r>
              <w:rPr>
                <w:rFonts w:hint="eastAsia"/>
                <w:sz w:val="24"/>
              </w:rPr>
              <w:t>综上，危险废物撬装式危废贮存点选址符合《危险废物贮存污染控制标准》（GB18597-2023）相关要求。</w:t>
            </w:r>
          </w:p>
          <w:p w14:paraId="5735E204">
            <w:pPr>
              <w:spacing w:line="360" w:lineRule="auto"/>
              <w:ind w:firstLine="480"/>
              <w:rPr>
                <w:sz w:val="24"/>
              </w:rPr>
            </w:pPr>
            <w:r>
              <w:rPr>
                <w:rFonts w:hint="eastAsia" w:ascii="宋体" w:hAnsi="宋体"/>
                <w:sz w:val="24"/>
              </w:rPr>
              <w:t>②</w:t>
            </w:r>
            <w:r>
              <w:rPr>
                <w:rFonts w:hint="eastAsia"/>
                <w:sz w:val="24"/>
              </w:rPr>
              <w:t>危险废物储存能力分析</w:t>
            </w:r>
          </w:p>
          <w:p w14:paraId="2B69E867">
            <w:pPr>
              <w:spacing w:line="360" w:lineRule="auto"/>
              <w:ind w:firstLine="480"/>
              <w:rPr>
                <w:sz w:val="24"/>
              </w:rPr>
            </w:pPr>
            <w:r>
              <w:rPr>
                <w:rFonts w:hint="eastAsia"/>
                <w:sz w:val="24"/>
              </w:rPr>
              <w:t>施工期产生的危险废物贮存在井场撬装式危废贮存点内，占地面积10m</w:t>
            </w:r>
            <w:r>
              <w:rPr>
                <w:rFonts w:hint="eastAsia"/>
                <w:sz w:val="24"/>
                <w:vertAlign w:val="superscript"/>
              </w:rPr>
              <w:t>2</w:t>
            </w:r>
            <w:r>
              <w:rPr>
                <w:rFonts w:hint="eastAsia"/>
                <w:sz w:val="24"/>
              </w:rPr>
              <w:t>、贮存能力3t。项目施工期危险废物最大产生量0.9t，可满足项目需求。</w:t>
            </w:r>
          </w:p>
          <w:p w14:paraId="6C7D9EE8">
            <w:pPr>
              <w:spacing w:line="360" w:lineRule="auto"/>
              <w:ind w:firstLine="480"/>
              <w:rPr>
                <w:sz w:val="24"/>
              </w:rPr>
            </w:pPr>
            <w:r>
              <w:rPr>
                <w:rFonts w:hint="eastAsia" w:ascii="宋体" w:hAnsi="宋体"/>
                <w:sz w:val="24"/>
              </w:rPr>
              <w:t>③</w:t>
            </w:r>
            <w:r>
              <w:rPr>
                <w:rFonts w:hint="eastAsia"/>
                <w:sz w:val="24"/>
              </w:rPr>
              <w:t>危险废物贮存环境影响分析</w:t>
            </w:r>
          </w:p>
          <w:p w14:paraId="6FBFED7F">
            <w:pPr>
              <w:spacing w:line="360" w:lineRule="auto"/>
              <w:ind w:firstLine="480"/>
              <w:rPr>
                <w:sz w:val="24"/>
              </w:rPr>
            </w:pPr>
            <w:r>
              <w:rPr>
                <w:rFonts w:hint="eastAsia"/>
                <w:sz w:val="24"/>
              </w:rPr>
              <w:t>项目含油废物采用专门密闭容器，贮存过程中挥发量较少，不会对环境空气产生明显影响；同时撬装式危废贮存点按照《危险废物贮存污染控制标准》（GB18597-2023）的相关要求做好防渗、防风、防雨、防晒措施，可有效防止危险废物泄漏可能对地下水、地表水及土壤环境产生的影响。</w:t>
            </w:r>
          </w:p>
          <w:p w14:paraId="40F8C1B9">
            <w:pPr>
              <w:spacing w:line="360" w:lineRule="auto"/>
              <w:ind w:firstLine="480"/>
              <w:rPr>
                <w:sz w:val="24"/>
              </w:rPr>
            </w:pPr>
            <w:r>
              <w:rPr>
                <w:rFonts w:hint="eastAsia" w:ascii="宋体" w:hAnsi="宋体"/>
                <w:sz w:val="24"/>
              </w:rPr>
              <w:t>④</w:t>
            </w:r>
            <w:r>
              <w:rPr>
                <w:rFonts w:hint="eastAsia"/>
                <w:sz w:val="24"/>
              </w:rPr>
              <w:t>危险废物运输过程影响分析</w:t>
            </w:r>
          </w:p>
          <w:p w14:paraId="324FE1E9">
            <w:pPr>
              <w:spacing w:line="360" w:lineRule="auto"/>
              <w:ind w:firstLine="480"/>
              <w:rPr>
                <w:sz w:val="24"/>
              </w:rPr>
            </w:pPr>
            <w:r>
              <w:rPr>
                <w:rFonts w:hint="eastAsia"/>
                <w:sz w:val="24"/>
              </w:rPr>
              <w:t>危险废物桶装或袋装密闭收集后暂存于撬装式危废贮存点，运输过程中全部采用密闭容器储存，正常情况下不会发生散落或泄漏。若危险废物在运输过程中发生散落或泄漏，及时清理，不会对周边环境产生明显影响。</w:t>
            </w:r>
          </w:p>
          <w:p w14:paraId="056108AB">
            <w:pPr>
              <w:spacing w:line="360" w:lineRule="auto"/>
              <w:ind w:firstLine="480"/>
              <w:rPr>
                <w:sz w:val="24"/>
              </w:rPr>
            </w:pPr>
            <w:r>
              <w:rPr>
                <w:rFonts w:hint="eastAsia" w:ascii="宋体" w:hAnsi="宋体"/>
                <w:sz w:val="24"/>
              </w:rPr>
              <w:t>⑤</w:t>
            </w:r>
            <w:r>
              <w:rPr>
                <w:rFonts w:hint="eastAsia"/>
                <w:sz w:val="24"/>
              </w:rPr>
              <w:t>危险废物委托处置的环境影响分析</w:t>
            </w:r>
          </w:p>
          <w:p w14:paraId="4672F256">
            <w:pPr>
              <w:adjustRightInd w:val="0"/>
              <w:snapToGrid w:val="0"/>
              <w:spacing w:line="360" w:lineRule="auto"/>
              <w:ind w:firstLine="480" w:firstLineChars="200"/>
              <w:rPr>
                <w:b/>
                <w:sz w:val="24"/>
                <w:szCs w:val="20"/>
              </w:rPr>
            </w:pPr>
            <w:r>
              <w:rPr>
                <w:rFonts w:hint="eastAsia"/>
                <w:sz w:val="24"/>
              </w:rPr>
              <w:t>项目施工期产生的危险废物全部委托有资质单位拉运处置，不会对周边环境产生明显影响。</w:t>
            </w:r>
          </w:p>
          <w:p w14:paraId="1DA10341">
            <w:pPr>
              <w:adjustRightInd w:val="0"/>
              <w:snapToGrid w:val="0"/>
              <w:spacing w:line="360" w:lineRule="auto"/>
              <w:ind w:firstLine="482" w:firstLineChars="200"/>
              <w:rPr>
                <w:b/>
                <w:sz w:val="24"/>
                <w:szCs w:val="20"/>
              </w:rPr>
            </w:pPr>
            <w:r>
              <w:rPr>
                <w:rFonts w:hint="eastAsia"/>
                <w:b/>
                <w:sz w:val="24"/>
                <w:szCs w:val="20"/>
              </w:rPr>
              <w:t>五</w:t>
            </w:r>
            <w:r>
              <w:rPr>
                <w:b/>
                <w:sz w:val="24"/>
                <w:szCs w:val="20"/>
              </w:rPr>
              <w:t>、施工期地下水、土壤环境影响分析</w:t>
            </w:r>
          </w:p>
          <w:p w14:paraId="751D3F83">
            <w:pPr>
              <w:adjustRightInd w:val="0"/>
              <w:snapToGrid w:val="0"/>
              <w:spacing w:line="360" w:lineRule="auto"/>
              <w:ind w:firstLine="480" w:firstLineChars="200"/>
              <w:rPr>
                <w:sz w:val="24"/>
                <w:szCs w:val="20"/>
              </w:rPr>
            </w:pPr>
            <w:r>
              <w:rPr>
                <w:rFonts w:hint="eastAsia"/>
                <w:sz w:val="24"/>
                <w:szCs w:val="20"/>
              </w:rPr>
              <w:t>1、地下水环境影响分析</w:t>
            </w:r>
          </w:p>
          <w:p w14:paraId="74CB0EFB">
            <w:pPr>
              <w:adjustRightInd w:val="0"/>
              <w:snapToGrid w:val="0"/>
              <w:spacing w:line="360" w:lineRule="auto"/>
              <w:ind w:firstLine="480" w:firstLineChars="200"/>
              <w:rPr>
                <w:sz w:val="24"/>
                <w:szCs w:val="20"/>
              </w:rPr>
            </w:pPr>
            <w:r>
              <w:rPr>
                <w:rFonts w:hint="eastAsia"/>
                <w:sz w:val="24"/>
                <w:szCs w:val="20"/>
              </w:rPr>
              <w:t>施工期钻探过程中，钻进至含水层时，在未下套管前，废水（泥浆）会直接与含水层接触，通过压力差进入含水层。</w:t>
            </w:r>
          </w:p>
          <w:p w14:paraId="476A98BD">
            <w:pPr>
              <w:adjustRightInd w:val="0"/>
              <w:snapToGrid w:val="0"/>
              <w:spacing w:line="360" w:lineRule="auto"/>
              <w:ind w:firstLine="480" w:firstLineChars="200"/>
              <w:rPr>
                <w:sz w:val="24"/>
                <w:szCs w:val="20"/>
              </w:rPr>
            </w:pPr>
            <w:r>
              <w:rPr>
                <w:rFonts w:hint="eastAsia"/>
                <w:sz w:val="24"/>
                <w:szCs w:val="20"/>
              </w:rPr>
              <w:t>根据开发实际情况及业主提供资料，钻井泥浆中含有大量的膨润土及少量的纯碱、烧碱、降滤失剂、防塌剂等。钻井泥浆以井筒为中心向四周扩散，在钻进过程中，钻井泥浆会在井壁形成一定厚度的泥浆滤饼，对钻井泥浆的扩散起到一定的阻隔作用，实际进入到含水层的废水量较小；项目钻探时间短，对含水层的影响较小。</w:t>
            </w:r>
          </w:p>
          <w:p w14:paraId="42B0645D">
            <w:pPr>
              <w:adjustRightInd w:val="0"/>
              <w:snapToGrid w:val="0"/>
              <w:spacing w:line="360" w:lineRule="auto"/>
              <w:ind w:firstLine="480" w:firstLineChars="200"/>
              <w:rPr>
                <w:sz w:val="24"/>
                <w:szCs w:val="20"/>
              </w:rPr>
            </w:pPr>
            <w:r>
              <w:rPr>
                <w:rFonts w:hint="eastAsia"/>
                <w:sz w:val="24"/>
                <w:szCs w:val="20"/>
              </w:rPr>
              <w:t>因此废水对含水层影响时间较短，范围较小，程度较低，在可接受范围内，不会对地下含水层造成影响</w:t>
            </w:r>
            <w:r>
              <w:rPr>
                <w:sz w:val="24"/>
                <w:szCs w:val="20"/>
              </w:rPr>
              <w:t>。</w:t>
            </w:r>
          </w:p>
          <w:p w14:paraId="14291D2B">
            <w:pPr>
              <w:spacing w:line="360" w:lineRule="auto"/>
              <w:ind w:firstLine="480" w:firstLineChars="200"/>
              <w:rPr>
                <w:sz w:val="24"/>
              </w:rPr>
            </w:pPr>
            <w:r>
              <w:rPr>
                <w:rFonts w:hint="eastAsia"/>
                <w:sz w:val="24"/>
              </w:rPr>
              <w:t>2、土壤环境影响分析</w:t>
            </w:r>
          </w:p>
          <w:p w14:paraId="635C6A92">
            <w:pPr>
              <w:spacing w:line="360" w:lineRule="auto"/>
              <w:ind w:firstLine="480" w:firstLineChars="200"/>
              <w:rPr>
                <w:sz w:val="24"/>
              </w:rPr>
            </w:pPr>
            <w:r>
              <w:rPr>
                <w:rFonts w:hint="eastAsia"/>
                <w:sz w:val="24"/>
              </w:rPr>
              <w:t>根据建设项目的工程内容，对土壤的影响主要表现为对土壤性质、土壤肥力和土壤污染三个方面。</w:t>
            </w:r>
          </w:p>
          <w:p w14:paraId="459BEF06">
            <w:pPr>
              <w:spacing w:line="360" w:lineRule="auto"/>
              <w:ind w:firstLine="480" w:firstLineChars="200"/>
              <w:rPr>
                <w:sz w:val="24"/>
              </w:rPr>
            </w:pPr>
            <w:r>
              <w:rPr>
                <w:rFonts w:hint="eastAsia"/>
                <w:sz w:val="24"/>
              </w:rPr>
              <w:t>（1）土壤性质影响</w:t>
            </w:r>
          </w:p>
          <w:p w14:paraId="2D1767AD">
            <w:pPr>
              <w:spacing w:line="360" w:lineRule="auto"/>
              <w:ind w:firstLine="480" w:firstLineChars="200"/>
              <w:rPr>
                <w:sz w:val="24"/>
              </w:rPr>
            </w:pPr>
            <w:r>
              <w:rPr>
                <w:rFonts w:hint="eastAsia"/>
                <w:sz w:val="24"/>
              </w:rPr>
              <w:t>项目建设过程中，表土剥离和堆放、回填、人工践踏、机械设备碾压等活动将对土壤理化性质产生影响。</w:t>
            </w:r>
          </w:p>
          <w:p w14:paraId="14249A61">
            <w:pPr>
              <w:spacing w:line="360" w:lineRule="auto"/>
              <w:ind w:firstLine="480" w:firstLineChars="200"/>
              <w:rPr>
                <w:sz w:val="24"/>
              </w:rPr>
            </w:pPr>
            <w:r>
              <w:rPr>
                <w:rFonts w:hint="eastAsia"/>
                <w:sz w:val="24"/>
              </w:rPr>
              <w:t>1）扰乱土壤耕作层，破坏土壤耕层结构。</w:t>
            </w:r>
          </w:p>
          <w:p w14:paraId="461D63E7">
            <w:pPr>
              <w:spacing w:line="360" w:lineRule="auto"/>
              <w:ind w:firstLine="480" w:firstLineChars="200"/>
              <w:rPr>
                <w:sz w:val="24"/>
              </w:rPr>
            </w:pPr>
            <w:r>
              <w:rPr>
                <w:rFonts w:hint="eastAsia"/>
                <w:sz w:val="24"/>
              </w:rPr>
              <w:t>2）改变土体构型，使表层通气透水性变差、亚表层保水和保肥性能降低，从而造成对植物的生长、发育及其产量影响。</w:t>
            </w:r>
          </w:p>
          <w:p w14:paraId="2259BFC1">
            <w:pPr>
              <w:spacing w:line="360" w:lineRule="auto"/>
              <w:ind w:firstLine="480" w:firstLineChars="200"/>
              <w:rPr>
                <w:sz w:val="24"/>
              </w:rPr>
            </w:pPr>
            <w:r>
              <w:rPr>
                <w:rFonts w:hint="eastAsia"/>
                <w:sz w:val="24"/>
              </w:rPr>
              <w:t>3）施工过程中机械碾压，将改变土壤的紧实程度，与原有的上松下紧结构相比，极不利于土壤的通气、透水作用，影响作物生长。</w:t>
            </w:r>
          </w:p>
          <w:p w14:paraId="343F4D53">
            <w:pPr>
              <w:spacing w:line="360" w:lineRule="auto"/>
              <w:ind w:firstLine="480" w:firstLineChars="200"/>
              <w:rPr>
                <w:sz w:val="24"/>
              </w:rPr>
            </w:pPr>
            <w:r>
              <w:rPr>
                <w:rFonts w:hint="eastAsia"/>
                <w:sz w:val="24"/>
              </w:rPr>
              <w:t>（2）土壤肥力影响</w:t>
            </w:r>
          </w:p>
          <w:p w14:paraId="12356E4D">
            <w:pPr>
              <w:spacing w:line="360" w:lineRule="auto"/>
              <w:ind w:firstLine="480" w:firstLineChars="200"/>
              <w:rPr>
                <w:sz w:val="24"/>
              </w:rPr>
            </w:pPr>
            <w:r>
              <w:rPr>
                <w:rFonts w:hint="eastAsia"/>
                <w:sz w:val="24"/>
              </w:rPr>
              <w:t>施工期将扰动甚至打乱原土体构型，使土壤养分、水分含量及肥力状况受到一定程度的影响，影响植被正常生长。</w:t>
            </w:r>
          </w:p>
          <w:p w14:paraId="18455B52">
            <w:pPr>
              <w:spacing w:line="360" w:lineRule="auto"/>
              <w:ind w:firstLine="480" w:firstLineChars="200"/>
              <w:rPr>
                <w:sz w:val="24"/>
              </w:rPr>
            </w:pPr>
            <w:r>
              <w:rPr>
                <w:rFonts w:hint="eastAsia"/>
                <w:sz w:val="24"/>
              </w:rPr>
              <w:t>（3）土壤污染影响</w:t>
            </w:r>
          </w:p>
          <w:p w14:paraId="1909F6F3">
            <w:pPr>
              <w:spacing w:line="360" w:lineRule="auto"/>
              <w:ind w:firstLine="480" w:firstLineChars="200"/>
              <w:rPr>
                <w:sz w:val="24"/>
              </w:rPr>
            </w:pPr>
            <w:r>
              <w:rPr>
                <w:rFonts w:hint="eastAsia"/>
                <w:sz w:val="24"/>
                <w:szCs w:val="20"/>
              </w:rPr>
              <w:t>根据工程特点，正常状况下操作规范、管理到位，不会污染土壤环境。非正常状况下，设备检修产生的废润滑油落地，柴油罐、储液罐泄漏，钻井泥浆落地等造成土壤污染。</w:t>
            </w:r>
          </w:p>
          <w:p w14:paraId="46A10403">
            <w:pPr>
              <w:spacing w:line="360" w:lineRule="auto"/>
              <w:ind w:firstLine="470" w:firstLineChars="196"/>
              <w:outlineLvl w:val="0"/>
              <w:rPr>
                <w:sz w:val="24"/>
              </w:rPr>
            </w:pPr>
            <w:r>
              <w:rPr>
                <w:rFonts w:hint="eastAsia"/>
                <w:sz w:val="24"/>
              </w:rPr>
              <w:t>项目临时用地类型为植被覆盖度低的天然牧草地，土壤中的养分含量较低。因此在对表土进行剥离并集中堆存，可有效降低因工程开挖施工对土壤养分的影响。施工过程中采取带罐作业和分区防渗措施，</w:t>
            </w:r>
            <w:r>
              <w:rPr>
                <w:rFonts w:hint="eastAsia"/>
                <w:sz w:val="24"/>
                <w:szCs w:val="20"/>
              </w:rPr>
              <w:t>铺设的防渗膜可以有效回收落地油、钻井泥浆等</w:t>
            </w:r>
            <w:r>
              <w:rPr>
                <w:rFonts w:hint="eastAsia"/>
                <w:sz w:val="24"/>
              </w:rPr>
              <w:t>，产生的废水、固废等均妥善处置；施工结束后对临时用地采取平整、表土回覆等土地复垦措施。</w:t>
            </w:r>
          </w:p>
          <w:p w14:paraId="4501B995">
            <w:pPr>
              <w:adjustRightInd w:val="0"/>
              <w:snapToGrid w:val="0"/>
              <w:spacing w:line="360" w:lineRule="auto"/>
              <w:ind w:firstLine="480" w:firstLineChars="200"/>
              <w:rPr>
                <w:sz w:val="24"/>
                <w:szCs w:val="20"/>
              </w:rPr>
            </w:pPr>
            <w:r>
              <w:rPr>
                <w:rFonts w:hint="eastAsia"/>
                <w:sz w:val="24"/>
              </w:rPr>
              <w:t>综上所述，项目在采取相应措施后，对地下水、土壤影响较小</w:t>
            </w:r>
            <w:r>
              <w:rPr>
                <w:rFonts w:hint="eastAsia"/>
                <w:sz w:val="24"/>
                <w:szCs w:val="20"/>
              </w:rPr>
              <w:t>。</w:t>
            </w:r>
          </w:p>
          <w:p w14:paraId="1D0872A6">
            <w:pPr>
              <w:spacing w:line="360" w:lineRule="auto"/>
              <w:ind w:firstLine="480"/>
              <w:rPr>
                <w:b/>
                <w:sz w:val="24"/>
              </w:rPr>
            </w:pPr>
            <w:r>
              <w:rPr>
                <w:rFonts w:hint="eastAsia"/>
                <w:b/>
                <w:sz w:val="24"/>
              </w:rPr>
              <w:t>六、施工</w:t>
            </w:r>
            <w:r>
              <w:rPr>
                <w:b/>
                <w:sz w:val="24"/>
              </w:rPr>
              <w:t>期生态</w:t>
            </w:r>
            <w:r>
              <w:rPr>
                <w:rFonts w:hint="eastAsia"/>
                <w:b/>
                <w:sz w:val="24"/>
              </w:rPr>
              <w:t>影响</w:t>
            </w:r>
            <w:r>
              <w:rPr>
                <w:b/>
                <w:sz w:val="24"/>
              </w:rPr>
              <w:t>分析</w:t>
            </w:r>
          </w:p>
          <w:p w14:paraId="3EE971C8">
            <w:pPr>
              <w:spacing w:line="360" w:lineRule="auto"/>
              <w:ind w:firstLine="480" w:firstLineChars="200"/>
              <w:rPr>
                <w:b/>
                <w:sz w:val="24"/>
              </w:rPr>
            </w:pPr>
            <w:r>
              <w:rPr>
                <w:rFonts w:hint="eastAsia"/>
                <w:bCs/>
                <w:sz w:val="24"/>
              </w:rPr>
              <w:t>项目</w:t>
            </w:r>
            <w:r>
              <w:rPr>
                <w:bCs/>
                <w:sz w:val="24"/>
              </w:rPr>
              <w:t>对生态的影响主要表现为</w:t>
            </w:r>
            <w:r>
              <w:rPr>
                <w:rFonts w:hint="eastAsia"/>
                <w:bCs/>
                <w:sz w:val="24"/>
              </w:rPr>
              <w:t>施工</w:t>
            </w:r>
            <w:r>
              <w:rPr>
                <w:bCs/>
                <w:sz w:val="24"/>
              </w:rPr>
              <w:t>期的占地、施工人员的踩踏、勘探过程中的三废</w:t>
            </w:r>
            <w:r>
              <w:rPr>
                <w:sz w:val="24"/>
              </w:rPr>
              <w:t>排放</w:t>
            </w:r>
            <w:r>
              <w:rPr>
                <w:bCs/>
                <w:sz w:val="24"/>
              </w:rPr>
              <w:t>对生态环境的影响。</w:t>
            </w:r>
            <w:r>
              <w:rPr>
                <w:rFonts w:hint="eastAsia"/>
                <w:bCs/>
                <w:sz w:val="24"/>
              </w:rPr>
              <w:t>钻井施工作业</w:t>
            </w:r>
            <w:r>
              <w:rPr>
                <w:bCs/>
                <w:sz w:val="24"/>
              </w:rPr>
              <w:t>使当地植被遭到破坏，覆盖率降低，破坏原生地表土壤的结构，使原生地表的水土保持功能降低或</w:t>
            </w:r>
            <w:r>
              <w:rPr>
                <w:sz w:val="24"/>
              </w:rPr>
              <w:t>丧失</w:t>
            </w:r>
            <w:r>
              <w:rPr>
                <w:bCs/>
                <w:sz w:val="24"/>
              </w:rPr>
              <w:t>。探井结束后，若未探出原油，则直接进行封井，及时进行植被恢复，恢复原有土地利用现状。</w:t>
            </w:r>
          </w:p>
          <w:p w14:paraId="1614A268">
            <w:pPr>
              <w:spacing w:line="360" w:lineRule="auto"/>
              <w:ind w:firstLine="470" w:firstLineChars="196"/>
              <w:outlineLvl w:val="0"/>
              <w:rPr>
                <w:sz w:val="24"/>
              </w:rPr>
            </w:pPr>
            <w:bookmarkStart w:id="10" w:name="_Toc214007551"/>
            <w:bookmarkStart w:id="11" w:name="_Toc103325981"/>
            <w:r>
              <w:rPr>
                <w:rFonts w:hint="eastAsia"/>
                <w:sz w:val="24"/>
              </w:rPr>
              <w:t>1、</w:t>
            </w:r>
            <w:r>
              <w:rPr>
                <w:sz w:val="24"/>
              </w:rPr>
              <w:t>植被影响分析</w:t>
            </w:r>
            <w:bookmarkEnd w:id="10"/>
            <w:bookmarkEnd w:id="11"/>
          </w:p>
          <w:p w14:paraId="1DD11104">
            <w:pPr>
              <w:spacing w:line="360" w:lineRule="auto"/>
              <w:ind w:firstLine="480" w:firstLineChars="200"/>
              <w:rPr>
                <w:sz w:val="24"/>
              </w:rPr>
            </w:pPr>
            <w:r>
              <w:rPr>
                <w:sz w:val="24"/>
              </w:rPr>
              <w:t>（1）</w:t>
            </w:r>
            <w:r>
              <w:rPr>
                <w:rFonts w:hint="eastAsia"/>
                <w:sz w:val="24"/>
              </w:rPr>
              <w:t>临时</w:t>
            </w:r>
            <w:r>
              <w:rPr>
                <w:sz w:val="24"/>
              </w:rPr>
              <w:t>占地对植被的影响</w:t>
            </w:r>
          </w:p>
          <w:p w14:paraId="7D761C13">
            <w:pPr>
              <w:spacing w:line="360" w:lineRule="auto"/>
              <w:ind w:firstLine="480" w:firstLineChars="200"/>
              <w:rPr>
                <w:bCs/>
                <w:sz w:val="24"/>
              </w:rPr>
            </w:pPr>
            <w:r>
              <w:rPr>
                <w:rFonts w:hint="eastAsia"/>
                <w:bCs/>
                <w:sz w:val="24"/>
              </w:rPr>
              <w:t>项目对植被的影响主要为井场平整、车辆碾压、人员践踏会造成临时用地范围内的草地植被被开挖铲除和踩踏毁坏，同时还会伤及附近植物的根系，造成植被覆盖度降低。项目临时用地面积9983m</w:t>
            </w:r>
            <w:r>
              <w:rPr>
                <w:rFonts w:hint="eastAsia"/>
                <w:bCs/>
                <w:sz w:val="24"/>
                <w:vertAlign w:val="superscript"/>
              </w:rPr>
              <w:t>2</w:t>
            </w:r>
            <w:r>
              <w:rPr>
                <w:rFonts w:hint="eastAsia"/>
                <w:bCs/>
                <w:sz w:val="24"/>
              </w:rPr>
              <w:t>，植被为荒漠草原植被，查阅《中国区域植被地上与地下生物量模拟》，荒漠草原生物量为0.08kg/m</w:t>
            </w:r>
            <w:r>
              <w:rPr>
                <w:rFonts w:hint="eastAsia"/>
                <w:bCs/>
                <w:sz w:val="24"/>
                <w:vertAlign w:val="superscript"/>
              </w:rPr>
              <w:t>2</w:t>
            </w:r>
            <w:r>
              <w:rPr>
                <w:rFonts w:hint="eastAsia"/>
                <w:bCs/>
                <w:sz w:val="24"/>
              </w:rPr>
              <w:t>，因此将造成约0.8t植被损失。</w:t>
            </w:r>
          </w:p>
          <w:p w14:paraId="2E33D988">
            <w:pPr>
              <w:spacing w:line="360" w:lineRule="auto"/>
              <w:ind w:firstLine="480" w:firstLineChars="200"/>
              <w:rPr>
                <w:sz w:val="24"/>
              </w:rPr>
            </w:pPr>
            <w:r>
              <w:rPr>
                <w:sz w:val="24"/>
              </w:rPr>
              <w:t>通过加强施工管理，</w:t>
            </w:r>
            <w:r>
              <w:rPr>
                <w:rFonts w:hint="eastAsia"/>
                <w:bCs/>
                <w:sz w:val="24"/>
              </w:rPr>
              <w:t>严格控制施工作业范围，减少对草地植被破坏；对于无法避让的重要物种</w:t>
            </w:r>
            <w:r>
              <w:rPr>
                <w:kern w:val="0"/>
                <w:sz w:val="24"/>
                <w:lang w:bidi="ar"/>
              </w:rPr>
              <w:t>选择生态条件相似、人为干扰少的区域</w:t>
            </w:r>
            <w:r>
              <w:rPr>
                <w:rFonts w:hint="eastAsia"/>
                <w:bCs/>
                <w:sz w:val="24"/>
              </w:rPr>
              <w:t>进行移植，并定期管护；施工结束后及时对临时用地采用撒播草籽的方式进行植被恢复，将项目对草地植被的影响降至最低。</w:t>
            </w:r>
          </w:p>
          <w:p w14:paraId="70A864AE">
            <w:pPr>
              <w:spacing w:line="360" w:lineRule="auto"/>
              <w:ind w:firstLine="480" w:firstLineChars="200"/>
              <w:rPr>
                <w:sz w:val="24"/>
              </w:rPr>
            </w:pPr>
            <w:r>
              <w:rPr>
                <w:sz w:val="24"/>
              </w:rPr>
              <w:t>（2）大气污染对植被的影响</w:t>
            </w:r>
          </w:p>
          <w:p w14:paraId="4046A273">
            <w:pPr>
              <w:spacing w:line="360" w:lineRule="auto"/>
              <w:ind w:firstLine="480" w:firstLineChars="200"/>
              <w:rPr>
                <w:sz w:val="24"/>
              </w:rPr>
            </w:pPr>
            <w:r>
              <w:rPr>
                <w:sz w:val="24"/>
              </w:rPr>
              <w:t>大气污染物主要是施工扬尘、柴油发电机组</w:t>
            </w:r>
            <w:r>
              <w:rPr>
                <w:rFonts w:hint="eastAsia"/>
                <w:sz w:val="24"/>
              </w:rPr>
              <w:t>尾气</w:t>
            </w:r>
            <w:r>
              <w:rPr>
                <w:sz w:val="24"/>
              </w:rPr>
              <w:t>及无组织</w:t>
            </w:r>
            <w:r>
              <w:rPr>
                <w:rFonts w:hint="eastAsia"/>
                <w:sz w:val="24"/>
              </w:rPr>
              <w:t>挥发</w:t>
            </w:r>
            <w:r>
              <w:rPr>
                <w:sz w:val="24"/>
              </w:rPr>
              <w:t>烃类气体。在这些污染物中能对植物产生影响的主要为柴油发电机组</w:t>
            </w:r>
            <w:r>
              <w:rPr>
                <w:rFonts w:hint="eastAsia"/>
                <w:sz w:val="24"/>
              </w:rPr>
              <w:t>尾气</w:t>
            </w:r>
            <w:r>
              <w:rPr>
                <w:sz w:val="24"/>
              </w:rPr>
              <w:t>中的NO</w:t>
            </w:r>
            <w:r>
              <w:rPr>
                <w:sz w:val="24"/>
                <w:vertAlign w:val="subscript"/>
              </w:rPr>
              <w:t>X</w:t>
            </w:r>
            <w:r>
              <w:rPr>
                <w:rFonts w:hint="eastAsia"/>
                <w:sz w:val="24"/>
              </w:rPr>
              <w:t>以及施工</w:t>
            </w:r>
            <w:r>
              <w:rPr>
                <w:sz w:val="24"/>
              </w:rPr>
              <w:t>扬尘。</w:t>
            </w:r>
          </w:p>
          <w:p w14:paraId="48696ED3">
            <w:pPr>
              <w:spacing w:line="360" w:lineRule="auto"/>
              <w:ind w:firstLine="480" w:firstLineChars="200"/>
              <w:rPr>
                <w:sz w:val="24"/>
              </w:rPr>
            </w:pPr>
            <w:r>
              <w:rPr>
                <w:sz w:val="24"/>
              </w:rPr>
              <w:t>NO</w:t>
            </w:r>
            <w:r>
              <w:rPr>
                <w:sz w:val="24"/>
                <w:vertAlign w:val="subscript"/>
              </w:rPr>
              <w:t>X</w:t>
            </w:r>
            <w:r>
              <w:rPr>
                <w:sz w:val="24"/>
              </w:rPr>
              <w:t>对植物的伤害表现在叶肉组织内部的细胞上。植物通过气孔吸收大气中的氮氧化物，随后污染物由气态变为液态，改变细胞或细胞周围的pH值，引起细胞结构变化，光合作用降低，植物的生长</w:t>
            </w:r>
            <w:r>
              <w:rPr>
                <w:rFonts w:hint="eastAsia"/>
                <w:sz w:val="24"/>
              </w:rPr>
              <w:t>繁殖</w:t>
            </w:r>
            <w:r>
              <w:rPr>
                <w:sz w:val="24"/>
              </w:rPr>
              <w:t>能力降低。当高浓度的NO</w:t>
            </w:r>
            <w:r>
              <w:rPr>
                <w:sz w:val="24"/>
                <w:vertAlign w:val="subscript"/>
              </w:rPr>
              <w:t>X</w:t>
            </w:r>
            <w:r>
              <w:rPr>
                <w:sz w:val="24"/>
              </w:rPr>
              <w:t>在短时间内排放时，可使植物产生急性伤害，尤其在温暖晴朗的天气下，植物24小时内就可能出现坏死斑。而较低浓度的NO</w:t>
            </w:r>
            <w:r>
              <w:rPr>
                <w:sz w:val="24"/>
                <w:vertAlign w:val="subscript"/>
              </w:rPr>
              <w:t>X</w:t>
            </w:r>
            <w:r>
              <w:rPr>
                <w:sz w:val="24"/>
              </w:rPr>
              <w:t>对植物的伤害是慢性的，可使植物叶片失绿。</w:t>
            </w:r>
          </w:p>
          <w:p w14:paraId="7538965E">
            <w:pPr>
              <w:spacing w:line="360" w:lineRule="auto"/>
              <w:ind w:firstLine="480" w:firstLineChars="200"/>
              <w:rPr>
                <w:sz w:val="24"/>
              </w:rPr>
            </w:pPr>
            <w:r>
              <w:rPr>
                <w:sz w:val="24"/>
              </w:rPr>
              <w:t>另一方面，油井钻井的扬尘颗粒物在植物表面以干粉尘、泥膜形式积累，阻塞气孔，导致气体变换减少，叶片温度升高，光合作用下降，叶片黄化干缩。</w:t>
            </w:r>
          </w:p>
          <w:p w14:paraId="1375CBE5">
            <w:pPr>
              <w:spacing w:line="360" w:lineRule="auto"/>
              <w:ind w:firstLine="480" w:firstLineChars="200"/>
              <w:rPr>
                <w:sz w:val="24"/>
              </w:rPr>
            </w:pPr>
            <w:r>
              <w:rPr>
                <w:sz w:val="24"/>
              </w:rPr>
              <w:t>项目的施工时间短，施工期间采取合理化管理、控制作业面积、土堆适当喷水、土堆和材料遮盖、大风天停止作业等措施后，控制扬尘的影响范围。且项目所在地地势开阔，污染物易扩散，大气污染对植被的影响较小。</w:t>
            </w:r>
          </w:p>
          <w:p w14:paraId="5D0407BF">
            <w:pPr>
              <w:spacing w:line="360" w:lineRule="auto"/>
              <w:ind w:firstLine="480" w:firstLineChars="200"/>
              <w:rPr>
                <w:sz w:val="24"/>
              </w:rPr>
            </w:pPr>
            <w:r>
              <w:rPr>
                <w:sz w:val="24"/>
              </w:rPr>
              <w:t>（3）石油类污染对植被的影响</w:t>
            </w:r>
          </w:p>
          <w:p w14:paraId="5B7E24AC">
            <w:pPr>
              <w:spacing w:line="360" w:lineRule="auto"/>
              <w:ind w:firstLine="480" w:firstLineChars="200"/>
              <w:rPr>
                <w:sz w:val="24"/>
              </w:rPr>
            </w:pPr>
            <w:r>
              <w:rPr>
                <w:sz w:val="24"/>
              </w:rPr>
              <w:t>在油井开发过程中石油对植被的污染途径主要是试油过程中不慎将原油溅在植物体上，影响其生理功能，使植物生长发育受阻，重者导致死亡。项目正常状况下无落地油产生，</w:t>
            </w:r>
            <w:r>
              <w:rPr>
                <w:rFonts w:hint="eastAsia"/>
                <w:sz w:val="24"/>
              </w:rPr>
              <w:t>非正常工况下</w:t>
            </w:r>
            <w:r>
              <w:rPr>
                <w:sz w:val="24"/>
              </w:rPr>
              <w:t>的落地油主要产生在井场的临时占地范围内，施工期临时占地范围内无植被，因此地表石油类污染不会使植被受到明显伤害。</w:t>
            </w:r>
          </w:p>
          <w:p w14:paraId="1545C66E">
            <w:pPr>
              <w:spacing w:line="360" w:lineRule="auto"/>
              <w:ind w:firstLine="470" w:firstLineChars="196"/>
              <w:outlineLvl w:val="0"/>
              <w:rPr>
                <w:sz w:val="24"/>
              </w:rPr>
            </w:pPr>
            <w:bookmarkStart w:id="12" w:name="_Toc103325982"/>
            <w:bookmarkStart w:id="13" w:name="_Toc214007552"/>
            <w:r>
              <w:rPr>
                <w:rFonts w:hint="eastAsia"/>
                <w:sz w:val="24"/>
              </w:rPr>
              <w:t>2、</w:t>
            </w:r>
            <w:r>
              <w:rPr>
                <w:sz w:val="24"/>
              </w:rPr>
              <w:t>野生动物影响分析</w:t>
            </w:r>
            <w:bookmarkEnd w:id="12"/>
            <w:bookmarkEnd w:id="13"/>
          </w:p>
          <w:p w14:paraId="5FAE110B">
            <w:pPr>
              <w:spacing w:line="360" w:lineRule="auto"/>
              <w:ind w:firstLine="480" w:firstLineChars="200"/>
              <w:rPr>
                <w:kern w:val="0"/>
                <w:sz w:val="24"/>
                <w:lang w:bidi="ar"/>
              </w:rPr>
            </w:pPr>
            <w:r>
              <w:rPr>
                <w:rFonts w:hint="eastAsia"/>
                <w:kern w:val="0"/>
                <w:sz w:val="24"/>
                <w:lang w:bidi="ar"/>
              </w:rPr>
              <w:t>项目建设对野生动物的影响主要表现为栖息地丧失、人类干扰加重。项目所在区域受人类干扰和开发影响，野生动物的种类和数量较少。项目施工建设会对野生动物栖息环境产生一定的影响，栖息地的减少使动物的活动空间减少，使一些小型动物的活动范围受限。</w:t>
            </w:r>
          </w:p>
          <w:p w14:paraId="4365A730">
            <w:pPr>
              <w:spacing w:line="360" w:lineRule="auto"/>
              <w:ind w:firstLine="480" w:firstLineChars="200"/>
              <w:rPr>
                <w:kern w:val="0"/>
                <w:sz w:val="24"/>
                <w:lang w:bidi="ar"/>
              </w:rPr>
            </w:pPr>
            <w:r>
              <w:rPr>
                <w:rFonts w:hint="eastAsia"/>
                <w:kern w:val="0"/>
                <w:sz w:val="24"/>
                <w:lang w:bidi="ar"/>
              </w:rPr>
              <w:t>对于鸟类，其活动能力强、范围广，能够及时避开施工建设的不利影响。项目所在区域视野开阔，鸟类能及时发现各类威胁，从而有效躲避危害。项目临时用地仅占用鸟类觅食区域的小部分，项目的实施会暂时使他们的觅食范围相对减小，并不会对他们造成大的直接影响。项目所在区域地势开阔，荒漠草地广泛分布，为鸟类提供了足够的栖息空间。</w:t>
            </w:r>
          </w:p>
          <w:p w14:paraId="7280D38D">
            <w:pPr>
              <w:spacing w:line="360" w:lineRule="auto"/>
              <w:ind w:firstLine="480" w:firstLineChars="200"/>
              <w:rPr>
                <w:kern w:val="0"/>
                <w:sz w:val="24"/>
                <w:lang w:bidi="ar"/>
              </w:rPr>
            </w:pPr>
            <w:r>
              <w:rPr>
                <w:rFonts w:hint="eastAsia"/>
                <w:kern w:val="0"/>
                <w:sz w:val="24"/>
                <w:lang w:bidi="ar"/>
              </w:rPr>
              <w:t>对于啮齿类爬行动物，由于人类活动的干扰，如施工机械产生的震动、噪声，对其有一定的驱赶作用，但项目所在区域可供其栖息的荒漠草地广泛分布，为爬行动物提供了足够的栖息空间，因此对其影响较小。</w:t>
            </w:r>
          </w:p>
          <w:p w14:paraId="40ED912C">
            <w:pPr>
              <w:spacing w:line="360" w:lineRule="auto"/>
              <w:ind w:firstLine="480" w:firstLineChars="200"/>
              <w:rPr>
                <w:sz w:val="24"/>
              </w:rPr>
            </w:pPr>
            <w:r>
              <w:rPr>
                <w:rFonts w:hint="eastAsia"/>
                <w:kern w:val="0"/>
                <w:sz w:val="24"/>
                <w:lang w:bidi="ar"/>
              </w:rPr>
              <w:t>项目合理安排施工时序，避开动物的关键繁殖期、育雏期、越冬期等，严禁施工人员捕猎野生动物，同时野生动物主要为小型动物，其领地面积相对较小。因此，项目建设对野生动物的影响较小</w:t>
            </w:r>
            <w:r>
              <w:rPr>
                <w:sz w:val="24"/>
              </w:rPr>
              <w:t>。</w:t>
            </w:r>
          </w:p>
          <w:p w14:paraId="6A71F5FA">
            <w:pPr>
              <w:spacing w:line="360" w:lineRule="auto"/>
              <w:ind w:firstLine="480" w:firstLineChars="200"/>
              <w:rPr>
                <w:sz w:val="24"/>
              </w:rPr>
            </w:pPr>
            <w:r>
              <w:rPr>
                <w:rFonts w:hint="eastAsia"/>
                <w:sz w:val="24"/>
              </w:rPr>
              <w:t>3、施工</w:t>
            </w:r>
            <w:r>
              <w:rPr>
                <w:sz w:val="24"/>
              </w:rPr>
              <w:t>占地影响</w:t>
            </w:r>
          </w:p>
          <w:p w14:paraId="7AA19466">
            <w:pPr>
              <w:spacing w:line="360" w:lineRule="auto"/>
              <w:ind w:firstLine="480" w:firstLineChars="200"/>
              <w:rPr>
                <w:sz w:val="24"/>
              </w:rPr>
            </w:pPr>
            <w:r>
              <w:rPr>
                <w:rFonts w:hint="eastAsia"/>
                <w:sz w:val="24"/>
              </w:rPr>
              <w:t>项目</w:t>
            </w:r>
            <w:r>
              <w:rPr>
                <w:sz w:val="24"/>
              </w:rPr>
              <w:t>所在区域以天然牧</w:t>
            </w:r>
            <w:r>
              <w:rPr>
                <w:rFonts w:hint="eastAsia"/>
                <w:sz w:val="24"/>
              </w:rPr>
              <w:t>草地、其他草地</w:t>
            </w:r>
            <w:r>
              <w:rPr>
                <w:sz w:val="24"/>
              </w:rPr>
              <w:t>为主，临时用地面积为</w:t>
            </w:r>
            <w:r>
              <w:rPr>
                <w:rFonts w:hint="eastAsia"/>
                <w:sz w:val="24"/>
              </w:rPr>
              <w:t>9983m</w:t>
            </w:r>
            <w:r>
              <w:rPr>
                <w:rFonts w:hint="eastAsia"/>
                <w:sz w:val="24"/>
                <w:vertAlign w:val="superscript"/>
              </w:rPr>
              <w:t>2</w:t>
            </w:r>
            <w:r>
              <w:rPr>
                <w:rFonts w:hint="eastAsia"/>
                <w:sz w:val="24"/>
              </w:rPr>
              <w:t>，</w:t>
            </w:r>
            <w:r>
              <w:rPr>
                <w:sz w:val="24"/>
              </w:rPr>
              <w:t>勘探期临时用地会造成土地利用类型的</w:t>
            </w:r>
            <w:r>
              <w:rPr>
                <w:rFonts w:hint="eastAsia"/>
                <w:sz w:val="24"/>
              </w:rPr>
              <w:t>改变</w:t>
            </w:r>
            <w:r>
              <w:rPr>
                <w:sz w:val="24"/>
              </w:rPr>
              <w:t>。施工过程中，场地平整、车辆碾压</w:t>
            </w:r>
            <w:r>
              <w:rPr>
                <w:rFonts w:hint="eastAsia"/>
                <w:sz w:val="24"/>
              </w:rPr>
              <w:t>、</w:t>
            </w:r>
            <w:r>
              <w:rPr>
                <w:sz w:val="24"/>
              </w:rPr>
              <w:t>人员践踏等将会对</w:t>
            </w:r>
            <w:r>
              <w:rPr>
                <w:rFonts w:hint="eastAsia"/>
                <w:sz w:val="24"/>
              </w:rPr>
              <w:t>天然牧草地</w:t>
            </w:r>
            <w:r>
              <w:rPr>
                <w:sz w:val="24"/>
              </w:rPr>
              <w:t>造成很大破坏，这种影响是短期可逆的，施工结束后，被占用土地开始恢复。</w:t>
            </w:r>
          </w:p>
          <w:p w14:paraId="66F09A70">
            <w:pPr>
              <w:spacing w:line="360" w:lineRule="auto"/>
              <w:ind w:firstLine="480" w:firstLineChars="200"/>
              <w:rPr>
                <w:sz w:val="24"/>
              </w:rPr>
            </w:pPr>
            <w:r>
              <w:rPr>
                <w:sz w:val="24"/>
              </w:rPr>
              <w:t>严格执行国家有关的土地复垦规定，施工前对表层土壤剥离并集中堆放</w:t>
            </w:r>
            <w:r>
              <w:rPr>
                <w:rFonts w:hint="eastAsia"/>
                <w:sz w:val="24"/>
              </w:rPr>
              <w:t>。勘探施工结束后将剥离的表层土壤铺在最上层</w:t>
            </w:r>
            <w:r>
              <w:rPr>
                <w:sz w:val="24"/>
              </w:rPr>
              <w:t>。通过及时复垦，恢复原来的作用功能。建设单位</w:t>
            </w:r>
            <w:r>
              <w:rPr>
                <w:rFonts w:hint="eastAsia"/>
                <w:sz w:val="24"/>
              </w:rPr>
              <w:t>已</w:t>
            </w:r>
            <w:r>
              <w:rPr>
                <w:sz w:val="24"/>
              </w:rPr>
              <w:t>办理相关土地使用手续，对临时</w:t>
            </w:r>
            <w:r>
              <w:rPr>
                <w:rFonts w:hint="eastAsia"/>
                <w:sz w:val="24"/>
              </w:rPr>
              <w:t>用地</w:t>
            </w:r>
            <w:r>
              <w:rPr>
                <w:sz w:val="24"/>
              </w:rPr>
              <w:t>进行补偿。</w:t>
            </w:r>
          </w:p>
          <w:p w14:paraId="46D73F91">
            <w:pPr>
              <w:spacing w:line="360" w:lineRule="auto"/>
              <w:ind w:firstLine="480" w:firstLineChars="200"/>
              <w:rPr>
                <w:sz w:val="24"/>
              </w:rPr>
            </w:pPr>
            <w:r>
              <w:rPr>
                <w:sz w:val="24"/>
              </w:rPr>
              <w:t>项目施工期严格控制临时</w:t>
            </w:r>
            <w:r>
              <w:rPr>
                <w:rFonts w:hint="eastAsia"/>
                <w:sz w:val="24"/>
              </w:rPr>
              <w:t>用地</w:t>
            </w:r>
            <w:r>
              <w:rPr>
                <w:sz w:val="24"/>
              </w:rPr>
              <w:t>范围，尽量减少对植被破坏，施工结束后，</w:t>
            </w:r>
            <w:r>
              <w:rPr>
                <w:rFonts w:hint="eastAsia"/>
                <w:bCs/>
                <w:sz w:val="24"/>
              </w:rPr>
              <w:t>对临时用地采用撒播草籽的方式进行植被恢复</w:t>
            </w:r>
            <w:r>
              <w:rPr>
                <w:sz w:val="24"/>
              </w:rPr>
              <w:t>。项目临时</w:t>
            </w:r>
            <w:r>
              <w:rPr>
                <w:rFonts w:hint="eastAsia"/>
                <w:sz w:val="24"/>
              </w:rPr>
              <w:t>用地</w:t>
            </w:r>
            <w:r>
              <w:rPr>
                <w:sz w:val="24"/>
              </w:rPr>
              <w:t>的占用期限较短，</w:t>
            </w:r>
            <w:r>
              <w:rPr>
                <w:rFonts w:hint="eastAsia"/>
                <w:sz w:val="24"/>
              </w:rPr>
              <w:t>无永久占地，</w:t>
            </w:r>
            <w:r>
              <w:rPr>
                <w:sz w:val="24"/>
              </w:rPr>
              <w:t>在</w:t>
            </w:r>
            <w:r>
              <w:rPr>
                <w:rFonts w:hint="eastAsia"/>
                <w:sz w:val="24"/>
              </w:rPr>
              <w:t>勘探</w:t>
            </w:r>
            <w:r>
              <w:rPr>
                <w:sz w:val="24"/>
              </w:rPr>
              <w:t>完成后可以及时恢复，</w:t>
            </w:r>
            <w:r>
              <w:rPr>
                <w:rFonts w:hint="eastAsia"/>
                <w:sz w:val="24"/>
              </w:rPr>
              <w:t>因此对土地利用格局产生的影响甚微。</w:t>
            </w:r>
          </w:p>
          <w:p w14:paraId="3D011407">
            <w:pPr>
              <w:spacing w:line="360" w:lineRule="auto"/>
              <w:ind w:firstLine="480" w:firstLineChars="200"/>
              <w:rPr>
                <w:bCs/>
                <w:sz w:val="24"/>
              </w:rPr>
            </w:pPr>
            <w:r>
              <w:rPr>
                <w:rFonts w:hint="eastAsia"/>
                <w:bCs/>
                <w:sz w:val="24"/>
              </w:rPr>
              <w:t>4、水土流失影响分析</w:t>
            </w:r>
          </w:p>
          <w:p w14:paraId="7FDF534A">
            <w:pPr>
              <w:spacing w:line="360" w:lineRule="auto"/>
              <w:ind w:firstLine="480" w:firstLineChars="200"/>
              <w:rPr>
                <w:bCs/>
                <w:sz w:val="24"/>
              </w:rPr>
            </w:pPr>
            <w:r>
              <w:rPr>
                <w:rFonts w:hint="eastAsia"/>
                <w:bCs/>
                <w:sz w:val="24"/>
              </w:rPr>
              <w:t>施工过程中造成水土流失的原因主要是破坏地面表层结构以及大风季节、雨季时对裸露地表、表土堆存区的风力侵蚀、水力侵蚀等，影响主要有以下几个方面。</w:t>
            </w:r>
          </w:p>
          <w:p w14:paraId="30DB8A58">
            <w:pPr>
              <w:spacing w:line="360" w:lineRule="auto"/>
              <w:ind w:firstLine="480" w:firstLineChars="200"/>
              <w:rPr>
                <w:bCs/>
                <w:sz w:val="24"/>
              </w:rPr>
            </w:pPr>
            <w:r>
              <w:rPr>
                <w:rFonts w:hint="eastAsia"/>
                <w:bCs/>
                <w:sz w:val="24"/>
              </w:rPr>
              <w:t>①项目地处内陆地区，风沙较大、空气干燥，施工过程改变了原地貌、土壤结构和地面物质组成等，大大降低了用地范围内的土壤抗侵蚀能力。若在施工过程中不加以治理和防护，遇大风天气、雨季易产生严重的水土流失现象。</w:t>
            </w:r>
          </w:p>
          <w:p w14:paraId="7888422B">
            <w:pPr>
              <w:spacing w:line="360" w:lineRule="auto"/>
              <w:ind w:firstLine="480" w:firstLineChars="200"/>
              <w:rPr>
                <w:bCs/>
                <w:sz w:val="24"/>
              </w:rPr>
            </w:pPr>
            <w:r>
              <w:rPr>
                <w:rFonts w:hint="eastAsia"/>
                <w:bCs/>
                <w:sz w:val="24"/>
              </w:rPr>
              <w:t>②施工期对地表结皮破坏，有可能增加空气中粉尘含量，严重时会形成沙尘暴，造成一定的生态环境破坏；施工车辆的反复碾压将会使道路周边长期处于扬尘状况下，给施工人员、村民健康造成危害。</w:t>
            </w:r>
          </w:p>
          <w:p w14:paraId="50DB7C6A">
            <w:pPr>
              <w:spacing w:line="360" w:lineRule="auto"/>
              <w:ind w:firstLine="480" w:firstLineChars="200"/>
              <w:rPr>
                <w:sz w:val="24"/>
              </w:rPr>
            </w:pPr>
            <w:r>
              <w:rPr>
                <w:rFonts w:hint="eastAsia"/>
                <w:bCs/>
                <w:sz w:val="24"/>
              </w:rPr>
              <w:t>施工过程中严格控制和合理规划占地范围，减少对地表的扰动；对剥离的表层土使用密目网遮盖，井场定期洒水抑尘等；施工结束后按照复垦方案，对临时用地进行清理平整，及时恢复地貌原状，可减轻水土流失的影响。综上，项目施工期短，在严格落实各项管理规定和防治措施后，对水土流失重点治理区产生的影响较小。</w:t>
            </w:r>
          </w:p>
          <w:p w14:paraId="67A932F6">
            <w:pPr>
              <w:spacing w:line="360" w:lineRule="auto"/>
              <w:ind w:firstLine="480" w:firstLineChars="200"/>
              <w:rPr>
                <w:bCs/>
                <w:sz w:val="24"/>
              </w:rPr>
            </w:pPr>
            <w:r>
              <w:rPr>
                <w:rFonts w:hint="eastAsia"/>
                <w:bCs/>
                <w:sz w:val="24"/>
              </w:rPr>
              <w:t>5、</w:t>
            </w:r>
            <w:r>
              <w:rPr>
                <w:bCs/>
                <w:sz w:val="24"/>
              </w:rPr>
              <w:t>景观影响</w:t>
            </w:r>
            <w:r>
              <w:rPr>
                <w:rFonts w:hint="eastAsia"/>
                <w:bCs/>
                <w:sz w:val="24"/>
              </w:rPr>
              <w:t>分析</w:t>
            </w:r>
          </w:p>
          <w:p w14:paraId="6DEA95CC">
            <w:pPr>
              <w:spacing w:line="360" w:lineRule="auto"/>
              <w:ind w:firstLine="480" w:firstLineChars="200"/>
              <w:rPr>
                <w:bCs/>
                <w:sz w:val="24"/>
              </w:rPr>
            </w:pPr>
            <w:r>
              <w:rPr>
                <w:rFonts w:hint="eastAsia"/>
                <w:bCs/>
                <w:sz w:val="24"/>
              </w:rPr>
              <w:t>在勘探期各种车辆行驶所形成的通向勘探井和外围的道路，使景观的基本构成要素廊道的数量增加，影响生态系统中的能流、物流的流动，对植物物种和传播和动物的迁徙有一定的影响。架设井架、设备、房屋等人工建筑景观、改变原有的景观，造成视觉干扰。但这一影响随勘探作业的完成而结束</w:t>
            </w:r>
            <w:r>
              <w:rPr>
                <w:bCs/>
                <w:sz w:val="24"/>
              </w:rPr>
              <w:t>。</w:t>
            </w:r>
          </w:p>
          <w:p w14:paraId="226EE0F3">
            <w:pPr>
              <w:spacing w:line="360" w:lineRule="auto"/>
              <w:ind w:firstLine="480" w:firstLineChars="200"/>
              <w:rPr>
                <w:sz w:val="24"/>
              </w:rPr>
            </w:pPr>
            <w:r>
              <w:rPr>
                <w:rFonts w:hint="eastAsia"/>
                <w:sz w:val="24"/>
              </w:rPr>
              <w:t>6、</w:t>
            </w:r>
            <w:r>
              <w:rPr>
                <w:sz w:val="24"/>
              </w:rPr>
              <w:t>生态完整性影响</w:t>
            </w:r>
            <w:r>
              <w:rPr>
                <w:rFonts w:hint="eastAsia"/>
                <w:sz w:val="24"/>
              </w:rPr>
              <w:t>分析</w:t>
            </w:r>
          </w:p>
          <w:p w14:paraId="315D2F4A">
            <w:pPr>
              <w:spacing w:line="360" w:lineRule="auto"/>
              <w:ind w:firstLine="480" w:firstLineChars="200"/>
              <w:rPr>
                <w:sz w:val="24"/>
              </w:rPr>
            </w:pPr>
            <w:r>
              <w:rPr>
                <w:sz w:val="24"/>
              </w:rPr>
              <w:t>项目生产建设将对区域生态完整性产生一定的影响。本</w:t>
            </w:r>
            <w:r>
              <w:rPr>
                <w:rFonts w:hint="eastAsia"/>
                <w:sz w:val="24"/>
              </w:rPr>
              <w:t>次</w:t>
            </w:r>
            <w:r>
              <w:rPr>
                <w:sz w:val="24"/>
              </w:rPr>
              <w:t>生态完整性评价主要从项目建设对区域生态系统生产能力以及稳定性影响两方面进行分析。</w:t>
            </w:r>
          </w:p>
          <w:p w14:paraId="1E069579">
            <w:pPr>
              <w:spacing w:line="360" w:lineRule="auto"/>
              <w:ind w:firstLine="480" w:firstLineChars="200"/>
              <w:rPr>
                <w:sz w:val="24"/>
              </w:rPr>
            </w:pPr>
            <w:r>
              <w:rPr>
                <w:rFonts w:hint="eastAsia"/>
                <w:sz w:val="24"/>
              </w:rPr>
              <w:t>（1）</w:t>
            </w:r>
            <w:r>
              <w:rPr>
                <w:sz w:val="24"/>
              </w:rPr>
              <w:t>生态系统生产能力分析</w:t>
            </w:r>
          </w:p>
          <w:p w14:paraId="63D7B986">
            <w:pPr>
              <w:spacing w:line="360" w:lineRule="auto"/>
              <w:ind w:firstLine="480" w:firstLineChars="200"/>
              <w:rPr>
                <w:sz w:val="24"/>
              </w:rPr>
            </w:pPr>
            <w:r>
              <w:rPr>
                <w:sz w:val="24"/>
              </w:rPr>
              <w:t>项目实施后将对局部自然植被产生一定的影响，生产力有所降低</w:t>
            </w:r>
            <w:r>
              <w:rPr>
                <w:rFonts w:hint="eastAsia"/>
                <w:sz w:val="24"/>
              </w:rPr>
              <w:t>。</w:t>
            </w:r>
            <w:r>
              <w:rPr>
                <w:sz w:val="24"/>
              </w:rPr>
              <w:t>项目结束后将按土地复垦方案进行复垦，在占地范围内</w:t>
            </w:r>
            <w:r>
              <w:rPr>
                <w:rFonts w:hint="eastAsia"/>
                <w:sz w:val="24"/>
              </w:rPr>
              <w:t>播种</w:t>
            </w:r>
            <w:r>
              <w:rPr>
                <w:sz w:val="24"/>
              </w:rPr>
              <w:t>草籽并定期管护，以增加植被地表覆盖度，因此项目的建设不会对生态系统生产能力产生明显影响。</w:t>
            </w:r>
          </w:p>
          <w:p w14:paraId="6076CE6A">
            <w:pPr>
              <w:spacing w:line="360" w:lineRule="auto"/>
              <w:ind w:firstLine="470" w:firstLineChars="196"/>
              <w:outlineLvl w:val="0"/>
              <w:rPr>
                <w:sz w:val="24"/>
              </w:rPr>
            </w:pPr>
            <w:bookmarkStart w:id="14" w:name="_Toc214007553"/>
            <w:bookmarkStart w:id="15" w:name="_Toc103325983"/>
            <w:r>
              <w:rPr>
                <w:rFonts w:hint="eastAsia"/>
                <w:sz w:val="24"/>
              </w:rPr>
              <w:t>（2）</w:t>
            </w:r>
            <w:r>
              <w:rPr>
                <w:sz w:val="24"/>
              </w:rPr>
              <w:t>生态系统稳定性影响分析</w:t>
            </w:r>
            <w:bookmarkEnd w:id="14"/>
            <w:bookmarkEnd w:id="15"/>
          </w:p>
          <w:p w14:paraId="08947EB6">
            <w:pPr>
              <w:spacing w:line="360" w:lineRule="auto"/>
              <w:ind w:firstLine="470" w:firstLineChars="196"/>
              <w:outlineLvl w:val="0"/>
              <w:rPr>
                <w:sz w:val="24"/>
              </w:rPr>
            </w:pPr>
            <w:bookmarkStart w:id="16" w:name="_Toc214007555"/>
            <w:bookmarkStart w:id="17" w:name="_Toc103325985"/>
            <w:r>
              <w:rPr>
                <w:sz w:val="24"/>
              </w:rPr>
              <w:t>项目区域内的地表植被主要为</w:t>
            </w:r>
            <w:r>
              <w:rPr>
                <w:rFonts w:hint="eastAsia"/>
                <w:sz w:val="24"/>
              </w:rPr>
              <w:t>荒漠</w:t>
            </w:r>
            <w:r>
              <w:rPr>
                <w:sz w:val="24"/>
              </w:rPr>
              <w:t>植被，其中</w:t>
            </w:r>
            <w:r>
              <w:rPr>
                <w:rFonts w:hint="eastAsia"/>
                <w:sz w:val="24"/>
              </w:rPr>
              <w:t>梭梭</w:t>
            </w:r>
            <w:r>
              <w:rPr>
                <w:sz w:val="24"/>
              </w:rPr>
              <w:t>、白刺等为受保护的植物物种，</w:t>
            </w:r>
            <w:r>
              <w:rPr>
                <w:rFonts w:hint="eastAsia"/>
                <w:sz w:val="24"/>
              </w:rPr>
              <w:t>但</w:t>
            </w:r>
            <w:r>
              <w:rPr>
                <w:sz w:val="24"/>
              </w:rPr>
              <w:t>均为当地常见种和广布种。通过采取移栽、补种的措施，</w:t>
            </w:r>
            <w:r>
              <w:rPr>
                <w:rFonts w:hint="eastAsia"/>
                <w:sz w:val="24"/>
              </w:rPr>
              <w:t>不会</w:t>
            </w:r>
            <w:r>
              <w:rPr>
                <w:sz w:val="24"/>
              </w:rPr>
              <w:t>对植物造成数量上的显著减少，并不会对区域植物的物种丰富度、多样性产生影响，亦不涉及自然群落演替变化；同时项目现状占地区域无野生动物迁移通道，不会破坏生境连通性，不会对生态系统稳定性产生明显影响。</w:t>
            </w:r>
            <w:bookmarkEnd w:id="16"/>
            <w:bookmarkEnd w:id="17"/>
          </w:p>
          <w:p w14:paraId="0B2AE678">
            <w:pPr>
              <w:spacing w:line="360" w:lineRule="auto"/>
              <w:ind w:firstLine="482" w:firstLineChars="200"/>
              <w:rPr>
                <w:sz w:val="24"/>
                <w:szCs w:val="32"/>
              </w:rPr>
            </w:pPr>
            <w:r>
              <w:rPr>
                <w:rFonts w:hint="eastAsia"/>
                <w:b/>
                <w:sz w:val="24"/>
                <w:szCs w:val="32"/>
              </w:rPr>
              <w:t>七</w:t>
            </w:r>
            <w:r>
              <w:rPr>
                <w:b/>
                <w:sz w:val="24"/>
                <w:szCs w:val="32"/>
              </w:rPr>
              <w:t>、施工期事故风险分析</w:t>
            </w:r>
          </w:p>
          <w:p w14:paraId="4FD387B0">
            <w:pPr>
              <w:spacing w:line="360" w:lineRule="auto"/>
              <w:ind w:firstLine="480" w:firstLineChars="200"/>
              <w:jc w:val="left"/>
              <w:rPr>
                <w:sz w:val="24"/>
              </w:rPr>
            </w:pPr>
            <w:r>
              <w:rPr>
                <w:rFonts w:hint="eastAsia"/>
                <w:sz w:val="24"/>
              </w:rPr>
              <w:t>1</w:t>
            </w:r>
            <w:r>
              <w:rPr>
                <w:sz w:val="24"/>
              </w:rPr>
              <w:t>、环境风险识别</w:t>
            </w:r>
          </w:p>
          <w:p w14:paraId="43D16C64">
            <w:pPr>
              <w:spacing w:line="360" w:lineRule="auto"/>
              <w:ind w:firstLine="480" w:firstLineChars="200"/>
              <w:rPr>
                <w:sz w:val="24"/>
                <w:szCs w:val="32"/>
              </w:rPr>
            </w:pPr>
            <w:r>
              <w:rPr>
                <w:rFonts w:hint="eastAsia"/>
                <w:sz w:val="24"/>
                <w:szCs w:val="32"/>
              </w:rPr>
              <w:t>因项目为石油勘探工程，钻井时因事故而导致的风险源强无法量化，本评价对探井可能存在的风险因素进行定性分析，分析风险发生的可能性，并提出相应的事故防范措施和应急方案。</w:t>
            </w:r>
          </w:p>
          <w:p w14:paraId="318534E5">
            <w:pPr>
              <w:spacing w:line="360" w:lineRule="auto"/>
              <w:ind w:firstLine="480" w:firstLineChars="200"/>
              <w:rPr>
                <w:sz w:val="24"/>
                <w:szCs w:val="32"/>
              </w:rPr>
            </w:pPr>
            <w:r>
              <w:rPr>
                <w:sz w:val="24"/>
                <w:szCs w:val="32"/>
              </w:rPr>
              <w:t>（1）物质危险性识别</w:t>
            </w:r>
          </w:p>
          <w:p w14:paraId="5EFE9CD5">
            <w:pPr>
              <w:spacing w:line="360" w:lineRule="auto"/>
              <w:ind w:firstLine="480" w:firstLineChars="200"/>
              <w:rPr>
                <w:sz w:val="24"/>
                <w:szCs w:val="32"/>
              </w:rPr>
            </w:pPr>
            <w:r>
              <w:rPr>
                <w:sz w:val="24"/>
                <w:szCs w:val="32"/>
              </w:rPr>
              <w:t>项目涉及的危险物质，包括勘探中井场储存的柴油、试油开采出的原油</w:t>
            </w:r>
            <w:r>
              <w:rPr>
                <w:rFonts w:hint="eastAsia"/>
                <w:sz w:val="24"/>
                <w:szCs w:val="32"/>
              </w:rPr>
              <w:t>（</w:t>
            </w:r>
            <w:r>
              <w:rPr>
                <w:sz w:val="24"/>
                <w:szCs w:val="32"/>
              </w:rPr>
              <w:t>以采出液的形式，含水高</w:t>
            </w:r>
            <w:r>
              <w:rPr>
                <w:rFonts w:hint="eastAsia"/>
                <w:sz w:val="24"/>
                <w:szCs w:val="32"/>
              </w:rPr>
              <w:t>）</w:t>
            </w:r>
            <w:r>
              <w:rPr>
                <w:sz w:val="24"/>
                <w:szCs w:val="32"/>
              </w:rPr>
              <w:t>以及伴生气。</w:t>
            </w:r>
          </w:p>
          <w:p w14:paraId="7A240417">
            <w:pPr>
              <w:autoSpaceDE w:val="0"/>
              <w:autoSpaceDN w:val="0"/>
              <w:adjustRightInd w:val="0"/>
              <w:ind w:firstLine="482" w:firstLineChars="200"/>
              <w:jc w:val="center"/>
              <w:rPr>
                <w:b/>
                <w:kern w:val="0"/>
                <w:sz w:val="24"/>
              </w:rPr>
            </w:pPr>
            <w:r>
              <w:rPr>
                <w:b/>
                <w:kern w:val="0"/>
                <w:sz w:val="24"/>
              </w:rPr>
              <w:t>表</w:t>
            </w:r>
            <w:r>
              <w:rPr>
                <w:rFonts w:hint="eastAsia"/>
                <w:b/>
                <w:kern w:val="0"/>
                <w:sz w:val="24"/>
              </w:rPr>
              <w:t>4</w:t>
            </w:r>
            <w:r>
              <w:rPr>
                <w:b/>
                <w:kern w:val="0"/>
                <w:sz w:val="24"/>
              </w:rPr>
              <w:t>-</w:t>
            </w:r>
            <w:r>
              <w:rPr>
                <w:rFonts w:hint="eastAsia"/>
                <w:b/>
                <w:kern w:val="0"/>
                <w:sz w:val="24"/>
              </w:rPr>
              <w:t xml:space="preserve">12 </w:t>
            </w:r>
            <w:r>
              <w:rPr>
                <w:b/>
                <w:kern w:val="0"/>
                <w:sz w:val="24"/>
              </w:rPr>
              <w:t>危险物质危险特性</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680"/>
              <w:gridCol w:w="1986"/>
              <w:gridCol w:w="1416"/>
              <w:gridCol w:w="1701"/>
              <w:gridCol w:w="2412"/>
            </w:tblGrid>
            <w:tr w14:paraId="53E24AF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3B8E1F2F">
                  <w:pPr>
                    <w:jc w:val="center"/>
                    <w:rPr>
                      <w:szCs w:val="21"/>
                    </w:rPr>
                  </w:pPr>
                  <w:r>
                    <w:rPr>
                      <w:szCs w:val="21"/>
                    </w:rPr>
                    <w:t>序号</w:t>
                  </w:r>
                </w:p>
              </w:tc>
              <w:tc>
                <w:tcPr>
                  <w:tcW w:w="1212" w:type="pct"/>
                  <w:tcMar>
                    <w:left w:w="28" w:type="dxa"/>
                    <w:right w:w="28" w:type="dxa"/>
                  </w:tcMar>
                  <w:vAlign w:val="center"/>
                </w:tcPr>
                <w:p w14:paraId="1297FCF0">
                  <w:pPr>
                    <w:jc w:val="center"/>
                    <w:rPr>
                      <w:szCs w:val="21"/>
                    </w:rPr>
                  </w:pPr>
                  <w:r>
                    <w:rPr>
                      <w:szCs w:val="21"/>
                    </w:rPr>
                    <w:t>危险化学品名称</w:t>
                  </w:r>
                </w:p>
              </w:tc>
              <w:tc>
                <w:tcPr>
                  <w:tcW w:w="864" w:type="pct"/>
                  <w:tcMar>
                    <w:left w:w="28" w:type="dxa"/>
                    <w:right w:w="28" w:type="dxa"/>
                  </w:tcMar>
                  <w:vAlign w:val="center"/>
                </w:tcPr>
                <w:p w14:paraId="76136F18">
                  <w:pPr>
                    <w:jc w:val="center"/>
                    <w:rPr>
                      <w:szCs w:val="21"/>
                    </w:rPr>
                  </w:pPr>
                  <w:r>
                    <w:rPr>
                      <w:szCs w:val="21"/>
                    </w:rPr>
                    <w:t>危险货物编号</w:t>
                  </w:r>
                </w:p>
              </w:tc>
              <w:tc>
                <w:tcPr>
                  <w:tcW w:w="1038" w:type="pct"/>
                  <w:tcMar>
                    <w:left w:w="28" w:type="dxa"/>
                    <w:right w:w="28" w:type="dxa"/>
                  </w:tcMar>
                  <w:vAlign w:val="center"/>
                </w:tcPr>
                <w:p w14:paraId="49EAF5B1">
                  <w:pPr>
                    <w:jc w:val="center"/>
                    <w:rPr>
                      <w:szCs w:val="21"/>
                    </w:rPr>
                  </w:pPr>
                  <w:r>
                    <w:rPr>
                      <w:szCs w:val="21"/>
                    </w:rPr>
                    <w:t>物质危险性</w:t>
                  </w:r>
                </w:p>
              </w:tc>
              <w:tc>
                <w:tcPr>
                  <w:tcW w:w="1471" w:type="pct"/>
                  <w:tcMar>
                    <w:left w:w="28" w:type="dxa"/>
                    <w:right w:w="28" w:type="dxa"/>
                  </w:tcMar>
                  <w:vAlign w:val="center"/>
                </w:tcPr>
                <w:p w14:paraId="132C0AC7">
                  <w:pPr>
                    <w:jc w:val="center"/>
                    <w:rPr>
                      <w:szCs w:val="21"/>
                    </w:rPr>
                  </w:pPr>
                  <w:r>
                    <w:rPr>
                      <w:szCs w:val="21"/>
                    </w:rPr>
                    <w:t>备注</w:t>
                  </w:r>
                </w:p>
              </w:tc>
            </w:tr>
            <w:tr w14:paraId="05EF7AB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75FDEF77">
                  <w:pPr>
                    <w:jc w:val="center"/>
                    <w:rPr>
                      <w:szCs w:val="21"/>
                    </w:rPr>
                  </w:pPr>
                  <w:r>
                    <w:rPr>
                      <w:szCs w:val="21"/>
                    </w:rPr>
                    <w:t>1</w:t>
                  </w:r>
                </w:p>
              </w:tc>
              <w:tc>
                <w:tcPr>
                  <w:tcW w:w="1212" w:type="pct"/>
                  <w:tcMar>
                    <w:left w:w="28" w:type="dxa"/>
                    <w:right w:w="28" w:type="dxa"/>
                  </w:tcMar>
                  <w:vAlign w:val="center"/>
                </w:tcPr>
                <w:p w14:paraId="71C50794">
                  <w:pPr>
                    <w:jc w:val="center"/>
                    <w:rPr>
                      <w:szCs w:val="21"/>
                    </w:rPr>
                  </w:pPr>
                  <w:r>
                    <w:rPr>
                      <w:szCs w:val="21"/>
                    </w:rPr>
                    <w:t>柴油</w:t>
                  </w:r>
                </w:p>
              </w:tc>
              <w:tc>
                <w:tcPr>
                  <w:tcW w:w="864" w:type="pct"/>
                  <w:tcMar>
                    <w:left w:w="28" w:type="dxa"/>
                    <w:right w:w="28" w:type="dxa"/>
                  </w:tcMar>
                  <w:vAlign w:val="center"/>
                </w:tcPr>
                <w:p w14:paraId="248ABBB4">
                  <w:pPr>
                    <w:jc w:val="center"/>
                    <w:rPr>
                      <w:szCs w:val="21"/>
                    </w:rPr>
                  </w:pPr>
                  <w:r>
                    <w:rPr>
                      <w:szCs w:val="21"/>
                    </w:rPr>
                    <w:t>33502</w:t>
                  </w:r>
                </w:p>
              </w:tc>
              <w:tc>
                <w:tcPr>
                  <w:tcW w:w="1038" w:type="pct"/>
                  <w:tcMar>
                    <w:left w:w="28" w:type="dxa"/>
                    <w:right w:w="28" w:type="dxa"/>
                  </w:tcMar>
                  <w:vAlign w:val="center"/>
                </w:tcPr>
                <w:p w14:paraId="00F3029E">
                  <w:pPr>
                    <w:jc w:val="center"/>
                    <w:rPr>
                      <w:szCs w:val="21"/>
                    </w:rPr>
                  </w:pPr>
                  <w:r>
                    <w:rPr>
                      <w:szCs w:val="21"/>
                    </w:rPr>
                    <w:t>高闪点易燃液体</w:t>
                  </w:r>
                </w:p>
              </w:tc>
              <w:tc>
                <w:tcPr>
                  <w:tcW w:w="1471" w:type="pct"/>
                  <w:tcMar>
                    <w:left w:w="28" w:type="dxa"/>
                    <w:right w:w="28" w:type="dxa"/>
                  </w:tcMar>
                  <w:vAlign w:val="center"/>
                </w:tcPr>
                <w:p w14:paraId="60329251">
                  <w:pPr>
                    <w:jc w:val="center"/>
                    <w:rPr>
                      <w:szCs w:val="21"/>
                    </w:rPr>
                  </w:pPr>
                </w:p>
              </w:tc>
            </w:tr>
            <w:tr w14:paraId="0392869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13CD49CE">
                  <w:pPr>
                    <w:jc w:val="center"/>
                    <w:rPr>
                      <w:szCs w:val="21"/>
                    </w:rPr>
                  </w:pPr>
                  <w:r>
                    <w:rPr>
                      <w:szCs w:val="21"/>
                    </w:rPr>
                    <w:t>2</w:t>
                  </w:r>
                </w:p>
              </w:tc>
              <w:tc>
                <w:tcPr>
                  <w:tcW w:w="1212" w:type="pct"/>
                  <w:tcMar>
                    <w:left w:w="28" w:type="dxa"/>
                    <w:right w:w="28" w:type="dxa"/>
                  </w:tcMar>
                  <w:vAlign w:val="center"/>
                </w:tcPr>
                <w:p w14:paraId="165F6726">
                  <w:pPr>
                    <w:jc w:val="center"/>
                    <w:rPr>
                      <w:szCs w:val="21"/>
                    </w:rPr>
                  </w:pPr>
                  <w:r>
                    <w:rPr>
                      <w:szCs w:val="21"/>
                    </w:rPr>
                    <w:t>原油</w:t>
                  </w:r>
                </w:p>
              </w:tc>
              <w:tc>
                <w:tcPr>
                  <w:tcW w:w="864" w:type="pct"/>
                  <w:tcMar>
                    <w:left w:w="28" w:type="dxa"/>
                    <w:right w:w="28" w:type="dxa"/>
                  </w:tcMar>
                  <w:vAlign w:val="center"/>
                </w:tcPr>
                <w:p w14:paraId="2B972E36">
                  <w:pPr>
                    <w:jc w:val="center"/>
                    <w:rPr>
                      <w:szCs w:val="21"/>
                    </w:rPr>
                  </w:pPr>
                  <w:r>
                    <w:rPr>
                      <w:szCs w:val="21"/>
                    </w:rPr>
                    <w:t>32003</w:t>
                  </w:r>
                </w:p>
              </w:tc>
              <w:tc>
                <w:tcPr>
                  <w:tcW w:w="1038" w:type="pct"/>
                  <w:tcMar>
                    <w:left w:w="28" w:type="dxa"/>
                    <w:right w:w="28" w:type="dxa"/>
                  </w:tcMar>
                  <w:vAlign w:val="center"/>
                </w:tcPr>
                <w:p w14:paraId="269D4624">
                  <w:pPr>
                    <w:jc w:val="center"/>
                    <w:rPr>
                      <w:szCs w:val="21"/>
                    </w:rPr>
                  </w:pPr>
                  <w:r>
                    <w:rPr>
                      <w:szCs w:val="21"/>
                    </w:rPr>
                    <w:t>中闪点易燃液体</w:t>
                  </w:r>
                </w:p>
              </w:tc>
              <w:tc>
                <w:tcPr>
                  <w:tcW w:w="1471" w:type="pct"/>
                  <w:tcMar>
                    <w:left w:w="28" w:type="dxa"/>
                    <w:right w:w="28" w:type="dxa"/>
                  </w:tcMar>
                  <w:vAlign w:val="center"/>
                </w:tcPr>
                <w:p w14:paraId="0CEA75F3">
                  <w:pPr>
                    <w:jc w:val="center"/>
                    <w:rPr>
                      <w:szCs w:val="21"/>
                    </w:rPr>
                  </w:pPr>
                </w:p>
              </w:tc>
            </w:tr>
            <w:tr w14:paraId="6F93B77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39E5FAF5">
                  <w:pPr>
                    <w:jc w:val="center"/>
                    <w:rPr>
                      <w:szCs w:val="21"/>
                    </w:rPr>
                  </w:pPr>
                  <w:r>
                    <w:rPr>
                      <w:szCs w:val="21"/>
                    </w:rPr>
                    <w:t>3</w:t>
                  </w:r>
                </w:p>
              </w:tc>
              <w:tc>
                <w:tcPr>
                  <w:tcW w:w="1212" w:type="pct"/>
                  <w:tcMar>
                    <w:left w:w="28" w:type="dxa"/>
                    <w:right w:w="28" w:type="dxa"/>
                  </w:tcMar>
                  <w:vAlign w:val="center"/>
                </w:tcPr>
                <w:p w14:paraId="35F2807E">
                  <w:pPr>
                    <w:jc w:val="center"/>
                    <w:rPr>
                      <w:szCs w:val="21"/>
                    </w:rPr>
                  </w:pPr>
                  <w:r>
                    <w:rPr>
                      <w:szCs w:val="21"/>
                    </w:rPr>
                    <w:t>伴生气（CH</w:t>
                  </w:r>
                  <w:r>
                    <w:rPr>
                      <w:szCs w:val="21"/>
                      <w:vertAlign w:val="subscript"/>
                    </w:rPr>
                    <w:t>4</w:t>
                  </w:r>
                  <w:r>
                    <w:rPr>
                      <w:szCs w:val="21"/>
                    </w:rPr>
                    <w:t>）</w:t>
                  </w:r>
                </w:p>
              </w:tc>
              <w:tc>
                <w:tcPr>
                  <w:tcW w:w="864" w:type="pct"/>
                  <w:tcMar>
                    <w:left w:w="28" w:type="dxa"/>
                    <w:right w:w="28" w:type="dxa"/>
                  </w:tcMar>
                  <w:vAlign w:val="center"/>
                </w:tcPr>
                <w:p w14:paraId="6DEA34EE">
                  <w:pPr>
                    <w:jc w:val="center"/>
                    <w:rPr>
                      <w:szCs w:val="21"/>
                    </w:rPr>
                  </w:pPr>
                  <w:r>
                    <w:rPr>
                      <w:szCs w:val="21"/>
                    </w:rPr>
                    <w:t>21007</w:t>
                  </w:r>
                </w:p>
              </w:tc>
              <w:tc>
                <w:tcPr>
                  <w:tcW w:w="1038" w:type="pct"/>
                  <w:tcMar>
                    <w:left w:w="28" w:type="dxa"/>
                    <w:right w:w="28" w:type="dxa"/>
                  </w:tcMar>
                  <w:vAlign w:val="center"/>
                </w:tcPr>
                <w:p w14:paraId="3858EB51">
                  <w:pPr>
                    <w:jc w:val="center"/>
                    <w:rPr>
                      <w:szCs w:val="21"/>
                    </w:rPr>
                  </w:pPr>
                  <w:r>
                    <w:rPr>
                      <w:szCs w:val="21"/>
                    </w:rPr>
                    <w:t>易燃气体</w:t>
                  </w:r>
                </w:p>
              </w:tc>
              <w:tc>
                <w:tcPr>
                  <w:tcW w:w="1471" w:type="pct"/>
                  <w:tcMar>
                    <w:left w:w="28" w:type="dxa"/>
                    <w:right w:w="28" w:type="dxa"/>
                  </w:tcMar>
                  <w:vAlign w:val="center"/>
                </w:tcPr>
                <w:p w14:paraId="6333FC4D">
                  <w:pPr>
                    <w:jc w:val="center"/>
                    <w:rPr>
                      <w:szCs w:val="21"/>
                    </w:rPr>
                  </w:pPr>
                </w:p>
              </w:tc>
            </w:tr>
            <w:tr w14:paraId="75D3EB0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6EB40427">
                  <w:pPr>
                    <w:jc w:val="center"/>
                    <w:rPr>
                      <w:szCs w:val="21"/>
                    </w:rPr>
                  </w:pPr>
                  <w:r>
                    <w:rPr>
                      <w:rFonts w:hint="eastAsia"/>
                      <w:szCs w:val="21"/>
                    </w:rPr>
                    <w:t>4</w:t>
                  </w:r>
                </w:p>
              </w:tc>
              <w:tc>
                <w:tcPr>
                  <w:tcW w:w="1212" w:type="pct"/>
                  <w:tcMar>
                    <w:left w:w="28" w:type="dxa"/>
                    <w:right w:w="28" w:type="dxa"/>
                  </w:tcMar>
                  <w:vAlign w:val="center"/>
                </w:tcPr>
                <w:p w14:paraId="734091FC">
                  <w:pPr>
                    <w:jc w:val="center"/>
                    <w:rPr>
                      <w:szCs w:val="21"/>
                    </w:rPr>
                  </w:pPr>
                  <w:r>
                    <w:rPr>
                      <w:szCs w:val="21"/>
                    </w:rPr>
                    <w:t>氢氧化钠</w:t>
                  </w:r>
                </w:p>
              </w:tc>
              <w:tc>
                <w:tcPr>
                  <w:tcW w:w="864" w:type="pct"/>
                  <w:tcMar>
                    <w:left w:w="28" w:type="dxa"/>
                    <w:right w:w="28" w:type="dxa"/>
                  </w:tcMar>
                  <w:vAlign w:val="center"/>
                </w:tcPr>
                <w:p w14:paraId="6E6A119E">
                  <w:pPr>
                    <w:jc w:val="center"/>
                    <w:rPr>
                      <w:szCs w:val="21"/>
                    </w:rPr>
                  </w:pPr>
                  <w:r>
                    <w:rPr>
                      <w:szCs w:val="21"/>
                    </w:rPr>
                    <w:t>82001</w:t>
                  </w:r>
                </w:p>
              </w:tc>
              <w:tc>
                <w:tcPr>
                  <w:tcW w:w="1038" w:type="pct"/>
                  <w:tcMar>
                    <w:left w:w="28" w:type="dxa"/>
                    <w:right w:w="28" w:type="dxa"/>
                  </w:tcMar>
                  <w:vAlign w:val="center"/>
                </w:tcPr>
                <w:p w14:paraId="1B8C55F5">
                  <w:pPr>
                    <w:jc w:val="center"/>
                    <w:rPr>
                      <w:szCs w:val="21"/>
                    </w:rPr>
                  </w:pPr>
                  <w:r>
                    <w:rPr>
                      <w:szCs w:val="21"/>
                    </w:rPr>
                    <w:t>腐蚀品</w:t>
                  </w:r>
                </w:p>
              </w:tc>
              <w:tc>
                <w:tcPr>
                  <w:tcW w:w="1471" w:type="pct"/>
                  <w:tcMar>
                    <w:left w:w="28" w:type="dxa"/>
                    <w:right w:w="28" w:type="dxa"/>
                  </w:tcMar>
                  <w:vAlign w:val="center"/>
                </w:tcPr>
                <w:p w14:paraId="74FB75B4">
                  <w:pPr>
                    <w:jc w:val="center"/>
                    <w:rPr>
                      <w:szCs w:val="21"/>
                    </w:rPr>
                  </w:pPr>
                </w:p>
              </w:tc>
            </w:tr>
            <w:tr w14:paraId="6BC4032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0FB23B76">
                  <w:pPr>
                    <w:jc w:val="center"/>
                    <w:rPr>
                      <w:szCs w:val="21"/>
                    </w:rPr>
                  </w:pPr>
                  <w:r>
                    <w:rPr>
                      <w:rFonts w:hint="eastAsia"/>
                      <w:szCs w:val="21"/>
                    </w:rPr>
                    <w:t>5</w:t>
                  </w:r>
                </w:p>
              </w:tc>
              <w:tc>
                <w:tcPr>
                  <w:tcW w:w="1212" w:type="pct"/>
                  <w:tcMar>
                    <w:left w:w="28" w:type="dxa"/>
                    <w:right w:w="28" w:type="dxa"/>
                  </w:tcMar>
                  <w:vAlign w:val="center"/>
                </w:tcPr>
                <w:p w14:paraId="3DAD810C">
                  <w:pPr>
                    <w:jc w:val="center"/>
                    <w:rPr>
                      <w:szCs w:val="21"/>
                    </w:rPr>
                  </w:pPr>
                  <w:r>
                    <w:rPr>
                      <w:rFonts w:hint="eastAsia"/>
                      <w:szCs w:val="21"/>
                    </w:rPr>
                    <w:t>废润滑油</w:t>
                  </w:r>
                </w:p>
              </w:tc>
              <w:tc>
                <w:tcPr>
                  <w:tcW w:w="864" w:type="pct"/>
                  <w:tcMar>
                    <w:left w:w="28" w:type="dxa"/>
                    <w:right w:w="28" w:type="dxa"/>
                  </w:tcMar>
                  <w:vAlign w:val="center"/>
                </w:tcPr>
                <w:p w14:paraId="3309CC24">
                  <w:pPr>
                    <w:jc w:val="center"/>
                    <w:rPr>
                      <w:szCs w:val="21"/>
                    </w:rPr>
                  </w:pPr>
                  <w:r>
                    <w:rPr>
                      <w:szCs w:val="21"/>
                    </w:rPr>
                    <w:t>33502</w:t>
                  </w:r>
                </w:p>
              </w:tc>
              <w:tc>
                <w:tcPr>
                  <w:tcW w:w="1038" w:type="pct"/>
                  <w:tcMar>
                    <w:left w:w="28" w:type="dxa"/>
                    <w:right w:w="28" w:type="dxa"/>
                  </w:tcMar>
                  <w:vAlign w:val="center"/>
                </w:tcPr>
                <w:p w14:paraId="3F61AE55">
                  <w:pPr>
                    <w:jc w:val="center"/>
                    <w:rPr>
                      <w:szCs w:val="21"/>
                    </w:rPr>
                  </w:pPr>
                  <w:r>
                    <w:rPr>
                      <w:rFonts w:hint="eastAsia"/>
                      <w:szCs w:val="21"/>
                    </w:rPr>
                    <w:t>毒性和易燃性</w:t>
                  </w:r>
                </w:p>
              </w:tc>
              <w:tc>
                <w:tcPr>
                  <w:tcW w:w="1471" w:type="pct"/>
                  <w:tcMar>
                    <w:left w:w="28" w:type="dxa"/>
                    <w:right w:w="28" w:type="dxa"/>
                  </w:tcMar>
                  <w:vAlign w:val="center"/>
                </w:tcPr>
                <w:p w14:paraId="37FE048A">
                  <w:pPr>
                    <w:jc w:val="center"/>
                    <w:rPr>
                      <w:szCs w:val="21"/>
                    </w:rPr>
                  </w:pPr>
                  <w:r>
                    <w:rPr>
                      <w:szCs w:val="21"/>
                    </w:rPr>
                    <w:t>危废代码：900-214-08</w:t>
                  </w:r>
                </w:p>
              </w:tc>
            </w:tr>
            <w:tr w14:paraId="4ABBBFA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46AAA976">
                  <w:pPr>
                    <w:jc w:val="center"/>
                    <w:rPr>
                      <w:szCs w:val="21"/>
                    </w:rPr>
                  </w:pPr>
                  <w:r>
                    <w:rPr>
                      <w:rFonts w:hint="eastAsia"/>
                      <w:szCs w:val="21"/>
                    </w:rPr>
                    <w:t>6</w:t>
                  </w:r>
                </w:p>
              </w:tc>
              <w:tc>
                <w:tcPr>
                  <w:tcW w:w="1212" w:type="pct"/>
                  <w:tcMar>
                    <w:left w:w="28" w:type="dxa"/>
                    <w:right w:w="28" w:type="dxa"/>
                  </w:tcMar>
                  <w:vAlign w:val="center"/>
                </w:tcPr>
                <w:p w14:paraId="2E318F70">
                  <w:pPr>
                    <w:jc w:val="center"/>
                    <w:rPr>
                      <w:szCs w:val="21"/>
                    </w:rPr>
                  </w:pPr>
                  <w:r>
                    <w:rPr>
                      <w:rFonts w:hint="eastAsia"/>
                      <w:szCs w:val="21"/>
                    </w:rPr>
                    <w:t>落地油</w:t>
                  </w:r>
                </w:p>
              </w:tc>
              <w:tc>
                <w:tcPr>
                  <w:tcW w:w="864" w:type="pct"/>
                  <w:tcMar>
                    <w:left w:w="28" w:type="dxa"/>
                    <w:right w:w="28" w:type="dxa"/>
                  </w:tcMar>
                  <w:vAlign w:val="center"/>
                </w:tcPr>
                <w:p w14:paraId="33C5473C">
                  <w:pPr>
                    <w:jc w:val="center"/>
                    <w:rPr>
                      <w:szCs w:val="21"/>
                    </w:rPr>
                  </w:pPr>
                  <w:r>
                    <w:rPr>
                      <w:rFonts w:hint="eastAsia"/>
                      <w:szCs w:val="21"/>
                    </w:rPr>
                    <w:t>/</w:t>
                  </w:r>
                </w:p>
              </w:tc>
              <w:tc>
                <w:tcPr>
                  <w:tcW w:w="1038" w:type="pct"/>
                  <w:tcMar>
                    <w:left w:w="28" w:type="dxa"/>
                    <w:right w:w="28" w:type="dxa"/>
                  </w:tcMar>
                  <w:vAlign w:val="center"/>
                </w:tcPr>
                <w:p w14:paraId="4E74EE55">
                  <w:pPr>
                    <w:jc w:val="center"/>
                    <w:rPr>
                      <w:szCs w:val="21"/>
                    </w:rPr>
                  </w:pPr>
                  <w:r>
                    <w:rPr>
                      <w:rFonts w:hint="eastAsia"/>
                      <w:szCs w:val="21"/>
                    </w:rPr>
                    <w:t>毒性和易燃性</w:t>
                  </w:r>
                </w:p>
              </w:tc>
              <w:tc>
                <w:tcPr>
                  <w:tcW w:w="1471" w:type="pct"/>
                  <w:tcMar>
                    <w:left w:w="28" w:type="dxa"/>
                    <w:right w:w="28" w:type="dxa"/>
                  </w:tcMar>
                  <w:vAlign w:val="center"/>
                </w:tcPr>
                <w:p w14:paraId="2598104B">
                  <w:pPr>
                    <w:jc w:val="center"/>
                    <w:rPr>
                      <w:szCs w:val="21"/>
                    </w:rPr>
                  </w:pPr>
                  <w:r>
                    <w:rPr>
                      <w:rFonts w:hint="eastAsia"/>
                      <w:szCs w:val="21"/>
                    </w:rPr>
                    <w:t>危废代码：071-001-08</w:t>
                  </w:r>
                </w:p>
              </w:tc>
            </w:tr>
            <w:tr w14:paraId="3B4007B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15" w:type="pct"/>
                  <w:tcMar>
                    <w:left w:w="28" w:type="dxa"/>
                    <w:right w:w="28" w:type="dxa"/>
                  </w:tcMar>
                  <w:vAlign w:val="center"/>
                </w:tcPr>
                <w:p w14:paraId="5135B5F2">
                  <w:pPr>
                    <w:jc w:val="center"/>
                    <w:rPr>
                      <w:szCs w:val="21"/>
                    </w:rPr>
                  </w:pPr>
                  <w:r>
                    <w:rPr>
                      <w:rFonts w:hint="eastAsia"/>
                      <w:szCs w:val="21"/>
                    </w:rPr>
                    <w:t>7</w:t>
                  </w:r>
                </w:p>
              </w:tc>
              <w:tc>
                <w:tcPr>
                  <w:tcW w:w="1212" w:type="pct"/>
                  <w:tcMar>
                    <w:left w:w="28" w:type="dxa"/>
                    <w:right w:w="28" w:type="dxa"/>
                  </w:tcMar>
                  <w:vAlign w:val="center"/>
                </w:tcPr>
                <w:p w14:paraId="43639BD2">
                  <w:pPr>
                    <w:jc w:val="center"/>
                    <w:rPr>
                      <w:szCs w:val="21"/>
                    </w:rPr>
                  </w:pPr>
                  <w:r>
                    <w:rPr>
                      <w:rFonts w:hint="eastAsia"/>
                      <w:szCs w:val="21"/>
                    </w:rPr>
                    <w:t>废防渗材料</w:t>
                  </w:r>
                </w:p>
              </w:tc>
              <w:tc>
                <w:tcPr>
                  <w:tcW w:w="864" w:type="pct"/>
                  <w:tcMar>
                    <w:left w:w="28" w:type="dxa"/>
                    <w:right w:w="28" w:type="dxa"/>
                  </w:tcMar>
                  <w:vAlign w:val="center"/>
                </w:tcPr>
                <w:p w14:paraId="1F3A54F5">
                  <w:pPr>
                    <w:jc w:val="center"/>
                    <w:rPr>
                      <w:szCs w:val="21"/>
                    </w:rPr>
                  </w:pPr>
                  <w:r>
                    <w:rPr>
                      <w:rFonts w:hint="eastAsia"/>
                      <w:szCs w:val="21"/>
                    </w:rPr>
                    <w:t>/</w:t>
                  </w:r>
                </w:p>
              </w:tc>
              <w:tc>
                <w:tcPr>
                  <w:tcW w:w="1038" w:type="pct"/>
                  <w:tcMar>
                    <w:left w:w="28" w:type="dxa"/>
                    <w:right w:w="28" w:type="dxa"/>
                  </w:tcMar>
                  <w:vAlign w:val="center"/>
                </w:tcPr>
                <w:p w14:paraId="4CE5C3E6">
                  <w:pPr>
                    <w:jc w:val="center"/>
                    <w:rPr>
                      <w:szCs w:val="21"/>
                    </w:rPr>
                  </w:pPr>
                  <w:r>
                    <w:rPr>
                      <w:rFonts w:hint="eastAsia"/>
                      <w:szCs w:val="21"/>
                    </w:rPr>
                    <w:t>毒性和易燃性</w:t>
                  </w:r>
                </w:p>
              </w:tc>
              <w:tc>
                <w:tcPr>
                  <w:tcW w:w="1471" w:type="pct"/>
                  <w:tcMar>
                    <w:left w:w="28" w:type="dxa"/>
                    <w:right w:w="28" w:type="dxa"/>
                  </w:tcMar>
                  <w:vAlign w:val="center"/>
                </w:tcPr>
                <w:p w14:paraId="2F7A5EA7">
                  <w:pPr>
                    <w:jc w:val="center"/>
                    <w:rPr>
                      <w:szCs w:val="21"/>
                    </w:rPr>
                  </w:pPr>
                  <w:r>
                    <w:rPr>
                      <w:rFonts w:hint="eastAsia"/>
                      <w:szCs w:val="21"/>
                    </w:rPr>
                    <w:t>危废代码：</w:t>
                  </w:r>
                  <w:r>
                    <w:rPr>
                      <w:szCs w:val="21"/>
                    </w:rPr>
                    <w:t>900-249-08</w:t>
                  </w:r>
                </w:p>
              </w:tc>
            </w:tr>
          </w:tbl>
          <w:p w14:paraId="0A696352">
            <w:pPr>
              <w:spacing w:line="360" w:lineRule="auto"/>
              <w:ind w:firstLine="480" w:firstLineChars="200"/>
              <w:rPr>
                <w:sz w:val="24"/>
                <w:szCs w:val="32"/>
              </w:rPr>
            </w:pPr>
            <w:r>
              <w:rPr>
                <w:rFonts w:hint="eastAsia"/>
                <w:sz w:val="24"/>
                <w:szCs w:val="32"/>
              </w:rPr>
              <w:t>项目施工期井场设置1个柴油罐，储存柴油量为40m</w:t>
            </w:r>
            <w:r>
              <w:rPr>
                <w:rFonts w:hint="eastAsia"/>
                <w:sz w:val="24"/>
                <w:szCs w:val="32"/>
                <w:vertAlign w:val="superscript"/>
              </w:rPr>
              <w:t>3</w:t>
            </w:r>
            <w:r>
              <w:rPr>
                <w:rFonts w:hint="eastAsia"/>
                <w:sz w:val="24"/>
                <w:szCs w:val="32"/>
              </w:rPr>
              <w:t>，柴油密度按0.85t/m</w:t>
            </w:r>
            <w:r>
              <w:rPr>
                <w:rFonts w:hint="eastAsia"/>
                <w:sz w:val="24"/>
                <w:szCs w:val="32"/>
                <w:vertAlign w:val="superscript"/>
              </w:rPr>
              <w:t>3</w:t>
            </w:r>
            <w:r>
              <w:rPr>
                <w:rFonts w:hint="eastAsia"/>
                <w:sz w:val="24"/>
                <w:szCs w:val="32"/>
              </w:rPr>
              <w:t>计，充装系数0.9，则柴油罐最大储油量为30.6t；试油阶段设置2个储液罐（一用一备），单个储液罐最大储存原油量为40m</w:t>
            </w:r>
            <w:r>
              <w:rPr>
                <w:rFonts w:hint="eastAsia"/>
                <w:sz w:val="24"/>
                <w:szCs w:val="32"/>
                <w:vertAlign w:val="superscript"/>
              </w:rPr>
              <w:t>3</w:t>
            </w:r>
            <w:r>
              <w:rPr>
                <w:rFonts w:hint="eastAsia"/>
                <w:sz w:val="24"/>
                <w:szCs w:val="32"/>
              </w:rPr>
              <w:t>，原油密度按0.9t/m</w:t>
            </w:r>
            <w:r>
              <w:rPr>
                <w:rFonts w:hint="eastAsia"/>
                <w:sz w:val="24"/>
                <w:szCs w:val="32"/>
                <w:vertAlign w:val="superscript"/>
              </w:rPr>
              <w:t>3</w:t>
            </w:r>
            <w:r>
              <w:rPr>
                <w:rFonts w:hint="eastAsia"/>
                <w:sz w:val="24"/>
                <w:szCs w:val="32"/>
              </w:rPr>
              <w:t>计，则储液罐最大储油量为72t（假设两个罐均储油）；油气比按15m</w:t>
            </w:r>
            <w:r>
              <w:rPr>
                <w:rFonts w:hint="eastAsia"/>
                <w:sz w:val="24"/>
                <w:szCs w:val="32"/>
                <w:vertAlign w:val="superscript"/>
              </w:rPr>
              <w:t>3</w:t>
            </w:r>
            <w:r>
              <w:rPr>
                <w:rFonts w:hint="eastAsia"/>
                <w:sz w:val="24"/>
                <w:szCs w:val="32"/>
              </w:rPr>
              <w:t>/t，伴生气密度按0.85kg/m</w:t>
            </w:r>
            <w:r>
              <w:rPr>
                <w:rFonts w:hint="eastAsia"/>
                <w:sz w:val="24"/>
                <w:szCs w:val="32"/>
                <w:vertAlign w:val="superscript"/>
              </w:rPr>
              <w:t>3</w:t>
            </w:r>
            <w:r>
              <w:rPr>
                <w:rFonts w:hint="eastAsia"/>
                <w:sz w:val="24"/>
                <w:szCs w:val="32"/>
              </w:rPr>
              <w:t>计，则伴生气量为0.92t；废润滑油最大暂存量0.2t；落地油最大暂存量0.2t；废防渗材料最大暂存量0.5t。</w:t>
            </w:r>
          </w:p>
          <w:p w14:paraId="656AEE78">
            <w:pPr>
              <w:autoSpaceDE w:val="0"/>
              <w:autoSpaceDN w:val="0"/>
              <w:adjustRightInd w:val="0"/>
              <w:ind w:firstLine="482" w:firstLineChars="200"/>
              <w:jc w:val="center"/>
              <w:rPr>
                <w:b/>
                <w:kern w:val="0"/>
                <w:sz w:val="24"/>
              </w:rPr>
            </w:pPr>
            <w:r>
              <w:rPr>
                <w:b/>
                <w:kern w:val="0"/>
                <w:sz w:val="24"/>
              </w:rPr>
              <w:t>表</w:t>
            </w:r>
            <w:r>
              <w:rPr>
                <w:rFonts w:hint="eastAsia"/>
                <w:b/>
                <w:kern w:val="0"/>
                <w:sz w:val="24"/>
              </w:rPr>
              <w:t>4</w:t>
            </w:r>
            <w:r>
              <w:rPr>
                <w:b/>
                <w:kern w:val="0"/>
                <w:sz w:val="24"/>
              </w:rPr>
              <w:t>-</w:t>
            </w:r>
            <w:r>
              <w:rPr>
                <w:rFonts w:hint="eastAsia"/>
                <w:b/>
                <w:kern w:val="0"/>
                <w:sz w:val="24"/>
              </w:rPr>
              <w:t xml:space="preserve">13 </w:t>
            </w:r>
            <w:r>
              <w:rPr>
                <w:b/>
                <w:kern w:val="0"/>
                <w:sz w:val="24"/>
              </w:rPr>
              <w:t>危险物质Q</w:t>
            </w:r>
            <w:r>
              <w:rPr>
                <w:rFonts w:hint="eastAsia"/>
                <w:b/>
                <w:kern w:val="0"/>
                <w:sz w:val="24"/>
              </w:rPr>
              <w:t>值确定表</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539"/>
              <w:gridCol w:w="1985"/>
              <w:gridCol w:w="1277"/>
              <w:gridCol w:w="1798"/>
              <w:gridCol w:w="1501"/>
              <w:gridCol w:w="1095"/>
            </w:tblGrid>
            <w:tr w14:paraId="5466790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329" w:type="pct"/>
                  <w:tcMar>
                    <w:left w:w="0" w:type="dxa"/>
                    <w:right w:w="0" w:type="dxa"/>
                  </w:tcMar>
                  <w:vAlign w:val="center"/>
                </w:tcPr>
                <w:p w14:paraId="37636B8E">
                  <w:pPr>
                    <w:jc w:val="center"/>
                    <w:rPr>
                      <w:szCs w:val="21"/>
                    </w:rPr>
                  </w:pPr>
                  <w:r>
                    <w:rPr>
                      <w:szCs w:val="21"/>
                    </w:rPr>
                    <w:t>序号</w:t>
                  </w:r>
                </w:p>
              </w:tc>
              <w:tc>
                <w:tcPr>
                  <w:tcW w:w="1211" w:type="pct"/>
                  <w:tcMar>
                    <w:left w:w="0" w:type="dxa"/>
                    <w:right w:w="0" w:type="dxa"/>
                  </w:tcMar>
                  <w:vAlign w:val="center"/>
                </w:tcPr>
                <w:p w14:paraId="3591734D">
                  <w:pPr>
                    <w:jc w:val="center"/>
                    <w:rPr>
                      <w:szCs w:val="21"/>
                    </w:rPr>
                  </w:pPr>
                  <w:r>
                    <w:rPr>
                      <w:szCs w:val="21"/>
                    </w:rPr>
                    <w:t>危险物质名称</w:t>
                  </w:r>
                </w:p>
              </w:tc>
              <w:tc>
                <w:tcPr>
                  <w:tcW w:w="779" w:type="pct"/>
                  <w:tcMar>
                    <w:left w:w="0" w:type="dxa"/>
                    <w:right w:w="0" w:type="dxa"/>
                  </w:tcMar>
                  <w:vAlign w:val="center"/>
                </w:tcPr>
                <w:p w14:paraId="37541DA7">
                  <w:pPr>
                    <w:jc w:val="center"/>
                    <w:rPr>
                      <w:szCs w:val="21"/>
                    </w:rPr>
                  </w:pPr>
                  <w:r>
                    <w:rPr>
                      <w:szCs w:val="21"/>
                    </w:rPr>
                    <w:t>CAS号</w:t>
                  </w:r>
                </w:p>
              </w:tc>
              <w:tc>
                <w:tcPr>
                  <w:tcW w:w="1097" w:type="pct"/>
                  <w:tcMar>
                    <w:left w:w="0" w:type="dxa"/>
                    <w:right w:w="0" w:type="dxa"/>
                  </w:tcMar>
                  <w:vAlign w:val="center"/>
                </w:tcPr>
                <w:p w14:paraId="66AABE88">
                  <w:pPr>
                    <w:jc w:val="center"/>
                    <w:rPr>
                      <w:szCs w:val="21"/>
                    </w:rPr>
                  </w:pPr>
                  <w:r>
                    <w:rPr>
                      <w:szCs w:val="21"/>
                    </w:rPr>
                    <w:t>最大存在总量qn/t</w:t>
                  </w:r>
                </w:p>
              </w:tc>
              <w:tc>
                <w:tcPr>
                  <w:tcW w:w="916" w:type="pct"/>
                  <w:tcMar>
                    <w:left w:w="0" w:type="dxa"/>
                    <w:right w:w="0" w:type="dxa"/>
                  </w:tcMar>
                  <w:vAlign w:val="center"/>
                </w:tcPr>
                <w:p w14:paraId="64320E25">
                  <w:pPr>
                    <w:jc w:val="center"/>
                    <w:rPr>
                      <w:szCs w:val="21"/>
                    </w:rPr>
                  </w:pPr>
                  <w:r>
                    <w:rPr>
                      <w:szCs w:val="21"/>
                    </w:rPr>
                    <w:t>临界量Qn/t</w:t>
                  </w:r>
                </w:p>
              </w:tc>
              <w:tc>
                <w:tcPr>
                  <w:tcW w:w="668" w:type="pct"/>
                  <w:tcMar>
                    <w:left w:w="0" w:type="dxa"/>
                    <w:right w:w="0" w:type="dxa"/>
                  </w:tcMar>
                  <w:vAlign w:val="center"/>
                </w:tcPr>
                <w:p w14:paraId="66C661A8">
                  <w:pPr>
                    <w:jc w:val="center"/>
                    <w:rPr>
                      <w:szCs w:val="21"/>
                    </w:rPr>
                  </w:pPr>
                  <w:r>
                    <w:rPr>
                      <w:szCs w:val="21"/>
                    </w:rPr>
                    <w:t>Q值</w:t>
                  </w:r>
                </w:p>
              </w:tc>
            </w:tr>
            <w:tr w14:paraId="29C4C9F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329" w:type="pct"/>
                  <w:tcMar>
                    <w:left w:w="0" w:type="dxa"/>
                    <w:right w:w="0" w:type="dxa"/>
                  </w:tcMar>
                  <w:vAlign w:val="center"/>
                </w:tcPr>
                <w:p w14:paraId="19145F33">
                  <w:pPr>
                    <w:jc w:val="center"/>
                    <w:rPr>
                      <w:szCs w:val="21"/>
                    </w:rPr>
                  </w:pPr>
                  <w:r>
                    <w:rPr>
                      <w:szCs w:val="21"/>
                    </w:rPr>
                    <w:t>1</w:t>
                  </w:r>
                </w:p>
              </w:tc>
              <w:tc>
                <w:tcPr>
                  <w:tcW w:w="1211" w:type="pct"/>
                  <w:tcMar>
                    <w:left w:w="0" w:type="dxa"/>
                    <w:right w:w="0" w:type="dxa"/>
                  </w:tcMar>
                  <w:vAlign w:val="center"/>
                </w:tcPr>
                <w:p w14:paraId="7D7557F6">
                  <w:pPr>
                    <w:jc w:val="center"/>
                    <w:rPr>
                      <w:szCs w:val="21"/>
                    </w:rPr>
                  </w:pPr>
                  <w:r>
                    <w:rPr>
                      <w:szCs w:val="21"/>
                    </w:rPr>
                    <w:t>柴油</w:t>
                  </w:r>
                </w:p>
              </w:tc>
              <w:tc>
                <w:tcPr>
                  <w:tcW w:w="779" w:type="pct"/>
                  <w:tcMar>
                    <w:left w:w="0" w:type="dxa"/>
                    <w:right w:w="0" w:type="dxa"/>
                  </w:tcMar>
                  <w:vAlign w:val="center"/>
                </w:tcPr>
                <w:p w14:paraId="2CC72D65">
                  <w:pPr>
                    <w:jc w:val="center"/>
                    <w:rPr>
                      <w:szCs w:val="21"/>
                    </w:rPr>
                  </w:pPr>
                  <w:r>
                    <w:rPr>
                      <w:szCs w:val="21"/>
                    </w:rPr>
                    <w:t>68334-30-5</w:t>
                  </w:r>
                </w:p>
              </w:tc>
              <w:tc>
                <w:tcPr>
                  <w:tcW w:w="1097" w:type="pct"/>
                  <w:tcMar>
                    <w:left w:w="0" w:type="dxa"/>
                    <w:right w:w="0" w:type="dxa"/>
                  </w:tcMar>
                  <w:vAlign w:val="center"/>
                </w:tcPr>
                <w:p w14:paraId="53B4E8F0">
                  <w:pPr>
                    <w:jc w:val="center"/>
                    <w:rPr>
                      <w:szCs w:val="21"/>
                    </w:rPr>
                  </w:pPr>
                  <w:r>
                    <w:rPr>
                      <w:rFonts w:hint="eastAsia"/>
                      <w:szCs w:val="21"/>
                    </w:rPr>
                    <w:t>30.6</w:t>
                  </w:r>
                </w:p>
              </w:tc>
              <w:tc>
                <w:tcPr>
                  <w:tcW w:w="916" w:type="pct"/>
                  <w:tcMar>
                    <w:left w:w="0" w:type="dxa"/>
                    <w:right w:w="0" w:type="dxa"/>
                  </w:tcMar>
                  <w:vAlign w:val="center"/>
                </w:tcPr>
                <w:p w14:paraId="7FC9A123">
                  <w:pPr>
                    <w:jc w:val="center"/>
                    <w:rPr>
                      <w:szCs w:val="21"/>
                    </w:rPr>
                  </w:pPr>
                  <w:r>
                    <w:rPr>
                      <w:szCs w:val="21"/>
                    </w:rPr>
                    <w:t>2500</w:t>
                  </w:r>
                </w:p>
              </w:tc>
              <w:tc>
                <w:tcPr>
                  <w:tcW w:w="668" w:type="pct"/>
                  <w:tcMar>
                    <w:left w:w="0" w:type="dxa"/>
                    <w:right w:w="0" w:type="dxa"/>
                  </w:tcMar>
                  <w:vAlign w:val="center"/>
                </w:tcPr>
                <w:p w14:paraId="4EA36C03">
                  <w:pPr>
                    <w:jc w:val="center"/>
                    <w:rPr>
                      <w:szCs w:val="21"/>
                    </w:rPr>
                  </w:pPr>
                  <w:r>
                    <w:rPr>
                      <w:szCs w:val="21"/>
                    </w:rPr>
                    <w:t>0.0</w:t>
                  </w:r>
                  <w:r>
                    <w:rPr>
                      <w:rFonts w:hint="eastAsia"/>
                      <w:szCs w:val="21"/>
                    </w:rPr>
                    <w:t>122</w:t>
                  </w:r>
                </w:p>
              </w:tc>
            </w:tr>
            <w:tr w14:paraId="7024718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329" w:type="pct"/>
                  <w:tcMar>
                    <w:left w:w="0" w:type="dxa"/>
                    <w:right w:w="0" w:type="dxa"/>
                  </w:tcMar>
                  <w:vAlign w:val="center"/>
                </w:tcPr>
                <w:p w14:paraId="65795A49">
                  <w:pPr>
                    <w:jc w:val="center"/>
                    <w:rPr>
                      <w:szCs w:val="21"/>
                    </w:rPr>
                  </w:pPr>
                  <w:r>
                    <w:rPr>
                      <w:szCs w:val="21"/>
                    </w:rPr>
                    <w:t>2</w:t>
                  </w:r>
                </w:p>
              </w:tc>
              <w:tc>
                <w:tcPr>
                  <w:tcW w:w="1211" w:type="pct"/>
                  <w:tcMar>
                    <w:left w:w="0" w:type="dxa"/>
                    <w:right w:w="0" w:type="dxa"/>
                  </w:tcMar>
                  <w:vAlign w:val="center"/>
                </w:tcPr>
                <w:p w14:paraId="74F107AB">
                  <w:pPr>
                    <w:jc w:val="center"/>
                    <w:rPr>
                      <w:szCs w:val="21"/>
                    </w:rPr>
                  </w:pPr>
                  <w:r>
                    <w:rPr>
                      <w:szCs w:val="21"/>
                    </w:rPr>
                    <w:t>采出液</w:t>
                  </w:r>
                  <w:r>
                    <w:rPr>
                      <w:rFonts w:hint="eastAsia"/>
                      <w:szCs w:val="21"/>
                    </w:rPr>
                    <w:t>（</w:t>
                  </w:r>
                  <w:r>
                    <w:rPr>
                      <w:szCs w:val="21"/>
                    </w:rPr>
                    <w:t>原油</w:t>
                  </w:r>
                  <w:r>
                    <w:rPr>
                      <w:rFonts w:hint="eastAsia"/>
                      <w:szCs w:val="21"/>
                    </w:rPr>
                    <w:t>）</w:t>
                  </w:r>
                </w:p>
              </w:tc>
              <w:tc>
                <w:tcPr>
                  <w:tcW w:w="779" w:type="pct"/>
                  <w:tcMar>
                    <w:left w:w="0" w:type="dxa"/>
                    <w:right w:w="0" w:type="dxa"/>
                  </w:tcMar>
                  <w:vAlign w:val="center"/>
                </w:tcPr>
                <w:p w14:paraId="7257B6F6">
                  <w:pPr>
                    <w:jc w:val="center"/>
                    <w:rPr>
                      <w:szCs w:val="21"/>
                    </w:rPr>
                  </w:pPr>
                  <w:r>
                    <w:rPr>
                      <w:szCs w:val="21"/>
                    </w:rPr>
                    <w:t>/</w:t>
                  </w:r>
                </w:p>
              </w:tc>
              <w:tc>
                <w:tcPr>
                  <w:tcW w:w="1097" w:type="pct"/>
                  <w:tcMar>
                    <w:left w:w="0" w:type="dxa"/>
                    <w:right w:w="0" w:type="dxa"/>
                  </w:tcMar>
                  <w:vAlign w:val="center"/>
                </w:tcPr>
                <w:p w14:paraId="659B826E">
                  <w:pPr>
                    <w:jc w:val="center"/>
                    <w:rPr>
                      <w:szCs w:val="21"/>
                    </w:rPr>
                  </w:pPr>
                  <w:r>
                    <w:rPr>
                      <w:rFonts w:hint="eastAsia"/>
                      <w:szCs w:val="21"/>
                    </w:rPr>
                    <w:t>72</w:t>
                  </w:r>
                </w:p>
              </w:tc>
              <w:tc>
                <w:tcPr>
                  <w:tcW w:w="916" w:type="pct"/>
                  <w:tcMar>
                    <w:left w:w="0" w:type="dxa"/>
                    <w:right w:w="0" w:type="dxa"/>
                  </w:tcMar>
                  <w:vAlign w:val="center"/>
                </w:tcPr>
                <w:p w14:paraId="522D2227">
                  <w:pPr>
                    <w:jc w:val="center"/>
                    <w:rPr>
                      <w:szCs w:val="21"/>
                    </w:rPr>
                  </w:pPr>
                  <w:r>
                    <w:rPr>
                      <w:szCs w:val="21"/>
                    </w:rPr>
                    <w:t>2500</w:t>
                  </w:r>
                </w:p>
              </w:tc>
              <w:tc>
                <w:tcPr>
                  <w:tcW w:w="668" w:type="pct"/>
                  <w:tcMar>
                    <w:left w:w="0" w:type="dxa"/>
                    <w:right w:w="0" w:type="dxa"/>
                  </w:tcMar>
                  <w:vAlign w:val="center"/>
                </w:tcPr>
                <w:p w14:paraId="735299C3">
                  <w:pPr>
                    <w:jc w:val="center"/>
                    <w:rPr>
                      <w:szCs w:val="21"/>
                    </w:rPr>
                  </w:pPr>
                  <w:r>
                    <w:rPr>
                      <w:szCs w:val="21"/>
                    </w:rPr>
                    <w:t>0.0</w:t>
                  </w:r>
                  <w:r>
                    <w:rPr>
                      <w:rFonts w:hint="eastAsia"/>
                      <w:szCs w:val="21"/>
                    </w:rPr>
                    <w:t>288</w:t>
                  </w:r>
                </w:p>
              </w:tc>
            </w:tr>
            <w:tr w14:paraId="5C7E59F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425" w:hRule="atLeast"/>
              </w:trPr>
              <w:tc>
                <w:tcPr>
                  <w:tcW w:w="329" w:type="pct"/>
                  <w:tcMar>
                    <w:left w:w="0" w:type="dxa"/>
                    <w:right w:w="0" w:type="dxa"/>
                  </w:tcMar>
                  <w:vAlign w:val="center"/>
                </w:tcPr>
                <w:p w14:paraId="7670CDE9">
                  <w:pPr>
                    <w:jc w:val="center"/>
                    <w:rPr>
                      <w:szCs w:val="21"/>
                    </w:rPr>
                  </w:pPr>
                  <w:r>
                    <w:rPr>
                      <w:szCs w:val="21"/>
                    </w:rPr>
                    <w:t>3</w:t>
                  </w:r>
                </w:p>
              </w:tc>
              <w:tc>
                <w:tcPr>
                  <w:tcW w:w="1211" w:type="pct"/>
                  <w:tcMar>
                    <w:left w:w="0" w:type="dxa"/>
                    <w:right w:w="0" w:type="dxa"/>
                  </w:tcMar>
                  <w:vAlign w:val="center"/>
                </w:tcPr>
                <w:p w14:paraId="77BEF539">
                  <w:pPr>
                    <w:jc w:val="center"/>
                    <w:rPr>
                      <w:szCs w:val="21"/>
                    </w:rPr>
                  </w:pPr>
                  <w:r>
                    <w:rPr>
                      <w:szCs w:val="21"/>
                    </w:rPr>
                    <w:t>伴生气（CH</w:t>
                  </w:r>
                  <w:r>
                    <w:rPr>
                      <w:szCs w:val="21"/>
                      <w:vertAlign w:val="subscript"/>
                    </w:rPr>
                    <w:t>4</w:t>
                  </w:r>
                  <w:r>
                    <w:rPr>
                      <w:szCs w:val="21"/>
                    </w:rPr>
                    <w:t>）</w:t>
                  </w:r>
                </w:p>
              </w:tc>
              <w:tc>
                <w:tcPr>
                  <w:tcW w:w="779" w:type="pct"/>
                  <w:tcMar>
                    <w:left w:w="0" w:type="dxa"/>
                    <w:right w:w="0" w:type="dxa"/>
                  </w:tcMar>
                  <w:vAlign w:val="center"/>
                </w:tcPr>
                <w:p w14:paraId="57B91435">
                  <w:pPr>
                    <w:jc w:val="center"/>
                    <w:rPr>
                      <w:szCs w:val="21"/>
                    </w:rPr>
                  </w:pPr>
                  <w:r>
                    <w:rPr>
                      <w:szCs w:val="21"/>
                    </w:rPr>
                    <w:t>74-82-8</w:t>
                  </w:r>
                </w:p>
              </w:tc>
              <w:tc>
                <w:tcPr>
                  <w:tcW w:w="1097" w:type="pct"/>
                  <w:tcMar>
                    <w:left w:w="0" w:type="dxa"/>
                    <w:right w:w="0" w:type="dxa"/>
                  </w:tcMar>
                  <w:vAlign w:val="center"/>
                </w:tcPr>
                <w:p w14:paraId="345D2983">
                  <w:pPr>
                    <w:jc w:val="center"/>
                    <w:rPr>
                      <w:szCs w:val="21"/>
                    </w:rPr>
                  </w:pPr>
                  <w:r>
                    <w:rPr>
                      <w:szCs w:val="21"/>
                    </w:rPr>
                    <w:t>0.</w:t>
                  </w:r>
                  <w:r>
                    <w:rPr>
                      <w:rFonts w:hint="eastAsia"/>
                      <w:szCs w:val="21"/>
                    </w:rPr>
                    <w:t>92</w:t>
                  </w:r>
                </w:p>
              </w:tc>
              <w:tc>
                <w:tcPr>
                  <w:tcW w:w="916" w:type="pct"/>
                  <w:tcMar>
                    <w:left w:w="0" w:type="dxa"/>
                    <w:right w:w="0" w:type="dxa"/>
                  </w:tcMar>
                  <w:vAlign w:val="center"/>
                </w:tcPr>
                <w:p w14:paraId="4A789C7D">
                  <w:pPr>
                    <w:jc w:val="center"/>
                    <w:rPr>
                      <w:szCs w:val="21"/>
                    </w:rPr>
                  </w:pPr>
                  <w:r>
                    <w:rPr>
                      <w:szCs w:val="21"/>
                    </w:rPr>
                    <w:t>10</w:t>
                  </w:r>
                </w:p>
              </w:tc>
              <w:tc>
                <w:tcPr>
                  <w:tcW w:w="668" w:type="pct"/>
                  <w:tcMar>
                    <w:left w:w="0" w:type="dxa"/>
                    <w:right w:w="0" w:type="dxa"/>
                  </w:tcMar>
                  <w:vAlign w:val="center"/>
                </w:tcPr>
                <w:p w14:paraId="4FF47782">
                  <w:pPr>
                    <w:jc w:val="center"/>
                    <w:rPr>
                      <w:szCs w:val="21"/>
                    </w:rPr>
                  </w:pPr>
                  <w:r>
                    <w:rPr>
                      <w:szCs w:val="21"/>
                    </w:rPr>
                    <w:t>0.</w:t>
                  </w:r>
                  <w:r>
                    <w:rPr>
                      <w:rFonts w:hint="eastAsia"/>
                      <w:szCs w:val="21"/>
                    </w:rPr>
                    <w:t>0920</w:t>
                  </w:r>
                </w:p>
              </w:tc>
            </w:tr>
            <w:tr w14:paraId="41927EA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329" w:type="pct"/>
                  <w:tcMar>
                    <w:left w:w="0" w:type="dxa"/>
                    <w:right w:w="0" w:type="dxa"/>
                  </w:tcMar>
                  <w:vAlign w:val="center"/>
                </w:tcPr>
                <w:p w14:paraId="309C0596">
                  <w:pPr>
                    <w:jc w:val="center"/>
                    <w:rPr>
                      <w:szCs w:val="21"/>
                    </w:rPr>
                  </w:pPr>
                  <w:r>
                    <w:rPr>
                      <w:szCs w:val="21"/>
                    </w:rPr>
                    <w:t>4</w:t>
                  </w:r>
                </w:p>
              </w:tc>
              <w:tc>
                <w:tcPr>
                  <w:tcW w:w="1211" w:type="pct"/>
                  <w:tcMar>
                    <w:left w:w="0" w:type="dxa"/>
                    <w:right w:w="0" w:type="dxa"/>
                  </w:tcMar>
                  <w:vAlign w:val="center"/>
                </w:tcPr>
                <w:p w14:paraId="6B5D5A71">
                  <w:pPr>
                    <w:jc w:val="center"/>
                    <w:rPr>
                      <w:szCs w:val="21"/>
                    </w:rPr>
                  </w:pPr>
                  <w:r>
                    <w:rPr>
                      <w:szCs w:val="21"/>
                    </w:rPr>
                    <w:t>氢氧化钠</w:t>
                  </w:r>
                </w:p>
              </w:tc>
              <w:tc>
                <w:tcPr>
                  <w:tcW w:w="779" w:type="pct"/>
                  <w:tcMar>
                    <w:left w:w="0" w:type="dxa"/>
                    <w:right w:w="0" w:type="dxa"/>
                  </w:tcMar>
                  <w:vAlign w:val="center"/>
                </w:tcPr>
                <w:p w14:paraId="50A73F30">
                  <w:pPr>
                    <w:jc w:val="center"/>
                    <w:rPr>
                      <w:szCs w:val="21"/>
                    </w:rPr>
                  </w:pPr>
                  <w:r>
                    <w:rPr>
                      <w:szCs w:val="21"/>
                    </w:rPr>
                    <w:t>1310-73-2</w:t>
                  </w:r>
                </w:p>
              </w:tc>
              <w:tc>
                <w:tcPr>
                  <w:tcW w:w="1097" w:type="pct"/>
                  <w:tcMar>
                    <w:left w:w="0" w:type="dxa"/>
                    <w:right w:w="0" w:type="dxa"/>
                  </w:tcMar>
                  <w:vAlign w:val="center"/>
                </w:tcPr>
                <w:p w14:paraId="51ABBEB5">
                  <w:pPr>
                    <w:jc w:val="center"/>
                    <w:rPr>
                      <w:szCs w:val="21"/>
                    </w:rPr>
                  </w:pPr>
                  <w:r>
                    <w:rPr>
                      <w:rFonts w:hint="eastAsia"/>
                      <w:szCs w:val="21"/>
                    </w:rPr>
                    <w:t>1</w:t>
                  </w:r>
                </w:p>
              </w:tc>
              <w:tc>
                <w:tcPr>
                  <w:tcW w:w="916" w:type="pct"/>
                  <w:tcMar>
                    <w:left w:w="0" w:type="dxa"/>
                    <w:right w:w="0" w:type="dxa"/>
                  </w:tcMar>
                  <w:vAlign w:val="center"/>
                </w:tcPr>
                <w:p w14:paraId="71A4F828">
                  <w:pPr>
                    <w:jc w:val="center"/>
                    <w:rPr>
                      <w:szCs w:val="21"/>
                    </w:rPr>
                  </w:pPr>
                  <w:r>
                    <w:rPr>
                      <w:szCs w:val="21"/>
                    </w:rPr>
                    <w:t>/</w:t>
                  </w:r>
                </w:p>
              </w:tc>
              <w:tc>
                <w:tcPr>
                  <w:tcW w:w="668" w:type="pct"/>
                  <w:tcMar>
                    <w:left w:w="0" w:type="dxa"/>
                    <w:right w:w="0" w:type="dxa"/>
                  </w:tcMar>
                  <w:vAlign w:val="center"/>
                </w:tcPr>
                <w:p w14:paraId="6A657223">
                  <w:pPr>
                    <w:jc w:val="center"/>
                    <w:rPr>
                      <w:szCs w:val="21"/>
                    </w:rPr>
                  </w:pPr>
                  <w:r>
                    <w:rPr>
                      <w:szCs w:val="21"/>
                    </w:rPr>
                    <w:t>/</w:t>
                  </w:r>
                </w:p>
              </w:tc>
            </w:tr>
            <w:tr w14:paraId="4E57D5F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329" w:type="pct"/>
                  <w:tcMar>
                    <w:left w:w="0" w:type="dxa"/>
                    <w:right w:w="0" w:type="dxa"/>
                  </w:tcMar>
                  <w:vAlign w:val="center"/>
                </w:tcPr>
                <w:p w14:paraId="47A66493">
                  <w:pPr>
                    <w:jc w:val="center"/>
                    <w:rPr>
                      <w:szCs w:val="21"/>
                    </w:rPr>
                  </w:pPr>
                  <w:r>
                    <w:rPr>
                      <w:rFonts w:hint="eastAsia"/>
                      <w:szCs w:val="21"/>
                    </w:rPr>
                    <w:t>5</w:t>
                  </w:r>
                </w:p>
              </w:tc>
              <w:tc>
                <w:tcPr>
                  <w:tcW w:w="1211" w:type="pct"/>
                  <w:tcMar>
                    <w:left w:w="0" w:type="dxa"/>
                    <w:right w:w="0" w:type="dxa"/>
                  </w:tcMar>
                  <w:vAlign w:val="center"/>
                </w:tcPr>
                <w:p w14:paraId="77EEF05C">
                  <w:pPr>
                    <w:jc w:val="center"/>
                    <w:rPr>
                      <w:szCs w:val="21"/>
                    </w:rPr>
                  </w:pPr>
                  <w:r>
                    <w:rPr>
                      <w:rFonts w:hint="eastAsia"/>
                      <w:szCs w:val="21"/>
                    </w:rPr>
                    <w:t>废润滑油</w:t>
                  </w:r>
                </w:p>
              </w:tc>
              <w:tc>
                <w:tcPr>
                  <w:tcW w:w="779" w:type="pct"/>
                  <w:tcMar>
                    <w:left w:w="0" w:type="dxa"/>
                    <w:right w:w="0" w:type="dxa"/>
                  </w:tcMar>
                  <w:vAlign w:val="center"/>
                </w:tcPr>
                <w:p w14:paraId="69244125">
                  <w:pPr>
                    <w:jc w:val="center"/>
                    <w:rPr>
                      <w:szCs w:val="21"/>
                    </w:rPr>
                  </w:pPr>
                  <w:r>
                    <w:rPr>
                      <w:rFonts w:hint="eastAsia"/>
                      <w:szCs w:val="21"/>
                    </w:rPr>
                    <w:t>/</w:t>
                  </w:r>
                </w:p>
              </w:tc>
              <w:tc>
                <w:tcPr>
                  <w:tcW w:w="1097" w:type="pct"/>
                  <w:tcMar>
                    <w:left w:w="0" w:type="dxa"/>
                    <w:right w:w="0" w:type="dxa"/>
                  </w:tcMar>
                  <w:vAlign w:val="center"/>
                </w:tcPr>
                <w:p w14:paraId="52468A07">
                  <w:pPr>
                    <w:jc w:val="center"/>
                    <w:rPr>
                      <w:szCs w:val="21"/>
                    </w:rPr>
                  </w:pPr>
                  <w:r>
                    <w:rPr>
                      <w:rFonts w:hint="eastAsia"/>
                      <w:szCs w:val="21"/>
                    </w:rPr>
                    <w:t>0.2</w:t>
                  </w:r>
                </w:p>
              </w:tc>
              <w:tc>
                <w:tcPr>
                  <w:tcW w:w="916" w:type="pct"/>
                  <w:tcMar>
                    <w:left w:w="0" w:type="dxa"/>
                    <w:right w:w="0" w:type="dxa"/>
                  </w:tcMar>
                  <w:vAlign w:val="center"/>
                </w:tcPr>
                <w:p w14:paraId="0B7EA211">
                  <w:pPr>
                    <w:jc w:val="center"/>
                    <w:rPr>
                      <w:szCs w:val="21"/>
                    </w:rPr>
                  </w:pPr>
                  <w:r>
                    <w:rPr>
                      <w:rFonts w:hint="eastAsia"/>
                      <w:szCs w:val="21"/>
                    </w:rPr>
                    <w:t>50</w:t>
                  </w:r>
                </w:p>
              </w:tc>
              <w:tc>
                <w:tcPr>
                  <w:tcW w:w="668" w:type="pct"/>
                  <w:tcMar>
                    <w:left w:w="0" w:type="dxa"/>
                    <w:right w:w="0" w:type="dxa"/>
                  </w:tcMar>
                  <w:vAlign w:val="center"/>
                </w:tcPr>
                <w:p w14:paraId="1764294C">
                  <w:pPr>
                    <w:jc w:val="center"/>
                    <w:rPr>
                      <w:szCs w:val="21"/>
                    </w:rPr>
                  </w:pPr>
                  <w:r>
                    <w:rPr>
                      <w:rFonts w:hint="eastAsia"/>
                      <w:szCs w:val="21"/>
                    </w:rPr>
                    <w:t>0.0040</w:t>
                  </w:r>
                </w:p>
              </w:tc>
            </w:tr>
            <w:tr w14:paraId="1E57E1C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329" w:type="pct"/>
                  <w:tcMar>
                    <w:left w:w="0" w:type="dxa"/>
                    <w:right w:w="0" w:type="dxa"/>
                  </w:tcMar>
                  <w:vAlign w:val="center"/>
                </w:tcPr>
                <w:p w14:paraId="7615A081">
                  <w:pPr>
                    <w:jc w:val="center"/>
                    <w:rPr>
                      <w:szCs w:val="21"/>
                    </w:rPr>
                  </w:pPr>
                  <w:r>
                    <w:rPr>
                      <w:rFonts w:hint="eastAsia"/>
                      <w:szCs w:val="21"/>
                    </w:rPr>
                    <w:t>6</w:t>
                  </w:r>
                </w:p>
              </w:tc>
              <w:tc>
                <w:tcPr>
                  <w:tcW w:w="1211" w:type="pct"/>
                  <w:tcMar>
                    <w:left w:w="0" w:type="dxa"/>
                    <w:right w:w="0" w:type="dxa"/>
                  </w:tcMar>
                  <w:vAlign w:val="center"/>
                </w:tcPr>
                <w:p w14:paraId="252372E7">
                  <w:pPr>
                    <w:jc w:val="center"/>
                    <w:rPr>
                      <w:szCs w:val="21"/>
                    </w:rPr>
                  </w:pPr>
                  <w:r>
                    <w:rPr>
                      <w:rFonts w:hint="eastAsia"/>
                      <w:szCs w:val="21"/>
                    </w:rPr>
                    <w:t>落地油</w:t>
                  </w:r>
                </w:p>
              </w:tc>
              <w:tc>
                <w:tcPr>
                  <w:tcW w:w="779" w:type="pct"/>
                  <w:tcMar>
                    <w:left w:w="0" w:type="dxa"/>
                    <w:right w:w="0" w:type="dxa"/>
                  </w:tcMar>
                  <w:vAlign w:val="center"/>
                </w:tcPr>
                <w:p w14:paraId="3B938EAF">
                  <w:pPr>
                    <w:jc w:val="center"/>
                    <w:rPr>
                      <w:szCs w:val="21"/>
                    </w:rPr>
                  </w:pPr>
                  <w:r>
                    <w:rPr>
                      <w:rFonts w:hint="eastAsia"/>
                      <w:szCs w:val="21"/>
                    </w:rPr>
                    <w:t>/</w:t>
                  </w:r>
                </w:p>
              </w:tc>
              <w:tc>
                <w:tcPr>
                  <w:tcW w:w="1097" w:type="pct"/>
                  <w:tcMar>
                    <w:left w:w="0" w:type="dxa"/>
                    <w:right w:w="0" w:type="dxa"/>
                  </w:tcMar>
                  <w:vAlign w:val="center"/>
                </w:tcPr>
                <w:p w14:paraId="40308058">
                  <w:pPr>
                    <w:jc w:val="center"/>
                    <w:rPr>
                      <w:szCs w:val="21"/>
                    </w:rPr>
                  </w:pPr>
                  <w:r>
                    <w:rPr>
                      <w:rFonts w:hint="eastAsia"/>
                      <w:szCs w:val="21"/>
                    </w:rPr>
                    <w:t>0.2</w:t>
                  </w:r>
                </w:p>
              </w:tc>
              <w:tc>
                <w:tcPr>
                  <w:tcW w:w="916" w:type="pct"/>
                  <w:tcMar>
                    <w:left w:w="0" w:type="dxa"/>
                    <w:right w:w="0" w:type="dxa"/>
                  </w:tcMar>
                  <w:vAlign w:val="center"/>
                </w:tcPr>
                <w:p w14:paraId="3BF8F7DA">
                  <w:pPr>
                    <w:jc w:val="center"/>
                    <w:rPr>
                      <w:szCs w:val="21"/>
                    </w:rPr>
                  </w:pPr>
                  <w:r>
                    <w:rPr>
                      <w:rFonts w:hint="eastAsia"/>
                      <w:szCs w:val="21"/>
                    </w:rPr>
                    <w:t>50</w:t>
                  </w:r>
                </w:p>
              </w:tc>
              <w:tc>
                <w:tcPr>
                  <w:tcW w:w="668" w:type="pct"/>
                  <w:tcMar>
                    <w:left w:w="0" w:type="dxa"/>
                    <w:right w:w="0" w:type="dxa"/>
                  </w:tcMar>
                  <w:vAlign w:val="center"/>
                </w:tcPr>
                <w:p w14:paraId="28FA9B99">
                  <w:pPr>
                    <w:jc w:val="center"/>
                    <w:rPr>
                      <w:szCs w:val="21"/>
                    </w:rPr>
                  </w:pPr>
                  <w:r>
                    <w:rPr>
                      <w:rFonts w:hint="eastAsia"/>
                      <w:szCs w:val="21"/>
                    </w:rPr>
                    <w:t>0.0040</w:t>
                  </w:r>
                </w:p>
              </w:tc>
            </w:tr>
            <w:tr w14:paraId="13B5A98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425" w:hRule="atLeast"/>
              </w:trPr>
              <w:tc>
                <w:tcPr>
                  <w:tcW w:w="329" w:type="pct"/>
                  <w:tcMar>
                    <w:left w:w="0" w:type="dxa"/>
                    <w:right w:w="0" w:type="dxa"/>
                  </w:tcMar>
                  <w:vAlign w:val="center"/>
                </w:tcPr>
                <w:p w14:paraId="4BA69AEF">
                  <w:pPr>
                    <w:jc w:val="center"/>
                    <w:rPr>
                      <w:szCs w:val="21"/>
                    </w:rPr>
                  </w:pPr>
                  <w:r>
                    <w:rPr>
                      <w:rFonts w:hint="eastAsia"/>
                      <w:szCs w:val="21"/>
                    </w:rPr>
                    <w:t>7</w:t>
                  </w:r>
                </w:p>
              </w:tc>
              <w:tc>
                <w:tcPr>
                  <w:tcW w:w="1211" w:type="pct"/>
                  <w:tcMar>
                    <w:left w:w="0" w:type="dxa"/>
                    <w:right w:w="0" w:type="dxa"/>
                  </w:tcMar>
                  <w:vAlign w:val="center"/>
                </w:tcPr>
                <w:p w14:paraId="36B2C180">
                  <w:pPr>
                    <w:jc w:val="center"/>
                    <w:rPr>
                      <w:szCs w:val="21"/>
                    </w:rPr>
                  </w:pPr>
                  <w:r>
                    <w:rPr>
                      <w:rFonts w:hint="eastAsia"/>
                      <w:szCs w:val="21"/>
                    </w:rPr>
                    <w:t>废防渗材料</w:t>
                  </w:r>
                </w:p>
              </w:tc>
              <w:tc>
                <w:tcPr>
                  <w:tcW w:w="779" w:type="pct"/>
                  <w:tcMar>
                    <w:left w:w="0" w:type="dxa"/>
                    <w:right w:w="0" w:type="dxa"/>
                  </w:tcMar>
                  <w:vAlign w:val="center"/>
                </w:tcPr>
                <w:p w14:paraId="4FF837AC">
                  <w:pPr>
                    <w:jc w:val="center"/>
                    <w:rPr>
                      <w:szCs w:val="21"/>
                    </w:rPr>
                  </w:pPr>
                  <w:r>
                    <w:rPr>
                      <w:rFonts w:hint="eastAsia"/>
                      <w:szCs w:val="21"/>
                    </w:rPr>
                    <w:t>/</w:t>
                  </w:r>
                </w:p>
              </w:tc>
              <w:tc>
                <w:tcPr>
                  <w:tcW w:w="1097" w:type="pct"/>
                  <w:tcMar>
                    <w:left w:w="0" w:type="dxa"/>
                    <w:right w:w="0" w:type="dxa"/>
                  </w:tcMar>
                  <w:vAlign w:val="center"/>
                </w:tcPr>
                <w:p w14:paraId="5808B43E">
                  <w:pPr>
                    <w:jc w:val="center"/>
                    <w:rPr>
                      <w:szCs w:val="21"/>
                    </w:rPr>
                  </w:pPr>
                  <w:r>
                    <w:rPr>
                      <w:rFonts w:hint="eastAsia"/>
                      <w:szCs w:val="21"/>
                    </w:rPr>
                    <w:t>0.5</w:t>
                  </w:r>
                </w:p>
              </w:tc>
              <w:tc>
                <w:tcPr>
                  <w:tcW w:w="916" w:type="pct"/>
                  <w:tcMar>
                    <w:left w:w="0" w:type="dxa"/>
                    <w:right w:w="0" w:type="dxa"/>
                  </w:tcMar>
                  <w:vAlign w:val="center"/>
                </w:tcPr>
                <w:p w14:paraId="2F859B06">
                  <w:pPr>
                    <w:jc w:val="center"/>
                    <w:rPr>
                      <w:szCs w:val="21"/>
                    </w:rPr>
                  </w:pPr>
                  <w:r>
                    <w:rPr>
                      <w:rFonts w:hint="eastAsia"/>
                      <w:szCs w:val="21"/>
                    </w:rPr>
                    <w:t>50</w:t>
                  </w:r>
                </w:p>
              </w:tc>
              <w:tc>
                <w:tcPr>
                  <w:tcW w:w="668" w:type="pct"/>
                  <w:tcMar>
                    <w:left w:w="0" w:type="dxa"/>
                    <w:right w:w="0" w:type="dxa"/>
                  </w:tcMar>
                  <w:vAlign w:val="center"/>
                </w:tcPr>
                <w:p w14:paraId="4CCFAB74">
                  <w:pPr>
                    <w:jc w:val="center"/>
                    <w:rPr>
                      <w:szCs w:val="21"/>
                    </w:rPr>
                  </w:pPr>
                  <w:r>
                    <w:rPr>
                      <w:rFonts w:hint="eastAsia"/>
                      <w:szCs w:val="21"/>
                    </w:rPr>
                    <w:t>0.0100</w:t>
                  </w:r>
                </w:p>
              </w:tc>
            </w:tr>
            <w:tr w14:paraId="1E24D73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4332" w:type="pct"/>
                  <w:gridSpan w:val="5"/>
                  <w:tcMar>
                    <w:left w:w="0" w:type="dxa"/>
                    <w:right w:w="0" w:type="dxa"/>
                  </w:tcMar>
                  <w:vAlign w:val="center"/>
                </w:tcPr>
                <w:p w14:paraId="07629306">
                  <w:pPr>
                    <w:jc w:val="center"/>
                    <w:rPr>
                      <w:szCs w:val="21"/>
                    </w:rPr>
                  </w:pPr>
                  <w:r>
                    <w:rPr>
                      <w:szCs w:val="21"/>
                    </w:rPr>
                    <w:t>项目Q值∑</w:t>
                  </w:r>
                </w:p>
              </w:tc>
              <w:tc>
                <w:tcPr>
                  <w:tcW w:w="668" w:type="pct"/>
                  <w:tcMar>
                    <w:left w:w="0" w:type="dxa"/>
                    <w:right w:w="0" w:type="dxa"/>
                  </w:tcMar>
                  <w:vAlign w:val="center"/>
                </w:tcPr>
                <w:p w14:paraId="6C47165A">
                  <w:pPr>
                    <w:jc w:val="center"/>
                    <w:rPr>
                      <w:szCs w:val="21"/>
                      <w:highlight w:val="yellow"/>
                    </w:rPr>
                  </w:pPr>
                  <w:r>
                    <w:rPr>
                      <w:szCs w:val="21"/>
                    </w:rPr>
                    <w:t>0.1</w:t>
                  </w:r>
                  <w:r>
                    <w:rPr>
                      <w:rFonts w:hint="eastAsia"/>
                      <w:szCs w:val="21"/>
                    </w:rPr>
                    <w:t>510</w:t>
                  </w:r>
                </w:p>
              </w:tc>
            </w:tr>
          </w:tbl>
          <w:p w14:paraId="0374DF75">
            <w:pPr>
              <w:spacing w:line="360" w:lineRule="auto"/>
              <w:ind w:firstLine="480" w:firstLineChars="200"/>
              <w:rPr>
                <w:sz w:val="24"/>
                <w:szCs w:val="32"/>
              </w:rPr>
            </w:pPr>
            <w:r>
              <w:rPr>
                <w:sz w:val="24"/>
                <w:szCs w:val="32"/>
              </w:rPr>
              <w:t>由上表Q值结果可得出</w:t>
            </w:r>
            <w:r>
              <w:rPr>
                <w:rFonts w:hint="eastAsia"/>
                <w:sz w:val="24"/>
                <w:szCs w:val="32"/>
              </w:rPr>
              <w:t>，项目</w:t>
            </w:r>
            <w:r>
              <w:rPr>
                <w:sz w:val="24"/>
                <w:szCs w:val="32"/>
              </w:rPr>
              <w:t>环境风险潜势为</w:t>
            </w:r>
            <w:r>
              <w:rPr>
                <w:sz w:val="24"/>
                <w:szCs w:val="32"/>
              </w:rPr>
              <w:fldChar w:fldCharType="begin"/>
            </w:r>
            <w:r>
              <w:rPr>
                <w:sz w:val="24"/>
                <w:szCs w:val="32"/>
              </w:rPr>
              <w:instrText xml:space="preserve"> = 1 \* ROMAN </w:instrText>
            </w:r>
            <w:r>
              <w:rPr>
                <w:sz w:val="24"/>
                <w:szCs w:val="32"/>
              </w:rPr>
              <w:fldChar w:fldCharType="separate"/>
            </w:r>
            <w:r>
              <w:rPr>
                <w:sz w:val="24"/>
                <w:szCs w:val="32"/>
              </w:rPr>
              <w:t>I</w:t>
            </w:r>
            <w:r>
              <w:rPr>
                <w:sz w:val="24"/>
                <w:szCs w:val="32"/>
              </w:rPr>
              <w:fldChar w:fldCharType="end"/>
            </w:r>
            <w:r>
              <w:rPr>
                <w:rFonts w:hint="eastAsia"/>
                <w:sz w:val="24"/>
                <w:szCs w:val="32"/>
              </w:rPr>
              <w:t>，</w:t>
            </w:r>
            <w:r>
              <w:rPr>
                <w:sz w:val="24"/>
                <w:szCs w:val="32"/>
              </w:rPr>
              <w:t>环境风险评价工作等级划分为简单分析</w:t>
            </w:r>
            <w:r>
              <w:rPr>
                <w:rFonts w:hint="eastAsia"/>
                <w:sz w:val="24"/>
                <w:szCs w:val="32"/>
              </w:rPr>
              <w:t>。</w:t>
            </w:r>
          </w:p>
          <w:p w14:paraId="078C9BF0">
            <w:pPr>
              <w:autoSpaceDE w:val="0"/>
              <w:autoSpaceDN w:val="0"/>
              <w:adjustRightInd w:val="0"/>
              <w:jc w:val="center"/>
              <w:rPr>
                <w:b/>
                <w:kern w:val="0"/>
                <w:sz w:val="24"/>
              </w:rPr>
            </w:pPr>
            <w:r>
              <w:rPr>
                <w:b/>
                <w:kern w:val="0"/>
                <w:sz w:val="24"/>
              </w:rPr>
              <w:t>表4-</w:t>
            </w:r>
            <w:r>
              <w:rPr>
                <w:rFonts w:hint="eastAsia"/>
                <w:b/>
                <w:kern w:val="0"/>
                <w:sz w:val="24"/>
              </w:rPr>
              <w:t xml:space="preserve">14 </w:t>
            </w:r>
            <w:r>
              <w:rPr>
                <w:b/>
                <w:kern w:val="0"/>
                <w:sz w:val="24"/>
              </w:rPr>
              <w:t>原油的理化性质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47"/>
              <w:gridCol w:w="1811"/>
              <w:gridCol w:w="1973"/>
              <w:gridCol w:w="111"/>
              <w:gridCol w:w="1426"/>
              <w:gridCol w:w="46"/>
              <w:gridCol w:w="2181"/>
            </w:tblGrid>
            <w:tr w14:paraId="4319F5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restart"/>
                  <w:vAlign w:val="center"/>
                </w:tcPr>
                <w:p w14:paraId="4AC7DA6F">
                  <w:pPr>
                    <w:jc w:val="center"/>
                    <w:rPr>
                      <w:szCs w:val="21"/>
                    </w:rPr>
                  </w:pPr>
                  <w:r>
                    <w:rPr>
                      <w:szCs w:val="21"/>
                    </w:rPr>
                    <w:t>标识</w:t>
                  </w:r>
                </w:p>
              </w:tc>
              <w:tc>
                <w:tcPr>
                  <w:tcW w:w="1105" w:type="pct"/>
                  <w:vAlign w:val="center"/>
                </w:tcPr>
                <w:p w14:paraId="3E3FA750">
                  <w:pPr>
                    <w:jc w:val="center"/>
                    <w:rPr>
                      <w:szCs w:val="21"/>
                    </w:rPr>
                  </w:pPr>
                  <w:r>
                    <w:rPr>
                      <w:szCs w:val="21"/>
                    </w:rPr>
                    <w:t>中文名</w:t>
                  </w:r>
                </w:p>
              </w:tc>
              <w:tc>
                <w:tcPr>
                  <w:tcW w:w="1204" w:type="pct"/>
                  <w:vAlign w:val="center"/>
                </w:tcPr>
                <w:p w14:paraId="72D6048A">
                  <w:pPr>
                    <w:jc w:val="center"/>
                    <w:rPr>
                      <w:szCs w:val="21"/>
                    </w:rPr>
                  </w:pPr>
                  <w:r>
                    <w:rPr>
                      <w:szCs w:val="21"/>
                    </w:rPr>
                    <w:t>原油</w:t>
                  </w:r>
                </w:p>
              </w:tc>
              <w:tc>
                <w:tcPr>
                  <w:tcW w:w="938" w:type="pct"/>
                  <w:gridSpan w:val="2"/>
                  <w:vAlign w:val="center"/>
                </w:tcPr>
                <w:p w14:paraId="334C6037">
                  <w:pPr>
                    <w:jc w:val="center"/>
                    <w:rPr>
                      <w:szCs w:val="21"/>
                    </w:rPr>
                  </w:pPr>
                  <w:r>
                    <w:rPr>
                      <w:szCs w:val="21"/>
                    </w:rPr>
                    <w:t>英文名</w:t>
                  </w:r>
                </w:p>
              </w:tc>
              <w:tc>
                <w:tcPr>
                  <w:tcW w:w="1358" w:type="pct"/>
                  <w:gridSpan w:val="2"/>
                  <w:vAlign w:val="center"/>
                </w:tcPr>
                <w:p w14:paraId="55F2CED4">
                  <w:pPr>
                    <w:jc w:val="center"/>
                    <w:rPr>
                      <w:szCs w:val="21"/>
                    </w:rPr>
                  </w:pPr>
                  <w:r>
                    <w:rPr>
                      <w:szCs w:val="21"/>
                    </w:rPr>
                    <w:t>Petroleum；Crude oil</w:t>
                  </w:r>
                </w:p>
              </w:tc>
            </w:tr>
            <w:tr w14:paraId="490798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49114718">
                  <w:pPr>
                    <w:widowControl/>
                    <w:jc w:val="left"/>
                    <w:rPr>
                      <w:szCs w:val="21"/>
                    </w:rPr>
                  </w:pPr>
                </w:p>
              </w:tc>
              <w:tc>
                <w:tcPr>
                  <w:tcW w:w="1105" w:type="pct"/>
                  <w:vAlign w:val="center"/>
                </w:tcPr>
                <w:p w14:paraId="791424DF">
                  <w:pPr>
                    <w:jc w:val="center"/>
                    <w:rPr>
                      <w:szCs w:val="21"/>
                    </w:rPr>
                  </w:pPr>
                  <w:r>
                    <w:rPr>
                      <w:szCs w:val="21"/>
                    </w:rPr>
                    <w:t>危险货物编号</w:t>
                  </w:r>
                </w:p>
              </w:tc>
              <w:tc>
                <w:tcPr>
                  <w:tcW w:w="1204" w:type="pct"/>
                  <w:vAlign w:val="center"/>
                </w:tcPr>
                <w:p w14:paraId="6EB19B35">
                  <w:pPr>
                    <w:jc w:val="center"/>
                    <w:rPr>
                      <w:szCs w:val="21"/>
                    </w:rPr>
                  </w:pPr>
                  <w:r>
                    <w:rPr>
                      <w:szCs w:val="21"/>
                    </w:rPr>
                    <w:t>32003</w:t>
                  </w:r>
                </w:p>
              </w:tc>
              <w:tc>
                <w:tcPr>
                  <w:tcW w:w="938" w:type="pct"/>
                  <w:gridSpan w:val="2"/>
                  <w:vAlign w:val="center"/>
                </w:tcPr>
                <w:p w14:paraId="2034404E">
                  <w:pPr>
                    <w:jc w:val="center"/>
                    <w:rPr>
                      <w:szCs w:val="21"/>
                    </w:rPr>
                  </w:pPr>
                  <w:r>
                    <w:rPr>
                      <w:szCs w:val="21"/>
                    </w:rPr>
                    <w:t>UN编号</w:t>
                  </w:r>
                </w:p>
              </w:tc>
              <w:tc>
                <w:tcPr>
                  <w:tcW w:w="1358" w:type="pct"/>
                  <w:gridSpan w:val="2"/>
                  <w:vAlign w:val="center"/>
                </w:tcPr>
                <w:p w14:paraId="7397E6C4">
                  <w:pPr>
                    <w:jc w:val="center"/>
                    <w:rPr>
                      <w:szCs w:val="21"/>
                    </w:rPr>
                  </w:pPr>
                  <w:r>
                    <w:rPr>
                      <w:szCs w:val="21"/>
                    </w:rPr>
                    <w:t>1267；1255</w:t>
                  </w:r>
                </w:p>
              </w:tc>
            </w:tr>
            <w:tr w14:paraId="057811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50EF2BB6">
                  <w:pPr>
                    <w:widowControl/>
                    <w:jc w:val="left"/>
                    <w:rPr>
                      <w:szCs w:val="21"/>
                    </w:rPr>
                  </w:pPr>
                </w:p>
              </w:tc>
              <w:tc>
                <w:tcPr>
                  <w:tcW w:w="1105" w:type="pct"/>
                  <w:vAlign w:val="center"/>
                </w:tcPr>
                <w:p w14:paraId="2EAD39A2">
                  <w:pPr>
                    <w:jc w:val="center"/>
                    <w:rPr>
                      <w:szCs w:val="21"/>
                    </w:rPr>
                  </w:pPr>
                  <w:r>
                    <w:rPr>
                      <w:szCs w:val="21"/>
                    </w:rPr>
                    <w:t>CAS号</w:t>
                  </w:r>
                </w:p>
              </w:tc>
              <w:tc>
                <w:tcPr>
                  <w:tcW w:w="1204" w:type="pct"/>
                  <w:vAlign w:val="center"/>
                </w:tcPr>
                <w:p w14:paraId="5545CCF2">
                  <w:pPr>
                    <w:jc w:val="center"/>
                    <w:rPr>
                      <w:szCs w:val="21"/>
                    </w:rPr>
                  </w:pPr>
                  <w:r>
                    <w:rPr>
                      <w:szCs w:val="21"/>
                    </w:rPr>
                    <w:t>8002-05-9</w:t>
                  </w:r>
                </w:p>
              </w:tc>
              <w:tc>
                <w:tcPr>
                  <w:tcW w:w="938" w:type="pct"/>
                  <w:gridSpan w:val="2"/>
                  <w:vAlign w:val="center"/>
                </w:tcPr>
                <w:p w14:paraId="6B2991BA">
                  <w:pPr>
                    <w:jc w:val="center"/>
                    <w:rPr>
                      <w:szCs w:val="21"/>
                    </w:rPr>
                  </w:pPr>
                  <w:r>
                    <w:rPr>
                      <w:szCs w:val="21"/>
                    </w:rPr>
                    <w:t>分子量</w:t>
                  </w:r>
                </w:p>
              </w:tc>
              <w:tc>
                <w:tcPr>
                  <w:tcW w:w="1358" w:type="pct"/>
                  <w:gridSpan w:val="2"/>
                  <w:vAlign w:val="center"/>
                </w:tcPr>
                <w:p w14:paraId="73DC9C78">
                  <w:pPr>
                    <w:jc w:val="center"/>
                    <w:rPr>
                      <w:szCs w:val="21"/>
                    </w:rPr>
                  </w:pPr>
                  <w:r>
                    <w:rPr>
                      <w:szCs w:val="21"/>
                    </w:rPr>
                    <w:t>/</w:t>
                  </w:r>
                </w:p>
              </w:tc>
            </w:tr>
            <w:tr w14:paraId="170737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restart"/>
                  <w:vAlign w:val="center"/>
                </w:tcPr>
                <w:p w14:paraId="2EA00206">
                  <w:pPr>
                    <w:jc w:val="center"/>
                    <w:rPr>
                      <w:szCs w:val="21"/>
                    </w:rPr>
                  </w:pPr>
                  <w:r>
                    <w:rPr>
                      <w:szCs w:val="21"/>
                    </w:rPr>
                    <w:t>理化性质</w:t>
                  </w:r>
                </w:p>
              </w:tc>
              <w:tc>
                <w:tcPr>
                  <w:tcW w:w="1105" w:type="pct"/>
                  <w:vAlign w:val="center"/>
                </w:tcPr>
                <w:p w14:paraId="15E40F06">
                  <w:pPr>
                    <w:jc w:val="center"/>
                    <w:rPr>
                      <w:szCs w:val="21"/>
                    </w:rPr>
                  </w:pPr>
                  <w:r>
                    <w:rPr>
                      <w:szCs w:val="21"/>
                    </w:rPr>
                    <w:t>外观与形状</w:t>
                  </w:r>
                </w:p>
              </w:tc>
              <w:tc>
                <w:tcPr>
                  <w:tcW w:w="3499" w:type="pct"/>
                  <w:gridSpan w:val="5"/>
                  <w:vAlign w:val="center"/>
                </w:tcPr>
                <w:p w14:paraId="7960E042">
                  <w:pPr>
                    <w:jc w:val="center"/>
                    <w:rPr>
                      <w:szCs w:val="21"/>
                    </w:rPr>
                  </w:pPr>
                  <w:r>
                    <w:rPr>
                      <w:szCs w:val="21"/>
                    </w:rPr>
                    <w:t>浅黄色至黄色，有绿色荧光的稠厚性油状液体</w:t>
                  </w:r>
                </w:p>
              </w:tc>
            </w:tr>
            <w:tr w14:paraId="510DE2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3616AFE8">
                  <w:pPr>
                    <w:widowControl/>
                    <w:jc w:val="left"/>
                    <w:rPr>
                      <w:szCs w:val="21"/>
                    </w:rPr>
                  </w:pPr>
                </w:p>
              </w:tc>
              <w:tc>
                <w:tcPr>
                  <w:tcW w:w="1105" w:type="pct"/>
                  <w:vAlign w:val="center"/>
                </w:tcPr>
                <w:p w14:paraId="7A4FA1B7">
                  <w:pPr>
                    <w:jc w:val="center"/>
                    <w:rPr>
                      <w:szCs w:val="21"/>
                    </w:rPr>
                  </w:pPr>
                  <w:r>
                    <w:rPr>
                      <w:szCs w:val="21"/>
                    </w:rPr>
                    <w:t>相对密度</w:t>
                  </w:r>
                </w:p>
              </w:tc>
              <w:tc>
                <w:tcPr>
                  <w:tcW w:w="3499" w:type="pct"/>
                  <w:gridSpan w:val="5"/>
                  <w:vAlign w:val="center"/>
                </w:tcPr>
                <w:p w14:paraId="2C5F6472">
                  <w:pPr>
                    <w:jc w:val="center"/>
                    <w:rPr>
                      <w:szCs w:val="21"/>
                    </w:rPr>
                  </w:pPr>
                  <w:r>
                    <w:rPr>
                      <w:szCs w:val="21"/>
                    </w:rPr>
                    <w:t>（水=1）0.780-0.970（空气=1）&gt;1.0</w:t>
                  </w:r>
                </w:p>
              </w:tc>
            </w:tr>
            <w:tr w14:paraId="75820D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2A2F96E5">
                  <w:pPr>
                    <w:widowControl/>
                    <w:jc w:val="left"/>
                    <w:rPr>
                      <w:szCs w:val="21"/>
                    </w:rPr>
                  </w:pPr>
                </w:p>
              </w:tc>
              <w:tc>
                <w:tcPr>
                  <w:tcW w:w="1105" w:type="pct"/>
                  <w:vAlign w:val="center"/>
                </w:tcPr>
                <w:p w14:paraId="24382BF6">
                  <w:pPr>
                    <w:jc w:val="center"/>
                    <w:rPr>
                      <w:szCs w:val="21"/>
                    </w:rPr>
                  </w:pPr>
                  <w:r>
                    <w:rPr>
                      <w:szCs w:val="21"/>
                    </w:rPr>
                    <w:t>熔（凝固）点：℃</w:t>
                  </w:r>
                </w:p>
              </w:tc>
              <w:tc>
                <w:tcPr>
                  <w:tcW w:w="1204" w:type="pct"/>
                  <w:vAlign w:val="center"/>
                </w:tcPr>
                <w:p w14:paraId="14EB4EAF">
                  <w:pPr>
                    <w:jc w:val="center"/>
                    <w:rPr>
                      <w:szCs w:val="21"/>
                    </w:rPr>
                  </w:pPr>
                  <w:r>
                    <w:rPr>
                      <w:szCs w:val="21"/>
                    </w:rPr>
                    <w:t>-60℃</w:t>
                  </w:r>
                </w:p>
              </w:tc>
              <w:tc>
                <w:tcPr>
                  <w:tcW w:w="938" w:type="pct"/>
                  <w:gridSpan w:val="2"/>
                  <w:vAlign w:val="center"/>
                </w:tcPr>
                <w:p w14:paraId="00FE89C4">
                  <w:pPr>
                    <w:jc w:val="center"/>
                    <w:rPr>
                      <w:szCs w:val="21"/>
                    </w:rPr>
                  </w:pPr>
                  <w:r>
                    <w:rPr>
                      <w:szCs w:val="21"/>
                    </w:rPr>
                    <w:t>沸点</w:t>
                  </w:r>
                  <w:r>
                    <w:rPr>
                      <w:rFonts w:hint="eastAsia"/>
                      <w:szCs w:val="21"/>
                    </w:rPr>
                    <w:t>：</w:t>
                  </w:r>
                  <w:r>
                    <w:rPr>
                      <w:szCs w:val="21"/>
                    </w:rPr>
                    <w:t>℃</w:t>
                  </w:r>
                </w:p>
              </w:tc>
              <w:tc>
                <w:tcPr>
                  <w:tcW w:w="1358" w:type="pct"/>
                  <w:gridSpan w:val="2"/>
                  <w:vAlign w:val="center"/>
                </w:tcPr>
                <w:p w14:paraId="232F0BFB">
                  <w:pPr>
                    <w:jc w:val="center"/>
                    <w:rPr>
                      <w:szCs w:val="21"/>
                    </w:rPr>
                  </w:pPr>
                  <w:r>
                    <w:rPr>
                      <w:szCs w:val="21"/>
                    </w:rPr>
                    <w:t>自常温至500℃以上</w:t>
                  </w:r>
                </w:p>
              </w:tc>
            </w:tr>
            <w:tr w14:paraId="239884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31E25B96">
                  <w:pPr>
                    <w:widowControl/>
                    <w:jc w:val="left"/>
                    <w:rPr>
                      <w:szCs w:val="21"/>
                    </w:rPr>
                  </w:pPr>
                </w:p>
              </w:tc>
              <w:tc>
                <w:tcPr>
                  <w:tcW w:w="1105" w:type="pct"/>
                  <w:vAlign w:val="center"/>
                </w:tcPr>
                <w:p w14:paraId="259F2CC8">
                  <w:pPr>
                    <w:jc w:val="center"/>
                    <w:rPr>
                      <w:szCs w:val="21"/>
                    </w:rPr>
                  </w:pPr>
                  <w:r>
                    <w:rPr>
                      <w:szCs w:val="21"/>
                    </w:rPr>
                    <w:t>溶解性</w:t>
                  </w:r>
                </w:p>
              </w:tc>
              <w:tc>
                <w:tcPr>
                  <w:tcW w:w="3499" w:type="pct"/>
                  <w:gridSpan w:val="5"/>
                  <w:vAlign w:val="center"/>
                </w:tcPr>
                <w:p w14:paraId="1DE95423">
                  <w:pPr>
                    <w:jc w:val="center"/>
                    <w:rPr>
                      <w:szCs w:val="21"/>
                    </w:rPr>
                  </w:pPr>
                  <w:r>
                    <w:rPr>
                      <w:szCs w:val="21"/>
                    </w:rPr>
                    <w:t>不溶于水，溶于多数有机溶剂</w:t>
                  </w:r>
                </w:p>
              </w:tc>
            </w:tr>
            <w:tr w14:paraId="626A54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restart"/>
                  <w:vAlign w:val="center"/>
                </w:tcPr>
                <w:p w14:paraId="78733A50">
                  <w:pPr>
                    <w:jc w:val="center"/>
                    <w:rPr>
                      <w:szCs w:val="21"/>
                    </w:rPr>
                  </w:pPr>
                  <w:r>
                    <w:rPr>
                      <w:szCs w:val="21"/>
                    </w:rPr>
                    <w:t>燃烧爆炸危险性</w:t>
                  </w:r>
                </w:p>
              </w:tc>
              <w:tc>
                <w:tcPr>
                  <w:tcW w:w="1105" w:type="pct"/>
                  <w:vAlign w:val="center"/>
                </w:tcPr>
                <w:p w14:paraId="19C06988">
                  <w:pPr>
                    <w:jc w:val="center"/>
                    <w:rPr>
                      <w:szCs w:val="21"/>
                    </w:rPr>
                  </w:pPr>
                  <w:r>
                    <w:rPr>
                      <w:szCs w:val="21"/>
                    </w:rPr>
                    <w:t>燃烧性</w:t>
                  </w:r>
                </w:p>
              </w:tc>
              <w:tc>
                <w:tcPr>
                  <w:tcW w:w="1204" w:type="pct"/>
                  <w:vAlign w:val="center"/>
                </w:tcPr>
                <w:p w14:paraId="33F1452A">
                  <w:pPr>
                    <w:jc w:val="center"/>
                    <w:rPr>
                      <w:szCs w:val="21"/>
                    </w:rPr>
                  </w:pPr>
                  <w:r>
                    <w:rPr>
                      <w:szCs w:val="21"/>
                    </w:rPr>
                    <w:t>易燃</w:t>
                  </w:r>
                </w:p>
              </w:tc>
              <w:tc>
                <w:tcPr>
                  <w:tcW w:w="966" w:type="pct"/>
                  <w:gridSpan w:val="3"/>
                  <w:vAlign w:val="center"/>
                </w:tcPr>
                <w:p w14:paraId="24EED86B">
                  <w:pPr>
                    <w:jc w:val="center"/>
                    <w:rPr>
                      <w:szCs w:val="21"/>
                    </w:rPr>
                  </w:pPr>
                  <w:r>
                    <w:rPr>
                      <w:szCs w:val="21"/>
                    </w:rPr>
                    <w:t>闪点（℃）</w:t>
                  </w:r>
                </w:p>
              </w:tc>
              <w:tc>
                <w:tcPr>
                  <w:tcW w:w="1330" w:type="pct"/>
                  <w:vAlign w:val="center"/>
                </w:tcPr>
                <w:p w14:paraId="5E3CF6FF">
                  <w:pPr>
                    <w:jc w:val="center"/>
                    <w:rPr>
                      <w:szCs w:val="21"/>
                    </w:rPr>
                  </w:pPr>
                  <w:r>
                    <w:rPr>
                      <w:szCs w:val="21"/>
                    </w:rPr>
                    <w:t>-6.7～32.2℃</w:t>
                  </w:r>
                </w:p>
              </w:tc>
            </w:tr>
            <w:tr w14:paraId="4CD19A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3B182E0F">
                  <w:pPr>
                    <w:widowControl/>
                    <w:jc w:val="left"/>
                    <w:rPr>
                      <w:szCs w:val="21"/>
                    </w:rPr>
                  </w:pPr>
                </w:p>
              </w:tc>
              <w:tc>
                <w:tcPr>
                  <w:tcW w:w="1105" w:type="pct"/>
                  <w:vAlign w:val="center"/>
                </w:tcPr>
                <w:p w14:paraId="0FE67B7F">
                  <w:pPr>
                    <w:jc w:val="center"/>
                    <w:rPr>
                      <w:szCs w:val="21"/>
                    </w:rPr>
                  </w:pPr>
                  <w:r>
                    <w:rPr>
                      <w:szCs w:val="21"/>
                    </w:rPr>
                    <w:t>火灾危险类别</w:t>
                  </w:r>
                </w:p>
              </w:tc>
              <w:tc>
                <w:tcPr>
                  <w:tcW w:w="1204" w:type="pct"/>
                  <w:vAlign w:val="center"/>
                </w:tcPr>
                <w:p w14:paraId="3CAAC5BE">
                  <w:pPr>
                    <w:jc w:val="center"/>
                    <w:rPr>
                      <w:szCs w:val="21"/>
                    </w:rPr>
                  </w:pPr>
                  <w:r>
                    <w:rPr>
                      <w:szCs w:val="21"/>
                    </w:rPr>
                    <w:t>甲B</w:t>
                  </w:r>
                </w:p>
              </w:tc>
              <w:tc>
                <w:tcPr>
                  <w:tcW w:w="966" w:type="pct"/>
                  <w:gridSpan w:val="3"/>
                  <w:vAlign w:val="center"/>
                </w:tcPr>
                <w:p w14:paraId="3753B19D">
                  <w:pPr>
                    <w:jc w:val="center"/>
                    <w:rPr>
                      <w:szCs w:val="21"/>
                    </w:rPr>
                  </w:pPr>
                  <w:r>
                    <w:rPr>
                      <w:szCs w:val="21"/>
                    </w:rPr>
                    <w:t>自燃温度（℃）</w:t>
                  </w:r>
                </w:p>
              </w:tc>
              <w:tc>
                <w:tcPr>
                  <w:tcW w:w="1330" w:type="pct"/>
                  <w:vAlign w:val="center"/>
                </w:tcPr>
                <w:p w14:paraId="276E346E">
                  <w:pPr>
                    <w:jc w:val="center"/>
                    <w:rPr>
                      <w:szCs w:val="21"/>
                    </w:rPr>
                  </w:pPr>
                  <w:r>
                    <w:rPr>
                      <w:szCs w:val="21"/>
                    </w:rPr>
                    <w:t>约350</w:t>
                  </w:r>
                </w:p>
              </w:tc>
            </w:tr>
            <w:tr w14:paraId="5D79BB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419E089F">
                  <w:pPr>
                    <w:widowControl/>
                    <w:jc w:val="left"/>
                    <w:rPr>
                      <w:szCs w:val="21"/>
                    </w:rPr>
                  </w:pPr>
                </w:p>
              </w:tc>
              <w:tc>
                <w:tcPr>
                  <w:tcW w:w="1105" w:type="pct"/>
                  <w:vAlign w:val="center"/>
                </w:tcPr>
                <w:p w14:paraId="75A67705">
                  <w:pPr>
                    <w:jc w:val="center"/>
                    <w:rPr>
                      <w:szCs w:val="21"/>
                    </w:rPr>
                  </w:pPr>
                  <w:r>
                    <w:rPr>
                      <w:szCs w:val="21"/>
                    </w:rPr>
                    <w:t>爆炸下限（V%）</w:t>
                  </w:r>
                </w:p>
              </w:tc>
              <w:tc>
                <w:tcPr>
                  <w:tcW w:w="1204" w:type="pct"/>
                  <w:vAlign w:val="center"/>
                </w:tcPr>
                <w:p w14:paraId="4C31ADC0">
                  <w:pPr>
                    <w:jc w:val="center"/>
                    <w:rPr>
                      <w:szCs w:val="21"/>
                    </w:rPr>
                  </w:pPr>
                  <w:r>
                    <w:rPr>
                      <w:szCs w:val="21"/>
                    </w:rPr>
                    <w:t>1.1</w:t>
                  </w:r>
                </w:p>
              </w:tc>
              <w:tc>
                <w:tcPr>
                  <w:tcW w:w="966" w:type="pct"/>
                  <w:gridSpan w:val="3"/>
                  <w:tcMar>
                    <w:left w:w="0" w:type="dxa"/>
                    <w:right w:w="0" w:type="dxa"/>
                  </w:tcMar>
                  <w:vAlign w:val="center"/>
                </w:tcPr>
                <w:p w14:paraId="682B126C">
                  <w:pPr>
                    <w:jc w:val="center"/>
                    <w:rPr>
                      <w:szCs w:val="21"/>
                    </w:rPr>
                  </w:pPr>
                  <w:r>
                    <w:rPr>
                      <w:szCs w:val="21"/>
                    </w:rPr>
                    <w:t>爆炸上限（V%）</w:t>
                  </w:r>
                </w:p>
              </w:tc>
              <w:tc>
                <w:tcPr>
                  <w:tcW w:w="1330" w:type="pct"/>
                  <w:vAlign w:val="center"/>
                </w:tcPr>
                <w:p w14:paraId="31605F70">
                  <w:pPr>
                    <w:jc w:val="center"/>
                    <w:rPr>
                      <w:szCs w:val="21"/>
                    </w:rPr>
                  </w:pPr>
                  <w:r>
                    <w:rPr>
                      <w:szCs w:val="21"/>
                    </w:rPr>
                    <w:t>8.7</w:t>
                  </w:r>
                </w:p>
              </w:tc>
            </w:tr>
            <w:tr w14:paraId="4C0BBB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4D75CA68">
                  <w:pPr>
                    <w:widowControl/>
                    <w:jc w:val="left"/>
                    <w:rPr>
                      <w:szCs w:val="21"/>
                    </w:rPr>
                  </w:pPr>
                </w:p>
              </w:tc>
              <w:tc>
                <w:tcPr>
                  <w:tcW w:w="1105" w:type="pct"/>
                  <w:vAlign w:val="center"/>
                </w:tcPr>
                <w:p w14:paraId="5A7289C9">
                  <w:pPr>
                    <w:jc w:val="center"/>
                    <w:rPr>
                      <w:szCs w:val="21"/>
                    </w:rPr>
                  </w:pPr>
                  <w:r>
                    <w:rPr>
                      <w:szCs w:val="21"/>
                    </w:rPr>
                    <w:t>火灾危险类别</w:t>
                  </w:r>
                </w:p>
              </w:tc>
              <w:tc>
                <w:tcPr>
                  <w:tcW w:w="1204" w:type="pct"/>
                  <w:vAlign w:val="center"/>
                </w:tcPr>
                <w:p w14:paraId="734AB913">
                  <w:pPr>
                    <w:jc w:val="center"/>
                    <w:rPr>
                      <w:szCs w:val="21"/>
                    </w:rPr>
                  </w:pPr>
                  <w:r>
                    <w:rPr>
                      <w:szCs w:val="21"/>
                    </w:rPr>
                    <w:t>甲B</w:t>
                  </w:r>
                </w:p>
              </w:tc>
              <w:tc>
                <w:tcPr>
                  <w:tcW w:w="966" w:type="pct"/>
                  <w:gridSpan w:val="3"/>
                  <w:vAlign w:val="center"/>
                </w:tcPr>
                <w:p w14:paraId="1B9D3ED0">
                  <w:pPr>
                    <w:jc w:val="center"/>
                    <w:rPr>
                      <w:szCs w:val="21"/>
                    </w:rPr>
                  </w:pPr>
                  <w:r>
                    <w:rPr>
                      <w:szCs w:val="21"/>
                    </w:rPr>
                    <w:t>稳定性</w:t>
                  </w:r>
                </w:p>
              </w:tc>
              <w:tc>
                <w:tcPr>
                  <w:tcW w:w="1330" w:type="pct"/>
                  <w:vAlign w:val="center"/>
                </w:tcPr>
                <w:p w14:paraId="43C75D1A">
                  <w:pPr>
                    <w:jc w:val="center"/>
                    <w:rPr>
                      <w:szCs w:val="21"/>
                    </w:rPr>
                  </w:pPr>
                  <w:r>
                    <w:rPr>
                      <w:szCs w:val="21"/>
                    </w:rPr>
                    <w:t>稳定</w:t>
                  </w:r>
                </w:p>
              </w:tc>
            </w:tr>
            <w:tr w14:paraId="7CAC02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161BB86B">
                  <w:pPr>
                    <w:widowControl/>
                    <w:jc w:val="left"/>
                    <w:rPr>
                      <w:szCs w:val="21"/>
                    </w:rPr>
                  </w:pPr>
                </w:p>
              </w:tc>
              <w:tc>
                <w:tcPr>
                  <w:tcW w:w="1105" w:type="pct"/>
                  <w:vAlign w:val="center"/>
                </w:tcPr>
                <w:p w14:paraId="57F92C7F">
                  <w:pPr>
                    <w:jc w:val="center"/>
                    <w:rPr>
                      <w:szCs w:val="21"/>
                    </w:rPr>
                  </w:pPr>
                  <w:r>
                    <w:rPr>
                      <w:szCs w:val="21"/>
                    </w:rPr>
                    <w:t>禁忌物</w:t>
                  </w:r>
                </w:p>
              </w:tc>
              <w:tc>
                <w:tcPr>
                  <w:tcW w:w="1204" w:type="pct"/>
                  <w:tcMar>
                    <w:left w:w="28" w:type="dxa"/>
                    <w:right w:w="28" w:type="dxa"/>
                  </w:tcMar>
                  <w:vAlign w:val="center"/>
                </w:tcPr>
                <w:p w14:paraId="2CC76EEE">
                  <w:pPr>
                    <w:jc w:val="center"/>
                    <w:rPr>
                      <w:szCs w:val="21"/>
                    </w:rPr>
                  </w:pPr>
                  <w:r>
                    <w:rPr>
                      <w:szCs w:val="21"/>
                    </w:rPr>
                    <w:t>四氧化氮、强氧化剂</w:t>
                  </w:r>
                </w:p>
              </w:tc>
              <w:tc>
                <w:tcPr>
                  <w:tcW w:w="966" w:type="pct"/>
                  <w:gridSpan w:val="3"/>
                  <w:vAlign w:val="center"/>
                </w:tcPr>
                <w:p w14:paraId="16661787">
                  <w:pPr>
                    <w:jc w:val="center"/>
                    <w:rPr>
                      <w:szCs w:val="21"/>
                    </w:rPr>
                  </w:pPr>
                  <w:r>
                    <w:rPr>
                      <w:szCs w:val="21"/>
                    </w:rPr>
                    <w:t>聚合危害</w:t>
                  </w:r>
                </w:p>
              </w:tc>
              <w:tc>
                <w:tcPr>
                  <w:tcW w:w="1330" w:type="pct"/>
                  <w:vAlign w:val="center"/>
                </w:tcPr>
                <w:p w14:paraId="0C8DF567">
                  <w:pPr>
                    <w:jc w:val="center"/>
                    <w:rPr>
                      <w:szCs w:val="21"/>
                    </w:rPr>
                  </w:pPr>
                  <w:r>
                    <w:rPr>
                      <w:szCs w:val="21"/>
                    </w:rPr>
                    <w:t>不能出现</w:t>
                  </w:r>
                </w:p>
              </w:tc>
            </w:tr>
            <w:tr w14:paraId="15A308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758195FC">
                  <w:pPr>
                    <w:widowControl/>
                    <w:jc w:val="left"/>
                    <w:rPr>
                      <w:szCs w:val="21"/>
                    </w:rPr>
                  </w:pPr>
                </w:p>
              </w:tc>
              <w:tc>
                <w:tcPr>
                  <w:tcW w:w="1105" w:type="pct"/>
                  <w:vAlign w:val="center"/>
                </w:tcPr>
                <w:p w14:paraId="6D700735">
                  <w:pPr>
                    <w:jc w:val="center"/>
                    <w:rPr>
                      <w:szCs w:val="21"/>
                    </w:rPr>
                  </w:pPr>
                  <w:r>
                    <w:rPr>
                      <w:szCs w:val="21"/>
                    </w:rPr>
                    <w:t>危险性类别</w:t>
                  </w:r>
                </w:p>
              </w:tc>
              <w:tc>
                <w:tcPr>
                  <w:tcW w:w="3499" w:type="pct"/>
                  <w:gridSpan w:val="5"/>
                  <w:vAlign w:val="center"/>
                </w:tcPr>
                <w:p w14:paraId="4E5978DC">
                  <w:pPr>
                    <w:jc w:val="center"/>
                    <w:rPr>
                      <w:szCs w:val="21"/>
                    </w:rPr>
                  </w:pPr>
                  <w:r>
                    <w:rPr>
                      <w:szCs w:val="21"/>
                    </w:rPr>
                    <w:t>第3.2类 中闪点易燃液体</w:t>
                  </w:r>
                </w:p>
              </w:tc>
            </w:tr>
            <w:tr w14:paraId="4A242E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3097639A">
                  <w:pPr>
                    <w:widowControl/>
                    <w:jc w:val="left"/>
                    <w:rPr>
                      <w:szCs w:val="21"/>
                    </w:rPr>
                  </w:pPr>
                </w:p>
              </w:tc>
              <w:tc>
                <w:tcPr>
                  <w:tcW w:w="1105" w:type="pct"/>
                  <w:vAlign w:val="center"/>
                </w:tcPr>
                <w:p w14:paraId="3D52FBB9">
                  <w:pPr>
                    <w:jc w:val="center"/>
                    <w:rPr>
                      <w:szCs w:val="21"/>
                    </w:rPr>
                  </w:pPr>
                  <w:r>
                    <w:rPr>
                      <w:szCs w:val="21"/>
                    </w:rPr>
                    <w:t>危险特性</w:t>
                  </w:r>
                </w:p>
              </w:tc>
              <w:tc>
                <w:tcPr>
                  <w:tcW w:w="3499" w:type="pct"/>
                  <w:gridSpan w:val="5"/>
                  <w:vAlign w:val="center"/>
                </w:tcPr>
                <w:p w14:paraId="42F7D64F">
                  <w:pPr>
                    <w:rPr>
                      <w:szCs w:val="21"/>
                    </w:rPr>
                  </w:pPr>
                  <w:r>
                    <w:rPr>
                      <w:szCs w:val="21"/>
                    </w:rPr>
                    <w:t>其蒸气与空气形成爆炸性混合物，遇明火、高热能引起燃烧爆炸。与氧化剂能发生强烈反应。遇高热分解出有毒的烟雾。其燃烧、爆炸危险性与轻汽油相似。</w:t>
                  </w:r>
                </w:p>
              </w:tc>
            </w:tr>
            <w:tr w14:paraId="0E8082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35B8144F">
                  <w:pPr>
                    <w:widowControl/>
                    <w:jc w:val="left"/>
                    <w:rPr>
                      <w:szCs w:val="21"/>
                    </w:rPr>
                  </w:pPr>
                </w:p>
              </w:tc>
              <w:tc>
                <w:tcPr>
                  <w:tcW w:w="1105" w:type="pct"/>
                  <w:vAlign w:val="center"/>
                </w:tcPr>
                <w:p w14:paraId="3393F6C5">
                  <w:pPr>
                    <w:jc w:val="center"/>
                    <w:rPr>
                      <w:szCs w:val="21"/>
                    </w:rPr>
                  </w:pPr>
                  <w:r>
                    <w:rPr>
                      <w:szCs w:val="21"/>
                    </w:rPr>
                    <w:t>灭火方法</w:t>
                  </w:r>
                </w:p>
              </w:tc>
              <w:tc>
                <w:tcPr>
                  <w:tcW w:w="3499" w:type="pct"/>
                  <w:gridSpan w:val="5"/>
                  <w:vAlign w:val="center"/>
                </w:tcPr>
                <w:p w14:paraId="03C5C452">
                  <w:pPr>
                    <w:jc w:val="center"/>
                    <w:rPr>
                      <w:szCs w:val="21"/>
                    </w:rPr>
                  </w:pPr>
                  <w:r>
                    <w:rPr>
                      <w:szCs w:val="21"/>
                    </w:rPr>
                    <w:t>二氧化碳、干粉、泡沫。用水无效</w:t>
                  </w:r>
                </w:p>
              </w:tc>
            </w:tr>
            <w:tr w14:paraId="2326A5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restart"/>
                  <w:vAlign w:val="center"/>
                </w:tcPr>
                <w:p w14:paraId="6101990E">
                  <w:pPr>
                    <w:jc w:val="center"/>
                    <w:rPr>
                      <w:szCs w:val="21"/>
                    </w:rPr>
                  </w:pPr>
                  <w:r>
                    <w:rPr>
                      <w:szCs w:val="21"/>
                    </w:rPr>
                    <w:t>毒性及健康危害</w:t>
                  </w:r>
                </w:p>
              </w:tc>
              <w:tc>
                <w:tcPr>
                  <w:tcW w:w="2377" w:type="pct"/>
                  <w:gridSpan w:val="3"/>
                  <w:vAlign w:val="center"/>
                </w:tcPr>
                <w:p w14:paraId="16919D16">
                  <w:pPr>
                    <w:jc w:val="center"/>
                    <w:rPr>
                      <w:szCs w:val="21"/>
                    </w:rPr>
                  </w:pPr>
                  <w:r>
                    <w:rPr>
                      <w:szCs w:val="21"/>
                    </w:rPr>
                    <w:t>LC50：-</w:t>
                  </w:r>
                </w:p>
              </w:tc>
              <w:tc>
                <w:tcPr>
                  <w:tcW w:w="2228" w:type="pct"/>
                  <w:gridSpan w:val="3"/>
                  <w:vAlign w:val="center"/>
                </w:tcPr>
                <w:p w14:paraId="1AAD0C6B">
                  <w:pPr>
                    <w:jc w:val="center"/>
                    <w:rPr>
                      <w:szCs w:val="21"/>
                    </w:rPr>
                  </w:pPr>
                  <w:r>
                    <w:rPr>
                      <w:szCs w:val="21"/>
                    </w:rPr>
                    <w:t>IDLH：-</w:t>
                  </w:r>
                </w:p>
              </w:tc>
            </w:tr>
            <w:tr w14:paraId="6C6EE6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5C58D979">
                  <w:pPr>
                    <w:widowControl/>
                    <w:jc w:val="left"/>
                    <w:rPr>
                      <w:szCs w:val="21"/>
                    </w:rPr>
                  </w:pPr>
                </w:p>
              </w:tc>
              <w:tc>
                <w:tcPr>
                  <w:tcW w:w="2377" w:type="pct"/>
                  <w:gridSpan w:val="3"/>
                  <w:vAlign w:val="center"/>
                </w:tcPr>
                <w:p w14:paraId="562D61F1">
                  <w:pPr>
                    <w:jc w:val="center"/>
                    <w:rPr>
                      <w:szCs w:val="21"/>
                    </w:rPr>
                  </w:pPr>
                  <w:r>
                    <w:rPr>
                      <w:szCs w:val="21"/>
                    </w:rPr>
                    <w:t>MAC（mg/m</w:t>
                  </w:r>
                  <w:r>
                    <w:rPr>
                      <w:szCs w:val="21"/>
                      <w:vertAlign w:val="superscript"/>
                    </w:rPr>
                    <w:t>3</w:t>
                  </w:r>
                  <w:r>
                    <w:rPr>
                      <w:szCs w:val="21"/>
                    </w:rPr>
                    <w:t>）：未制订标准</w:t>
                  </w:r>
                </w:p>
              </w:tc>
              <w:tc>
                <w:tcPr>
                  <w:tcW w:w="2228" w:type="pct"/>
                  <w:gridSpan w:val="3"/>
                  <w:vAlign w:val="center"/>
                </w:tcPr>
                <w:p w14:paraId="69C69A4E">
                  <w:pPr>
                    <w:jc w:val="center"/>
                    <w:rPr>
                      <w:szCs w:val="21"/>
                    </w:rPr>
                  </w:pPr>
                  <w:r>
                    <w:rPr>
                      <w:szCs w:val="21"/>
                    </w:rPr>
                    <w:t>居民区：-</w:t>
                  </w:r>
                </w:p>
              </w:tc>
            </w:tr>
            <w:tr w14:paraId="69C1B6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39D8DB42">
                  <w:pPr>
                    <w:widowControl/>
                    <w:jc w:val="left"/>
                    <w:rPr>
                      <w:szCs w:val="21"/>
                    </w:rPr>
                  </w:pPr>
                </w:p>
              </w:tc>
              <w:tc>
                <w:tcPr>
                  <w:tcW w:w="1105" w:type="pct"/>
                  <w:vAlign w:val="center"/>
                </w:tcPr>
                <w:p w14:paraId="5C16AF8B">
                  <w:pPr>
                    <w:jc w:val="center"/>
                    <w:rPr>
                      <w:szCs w:val="21"/>
                    </w:rPr>
                  </w:pPr>
                  <w:r>
                    <w:rPr>
                      <w:szCs w:val="21"/>
                    </w:rPr>
                    <w:t>侵入途径</w:t>
                  </w:r>
                </w:p>
              </w:tc>
              <w:tc>
                <w:tcPr>
                  <w:tcW w:w="3499" w:type="pct"/>
                  <w:gridSpan w:val="5"/>
                  <w:vAlign w:val="center"/>
                </w:tcPr>
                <w:p w14:paraId="4E1A2683">
                  <w:pPr>
                    <w:jc w:val="center"/>
                    <w:rPr>
                      <w:szCs w:val="21"/>
                    </w:rPr>
                  </w:pPr>
                  <w:r>
                    <w:rPr>
                      <w:szCs w:val="21"/>
                    </w:rPr>
                    <w:t>吸入、食入、皮肤</w:t>
                  </w:r>
                </w:p>
              </w:tc>
            </w:tr>
            <w:tr w14:paraId="6466B7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7FBB2E57">
                  <w:pPr>
                    <w:widowControl/>
                    <w:jc w:val="left"/>
                    <w:rPr>
                      <w:szCs w:val="21"/>
                    </w:rPr>
                  </w:pPr>
                </w:p>
              </w:tc>
              <w:tc>
                <w:tcPr>
                  <w:tcW w:w="1105" w:type="pct"/>
                  <w:vAlign w:val="center"/>
                </w:tcPr>
                <w:p w14:paraId="1F7891CD">
                  <w:pPr>
                    <w:jc w:val="center"/>
                    <w:rPr>
                      <w:szCs w:val="21"/>
                    </w:rPr>
                  </w:pPr>
                  <w:r>
                    <w:rPr>
                      <w:szCs w:val="21"/>
                    </w:rPr>
                    <w:t>毒性</w:t>
                  </w:r>
                </w:p>
              </w:tc>
              <w:tc>
                <w:tcPr>
                  <w:tcW w:w="3499" w:type="pct"/>
                  <w:gridSpan w:val="5"/>
                  <w:vAlign w:val="center"/>
                </w:tcPr>
                <w:p w14:paraId="31045F99">
                  <w:pPr>
                    <w:jc w:val="center"/>
                    <w:rPr>
                      <w:szCs w:val="21"/>
                    </w:rPr>
                  </w:pPr>
                  <w:r>
                    <w:rPr>
                      <w:szCs w:val="21"/>
                    </w:rPr>
                    <w:t>原油本身无明显毒性。</w:t>
                  </w:r>
                </w:p>
              </w:tc>
            </w:tr>
            <w:tr w14:paraId="23DE34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Merge w:val="continue"/>
                  <w:vAlign w:val="center"/>
                </w:tcPr>
                <w:p w14:paraId="1AE5A61B">
                  <w:pPr>
                    <w:widowControl/>
                    <w:jc w:val="left"/>
                    <w:rPr>
                      <w:szCs w:val="21"/>
                    </w:rPr>
                  </w:pPr>
                </w:p>
              </w:tc>
              <w:tc>
                <w:tcPr>
                  <w:tcW w:w="1105" w:type="pct"/>
                  <w:vAlign w:val="center"/>
                </w:tcPr>
                <w:p w14:paraId="55AF9B29">
                  <w:pPr>
                    <w:jc w:val="center"/>
                    <w:rPr>
                      <w:szCs w:val="21"/>
                    </w:rPr>
                  </w:pPr>
                  <w:r>
                    <w:rPr>
                      <w:szCs w:val="21"/>
                    </w:rPr>
                    <w:t>健康危害</w:t>
                  </w:r>
                </w:p>
              </w:tc>
              <w:tc>
                <w:tcPr>
                  <w:tcW w:w="3499" w:type="pct"/>
                  <w:gridSpan w:val="5"/>
                  <w:vAlign w:val="center"/>
                </w:tcPr>
                <w:p w14:paraId="2136EF64">
                  <w:pPr>
                    <w:rPr>
                      <w:szCs w:val="21"/>
                    </w:rPr>
                  </w:pPr>
                  <w:r>
                    <w:rPr>
                      <w:szCs w:val="21"/>
                    </w:rPr>
                    <w:t>刺激眼睛和皮肤，导致皮肤红肿、干燥和皮炎，食入将引发恶心、呕吐和腹泻，影响中枢神经系统，表现为兴奋，继而引发头痛、眼花、困倦及恶心，更严重者将精神崩溃、失去意识、陷入昏迷，甚至由于呼吸系统衰竭导致死亡。吸入高浓度蒸气将影响中枢神经系统肺损伤，引发恶心、头痛、眼花至昏迷。</w:t>
                  </w:r>
                </w:p>
              </w:tc>
            </w:tr>
            <w:tr w14:paraId="482CAC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Align w:val="center"/>
                </w:tcPr>
                <w:p w14:paraId="62038D2E">
                  <w:pPr>
                    <w:jc w:val="center"/>
                    <w:rPr>
                      <w:szCs w:val="21"/>
                    </w:rPr>
                  </w:pPr>
                  <w:r>
                    <w:rPr>
                      <w:szCs w:val="21"/>
                    </w:rPr>
                    <w:t>急救措施</w:t>
                  </w:r>
                </w:p>
              </w:tc>
              <w:tc>
                <w:tcPr>
                  <w:tcW w:w="1000" w:type="pct"/>
                  <w:gridSpan w:val="6"/>
                  <w:vAlign w:val="center"/>
                </w:tcPr>
                <w:p w14:paraId="15A99E72">
                  <w:pPr>
                    <w:rPr>
                      <w:szCs w:val="21"/>
                    </w:rPr>
                  </w:pPr>
                  <w:r>
                    <w:rPr>
                      <w:szCs w:val="21"/>
                    </w:rPr>
                    <w:t>皮肤接触：脱去污染的衣着，按用大量水冲洗皮肤至少15分钟。就医。</w:t>
                  </w:r>
                </w:p>
                <w:p w14:paraId="76020B27">
                  <w:pPr>
                    <w:rPr>
                      <w:szCs w:val="21"/>
                    </w:rPr>
                  </w:pPr>
                  <w:r>
                    <w:rPr>
                      <w:szCs w:val="21"/>
                    </w:rPr>
                    <w:t>眼睛接触：立即提起眼睑用大量水冲洗眼睛，至少15分钟。就医。</w:t>
                  </w:r>
                </w:p>
                <w:p w14:paraId="02E3769E">
                  <w:pPr>
                    <w:rPr>
                      <w:szCs w:val="21"/>
                    </w:rPr>
                  </w:pPr>
                  <w:r>
                    <w:rPr>
                      <w:szCs w:val="21"/>
                    </w:rPr>
                    <w:t>吸入：迅速撤离现场到空气新鲜处；如呼吸停止，进行人工呼吸；如呼吸困难，给输氧（如有适当的解毒剂，立即服用）。就医。</w:t>
                  </w:r>
                </w:p>
                <w:p w14:paraId="13EC397F">
                  <w:pPr>
                    <w:rPr>
                      <w:szCs w:val="21"/>
                    </w:rPr>
                  </w:pPr>
                  <w:r>
                    <w:rPr>
                      <w:szCs w:val="21"/>
                    </w:rPr>
                    <w:t>食入：误服者立即漱口，饮足量温水，尽快洗胃。就医。</w:t>
                  </w:r>
                </w:p>
              </w:tc>
            </w:tr>
            <w:tr w14:paraId="335A52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Align w:val="center"/>
                </w:tcPr>
                <w:p w14:paraId="430CB060">
                  <w:pPr>
                    <w:jc w:val="center"/>
                    <w:rPr>
                      <w:szCs w:val="21"/>
                    </w:rPr>
                  </w:pPr>
                  <w:r>
                    <w:rPr>
                      <w:szCs w:val="21"/>
                    </w:rPr>
                    <w:t>泄漏应急处理</w:t>
                  </w:r>
                </w:p>
              </w:tc>
              <w:tc>
                <w:tcPr>
                  <w:tcW w:w="1000" w:type="pct"/>
                  <w:gridSpan w:val="6"/>
                  <w:vAlign w:val="center"/>
                </w:tcPr>
                <w:p w14:paraId="330C7467">
                  <w:pPr>
                    <w:rPr>
                      <w:szCs w:val="21"/>
                    </w:rPr>
                  </w:pPr>
                  <w:r>
                    <w:rPr>
                      <w:szCs w:val="21"/>
                    </w:rPr>
                    <w:t>疏散泄漏污染区人员至安全区，禁止无关人员进入污染区，切断火源。应急处理人员戴自给式呼吸器，穿一般消防防护服。在确保安全情况下堵漏。喷水雾可减少蒸发。用活性炭或其他惰性材料吸收，然后收集运至废物处理场所。也可以用大量水冲洗，经稀释的洗液放入放心水系统。如大量泄漏，利用围堤收容，然后收集、转移、回收或无害处理后废弃</w:t>
                  </w:r>
                </w:p>
              </w:tc>
            </w:tr>
            <w:tr w14:paraId="4C6B9D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Align w:val="center"/>
                </w:tcPr>
                <w:p w14:paraId="1644B5C1">
                  <w:pPr>
                    <w:jc w:val="center"/>
                    <w:rPr>
                      <w:szCs w:val="21"/>
                    </w:rPr>
                  </w:pPr>
                  <w:r>
                    <w:rPr>
                      <w:szCs w:val="21"/>
                    </w:rPr>
                    <w:t>储存注意事项</w:t>
                  </w:r>
                </w:p>
              </w:tc>
              <w:tc>
                <w:tcPr>
                  <w:tcW w:w="1000" w:type="pct"/>
                  <w:gridSpan w:val="6"/>
                  <w:vAlign w:val="center"/>
                </w:tcPr>
                <w:p w14:paraId="7DD60E46">
                  <w:pPr>
                    <w:rPr>
                      <w:szCs w:val="21"/>
                    </w:rPr>
                  </w:pPr>
                  <w:r>
                    <w:rPr>
                      <w:szCs w:val="21"/>
                    </w:rPr>
                    <w:t>储运于阴凉、通风仓间内。远离火种、热源。仓温不宜超过30℃。防止阳光直射。保持容器密封。储存间内的照明、通风等设施应采用防爆型。配备相应品种和数量的消防器材。罐储时要有防火防爆技术措施。禁止使用易产生火花的机械设备和工具。灌装时注意流速（不超过3m/s），且有接地装置，防止静电积聚。搬运时要轻装轻卸，防止包装及容器损坏。</w:t>
                  </w:r>
                </w:p>
              </w:tc>
            </w:tr>
            <w:tr w14:paraId="3737AA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95" w:type="pct"/>
                  <w:vAlign w:val="center"/>
                </w:tcPr>
                <w:p w14:paraId="69473DEE">
                  <w:pPr>
                    <w:jc w:val="center"/>
                    <w:rPr>
                      <w:szCs w:val="21"/>
                    </w:rPr>
                  </w:pPr>
                  <w:r>
                    <w:rPr>
                      <w:szCs w:val="21"/>
                    </w:rPr>
                    <w:t>防护措施</w:t>
                  </w:r>
                </w:p>
              </w:tc>
              <w:tc>
                <w:tcPr>
                  <w:tcW w:w="1000" w:type="pct"/>
                  <w:gridSpan w:val="6"/>
                  <w:vAlign w:val="center"/>
                </w:tcPr>
                <w:p w14:paraId="09FF9334">
                  <w:pPr>
                    <w:rPr>
                      <w:szCs w:val="21"/>
                    </w:rPr>
                  </w:pPr>
                  <w:r>
                    <w:rPr>
                      <w:szCs w:val="21"/>
                    </w:rPr>
                    <w:t>工程控制：采用通风装置。</w:t>
                  </w:r>
                </w:p>
                <w:p w14:paraId="53C9A88D">
                  <w:pPr>
                    <w:rPr>
                      <w:szCs w:val="21"/>
                    </w:rPr>
                  </w:pPr>
                  <w:r>
                    <w:rPr>
                      <w:szCs w:val="21"/>
                    </w:rPr>
                    <w:t>呼吸系统防护：高浓度环境中，应该佩戴防毒口罩，紧急事态抢救或撤离时，建议佩戴自给式呼吸器</w:t>
                  </w:r>
                </w:p>
                <w:p w14:paraId="0735EDE0">
                  <w:pPr>
                    <w:rPr>
                      <w:szCs w:val="21"/>
                    </w:rPr>
                  </w:pPr>
                  <w:r>
                    <w:rPr>
                      <w:szCs w:val="21"/>
                    </w:rPr>
                    <w:t>眼睛防护：化学安全防护眼镜</w:t>
                  </w:r>
                </w:p>
                <w:p w14:paraId="7540D378">
                  <w:pPr>
                    <w:rPr>
                      <w:szCs w:val="21"/>
                    </w:rPr>
                  </w:pPr>
                  <w:r>
                    <w:rPr>
                      <w:szCs w:val="21"/>
                    </w:rPr>
                    <w:t>身体防护：橡胶工作服</w:t>
                  </w:r>
                </w:p>
                <w:p w14:paraId="3C6CF78C">
                  <w:pPr>
                    <w:rPr>
                      <w:szCs w:val="21"/>
                    </w:rPr>
                  </w:pPr>
                  <w:r>
                    <w:rPr>
                      <w:szCs w:val="21"/>
                    </w:rPr>
                    <w:t>手防护：防护手套。</w:t>
                  </w:r>
                </w:p>
                <w:p w14:paraId="24CE16FF">
                  <w:pPr>
                    <w:rPr>
                      <w:szCs w:val="21"/>
                    </w:rPr>
                  </w:pPr>
                  <w:r>
                    <w:rPr>
                      <w:szCs w:val="21"/>
                    </w:rPr>
                    <w:t>其他：工作后，沐浴更衣。注意个人清洁卫生。</w:t>
                  </w:r>
                </w:p>
              </w:tc>
            </w:tr>
          </w:tbl>
          <w:p w14:paraId="30F56F6D">
            <w:pPr>
              <w:autoSpaceDE w:val="0"/>
              <w:autoSpaceDN w:val="0"/>
              <w:adjustRightInd w:val="0"/>
              <w:ind w:firstLine="482" w:firstLineChars="200"/>
              <w:jc w:val="center"/>
              <w:rPr>
                <w:b/>
                <w:kern w:val="0"/>
                <w:sz w:val="24"/>
              </w:rPr>
            </w:pPr>
            <w:r>
              <w:rPr>
                <w:b/>
                <w:kern w:val="0"/>
                <w:sz w:val="24"/>
              </w:rPr>
              <w:t>表</w:t>
            </w:r>
            <w:r>
              <w:rPr>
                <w:rFonts w:hint="eastAsia"/>
                <w:b/>
                <w:kern w:val="0"/>
                <w:sz w:val="24"/>
              </w:rPr>
              <w:t>4</w:t>
            </w:r>
            <w:r>
              <w:rPr>
                <w:b/>
                <w:kern w:val="0"/>
                <w:sz w:val="24"/>
              </w:rPr>
              <w:t>-</w:t>
            </w:r>
            <w:r>
              <w:rPr>
                <w:rFonts w:hint="eastAsia"/>
                <w:b/>
                <w:kern w:val="0"/>
                <w:sz w:val="24"/>
              </w:rPr>
              <w:t>15</w:t>
            </w:r>
            <w:r>
              <w:rPr>
                <w:b/>
                <w:kern w:val="0"/>
                <w:sz w:val="24"/>
              </w:rPr>
              <w:t xml:space="preserve"> 柴油理化性质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62"/>
              <w:gridCol w:w="1893"/>
              <w:gridCol w:w="2083"/>
              <w:gridCol w:w="116"/>
              <w:gridCol w:w="1669"/>
              <w:gridCol w:w="1772"/>
            </w:tblGrid>
            <w:tr w14:paraId="43A5DC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restart"/>
                  <w:vAlign w:val="center"/>
                </w:tcPr>
                <w:p w14:paraId="6313DFCE">
                  <w:pPr>
                    <w:jc w:val="center"/>
                    <w:rPr>
                      <w:szCs w:val="21"/>
                    </w:rPr>
                  </w:pPr>
                  <w:r>
                    <w:t>标识</w:t>
                  </w:r>
                </w:p>
              </w:tc>
              <w:tc>
                <w:tcPr>
                  <w:tcW w:w="1155" w:type="pct"/>
                  <w:vAlign w:val="center"/>
                </w:tcPr>
                <w:p w14:paraId="7C5F2BA5">
                  <w:pPr>
                    <w:jc w:val="center"/>
                    <w:rPr>
                      <w:szCs w:val="21"/>
                    </w:rPr>
                  </w:pPr>
                  <w:r>
                    <w:t>中文名</w:t>
                  </w:r>
                </w:p>
              </w:tc>
              <w:tc>
                <w:tcPr>
                  <w:tcW w:w="1271" w:type="pct"/>
                  <w:vAlign w:val="center"/>
                </w:tcPr>
                <w:p w14:paraId="77D61E22">
                  <w:pPr>
                    <w:jc w:val="center"/>
                    <w:rPr>
                      <w:szCs w:val="21"/>
                    </w:rPr>
                  </w:pPr>
                  <w:r>
                    <w:t>柴油</w:t>
                  </w:r>
                </w:p>
              </w:tc>
              <w:tc>
                <w:tcPr>
                  <w:tcW w:w="1089" w:type="pct"/>
                  <w:gridSpan w:val="2"/>
                  <w:vAlign w:val="center"/>
                </w:tcPr>
                <w:p w14:paraId="3779DC09">
                  <w:pPr>
                    <w:jc w:val="center"/>
                    <w:rPr>
                      <w:szCs w:val="21"/>
                    </w:rPr>
                  </w:pPr>
                  <w:r>
                    <w:t>英文名</w:t>
                  </w:r>
                </w:p>
              </w:tc>
              <w:tc>
                <w:tcPr>
                  <w:tcW w:w="1081" w:type="pct"/>
                  <w:vAlign w:val="center"/>
                </w:tcPr>
                <w:p w14:paraId="5D90D0C9">
                  <w:pPr>
                    <w:jc w:val="center"/>
                  </w:pPr>
                  <w:r>
                    <w:t>Diesel oil；</w:t>
                  </w:r>
                </w:p>
                <w:p w14:paraId="705224DD">
                  <w:pPr>
                    <w:jc w:val="center"/>
                    <w:rPr>
                      <w:szCs w:val="21"/>
                    </w:rPr>
                  </w:pPr>
                  <w:r>
                    <w:t>Diesel fuel</w:t>
                  </w:r>
                </w:p>
              </w:tc>
            </w:tr>
            <w:tr w14:paraId="589E3D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264CB8E1">
                  <w:pPr>
                    <w:widowControl/>
                    <w:jc w:val="left"/>
                    <w:rPr>
                      <w:szCs w:val="21"/>
                    </w:rPr>
                  </w:pPr>
                </w:p>
              </w:tc>
              <w:tc>
                <w:tcPr>
                  <w:tcW w:w="1155" w:type="pct"/>
                  <w:vAlign w:val="center"/>
                </w:tcPr>
                <w:p w14:paraId="7989C2C5">
                  <w:pPr>
                    <w:jc w:val="center"/>
                    <w:rPr>
                      <w:szCs w:val="21"/>
                    </w:rPr>
                  </w:pPr>
                  <w:r>
                    <w:t>危险货物编号</w:t>
                  </w:r>
                </w:p>
              </w:tc>
              <w:tc>
                <w:tcPr>
                  <w:tcW w:w="1271" w:type="pct"/>
                  <w:vAlign w:val="center"/>
                </w:tcPr>
                <w:p w14:paraId="6DE1D079">
                  <w:pPr>
                    <w:jc w:val="center"/>
                    <w:rPr>
                      <w:szCs w:val="21"/>
                    </w:rPr>
                  </w:pPr>
                  <w:r>
                    <w:t>T33502</w:t>
                  </w:r>
                </w:p>
              </w:tc>
              <w:tc>
                <w:tcPr>
                  <w:tcW w:w="1089" w:type="pct"/>
                  <w:gridSpan w:val="2"/>
                  <w:vAlign w:val="center"/>
                </w:tcPr>
                <w:p w14:paraId="0271A9B0">
                  <w:pPr>
                    <w:jc w:val="center"/>
                    <w:rPr>
                      <w:szCs w:val="21"/>
                    </w:rPr>
                  </w:pPr>
                  <w:r>
                    <w:t>UN编号</w:t>
                  </w:r>
                </w:p>
              </w:tc>
              <w:tc>
                <w:tcPr>
                  <w:tcW w:w="1081" w:type="pct"/>
                  <w:vAlign w:val="center"/>
                </w:tcPr>
                <w:p w14:paraId="08420311">
                  <w:pPr>
                    <w:jc w:val="center"/>
                    <w:rPr>
                      <w:szCs w:val="21"/>
                    </w:rPr>
                  </w:pPr>
                  <w:r>
                    <w:t>1202</w:t>
                  </w:r>
                </w:p>
              </w:tc>
            </w:tr>
            <w:tr w14:paraId="47943F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03398B27">
                  <w:pPr>
                    <w:widowControl/>
                    <w:jc w:val="left"/>
                    <w:rPr>
                      <w:szCs w:val="21"/>
                    </w:rPr>
                  </w:pPr>
                </w:p>
              </w:tc>
              <w:tc>
                <w:tcPr>
                  <w:tcW w:w="1155" w:type="pct"/>
                  <w:vAlign w:val="center"/>
                </w:tcPr>
                <w:p w14:paraId="13340635">
                  <w:pPr>
                    <w:jc w:val="center"/>
                    <w:rPr>
                      <w:szCs w:val="21"/>
                    </w:rPr>
                  </w:pPr>
                  <w:r>
                    <w:t>RTECS号</w:t>
                  </w:r>
                </w:p>
              </w:tc>
              <w:tc>
                <w:tcPr>
                  <w:tcW w:w="1271" w:type="pct"/>
                  <w:vAlign w:val="center"/>
                </w:tcPr>
                <w:p w14:paraId="2C7176DC">
                  <w:pPr>
                    <w:jc w:val="center"/>
                    <w:rPr>
                      <w:szCs w:val="21"/>
                    </w:rPr>
                  </w:pPr>
                  <w:r>
                    <w:t>HZ1770000</w:t>
                  </w:r>
                </w:p>
              </w:tc>
              <w:tc>
                <w:tcPr>
                  <w:tcW w:w="1089" w:type="pct"/>
                  <w:gridSpan w:val="2"/>
                  <w:vAlign w:val="center"/>
                </w:tcPr>
                <w:p w14:paraId="41ACE5FF">
                  <w:pPr>
                    <w:jc w:val="center"/>
                    <w:rPr>
                      <w:szCs w:val="21"/>
                    </w:rPr>
                  </w:pPr>
                </w:p>
              </w:tc>
              <w:tc>
                <w:tcPr>
                  <w:tcW w:w="1081" w:type="pct"/>
                  <w:vAlign w:val="center"/>
                </w:tcPr>
                <w:p w14:paraId="59EDB259">
                  <w:pPr>
                    <w:jc w:val="center"/>
                    <w:rPr>
                      <w:szCs w:val="21"/>
                    </w:rPr>
                  </w:pPr>
                </w:p>
              </w:tc>
            </w:tr>
            <w:tr w14:paraId="3ACE5B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restart"/>
                  <w:vAlign w:val="center"/>
                </w:tcPr>
                <w:p w14:paraId="09661C3F">
                  <w:pPr>
                    <w:jc w:val="center"/>
                    <w:rPr>
                      <w:szCs w:val="21"/>
                    </w:rPr>
                  </w:pPr>
                  <w:r>
                    <w:t>理化</w:t>
                  </w:r>
                </w:p>
                <w:p w14:paraId="040D0A6E">
                  <w:pPr>
                    <w:jc w:val="center"/>
                    <w:rPr>
                      <w:szCs w:val="21"/>
                    </w:rPr>
                  </w:pPr>
                  <w:r>
                    <w:t>性质</w:t>
                  </w:r>
                </w:p>
              </w:tc>
              <w:tc>
                <w:tcPr>
                  <w:tcW w:w="1155" w:type="pct"/>
                  <w:vAlign w:val="center"/>
                </w:tcPr>
                <w:p w14:paraId="717A8079">
                  <w:pPr>
                    <w:jc w:val="center"/>
                    <w:rPr>
                      <w:szCs w:val="21"/>
                    </w:rPr>
                  </w:pPr>
                  <w:r>
                    <w:t>成分</w:t>
                  </w:r>
                </w:p>
              </w:tc>
              <w:tc>
                <w:tcPr>
                  <w:tcW w:w="1271" w:type="pct"/>
                  <w:vAlign w:val="center"/>
                </w:tcPr>
                <w:p w14:paraId="22C84EB0">
                  <w:pPr>
                    <w:jc w:val="center"/>
                    <w:rPr>
                      <w:szCs w:val="21"/>
                    </w:rPr>
                  </w:pPr>
                  <w:r>
                    <w:rPr>
                      <w:kern w:val="0"/>
                    </w:rPr>
                    <w:t>烷烃、芳烃、烯烃等</w:t>
                  </w:r>
                </w:p>
              </w:tc>
              <w:tc>
                <w:tcPr>
                  <w:tcW w:w="1089" w:type="pct"/>
                  <w:gridSpan w:val="2"/>
                  <w:vAlign w:val="center"/>
                </w:tcPr>
                <w:p w14:paraId="31B74A3D">
                  <w:pPr>
                    <w:jc w:val="center"/>
                    <w:rPr>
                      <w:szCs w:val="21"/>
                    </w:rPr>
                  </w:pPr>
                  <w:r>
                    <w:rPr>
                      <w:kern w:val="0"/>
                    </w:rPr>
                    <w:t>主要用途：</w:t>
                  </w:r>
                </w:p>
              </w:tc>
              <w:tc>
                <w:tcPr>
                  <w:tcW w:w="1081" w:type="pct"/>
                  <w:tcMar>
                    <w:left w:w="0" w:type="dxa"/>
                    <w:right w:w="0" w:type="dxa"/>
                  </w:tcMar>
                  <w:vAlign w:val="center"/>
                </w:tcPr>
                <w:p w14:paraId="4EE0FC4C">
                  <w:pPr>
                    <w:jc w:val="center"/>
                    <w:rPr>
                      <w:szCs w:val="21"/>
                    </w:rPr>
                  </w:pPr>
                  <w:r>
                    <w:rPr>
                      <w:kern w:val="0"/>
                    </w:rPr>
                    <w:t>用作柴油机的燃料</w:t>
                  </w:r>
                </w:p>
              </w:tc>
            </w:tr>
            <w:tr w14:paraId="207708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472611C6">
                  <w:pPr>
                    <w:widowControl/>
                    <w:jc w:val="left"/>
                    <w:rPr>
                      <w:szCs w:val="21"/>
                    </w:rPr>
                  </w:pPr>
                </w:p>
              </w:tc>
              <w:tc>
                <w:tcPr>
                  <w:tcW w:w="1155" w:type="pct"/>
                  <w:vAlign w:val="center"/>
                </w:tcPr>
                <w:p w14:paraId="7903B9DF">
                  <w:pPr>
                    <w:jc w:val="center"/>
                    <w:rPr>
                      <w:szCs w:val="21"/>
                    </w:rPr>
                  </w:pPr>
                  <w:r>
                    <w:t>外观与形状</w:t>
                  </w:r>
                </w:p>
              </w:tc>
              <w:tc>
                <w:tcPr>
                  <w:tcW w:w="3441" w:type="pct"/>
                  <w:gridSpan w:val="4"/>
                  <w:vAlign w:val="center"/>
                </w:tcPr>
                <w:p w14:paraId="31C35B41">
                  <w:pPr>
                    <w:jc w:val="center"/>
                    <w:rPr>
                      <w:szCs w:val="21"/>
                    </w:rPr>
                  </w:pPr>
                  <w:r>
                    <w:t>稍有黏性的浅黄至棕色液体</w:t>
                  </w:r>
                </w:p>
              </w:tc>
            </w:tr>
            <w:tr w14:paraId="2C3F34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279EEF3E">
                  <w:pPr>
                    <w:widowControl/>
                    <w:jc w:val="left"/>
                    <w:rPr>
                      <w:szCs w:val="21"/>
                    </w:rPr>
                  </w:pPr>
                </w:p>
              </w:tc>
              <w:tc>
                <w:tcPr>
                  <w:tcW w:w="1155" w:type="pct"/>
                  <w:vAlign w:val="center"/>
                </w:tcPr>
                <w:p w14:paraId="2BAE45A6">
                  <w:pPr>
                    <w:jc w:val="center"/>
                    <w:rPr>
                      <w:szCs w:val="21"/>
                    </w:rPr>
                  </w:pPr>
                  <w:r>
                    <w:t>相对密度</w:t>
                  </w:r>
                </w:p>
              </w:tc>
              <w:tc>
                <w:tcPr>
                  <w:tcW w:w="3441" w:type="pct"/>
                  <w:gridSpan w:val="4"/>
                  <w:vAlign w:val="center"/>
                </w:tcPr>
                <w:p w14:paraId="44A8D554">
                  <w:pPr>
                    <w:jc w:val="center"/>
                    <w:rPr>
                      <w:szCs w:val="21"/>
                    </w:rPr>
                  </w:pPr>
                  <w:r>
                    <w:t>（水=1）0.80～0.9</w:t>
                  </w:r>
                </w:p>
              </w:tc>
            </w:tr>
            <w:tr w14:paraId="27DB34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23C7B943">
                  <w:pPr>
                    <w:widowControl/>
                    <w:jc w:val="left"/>
                    <w:rPr>
                      <w:szCs w:val="21"/>
                    </w:rPr>
                  </w:pPr>
                </w:p>
              </w:tc>
              <w:tc>
                <w:tcPr>
                  <w:tcW w:w="1155" w:type="pct"/>
                  <w:vAlign w:val="center"/>
                </w:tcPr>
                <w:p w14:paraId="486A926C">
                  <w:pPr>
                    <w:jc w:val="center"/>
                    <w:rPr>
                      <w:szCs w:val="21"/>
                    </w:rPr>
                  </w:pPr>
                  <w:r>
                    <w:t>熔（凝固）点：℃</w:t>
                  </w:r>
                </w:p>
              </w:tc>
              <w:tc>
                <w:tcPr>
                  <w:tcW w:w="1271" w:type="pct"/>
                  <w:vAlign w:val="center"/>
                </w:tcPr>
                <w:p w14:paraId="08A6049A">
                  <w:pPr>
                    <w:jc w:val="center"/>
                    <w:rPr>
                      <w:szCs w:val="21"/>
                    </w:rPr>
                  </w:pPr>
                  <w:r>
                    <w:t>-50～10℃</w:t>
                  </w:r>
                </w:p>
              </w:tc>
              <w:tc>
                <w:tcPr>
                  <w:tcW w:w="1089" w:type="pct"/>
                  <w:gridSpan w:val="2"/>
                  <w:vAlign w:val="center"/>
                </w:tcPr>
                <w:p w14:paraId="1084B50E">
                  <w:pPr>
                    <w:jc w:val="center"/>
                    <w:rPr>
                      <w:szCs w:val="21"/>
                    </w:rPr>
                  </w:pPr>
                  <w:r>
                    <w:t>沸点</w:t>
                  </w:r>
                  <w:r>
                    <w:rPr>
                      <w:rFonts w:hint="eastAsia"/>
                    </w:rPr>
                    <w:t>：</w:t>
                  </w:r>
                  <w:r>
                    <w:t>℃</w:t>
                  </w:r>
                </w:p>
              </w:tc>
              <w:tc>
                <w:tcPr>
                  <w:tcW w:w="1081" w:type="pct"/>
                  <w:vAlign w:val="center"/>
                </w:tcPr>
                <w:p w14:paraId="5CA12178">
                  <w:pPr>
                    <w:jc w:val="center"/>
                    <w:rPr>
                      <w:szCs w:val="21"/>
                    </w:rPr>
                  </w:pPr>
                  <w:r>
                    <w:t>180～410</w:t>
                  </w:r>
                </w:p>
              </w:tc>
            </w:tr>
            <w:tr w14:paraId="0D408B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restart"/>
                  <w:vAlign w:val="center"/>
                </w:tcPr>
                <w:p w14:paraId="5A3B291A">
                  <w:pPr>
                    <w:jc w:val="center"/>
                    <w:rPr>
                      <w:szCs w:val="21"/>
                    </w:rPr>
                  </w:pPr>
                  <w:r>
                    <w:t>燃烧</w:t>
                  </w:r>
                </w:p>
                <w:p w14:paraId="014499BA">
                  <w:pPr>
                    <w:jc w:val="center"/>
                  </w:pPr>
                  <w:r>
                    <w:t>爆炸</w:t>
                  </w:r>
                </w:p>
                <w:p w14:paraId="7719D137">
                  <w:pPr>
                    <w:jc w:val="center"/>
                  </w:pPr>
                  <w:r>
                    <w:t>危险</w:t>
                  </w:r>
                </w:p>
                <w:p w14:paraId="7639CE9A">
                  <w:pPr>
                    <w:jc w:val="center"/>
                    <w:rPr>
                      <w:szCs w:val="21"/>
                    </w:rPr>
                  </w:pPr>
                  <w:r>
                    <w:t>性</w:t>
                  </w:r>
                </w:p>
              </w:tc>
              <w:tc>
                <w:tcPr>
                  <w:tcW w:w="1155" w:type="pct"/>
                  <w:vAlign w:val="center"/>
                </w:tcPr>
                <w:p w14:paraId="0DD13F14">
                  <w:pPr>
                    <w:jc w:val="center"/>
                    <w:rPr>
                      <w:szCs w:val="21"/>
                    </w:rPr>
                  </w:pPr>
                  <w:r>
                    <w:t>燃烧性</w:t>
                  </w:r>
                </w:p>
              </w:tc>
              <w:tc>
                <w:tcPr>
                  <w:tcW w:w="1271" w:type="pct"/>
                  <w:vAlign w:val="center"/>
                </w:tcPr>
                <w:p w14:paraId="0D8E8F87">
                  <w:pPr>
                    <w:jc w:val="center"/>
                    <w:rPr>
                      <w:szCs w:val="21"/>
                    </w:rPr>
                  </w:pPr>
                  <w:r>
                    <w:t>易燃</w:t>
                  </w:r>
                </w:p>
              </w:tc>
              <w:tc>
                <w:tcPr>
                  <w:tcW w:w="1089" w:type="pct"/>
                  <w:gridSpan w:val="2"/>
                  <w:vAlign w:val="center"/>
                </w:tcPr>
                <w:p w14:paraId="4DB5BAE6">
                  <w:pPr>
                    <w:jc w:val="center"/>
                    <w:rPr>
                      <w:szCs w:val="21"/>
                    </w:rPr>
                  </w:pPr>
                  <w:r>
                    <w:t>闪点（℃）</w:t>
                  </w:r>
                </w:p>
              </w:tc>
              <w:tc>
                <w:tcPr>
                  <w:tcW w:w="1081" w:type="pct"/>
                  <w:tcMar>
                    <w:left w:w="0" w:type="dxa"/>
                    <w:right w:w="0" w:type="dxa"/>
                  </w:tcMar>
                  <w:vAlign w:val="center"/>
                </w:tcPr>
                <w:p w14:paraId="1647968C">
                  <w:pPr>
                    <w:jc w:val="center"/>
                    <w:rPr>
                      <w:szCs w:val="21"/>
                    </w:rPr>
                  </w:pPr>
                  <w:r>
                    <w:t>45～60（轻柴油）</w:t>
                  </w:r>
                </w:p>
                <w:p w14:paraId="7FEE57C5">
                  <w:pPr>
                    <w:jc w:val="center"/>
                    <w:rPr>
                      <w:szCs w:val="21"/>
                    </w:rPr>
                  </w:pPr>
                  <w:r>
                    <w:t>60～120（重柴油）</w:t>
                  </w:r>
                </w:p>
              </w:tc>
            </w:tr>
            <w:tr w14:paraId="3D3723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0517EA9F">
                  <w:pPr>
                    <w:widowControl/>
                    <w:jc w:val="left"/>
                    <w:rPr>
                      <w:szCs w:val="21"/>
                    </w:rPr>
                  </w:pPr>
                </w:p>
              </w:tc>
              <w:tc>
                <w:tcPr>
                  <w:tcW w:w="2426" w:type="pct"/>
                  <w:gridSpan w:val="2"/>
                  <w:vAlign w:val="center"/>
                </w:tcPr>
                <w:p w14:paraId="5B81B548">
                  <w:pPr>
                    <w:jc w:val="center"/>
                    <w:rPr>
                      <w:szCs w:val="21"/>
                    </w:rPr>
                  </w:pPr>
                  <w:r>
                    <w:t>自燃温度（℃）</w:t>
                  </w:r>
                </w:p>
              </w:tc>
              <w:tc>
                <w:tcPr>
                  <w:tcW w:w="2170" w:type="pct"/>
                  <w:gridSpan w:val="3"/>
                  <w:tcMar>
                    <w:left w:w="0" w:type="dxa"/>
                    <w:right w:w="0" w:type="dxa"/>
                  </w:tcMar>
                  <w:vAlign w:val="center"/>
                </w:tcPr>
                <w:p w14:paraId="098A0CF9">
                  <w:pPr>
                    <w:jc w:val="center"/>
                    <w:rPr>
                      <w:szCs w:val="21"/>
                    </w:rPr>
                  </w:pPr>
                  <w:r>
                    <w:t>257</w:t>
                  </w:r>
                </w:p>
              </w:tc>
            </w:tr>
            <w:tr w14:paraId="623E48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4C5D33AE">
                  <w:pPr>
                    <w:widowControl/>
                    <w:jc w:val="left"/>
                    <w:rPr>
                      <w:szCs w:val="21"/>
                    </w:rPr>
                  </w:pPr>
                </w:p>
              </w:tc>
              <w:tc>
                <w:tcPr>
                  <w:tcW w:w="1155" w:type="pct"/>
                  <w:vAlign w:val="center"/>
                </w:tcPr>
                <w:p w14:paraId="72A3C285">
                  <w:pPr>
                    <w:jc w:val="center"/>
                    <w:rPr>
                      <w:szCs w:val="21"/>
                    </w:rPr>
                  </w:pPr>
                  <w:r>
                    <w:t>燃烧分解产物：</w:t>
                  </w:r>
                </w:p>
              </w:tc>
              <w:tc>
                <w:tcPr>
                  <w:tcW w:w="1271" w:type="pct"/>
                  <w:vAlign w:val="center"/>
                </w:tcPr>
                <w:p w14:paraId="2820F7D0">
                  <w:pPr>
                    <w:jc w:val="center"/>
                    <w:rPr>
                      <w:szCs w:val="21"/>
                    </w:rPr>
                  </w:pPr>
                  <w:r>
                    <w:t>CO、CO</w:t>
                  </w:r>
                  <w:r>
                    <w:rPr>
                      <w:vertAlign w:val="subscript"/>
                    </w:rPr>
                    <w:t>2</w:t>
                  </w:r>
                </w:p>
              </w:tc>
              <w:tc>
                <w:tcPr>
                  <w:tcW w:w="1089" w:type="pct"/>
                  <w:gridSpan w:val="2"/>
                  <w:vAlign w:val="center"/>
                </w:tcPr>
                <w:p w14:paraId="5691E189">
                  <w:pPr>
                    <w:jc w:val="center"/>
                    <w:rPr>
                      <w:szCs w:val="21"/>
                    </w:rPr>
                  </w:pPr>
                  <w:r>
                    <w:t>稳定性：</w:t>
                  </w:r>
                </w:p>
              </w:tc>
              <w:tc>
                <w:tcPr>
                  <w:tcW w:w="1081" w:type="pct"/>
                  <w:vAlign w:val="center"/>
                </w:tcPr>
                <w:p w14:paraId="4665008F">
                  <w:pPr>
                    <w:jc w:val="center"/>
                    <w:rPr>
                      <w:szCs w:val="21"/>
                    </w:rPr>
                  </w:pPr>
                  <w:r>
                    <w:t>稳定</w:t>
                  </w:r>
                </w:p>
              </w:tc>
            </w:tr>
            <w:tr w14:paraId="42DE37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1BB253DB">
                  <w:pPr>
                    <w:widowControl/>
                    <w:jc w:val="left"/>
                    <w:rPr>
                      <w:szCs w:val="21"/>
                    </w:rPr>
                  </w:pPr>
                </w:p>
              </w:tc>
              <w:tc>
                <w:tcPr>
                  <w:tcW w:w="1155" w:type="pct"/>
                  <w:vAlign w:val="center"/>
                </w:tcPr>
                <w:p w14:paraId="11CD79A8">
                  <w:pPr>
                    <w:jc w:val="center"/>
                    <w:rPr>
                      <w:szCs w:val="21"/>
                    </w:rPr>
                  </w:pPr>
                  <w:r>
                    <w:t>聚合危害</w:t>
                  </w:r>
                </w:p>
              </w:tc>
              <w:tc>
                <w:tcPr>
                  <w:tcW w:w="1271" w:type="pct"/>
                  <w:vAlign w:val="center"/>
                </w:tcPr>
                <w:p w14:paraId="7DCE6AFD">
                  <w:pPr>
                    <w:jc w:val="center"/>
                    <w:rPr>
                      <w:szCs w:val="21"/>
                    </w:rPr>
                  </w:pPr>
                  <w:r>
                    <w:t>不能出现</w:t>
                  </w:r>
                </w:p>
              </w:tc>
              <w:tc>
                <w:tcPr>
                  <w:tcW w:w="1089" w:type="pct"/>
                  <w:gridSpan w:val="2"/>
                  <w:vAlign w:val="center"/>
                </w:tcPr>
                <w:p w14:paraId="154FCEA0">
                  <w:pPr>
                    <w:jc w:val="center"/>
                    <w:rPr>
                      <w:szCs w:val="21"/>
                    </w:rPr>
                  </w:pPr>
                  <w:r>
                    <w:t>禁忌物</w:t>
                  </w:r>
                </w:p>
              </w:tc>
              <w:tc>
                <w:tcPr>
                  <w:tcW w:w="1081" w:type="pct"/>
                  <w:vAlign w:val="center"/>
                </w:tcPr>
                <w:p w14:paraId="4F58F9AB">
                  <w:pPr>
                    <w:jc w:val="center"/>
                    <w:rPr>
                      <w:szCs w:val="21"/>
                    </w:rPr>
                  </w:pPr>
                  <w:r>
                    <w:t>强氧化剂、卤素</w:t>
                  </w:r>
                </w:p>
              </w:tc>
            </w:tr>
            <w:tr w14:paraId="6C7704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543C9D0A">
                  <w:pPr>
                    <w:widowControl/>
                    <w:jc w:val="left"/>
                    <w:rPr>
                      <w:szCs w:val="21"/>
                    </w:rPr>
                  </w:pPr>
                </w:p>
              </w:tc>
              <w:tc>
                <w:tcPr>
                  <w:tcW w:w="1155" w:type="pct"/>
                  <w:vAlign w:val="center"/>
                </w:tcPr>
                <w:p w14:paraId="446E9889">
                  <w:pPr>
                    <w:jc w:val="center"/>
                    <w:rPr>
                      <w:szCs w:val="21"/>
                    </w:rPr>
                  </w:pPr>
                  <w:r>
                    <w:t>火灾危险类别</w:t>
                  </w:r>
                </w:p>
              </w:tc>
              <w:tc>
                <w:tcPr>
                  <w:tcW w:w="1271" w:type="pct"/>
                  <w:vAlign w:val="center"/>
                </w:tcPr>
                <w:p w14:paraId="5CD1C2C8">
                  <w:pPr>
                    <w:jc w:val="center"/>
                    <w:rPr>
                      <w:szCs w:val="21"/>
                    </w:rPr>
                  </w:pPr>
                  <w:r>
                    <w:t>甲B</w:t>
                  </w:r>
                </w:p>
              </w:tc>
              <w:tc>
                <w:tcPr>
                  <w:tcW w:w="1089" w:type="pct"/>
                  <w:gridSpan w:val="2"/>
                  <w:vAlign w:val="center"/>
                </w:tcPr>
                <w:p w14:paraId="5663D951">
                  <w:pPr>
                    <w:jc w:val="center"/>
                    <w:rPr>
                      <w:szCs w:val="21"/>
                    </w:rPr>
                  </w:pPr>
                  <w:r>
                    <w:t>自燃温度（℃）</w:t>
                  </w:r>
                </w:p>
              </w:tc>
              <w:tc>
                <w:tcPr>
                  <w:tcW w:w="1081" w:type="pct"/>
                  <w:vAlign w:val="center"/>
                </w:tcPr>
                <w:p w14:paraId="0456ED8F">
                  <w:pPr>
                    <w:jc w:val="center"/>
                    <w:rPr>
                      <w:szCs w:val="21"/>
                    </w:rPr>
                  </w:pPr>
                  <w:r>
                    <w:t>约350</w:t>
                  </w:r>
                </w:p>
              </w:tc>
            </w:tr>
            <w:tr w14:paraId="6C0B5C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4D4481CA">
                  <w:pPr>
                    <w:widowControl/>
                    <w:jc w:val="left"/>
                    <w:rPr>
                      <w:szCs w:val="21"/>
                    </w:rPr>
                  </w:pPr>
                </w:p>
              </w:tc>
              <w:tc>
                <w:tcPr>
                  <w:tcW w:w="1155" w:type="pct"/>
                  <w:vAlign w:val="center"/>
                </w:tcPr>
                <w:p w14:paraId="2F1B14D7">
                  <w:pPr>
                    <w:jc w:val="center"/>
                    <w:rPr>
                      <w:szCs w:val="21"/>
                    </w:rPr>
                  </w:pPr>
                  <w:r>
                    <w:t>爆炸下限（V%）</w:t>
                  </w:r>
                </w:p>
              </w:tc>
              <w:tc>
                <w:tcPr>
                  <w:tcW w:w="1271" w:type="pct"/>
                  <w:vAlign w:val="center"/>
                </w:tcPr>
                <w:p w14:paraId="53FA6C66">
                  <w:pPr>
                    <w:jc w:val="center"/>
                    <w:rPr>
                      <w:szCs w:val="21"/>
                    </w:rPr>
                  </w:pPr>
                  <w:r>
                    <w:t>0.6（轻柴油）</w:t>
                  </w:r>
                </w:p>
              </w:tc>
              <w:tc>
                <w:tcPr>
                  <w:tcW w:w="1089" w:type="pct"/>
                  <w:gridSpan w:val="2"/>
                  <w:vAlign w:val="center"/>
                </w:tcPr>
                <w:p w14:paraId="1121DCFE">
                  <w:pPr>
                    <w:jc w:val="center"/>
                    <w:rPr>
                      <w:szCs w:val="21"/>
                    </w:rPr>
                  </w:pPr>
                  <w:r>
                    <w:t>爆炸上限（V%）</w:t>
                  </w:r>
                </w:p>
              </w:tc>
              <w:tc>
                <w:tcPr>
                  <w:tcW w:w="1081" w:type="pct"/>
                  <w:vAlign w:val="center"/>
                </w:tcPr>
                <w:p w14:paraId="7CEEA8CB">
                  <w:pPr>
                    <w:jc w:val="center"/>
                    <w:rPr>
                      <w:szCs w:val="21"/>
                    </w:rPr>
                  </w:pPr>
                  <w:r>
                    <w:t>7.5（轻柴油）</w:t>
                  </w:r>
                </w:p>
              </w:tc>
            </w:tr>
            <w:tr w14:paraId="46458C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3E5C483F">
                  <w:pPr>
                    <w:widowControl/>
                    <w:jc w:val="left"/>
                    <w:rPr>
                      <w:szCs w:val="21"/>
                    </w:rPr>
                  </w:pPr>
                </w:p>
              </w:tc>
              <w:tc>
                <w:tcPr>
                  <w:tcW w:w="1155" w:type="pct"/>
                  <w:vAlign w:val="center"/>
                </w:tcPr>
                <w:p w14:paraId="1662A271">
                  <w:pPr>
                    <w:jc w:val="center"/>
                    <w:rPr>
                      <w:szCs w:val="21"/>
                    </w:rPr>
                  </w:pPr>
                  <w:r>
                    <w:t>火灾危险类别</w:t>
                  </w:r>
                </w:p>
              </w:tc>
              <w:tc>
                <w:tcPr>
                  <w:tcW w:w="1271" w:type="pct"/>
                  <w:vAlign w:val="center"/>
                </w:tcPr>
                <w:p w14:paraId="59BE81A0">
                  <w:pPr>
                    <w:jc w:val="center"/>
                    <w:rPr>
                      <w:szCs w:val="21"/>
                    </w:rPr>
                  </w:pPr>
                  <w:r>
                    <w:t>乙B（轻柴油）</w:t>
                  </w:r>
                </w:p>
                <w:p w14:paraId="692B6043">
                  <w:pPr>
                    <w:jc w:val="center"/>
                    <w:rPr>
                      <w:szCs w:val="21"/>
                    </w:rPr>
                  </w:pPr>
                  <w:r>
                    <w:t>丙A（重柴油）</w:t>
                  </w:r>
                </w:p>
              </w:tc>
              <w:tc>
                <w:tcPr>
                  <w:tcW w:w="1089" w:type="pct"/>
                  <w:gridSpan w:val="2"/>
                  <w:vAlign w:val="center"/>
                </w:tcPr>
                <w:p w14:paraId="2308C2F5">
                  <w:pPr>
                    <w:jc w:val="center"/>
                    <w:rPr>
                      <w:szCs w:val="21"/>
                    </w:rPr>
                  </w:pPr>
                  <w:r>
                    <w:t>稳定性</w:t>
                  </w:r>
                </w:p>
              </w:tc>
              <w:tc>
                <w:tcPr>
                  <w:tcW w:w="1081" w:type="pct"/>
                  <w:vAlign w:val="center"/>
                </w:tcPr>
                <w:p w14:paraId="78D35CC1">
                  <w:pPr>
                    <w:jc w:val="center"/>
                    <w:rPr>
                      <w:szCs w:val="21"/>
                    </w:rPr>
                  </w:pPr>
                  <w:r>
                    <w:t>稳定</w:t>
                  </w:r>
                </w:p>
              </w:tc>
            </w:tr>
            <w:tr w14:paraId="21B6B0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62EDF267">
                  <w:pPr>
                    <w:widowControl/>
                    <w:jc w:val="left"/>
                    <w:rPr>
                      <w:szCs w:val="21"/>
                    </w:rPr>
                  </w:pPr>
                </w:p>
              </w:tc>
              <w:tc>
                <w:tcPr>
                  <w:tcW w:w="1155" w:type="pct"/>
                  <w:vAlign w:val="center"/>
                </w:tcPr>
                <w:p w14:paraId="7050C644">
                  <w:pPr>
                    <w:jc w:val="center"/>
                    <w:rPr>
                      <w:szCs w:val="21"/>
                    </w:rPr>
                  </w:pPr>
                  <w:r>
                    <w:t>危险性类别</w:t>
                  </w:r>
                </w:p>
              </w:tc>
              <w:tc>
                <w:tcPr>
                  <w:tcW w:w="3441" w:type="pct"/>
                  <w:gridSpan w:val="4"/>
                  <w:vAlign w:val="center"/>
                </w:tcPr>
                <w:p w14:paraId="07188F78">
                  <w:pPr>
                    <w:jc w:val="center"/>
                    <w:rPr>
                      <w:szCs w:val="21"/>
                    </w:rPr>
                  </w:pPr>
                  <w:r>
                    <w:t>第3.3类 高闪点易燃液体</w:t>
                  </w:r>
                </w:p>
              </w:tc>
            </w:tr>
            <w:tr w14:paraId="35F13B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57057F2A">
                  <w:pPr>
                    <w:widowControl/>
                    <w:jc w:val="left"/>
                    <w:rPr>
                      <w:szCs w:val="21"/>
                    </w:rPr>
                  </w:pPr>
                </w:p>
              </w:tc>
              <w:tc>
                <w:tcPr>
                  <w:tcW w:w="1155" w:type="pct"/>
                  <w:vAlign w:val="center"/>
                </w:tcPr>
                <w:p w14:paraId="4FC6DCF0">
                  <w:pPr>
                    <w:jc w:val="center"/>
                    <w:rPr>
                      <w:szCs w:val="21"/>
                    </w:rPr>
                  </w:pPr>
                  <w:r>
                    <w:t>危险特性</w:t>
                  </w:r>
                </w:p>
              </w:tc>
              <w:tc>
                <w:tcPr>
                  <w:tcW w:w="3441" w:type="pct"/>
                  <w:gridSpan w:val="4"/>
                  <w:vAlign w:val="center"/>
                </w:tcPr>
                <w:p w14:paraId="25231277">
                  <w:pPr>
                    <w:rPr>
                      <w:szCs w:val="21"/>
                    </w:rPr>
                  </w:pPr>
                  <w:r>
                    <w:t>遇明火、高热或与</w:t>
                  </w:r>
                  <w:r>
                    <w:rPr>
                      <w:rFonts w:hint="eastAsia"/>
                    </w:rPr>
                    <w:t>强</w:t>
                  </w:r>
                  <w:r>
                    <w:t>氧化剂接触，有引起燃烧爆炸的危险。若遇高热，容器内压增大，有开裂和爆炸的危险。</w:t>
                  </w:r>
                </w:p>
              </w:tc>
            </w:tr>
            <w:tr w14:paraId="56A661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15E57078">
                  <w:pPr>
                    <w:widowControl/>
                    <w:jc w:val="left"/>
                    <w:rPr>
                      <w:szCs w:val="21"/>
                    </w:rPr>
                  </w:pPr>
                </w:p>
              </w:tc>
              <w:tc>
                <w:tcPr>
                  <w:tcW w:w="1155" w:type="pct"/>
                  <w:vAlign w:val="center"/>
                </w:tcPr>
                <w:p w14:paraId="6D9823CC">
                  <w:pPr>
                    <w:jc w:val="center"/>
                    <w:rPr>
                      <w:szCs w:val="21"/>
                    </w:rPr>
                  </w:pPr>
                  <w:r>
                    <w:t>灭火方法</w:t>
                  </w:r>
                </w:p>
              </w:tc>
              <w:tc>
                <w:tcPr>
                  <w:tcW w:w="3441" w:type="pct"/>
                  <w:gridSpan w:val="4"/>
                  <w:vAlign w:val="center"/>
                </w:tcPr>
                <w:p w14:paraId="5127A75B">
                  <w:pPr>
                    <w:jc w:val="center"/>
                    <w:rPr>
                      <w:szCs w:val="21"/>
                    </w:rPr>
                  </w:pPr>
                  <w:r>
                    <w:t>泡沫、二氧化碳、干粉、砂土</w:t>
                  </w:r>
                </w:p>
              </w:tc>
            </w:tr>
            <w:tr w14:paraId="061750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restart"/>
                  <w:vAlign w:val="center"/>
                </w:tcPr>
                <w:p w14:paraId="1EF4E109">
                  <w:pPr>
                    <w:jc w:val="center"/>
                    <w:rPr>
                      <w:szCs w:val="21"/>
                    </w:rPr>
                  </w:pPr>
                  <w:r>
                    <w:t>毒性及健康危害</w:t>
                  </w:r>
                </w:p>
              </w:tc>
              <w:tc>
                <w:tcPr>
                  <w:tcW w:w="2497" w:type="pct"/>
                  <w:gridSpan w:val="3"/>
                  <w:vAlign w:val="center"/>
                </w:tcPr>
                <w:p w14:paraId="577FA3BE">
                  <w:pPr>
                    <w:jc w:val="center"/>
                    <w:rPr>
                      <w:szCs w:val="21"/>
                    </w:rPr>
                  </w:pPr>
                  <w:r>
                    <w:t>LC50：-</w:t>
                  </w:r>
                </w:p>
              </w:tc>
              <w:tc>
                <w:tcPr>
                  <w:tcW w:w="2099" w:type="pct"/>
                  <w:gridSpan w:val="2"/>
                  <w:vAlign w:val="center"/>
                </w:tcPr>
                <w:p w14:paraId="7B309C80">
                  <w:pPr>
                    <w:jc w:val="center"/>
                    <w:rPr>
                      <w:szCs w:val="21"/>
                    </w:rPr>
                  </w:pPr>
                  <w:r>
                    <w:t>IDLH：-</w:t>
                  </w:r>
                </w:p>
              </w:tc>
            </w:tr>
            <w:tr w14:paraId="30D418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6C263E79">
                  <w:pPr>
                    <w:widowControl/>
                    <w:jc w:val="left"/>
                    <w:rPr>
                      <w:szCs w:val="21"/>
                    </w:rPr>
                  </w:pPr>
                </w:p>
              </w:tc>
              <w:tc>
                <w:tcPr>
                  <w:tcW w:w="2497" w:type="pct"/>
                  <w:gridSpan w:val="3"/>
                  <w:vAlign w:val="center"/>
                </w:tcPr>
                <w:p w14:paraId="10D1838D">
                  <w:pPr>
                    <w:jc w:val="center"/>
                    <w:rPr>
                      <w:szCs w:val="21"/>
                    </w:rPr>
                  </w:pPr>
                  <w:r>
                    <w:t>MAC（mg/m</w:t>
                  </w:r>
                  <w:r>
                    <w:rPr>
                      <w:vertAlign w:val="superscript"/>
                    </w:rPr>
                    <w:t>3</w:t>
                  </w:r>
                  <w:r>
                    <w:t>）：未制订标准</w:t>
                  </w:r>
                </w:p>
              </w:tc>
              <w:tc>
                <w:tcPr>
                  <w:tcW w:w="2099" w:type="pct"/>
                  <w:gridSpan w:val="2"/>
                  <w:vAlign w:val="center"/>
                </w:tcPr>
                <w:p w14:paraId="1098D8F6">
                  <w:pPr>
                    <w:jc w:val="center"/>
                    <w:rPr>
                      <w:szCs w:val="21"/>
                    </w:rPr>
                  </w:pPr>
                  <w:r>
                    <w:t>居民区：-</w:t>
                  </w:r>
                </w:p>
              </w:tc>
            </w:tr>
            <w:tr w14:paraId="3B5BAB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62BB2138">
                  <w:pPr>
                    <w:widowControl/>
                    <w:jc w:val="left"/>
                    <w:rPr>
                      <w:szCs w:val="21"/>
                    </w:rPr>
                  </w:pPr>
                </w:p>
              </w:tc>
              <w:tc>
                <w:tcPr>
                  <w:tcW w:w="1155" w:type="pct"/>
                  <w:vAlign w:val="center"/>
                </w:tcPr>
                <w:p w14:paraId="1CE331A8">
                  <w:pPr>
                    <w:jc w:val="center"/>
                    <w:rPr>
                      <w:szCs w:val="21"/>
                    </w:rPr>
                  </w:pPr>
                  <w:r>
                    <w:t>侵入途径</w:t>
                  </w:r>
                </w:p>
              </w:tc>
              <w:tc>
                <w:tcPr>
                  <w:tcW w:w="3441" w:type="pct"/>
                  <w:gridSpan w:val="4"/>
                  <w:vAlign w:val="center"/>
                </w:tcPr>
                <w:p w14:paraId="46923CE3">
                  <w:pPr>
                    <w:jc w:val="center"/>
                    <w:rPr>
                      <w:szCs w:val="21"/>
                    </w:rPr>
                  </w:pPr>
                  <w:r>
                    <w:t>吸入、误服</w:t>
                  </w:r>
                </w:p>
              </w:tc>
            </w:tr>
            <w:tr w14:paraId="06CA92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1AF78E1A">
                  <w:pPr>
                    <w:widowControl/>
                    <w:jc w:val="left"/>
                    <w:rPr>
                      <w:szCs w:val="21"/>
                    </w:rPr>
                  </w:pPr>
                </w:p>
              </w:tc>
              <w:tc>
                <w:tcPr>
                  <w:tcW w:w="1155" w:type="pct"/>
                  <w:vAlign w:val="center"/>
                </w:tcPr>
                <w:p w14:paraId="18D78C0D">
                  <w:pPr>
                    <w:jc w:val="center"/>
                    <w:rPr>
                      <w:szCs w:val="21"/>
                    </w:rPr>
                  </w:pPr>
                  <w:r>
                    <w:t>毒性</w:t>
                  </w:r>
                </w:p>
              </w:tc>
              <w:tc>
                <w:tcPr>
                  <w:tcW w:w="3441" w:type="pct"/>
                  <w:gridSpan w:val="4"/>
                  <w:vAlign w:val="center"/>
                </w:tcPr>
                <w:p w14:paraId="3655BDC8">
                  <w:pPr>
                    <w:jc w:val="center"/>
                    <w:rPr>
                      <w:szCs w:val="21"/>
                    </w:rPr>
                  </w:pPr>
                  <w:r>
                    <w:t>具体刺激作用</w:t>
                  </w:r>
                </w:p>
              </w:tc>
            </w:tr>
            <w:tr w14:paraId="6CCED8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Merge w:val="continue"/>
                  <w:vAlign w:val="center"/>
                </w:tcPr>
                <w:p w14:paraId="6C1412E4">
                  <w:pPr>
                    <w:widowControl/>
                    <w:jc w:val="left"/>
                    <w:rPr>
                      <w:szCs w:val="21"/>
                    </w:rPr>
                  </w:pPr>
                </w:p>
              </w:tc>
              <w:tc>
                <w:tcPr>
                  <w:tcW w:w="1155" w:type="pct"/>
                  <w:vAlign w:val="center"/>
                </w:tcPr>
                <w:p w14:paraId="1AB8D2ED">
                  <w:pPr>
                    <w:jc w:val="center"/>
                    <w:rPr>
                      <w:szCs w:val="21"/>
                    </w:rPr>
                  </w:pPr>
                  <w:r>
                    <w:t>健康危害</w:t>
                  </w:r>
                </w:p>
              </w:tc>
              <w:tc>
                <w:tcPr>
                  <w:tcW w:w="3441" w:type="pct"/>
                  <w:gridSpan w:val="4"/>
                  <w:vAlign w:val="center"/>
                </w:tcPr>
                <w:p w14:paraId="3DB40271">
                  <w:pPr>
                    <w:rPr>
                      <w:szCs w:val="21"/>
                    </w:rPr>
                  </w:pPr>
                  <w:r>
                    <w:t>皮肤接触柴油可引起接触性皮炎、油性痤疮，吸入可引起吸入性肺炎和肺的损害。柴油废气可引起眼、鼻刺激症状，头痛及头晕。</w:t>
                  </w:r>
                </w:p>
              </w:tc>
            </w:tr>
            <w:tr w14:paraId="52CFAF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Align w:val="center"/>
                </w:tcPr>
                <w:p w14:paraId="7ED1A6B4">
                  <w:pPr>
                    <w:jc w:val="center"/>
                    <w:rPr>
                      <w:szCs w:val="21"/>
                    </w:rPr>
                  </w:pPr>
                  <w:r>
                    <w:t>急救</w:t>
                  </w:r>
                </w:p>
                <w:p w14:paraId="638ED8F7">
                  <w:pPr>
                    <w:jc w:val="center"/>
                    <w:rPr>
                      <w:szCs w:val="21"/>
                    </w:rPr>
                  </w:pPr>
                  <w:r>
                    <w:t>措施</w:t>
                  </w:r>
                </w:p>
              </w:tc>
              <w:tc>
                <w:tcPr>
                  <w:tcW w:w="4596" w:type="pct"/>
                  <w:gridSpan w:val="5"/>
                  <w:vAlign w:val="center"/>
                </w:tcPr>
                <w:p w14:paraId="450A73EF">
                  <w:pPr>
                    <w:rPr>
                      <w:szCs w:val="21"/>
                    </w:rPr>
                  </w:pPr>
                  <w:r>
                    <w:t>皮肤接触：脱去污染的衣着，按用大量水冲洗皮肤至少15分钟。就医。</w:t>
                  </w:r>
                </w:p>
                <w:p w14:paraId="2E37F885">
                  <w:r>
                    <w:t>眼睛接触：立即提起眼睑用大量水冲洗眼睛，至少15分钟。就医。</w:t>
                  </w:r>
                </w:p>
                <w:p w14:paraId="71AAA690">
                  <w:r>
                    <w:t>吸入：迅速撤离现场到空气新鲜处；如呼吸停止，进行人工呼吸；如呼吸困难，给输氧（如有适当的解毒剂，立即服用）。就医。</w:t>
                  </w:r>
                </w:p>
                <w:p w14:paraId="642A063B">
                  <w:pPr>
                    <w:rPr>
                      <w:szCs w:val="21"/>
                    </w:rPr>
                  </w:pPr>
                  <w:r>
                    <w:t>食入：误服者立即漱口，饮足量温水，尽快洗胃。就医</w:t>
                  </w:r>
                </w:p>
              </w:tc>
            </w:tr>
            <w:tr w14:paraId="7F47FB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Align w:val="center"/>
                </w:tcPr>
                <w:p w14:paraId="14560CF7">
                  <w:pPr>
                    <w:jc w:val="center"/>
                    <w:rPr>
                      <w:szCs w:val="21"/>
                    </w:rPr>
                  </w:pPr>
                  <w:r>
                    <w:t>泄漏应急处理</w:t>
                  </w:r>
                </w:p>
              </w:tc>
              <w:tc>
                <w:tcPr>
                  <w:tcW w:w="4596" w:type="pct"/>
                  <w:gridSpan w:val="5"/>
                  <w:vAlign w:val="center"/>
                </w:tcPr>
                <w:p w14:paraId="38B11F23">
                  <w:pPr>
                    <w:rPr>
                      <w:szCs w:val="21"/>
                    </w:rPr>
                  </w:pPr>
                  <w:r>
                    <w:t>疏散泄漏污染区人员至安全区，禁止无关人员进入污染区，切断火源。应急处理人员戴自给式呼吸器，穿一般消防防护服。在确保安全情况下堵漏。喷水雾可减少蒸发。用活性炭或其他惰性材料吸收，然后收集运至废物处理场所。也可以用大量水冲洗，经稀释的洗液放入放心水系统。如大量泄漏，利用围堤收容，然后收集无害处理</w:t>
                  </w:r>
                  <w:r>
                    <w:rPr>
                      <w:rFonts w:hint="eastAsia"/>
                    </w:rPr>
                    <w:t>。</w:t>
                  </w:r>
                </w:p>
              </w:tc>
            </w:tr>
            <w:tr w14:paraId="2D9C16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Align w:val="center"/>
                </w:tcPr>
                <w:p w14:paraId="05EFC3AE">
                  <w:pPr>
                    <w:jc w:val="center"/>
                    <w:rPr>
                      <w:szCs w:val="21"/>
                    </w:rPr>
                  </w:pPr>
                  <w:r>
                    <w:t>储存注意事项</w:t>
                  </w:r>
                </w:p>
              </w:tc>
              <w:tc>
                <w:tcPr>
                  <w:tcW w:w="4596" w:type="pct"/>
                  <w:gridSpan w:val="5"/>
                  <w:vAlign w:val="center"/>
                </w:tcPr>
                <w:p w14:paraId="28B0376E">
                  <w:pPr>
                    <w:rPr>
                      <w:szCs w:val="21"/>
                    </w:rPr>
                  </w:pPr>
                  <w:r>
                    <w:t>储运于阴凉、通风仓间内。远离火种、热源。仓温不宜超过30℃。防止阳光直射。保持容器密封。储存间内的照明、通风等设施应采用防爆型。配备相应品种和数量的消防器材。罐储时要有防火防爆技术措施。禁止使用易产生火花的机械设备和工具。灌装时注意流速（不超过3m/s），且有接地装置，防止静电积聚。搬运时要轻装轻卸，防止包装及容器损坏。</w:t>
                  </w:r>
                </w:p>
              </w:tc>
            </w:tr>
            <w:tr w14:paraId="181025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404" w:type="pct"/>
                  <w:vAlign w:val="center"/>
                </w:tcPr>
                <w:p w14:paraId="13FA2314">
                  <w:pPr>
                    <w:jc w:val="center"/>
                    <w:rPr>
                      <w:szCs w:val="21"/>
                    </w:rPr>
                  </w:pPr>
                  <w:r>
                    <w:t>防护</w:t>
                  </w:r>
                </w:p>
                <w:p w14:paraId="68A06A20">
                  <w:pPr>
                    <w:jc w:val="center"/>
                    <w:rPr>
                      <w:szCs w:val="21"/>
                    </w:rPr>
                  </w:pPr>
                  <w:r>
                    <w:t>措施</w:t>
                  </w:r>
                </w:p>
              </w:tc>
              <w:tc>
                <w:tcPr>
                  <w:tcW w:w="4596" w:type="pct"/>
                  <w:gridSpan w:val="5"/>
                  <w:vAlign w:val="center"/>
                </w:tcPr>
                <w:p w14:paraId="39313ADB">
                  <w:pPr>
                    <w:rPr>
                      <w:szCs w:val="21"/>
                    </w:rPr>
                  </w:pPr>
                  <w:r>
                    <w:t>工程控制：采用通风装置。</w:t>
                  </w:r>
                </w:p>
                <w:p w14:paraId="54B07194">
                  <w:r>
                    <w:t>呼吸系统防护：高浓度环境中，应该佩戴防毒口罩，紧急事态抢救或撤离时，建议佩戴自给式呼吸器</w:t>
                  </w:r>
                </w:p>
                <w:p w14:paraId="09DCAA30">
                  <w:r>
                    <w:t>眼睛防护：化学安全防护眼镜</w:t>
                  </w:r>
                </w:p>
                <w:p w14:paraId="51634E74">
                  <w:r>
                    <w:t>身体防护：橡胶工作服</w:t>
                  </w:r>
                </w:p>
                <w:p w14:paraId="30556C75">
                  <w:r>
                    <w:t>手防护：防护手套。其他：工作后，沐浴更衣。注意个人清洁卫生。</w:t>
                  </w:r>
                </w:p>
              </w:tc>
            </w:tr>
          </w:tbl>
          <w:p w14:paraId="34D090A7">
            <w:pPr>
              <w:autoSpaceDE w:val="0"/>
              <w:autoSpaceDN w:val="0"/>
              <w:adjustRightInd w:val="0"/>
              <w:ind w:firstLine="482" w:firstLineChars="200"/>
              <w:jc w:val="center"/>
              <w:rPr>
                <w:b/>
                <w:kern w:val="0"/>
                <w:sz w:val="24"/>
              </w:rPr>
            </w:pPr>
            <w:r>
              <w:rPr>
                <w:b/>
                <w:kern w:val="0"/>
                <w:sz w:val="24"/>
              </w:rPr>
              <w:t>表</w:t>
            </w:r>
            <w:r>
              <w:rPr>
                <w:rFonts w:hint="eastAsia"/>
                <w:b/>
                <w:kern w:val="0"/>
                <w:sz w:val="24"/>
              </w:rPr>
              <w:t>4</w:t>
            </w:r>
            <w:r>
              <w:rPr>
                <w:b/>
                <w:kern w:val="0"/>
                <w:sz w:val="24"/>
              </w:rPr>
              <w:t>-</w:t>
            </w:r>
            <w:r>
              <w:rPr>
                <w:rFonts w:hint="eastAsia"/>
                <w:b/>
                <w:kern w:val="0"/>
                <w:sz w:val="24"/>
              </w:rPr>
              <w:t>16</w:t>
            </w:r>
            <w:r>
              <w:rPr>
                <w:b/>
                <w:kern w:val="0"/>
                <w:sz w:val="24"/>
              </w:rPr>
              <w:t xml:space="preserve"> 天然气（甲烷）特性表</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02"/>
              <w:gridCol w:w="2183"/>
              <w:gridCol w:w="788"/>
              <w:gridCol w:w="588"/>
              <w:gridCol w:w="2154"/>
              <w:gridCol w:w="457"/>
              <w:gridCol w:w="1523"/>
            </w:tblGrid>
            <w:tr w14:paraId="222A65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restart"/>
                  <w:shd w:val="clear" w:color="auto" w:fill="auto"/>
                  <w:tcMar>
                    <w:top w:w="0" w:type="dxa"/>
                    <w:left w:w="0" w:type="dxa"/>
                    <w:bottom w:w="0" w:type="dxa"/>
                    <w:right w:w="0" w:type="dxa"/>
                  </w:tcMar>
                  <w:vAlign w:val="center"/>
                </w:tcPr>
                <w:p w14:paraId="69928F23">
                  <w:pPr>
                    <w:adjustRightInd w:val="0"/>
                    <w:snapToGrid w:val="0"/>
                    <w:jc w:val="center"/>
                    <w:rPr>
                      <w:b/>
                      <w:bCs/>
                      <w:sz w:val="24"/>
                    </w:rPr>
                  </w:pPr>
                  <w:r>
                    <w:rPr>
                      <w:bCs/>
                    </w:rPr>
                    <w:t>标识</w:t>
                  </w:r>
                </w:p>
              </w:tc>
              <w:tc>
                <w:tcPr>
                  <w:tcW w:w="2172" w:type="pct"/>
                  <w:gridSpan w:val="3"/>
                  <w:tcBorders>
                    <w:top w:val="single" w:color="auto" w:sz="12" w:space="0"/>
                    <w:bottom w:val="single" w:color="auto" w:sz="6" w:space="0"/>
                  </w:tcBorders>
                  <w:shd w:val="clear" w:color="auto" w:fill="auto"/>
                  <w:tcMar>
                    <w:top w:w="0" w:type="dxa"/>
                    <w:left w:w="0" w:type="dxa"/>
                    <w:bottom w:w="0" w:type="dxa"/>
                    <w:right w:w="0" w:type="dxa"/>
                  </w:tcMar>
                  <w:vAlign w:val="center"/>
                </w:tcPr>
                <w:p w14:paraId="7BAE9E36">
                  <w:pPr>
                    <w:adjustRightInd w:val="0"/>
                    <w:snapToGrid w:val="0"/>
                    <w:jc w:val="center"/>
                    <w:rPr>
                      <w:bCs/>
                    </w:rPr>
                  </w:pPr>
                  <w:r>
                    <w:rPr>
                      <w:bCs/>
                    </w:rPr>
                    <w:t>中文名：甲烷；分子式：CH</w:t>
                  </w:r>
                  <w:r>
                    <w:rPr>
                      <w:bCs/>
                      <w:vertAlign w:val="subscript"/>
                    </w:rPr>
                    <w:t>4</w:t>
                  </w:r>
                </w:p>
              </w:tc>
              <w:tc>
                <w:tcPr>
                  <w:tcW w:w="2522" w:type="pct"/>
                  <w:gridSpan w:val="3"/>
                  <w:tcBorders>
                    <w:top w:val="single" w:color="auto" w:sz="12" w:space="0"/>
                    <w:bottom w:val="single" w:color="auto" w:sz="6" w:space="0"/>
                  </w:tcBorders>
                  <w:shd w:val="clear" w:color="auto" w:fill="auto"/>
                  <w:tcMar>
                    <w:top w:w="0" w:type="dxa"/>
                    <w:left w:w="0" w:type="dxa"/>
                    <w:bottom w:w="0" w:type="dxa"/>
                    <w:right w:w="0" w:type="dxa"/>
                  </w:tcMar>
                  <w:vAlign w:val="center"/>
                </w:tcPr>
                <w:p w14:paraId="16966A87">
                  <w:pPr>
                    <w:adjustRightInd w:val="0"/>
                    <w:snapToGrid w:val="0"/>
                    <w:jc w:val="center"/>
                    <w:rPr>
                      <w:bCs/>
                    </w:rPr>
                  </w:pPr>
                  <w:r>
                    <w:rPr>
                      <w:bCs/>
                    </w:rPr>
                    <w:t>英文名：methane;Marsh gas</w:t>
                  </w:r>
                </w:p>
              </w:tc>
            </w:tr>
            <w:tr w14:paraId="2C705B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0E3E0C2A">
                  <w:pPr>
                    <w:widowControl/>
                    <w:jc w:val="left"/>
                    <w:rPr>
                      <w:b/>
                      <w:bCs/>
                      <w:sz w:val="24"/>
                    </w:rPr>
                  </w:pPr>
                </w:p>
              </w:tc>
              <w:tc>
                <w:tcPr>
                  <w:tcW w:w="2172" w:type="pct"/>
                  <w:gridSpan w:val="3"/>
                  <w:tcBorders>
                    <w:top w:val="single" w:color="auto" w:sz="6" w:space="0"/>
                  </w:tcBorders>
                  <w:tcMar>
                    <w:top w:w="0" w:type="dxa"/>
                    <w:left w:w="0" w:type="dxa"/>
                    <w:bottom w:w="0" w:type="dxa"/>
                    <w:right w:w="0" w:type="dxa"/>
                  </w:tcMar>
                  <w:vAlign w:val="center"/>
                </w:tcPr>
                <w:p w14:paraId="5C1815EB">
                  <w:pPr>
                    <w:keepNext/>
                    <w:keepLines/>
                    <w:adjustRightInd w:val="0"/>
                    <w:jc w:val="center"/>
                    <w:rPr>
                      <w:bCs/>
                    </w:rPr>
                  </w:pPr>
                  <w:r>
                    <w:rPr>
                      <w:bCs/>
                    </w:rPr>
                    <w:t>危险性类别：第2.1类易燃气体</w:t>
                  </w:r>
                </w:p>
              </w:tc>
              <w:tc>
                <w:tcPr>
                  <w:tcW w:w="1593" w:type="pct"/>
                  <w:gridSpan w:val="2"/>
                  <w:tcBorders>
                    <w:top w:val="single" w:color="auto" w:sz="6" w:space="0"/>
                  </w:tcBorders>
                  <w:tcMar>
                    <w:top w:w="0" w:type="dxa"/>
                    <w:left w:w="0" w:type="dxa"/>
                    <w:bottom w:w="0" w:type="dxa"/>
                    <w:right w:w="0" w:type="dxa"/>
                  </w:tcMar>
                  <w:vAlign w:val="center"/>
                </w:tcPr>
                <w:p w14:paraId="45CE6989">
                  <w:pPr>
                    <w:keepNext/>
                    <w:keepLines/>
                    <w:adjustRightInd w:val="0"/>
                    <w:jc w:val="center"/>
                    <w:rPr>
                      <w:bCs/>
                    </w:rPr>
                  </w:pPr>
                  <w:r>
                    <w:rPr>
                      <w:bCs/>
                    </w:rPr>
                    <w:t>危险货物包装标志：4</w:t>
                  </w:r>
                </w:p>
              </w:tc>
              <w:tc>
                <w:tcPr>
                  <w:tcW w:w="929" w:type="pct"/>
                  <w:tcBorders>
                    <w:top w:val="single" w:color="auto" w:sz="6" w:space="0"/>
                  </w:tcBorders>
                  <w:tcMar>
                    <w:top w:w="0" w:type="dxa"/>
                    <w:left w:w="0" w:type="dxa"/>
                    <w:bottom w:w="0" w:type="dxa"/>
                    <w:right w:w="0" w:type="dxa"/>
                  </w:tcMar>
                  <w:vAlign w:val="center"/>
                </w:tcPr>
                <w:p w14:paraId="568B56EE">
                  <w:pPr>
                    <w:keepNext/>
                    <w:keepLines/>
                    <w:jc w:val="center"/>
                    <w:rPr>
                      <w:bCs/>
                    </w:rPr>
                  </w:pPr>
                  <w:r>
                    <w:rPr>
                      <w:bCs/>
                    </w:rPr>
                    <w:t>UN编号：1971</w:t>
                  </w:r>
                </w:p>
              </w:tc>
            </w:tr>
            <w:tr w14:paraId="5A4DAB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4742D71F">
                  <w:pPr>
                    <w:widowControl/>
                    <w:jc w:val="left"/>
                    <w:rPr>
                      <w:b/>
                      <w:bCs/>
                      <w:sz w:val="24"/>
                    </w:rPr>
                  </w:pPr>
                </w:p>
              </w:tc>
              <w:tc>
                <w:tcPr>
                  <w:tcW w:w="2172" w:type="pct"/>
                  <w:gridSpan w:val="3"/>
                  <w:tcMar>
                    <w:top w:w="0" w:type="dxa"/>
                    <w:left w:w="0" w:type="dxa"/>
                    <w:bottom w:w="0" w:type="dxa"/>
                    <w:right w:w="0" w:type="dxa"/>
                  </w:tcMar>
                  <w:vAlign w:val="center"/>
                </w:tcPr>
                <w:p w14:paraId="7D1EBEE3">
                  <w:pPr>
                    <w:keepNext/>
                    <w:keepLines/>
                    <w:adjustRightInd w:val="0"/>
                    <w:jc w:val="center"/>
                    <w:rPr>
                      <w:bCs/>
                    </w:rPr>
                  </w:pPr>
                  <w:r>
                    <w:rPr>
                      <w:bCs/>
                    </w:rPr>
                    <w:t>危险货物编号：21007</w:t>
                  </w:r>
                </w:p>
              </w:tc>
              <w:tc>
                <w:tcPr>
                  <w:tcW w:w="1593" w:type="pct"/>
                  <w:gridSpan w:val="2"/>
                  <w:tcMar>
                    <w:top w:w="0" w:type="dxa"/>
                    <w:left w:w="0" w:type="dxa"/>
                    <w:bottom w:w="0" w:type="dxa"/>
                    <w:right w:w="0" w:type="dxa"/>
                  </w:tcMar>
                  <w:vAlign w:val="center"/>
                </w:tcPr>
                <w:p w14:paraId="7D5FECC9">
                  <w:pPr>
                    <w:keepNext/>
                    <w:keepLines/>
                    <w:adjustRightInd w:val="0"/>
                    <w:jc w:val="center"/>
                    <w:rPr>
                      <w:bCs/>
                    </w:rPr>
                  </w:pPr>
                  <w:r>
                    <w:rPr>
                      <w:bCs/>
                    </w:rPr>
                    <w:t>RTECS号：PA1490000</w:t>
                  </w:r>
                </w:p>
              </w:tc>
              <w:tc>
                <w:tcPr>
                  <w:tcW w:w="929" w:type="pct"/>
                  <w:tcMar>
                    <w:top w:w="0" w:type="dxa"/>
                    <w:left w:w="0" w:type="dxa"/>
                    <w:bottom w:w="0" w:type="dxa"/>
                    <w:right w:w="0" w:type="dxa"/>
                  </w:tcMar>
                  <w:vAlign w:val="center"/>
                </w:tcPr>
                <w:p w14:paraId="61753466">
                  <w:pPr>
                    <w:keepNext/>
                    <w:keepLines/>
                    <w:jc w:val="center"/>
                    <w:rPr>
                      <w:bCs/>
                    </w:rPr>
                  </w:pPr>
                  <w:r>
                    <w:rPr>
                      <w:bCs/>
                    </w:rPr>
                    <w:t>CAS号：74-82-8</w:t>
                  </w:r>
                </w:p>
              </w:tc>
            </w:tr>
            <w:tr w14:paraId="2CC145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restart"/>
                  <w:tcMar>
                    <w:top w:w="0" w:type="dxa"/>
                    <w:left w:w="0" w:type="dxa"/>
                    <w:bottom w:w="0" w:type="dxa"/>
                    <w:right w:w="0" w:type="dxa"/>
                  </w:tcMar>
                  <w:vAlign w:val="center"/>
                </w:tcPr>
                <w:p w14:paraId="185E42AE">
                  <w:pPr>
                    <w:keepNext/>
                    <w:keepLines/>
                    <w:adjustRightInd w:val="0"/>
                    <w:jc w:val="center"/>
                    <w:rPr>
                      <w:bCs/>
                    </w:rPr>
                  </w:pPr>
                  <w:r>
                    <w:rPr>
                      <w:bCs/>
                    </w:rPr>
                    <w:t>理化特性</w:t>
                  </w:r>
                </w:p>
              </w:tc>
              <w:tc>
                <w:tcPr>
                  <w:tcW w:w="4694" w:type="pct"/>
                  <w:gridSpan w:val="6"/>
                  <w:tcMar>
                    <w:top w:w="0" w:type="dxa"/>
                    <w:left w:w="0" w:type="dxa"/>
                    <w:bottom w:w="0" w:type="dxa"/>
                    <w:right w:w="0" w:type="dxa"/>
                  </w:tcMar>
                  <w:vAlign w:val="center"/>
                </w:tcPr>
                <w:p w14:paraId="3809A158">
                  <w:pPr>
                    <w:keepNext/>
                    <w:keepLines/>
                    <w:jc w:val="center"/>
                    <w:rPr>
                      <w:bCs/>
                    </w:rPr>
                  </w:pPr>
                  <w:r>
                    <w:rPr>
                      <w:bCs/>
                    </w:rPr>
                    <w:t>外观与性状：无色无臭气体</w:t>
                  </w:r>
                </w:p>
              </w:tc>
            </w:tr>
            <w:tr w14:paraId="5E1623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3DA7E45A">
                  <w:pPr>
                    <w:widowControl/>
                    <w:jc w:val="left"/>
                    <w:rPr>
                      <w:bCs/>
                    </w:rPr>
                  </w:pPr>
                </w:p>
              </w:tc>
              <w:tc>
                <w:tcPr>
                  <w:tcW w:w="4694" w:type="pct"/>
                  <w:gridSpan w:val="6"/>
                  <w:tcMar>
                    <w:top w:w="0" w:type="dxa"/>
                    <w:left w:w="0" w:type="dxa"/>
                    <w:bottom w:w="0" w:type="dxa"/>
                    <w:right w:w="0" w:type="dxa"/>
                  </w:tcMar>
                  <w:vAlign w:val="center"/>
                </w:tcPr>
                <w:p w14:paraId="1074128C">
                  <w:pPr>
                    <w:keepNext/>
                    <w:keepLines/>
                    <w:jc w:val="center"/>
                    <w:rPr>
                      <w:bCs/>
                    </w:rPr>
                  </w:pPr>
                  <w:r>
                    <w:rPr>
                      <w:bCs/>
                    </w:rPr>
                    <w:t>溶点/℃：-182．5               沸点/℃：-161．5</w:t>
                  </w:r>
                </w:p>
              </w:tc>
            </w:tr>
            <w:tr w14:paraId="52394F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5D7C942D">
                  <w:pPr>
                    <w:widowControl/>
                    <w:jc w:val="left"/>
                    <w:rPr>
                      <w:bCs/>
                    </w:rPr>
                  </w:pPr>
                </w:p>
              </w:tc>
              <w:tc>
                <w:tcPr>
                  <w:tcW w:w="4694" w:type="pct"/>
                  <w:gridSpan w:val="6"/>
                  <w:tcMar>
                    <w:top w:w="0" w:type="dxa"/>
                    <w:left w:w="0" w:type="dxa"/>
                    <w:bottom w:w="0" w:type="dxa"/>
                    <w:right w:w="0" w:type="dxa"/>
                  </w:tcMar>
                  <w:vAlign w:val="center"/>
                </w:tcPr>
                <w:p w14:paraId="15F4F319">
                  <w:pPr>
                    <w:keepNext/>
                    <w:keepLines/>
                    <w:jc w:val="center"/>
                    <w:rPr>
                      <w:bCs/>
                    </w:rPr>
                  </w:pPr>
                  <w:r>
                    <w:rPr>
                      <w:bCs/>
                    </w:rPr>
                    <w:t>溶解性：微溶于水，溶于乙醇、乙醚。</w:t>
                  </w:r>
                </w:p>
              </w:tc>
            </w:tr>
            <w:tr w14:paraId="1FBE8E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0B562313">
                  <w:pPr>
                    <w:widowControl/>
                    <w:jc w:val="left"/>
                    <w:rPr>
                      <w:bCs/>
                    </w:rPr>
                  </w:pPr>
                </w:p>
              </w:tc>
              <w:tc>
                <w:tcPr>
                  <w:tcW w:w="1813" w:type="pct"/>
                  <w:gridSpan w:val="2"/>
                  <w:tcMar>
                    <w:top w:w="0" w:type="dxa"/>
                    <w:left w:w="0" w:type="dxa"/>
                    <w:bottom w:w="0" w:type="dxa"/>
                    <w:right w:w="0" w:type="dxa"/>
                  </w:tcMar>
                  <w:vAlign w:val="center"/>
                </w:tcPr>
                <w:p w14:paraId="01A3A00F">
                  <w:pPr>
                    <w:keepNext/>
                    <w:keepLines/>
                    <w:adjustRightInd w:val="0"/>
                    <w:jc w:val="center"/>
                    <w:rPr>
                      <w:bCs/>
                    </w:rPr>
                  </w:pPr>
                  <w:r>
                    <w:rPr>
                      <w:bCs/>
                    </w:rPr>
                    <w:t>侵入途径：吸入</w:t>
                  </w:r>
                </w:p>
              </w:tc>
              <w:tc>
                <w:tcPr>
                  <w:tcW w:w="2881" w:type="pct"/>
                  <w:gridSpan w:val="4"/>
                  <w:tcMar>
                    <w:top w:w="0" w:type="dxa"/>
                    <w:left w:w="0" w:type="dxa"/>
                    <w:bottom w:w="0" w:type="dxa"/>
                    <w:right w:w="0" w:type="dxa"/>
                  </w:tcMar>
                  <w:vAlign w:val="center"/>
                </w:tcPr>
                <w:p w14:paraId="14B6B8E4">
                  <w:pPr>
                    <w:keepNext/>
                    <w:keepLines/>
                    <w:adjustRightInd w:val="0"/>
                    <w:jc w:val="center"/>
                    <w:rPr>
                      <w:bCs/>
                    </w:rPr>
                  </w:pPr>
                  <w:r>
                    <w:rPr>
                      <w:bCs/>
                    </w:rPr>
                    <w:t>相对密度（空气=1）：0.55</w:t>
                  </w:r>
                </w:p>
              </w:tc>
            </w:tr>
            <w:tr w14:paraId="6D1765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restart"/>
                  <w:tcMar>
                    <w:top w:w="0" w:type="dxa"/>
                    <w:left w:w="0" w:type="dxa"/>
                    <w:bottom w:w="0" w:type="dxa"/>
                    <w:right w:w="0" w:type="dxa"/>
                  </w:tcMar>
                  <w:vAlign w:val="center"/>
                </w:tcPr>
                <w:p w14:paraId="012F52DF">
                  <w:pPr>
                    <w:keepNext/>
                    <w:keepLines/>
                    <w:adjustRightInd w:val="0"/>
                    <w:jc w:val="left"/>
                    <w:rPr>
                      <w:bCs/>
                    </w:rPr>
                  </w:pPr>
                  <w:r>
                    <w:rPr>
                      <w:bCs/>
                    </w:rPr>
                    <w:t>燃烧爆炸危险性</w:t>
                  </w:r>
                </w:p>
              </w:tc>
              <w:tc>
                <w:tcPr>
                  <w:tcW w:w="1332" w:type="pct"/>
                  <w:tcMar>
                    <w:top w:w="0" w:type="dxa"/>
                    <w:left w:w="0" w:type="dxa"/>
                    <w:bottom w:w="0" w:type="dxa"/>
                    <w:right w:w="0" w:type="dxa"/>
                  </w:tcMar>
                  <w:vAlign w:val="center"/>
                </w:tcPr>
                <w:p w14:paraId="598C9939">
                  <w:pPr>
                    <w:keepNext/>
                    <w:keepLines/>
                    <w:jc w:val="center"/>
                    <w:rPr>
                      <w:bCs/>
                    </w:rPr>
                  </w:pPr>
                  <w:r>
                    <w:rPr>
                      <w:bCs/>
                    </w:rPr>
                    <w:t>燃烧性：易燃</w:t>
                  </w:r>
                </w:p>
              </w:tc>
              <w:tc>
                <w:tcPr>
                  <w:tcW w:w="2154" w:type="pct"/>
                  <w:gridSpan w:val="3"/>
                  <w:tcMar>
                    <w:top w:w="0" w:type="dxa"/>
                    <w:left w:w="0" w:type="dxa"/>
                    <w:bottom w:w="0" w:type="dxa"/>
                    <w:right w:w="0" w:type="dxa"/>
                  </w:tcMar>
                  <w:vAlign w:val="center"/>
                </w:tcPr>
                <w:p w14:paraId="75D3E389">
                  <w:pPr>
                    <w:keepNext/>
                    <w:keepLines/>
                    <w:adjustRightInd w:val="0"/>
                    <w:jc w:val="center"/>
                    <w:rPr>
                      <w:bCs/>
                    </w:rPr>
                  </w:pPr>
                  <w:r>
                    <w:rPr>
                      <w:bCs/>
                    </w:rPr>
                    <w:t>燃烧分解产物：一氧化碳、二氧化碳。</w:t>
                  </w:r>
                </w:p>
              </w:tc>
              <w:tc>
                <w:tcPr>
                  <w:tcW w:w="1208" w:type="pct"/>
                  <w:gridSpan w:val="2"/>
                  <w:tcMar>
                    <w:top w:w="0" w:type="dxa"/>
                    <w:left w:w="0" w:type="dxa"/>
                    <w:bottom w:w="0" w:type="dxa"/>
                    <w:right w:w="0" w:type="dxa"/>
                  </w:tcMar>
                  <w:vAlign w:val="center"/>
                </w:tcPr>
                <w:p w14:paraId="40D905B4">
                  <w:pPr>
                    <w:keepNext/>
                    <w:keepLines/>
                    <w:adjustRightInd w:val="0"/>
                    <w:jc w:val="center"/>
                    <w:rPr>
                      <w:bCs/>
                    </w:rPr>
                  </w:pPr>
                  <w:r>
                    <w:rPr>
                      <w:bCs/>
                    </w:rPr>
                    <w:t>聚合危害不能出现</w:t>
                  </w:r>
                </w:p>
              </w:tc>
            </w:tr>
            <w:tr w14:paraId="1C6525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210F142F">
                  <w:pPr>
                    <w:widowControl/>
                    <w:jc w:val="left"/>
                    <w:rPr>
                      <w:bCs/>
                    </w:rPr>
                  </w:pPr>
                </w:p>
              </w:tc>
              <w:tc>
                <w:tcPr>
                  <w:tcW w:w="1332" w:type="pct"/>
                  <w:tcMar>
                    <w:top w:w="0" w:type="dxa"/>
                    <w:left w:w="0" w:type="dxa"/>
                    <w:bottom w:w="0" w:type="dxa"/>
                    <w:right w:w="0" w:type="dxa"/>
                  </w:tcMar>
                  <w:vAlign w:val="center"/>
                </w:tcPr>
                <w:p w14:paraId="7B1980BD">
                  <w:pPr>
                    <w:keepNext/>
                    <w:keepLines/>
                    <w:jc w:val="center"/>
                    <w:rPr>
                      <w:bCs/>
                    </w:rPr>
                  </w:pPr>
                  <w:r>
                    <w:rPr>
                      <w:bCs/>
                    </w:rPr>
                    <w:t>闪点/℃：-188</w:t>
                  </w:r>
                </w:p>
              </w:tc>
              <w:tc>
                <w:tcPr>
                  <w:tcW w:w="2154" w:type="pct"/>
                  <w:gridSpan w:val="3"/>
                  <w:tcMar>
                    <w:top w:w="0" w:type="dxa"/>
                    <w:left w:w="0" w:type="dxa"/>
                    <w:bottom w:w="0" w:type="dxa"/>
                    <w:right w:w="0" w:type="dxa"/>
                  </w:tcMar>
                  <w:vAlign w:val="center"/>
                </w:tcPr>
                <w:p w14:paraId="6A7E5A73">
                  <w:pPr>
                    <w:keepNext/>
                    <w:keepLines/>
                    <w:adjustRightInd w:val="0"/>
                    <w:jc w:val="center"/>
                    <w:rPr>
                      <w:bCs/>
                    </w:rPr>
                  </w:pPr>
                  <w:r>
                    <w:rPr>
                      <w:bCs/>
                    </w:rPr>
                    <w:t>自燃温度（℃）：538</w:t>
                  </w:r>
                </w:p>
              </w:tc>
              <w:tc>
                <w:tcPr>
                  <w:tcW w:w="1208" w:type="pct"/>
                  <w:gridSpan w:val="2"/>
                  <w:tcMar>
                    <w:top w:w="0" w:type="dxa"/>
                    <w:left w:w="0" w:type="dxa"/>
                    <w:bottom w:w="0" w:type="dxa"/>
                    <w:right w:w="0" w:type="dxa"/>
                  </w:tcMar>
                  <w:vAlign w:val="center"/>
                </w:tcPr>
                <w:p w14:paraId="415EE72D">
                  <w:pPr>
                    <w:keepNext/>
                    <w:keepLines/>
                    <w:adjustRightInd w:val="0"/>
                    <w:ind w:left="102"/>
                    <w:jc w:val="center"/>
                    <w:rPr>
                      <w:bCs/>
                    </w:rPr>
                  </w:pPr>
                  <w:r>
                    <w:rPr>
                      <w:bCs/>
                    </w:rPr>
                    <w:t>爆炸上限（V%）：15</w:t>
                  </w:r>
                </w:p>
              </w:tc>
            </w:tr>
            <w:tr w14:paraId="108D16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381A3061">
                  <w:pPr>
                    <w:widowControl/>
                    <w:jc w:val="left"/>
                    <w:rPr>
                      <w:bCs/>
                    </w:rPr>
                  </w:pPr>
                </w:p>
              </w:tc>
              <w:tc>
                <w:tcPr>
                  <w:tcW w:w="1332" w:type="pct"/>
                  <w:tcMar>
                    <w:top w:w="0" w:type="dxa"/>
                    <w:left w:w="0" w:type="dxa"/>
                    <w:bottom w:w="0" w:type="dxa"/>
                    <w:right w:w="0" w:type="dxa"/>
                  </w:tcMar>
                  <w:vAlign w:val="center"/>
                </w:tcPr>
                <w:p w14:paraId="221B0746">
                  <w:pPr>
                    <w:keepNext/>
                    <w:keepLines/>
                    <w:adjustRightInd w:val="0"/>
                    <w:jc w:val="center"/>
                    <w:rPr>
                      <w:bCs/>
                    </w:rPr>
                  </w:pPr>
                  <w:r>
                    <w:rPr>
                      <w:bCs/>
                    </w:rPr>
                    <w:t>稳定性：稳定</w:t>
                  </w:r>
                </w:p>
              </w:tc>
              <w:tc>
                <w:tcPr>
                  <w:tcW w:w="2154" w:type="pct"/>
                  <w:gridSpan w:val="3"/>
                  <w:tcMar>
                    <w:top w:w="0" w:type="dxa"/>
                    <w:left w:w="0" w:type="dxa"/>
                    <w:bottom w:w="0" w:type="dxa"/>
                    <w:right w:w="0" w:type="dxa"/>
                  </w:tcMar>
                  <w:vAlign w:val="center"/>
                </w:tcPr>
                <w:p w14:paraId="250FF463">
                  <w:pPr>
                    <w:keepNext/>
                    <w:keepLines/>
                    <w:jc w:val="center"/>
                    <w:rPr>
                      <w:bCs/>
                    </w:rPr>
                  </w:pPr>
                  <w:r>
                    <w:rPr>
                      <w:bCs/>
                    </w:rPr>
                    <w:t>禁忌物：强氧化剂、氟、氯。</w:t>
                  </w:r>
                </w:p>
              </w:tc>
              <w:tc>
                <w:tcPr>
                  <w:tcW w:w="1208" w:type="pct"/>
                  <w:gridSpan w:val="2"/>
                  <w:tcMar>
                    <w:top w:w="0" w:type="dxa"/>
                    <w:left w:w="0" w:type="dxa"/>
                    <w:bottom w:w="0" w:type="dxa"/>
                    <w:right w:w="0" w:type="dxa"/>
                  </w:tcMar>
                  <w:vAlign w:val="center"/>
                </w:tcPr>
                <w:p w14:paraId="2EE9D121">
                  <w:pPr>
                    <w:keepNext/>
                    <w:keepLines/>
                    <w:jc w:val="center"/>
                    <w:rPr>
                      <w:bCs/>
                    </w:rPr>
                  </w:pPr>
                  <w:r>
                    <w:rPr>
                      <w:bCs/>
                    </w:rPr>
                    <w:t>爆炸下限（V%）</w:t>
                  </w:r>
                  <w:r>
                    <w:rPr>
                      <w:rFonts w:hint="eastAsia"/>
                      <w:bCs/>
                    </w:rPr>
                    <w:t>：</w:t>
                  </w:r>
                  <w:r>
                    <w:rPr>
                      <w:bCs/>
                    </w:rPr>
                    <w:t>5.3</w:t>
                  </w:r>
                </w:p>
              </w:tc>
            </w:tr>
            <w:tr w14:paraId="0FD448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751D7D5D">
                  <w:pPr>
                    <w:widowControl/>
                    <w:jc w:val="left"/>
                    <w:rPr>
                      <w:bCs/>
                    </w:rPr>
                  </w:pPr>
                </w:p>
              </w:tc>
              <w:tc>
                <w:tcPr>
                  <w:tcW w:w="1332" w:type="pct"/>
                  <w:tcMar>
                    <w:top w:w="0" w:type="dxa"/>
                    <w:left w:w="0" w:type="dxa"/>
                    <w:bottom w:w="0" w:type="dxa"/>
                    <w:right w:w="0" w:type="dxa"/>
                  </w:tcMar>
                  <w:vAlign w:val="center"/>
                </w:tcPr>
                <w:p w14:paraId="518D6F4A">
                  <w:pPr>
                    <w:keepNext/>
                    <w:keepLines/>
                    <w:adjustRightInd w:val="0"/>
                    <w:jc w:val="center"/>
                    <w:rPr>
                      <w:bCs/>
                    </w:rPr>
                  </w:pPr>
                  <w:r>
                    <w:rPr>
                      <w:bCs/>
                    </w:rPr>
                    <w:t>临界温度（℃）：-82.6</w:t>
                  </w:r>
                </w:p>
              </w:tc>
              <w:tc>
                <w:tcPr>
                  <w:tcW w:w="2154" w:type="pct"/>
                  <w:gridSpan w:val="3"/>
                  <w:tcMar>
                    <w:top w:w="0" w:type="dxa"/>
                    <w:left w:w="0" w:type="dxa"/>
                    <w:bottom w:w="0" w:type="dxa"/>
                    <w:right w:w="0" w:type="dxa"/>
                  </w:tcMar>
                  <w:vAlign w:val="center"/>
                </w:tcPr>
                <w:p w14:paraId="4BA075A0">
                  <w:pPr>
                    <w:keepNext/>
                    <w:keepLines/>
                    <w:adjustRightInd w:val="0"/>
                    <w:jc w:val="center"/>
                    <w:rPr>
                      <w:bCs/>
                    </w:rPr>
                  </w:pPr>
                  <w:r>
                    <w:rPr>
                      <w:bCs/>
                    </w:rPr>
                    <w:t>临界压力（MPa）：4.59</w:t>
                  </w:r>
                </w:p>
              </w:tc>
              <w:tc>
                <w:tcPr>
                  <w:tcW w:w="1208" w:type="pct"/>
                  <w:gridSpan w:val="2"/>
                  <w:tcMar>
                    <w:top w:w="0" w:type="dxa"/>
                    <w:left w:w="0" w:type="dxa"/>
                    <w:bottom w:w="0" w:type="dxa"/>
                    <w:right w:w="0" w:type="dxa"/>
                  </w:tcMar>
                  <w:vAlign w:val="center"/>
                </w:tcPr>
                <w:p w14:paraId="69FF1025">
                  <w:pPr>
                    <w:keepNext/>
                    <w:keepLines/>
                    <w:adjustRightInd w:val="0"/>
                    <w:jc w:val="center"/>
                    <w:rPr>
                      <w:bCs/>
                    </w:rPr>
                  </w:pPr>
                  <w:r>
                    <w:rPr>
                      <w:bCs/>
                    </w:rPr>
                    <w:t>燃烧热（kj/mol）：889.5</w:t>
                  </w:r>
                </w:p>
              </w:tc>
            </w:tr>
            <w:tr w14:paraId="2BAEA3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4EB30487">
                  <w:pPr>
                    <w:widowControl/>
                    <w:jc w:val="left"/>
                    <w:rPr>
                      <w:bCs/>
                    </w:rPr>
                  </w:pPr>
                </w:p>
              </w:tc>
              <w:tc>
                <w:tcPr>
                  <w:tcW w:w="4694" w:type="pct"/>
                  <w:gridSpan w:val="6"/>
                  <w:tcMar>
                    <w:top w:w="0" w:type="dxa"/>
                    <w:left w:w="0" w:type="dxa"/>
                    <w:bottom w:w="0" w:type="dxa"/>
                    <w:right w:w="0" w:type="dxa"/>
                  </w:tcMar>
                  <w:vAlign w:val="center"/>
                </w:tcPr>
                <w:p w14:paraId="70E4D188">
                  <w:pPr>
                    <w:keepNext/>
                    <w:keepLines/>
                    <w:rPr>
                      <w:bCs/>
                    </w:rPr>
                  </w:pPr>
                  <w:r>
                    <w:rPr>
                      <w:bCs/>
                    </w:rPr>
                    <w:t>危险特性：与空气混合能形成爆炸性混合物，遇点火源、高热能引起燃烧爆炸。与氟、氯等能发生剧烈的化学反应。若遇高热，容器内压增大，有开裂和爆炸的危险。</w:t>
                  </w:r>
                </w:p>
              </w:tc>
            </w:tr>
            <w:tr w14:paraId="38D766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vMerge w:val="continue"/>
                  <w:vAlign w:val="center"/>
                </w:tcPr>
                <w:p w14:paraId="6689EC3B">
                  <w:pPr>
                    <w:widowControl/>
                    <w:jc w:val="left"/>
                    <w:rPr>
                      <w:bCs/>
                    </w:rPr>
                  </w:pPr>
                </w:p>
              </w:tc>
              <w:tc>
                <w:tcPr>
                  <w:tcW w:w="4694" w:type="pct"/>
                  <w:gridSpan w:val="6"/>
                  <w:tcMar>
                    <w:top w:w="0" w:type="dxa"/>
                    <w:left w:w="0" w:type="dxa"/>
                    <w:bottom w:w="0" w:type="dxa"/>
                    <w:right w:w="0" w:type="dxa"/>
                  </w:tcMar>
                  <w:vAlign w:val="center"/>
                </w:tcPr>
                <w:p w14:paraId="1FC41E95">
                  <w:pPr>
                    <w:keepNext/>
                    <w:keepLines/>
                    <w:jc w:val="left"/>
                    <w:rPr>
                      <w:bCs/>
                    </w:rPr>
                  </w:pPr>
                  <w:r>
                    <w:rPr>
                      <w:bCs/>
                    </w:rPr>
                    <w:t>灭火方法：切断气源。若不能立即切断气源，则不允许熄灭正在燃烧的气体。喷水冷却容器，可能的话将容器从火场移至空旷处。雾状水、泡沫、二氧化碳。</w:t>
                  </w:r>
                </w:p>
              </w:tc>
            </w:tr>
            <w:tr w14:paraId="4DA001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tcMar>
                    <w:top w:w="0" w:type="dxa"/>
                    <w:left w:w="0" w:type="dxa"/>
                    <w:bottom w:w="0" w:type="dxa"/>
                    <w:right w:w="0" w:type="dxa"/>
                  </w:tcMar>
                  <w:vAlign w:val="center"/>
                </w:tcPr>
                <w:p w14:paraId="7379AFEE">
                  <w:pPr>
                    <w:keepNext/>
                    <w:keepLines/>
                    <w:adjustRightInd w:val="0"/>
                    <w:jc w:val="center"/>
                    <w:rPr>
                      <w:bCs/>
                    </w:rPr>
                  </w:pPr>
                  <w:r>
                    <w:rPr>
                      <w:bCs/>
                    </w:rPr>
                    <w:t>健康危害</w:t>
                  </w:r>
                </w:p>
              </w:tc>
              <w:tc>
                <w:tcPr>
                  <w:tcW w:w="4694" w:type="pct"/>
                  <w:gridSpan w:val="6"/>
                  <w:tcMar>
                    <w:top w:w="0" w:type="dxa"/>
                    <w:left w:w="0" w:type="dxa"/>
                    <w:bottom w:w="0" w:type="dxa"/>
                    <w:right w:w="0" w:type="dxa"/>
                  </w:tcMar>
                  <w:vAlign w:val="center"/>
                </w:tcPr>
                <w:p w14:paraId="40E5F492">
                  <w:pPr>
                    <w:keepNext/>
                    <w:keepLines/>
                    <w:adjustRightInd w:val="0"/>
                    <w:rPr>
                      <w:bCs/>
                    </w:rPr>
                  </w:pPr>
                  <w:r>
                    <w:rPr>
                      <w:bCs/>
                    </w:rPr>
                    <w:t>空气中甲烷浓度过高，能使人窒息。当空气中甲烷达25～30</w:t>
                  </w:r>
                  <w:r>
                    <w:rPr>
                      <w:rFonts w:hint="eastAsia"/>
                      <w:bCs/>
                    </w:rPr>
                    <w:t>%</w:t>
                  </w:r>
                  <w:r>
                    <w:rPr>
                      <w:bCs/>
                    </w:rPr>
                    <w:t>时，可引起头痛、头晕、乏力、注意力不集中、呼吸和心跳加速、精细动作障碍等，甚至因缺氧而窒息、昏迷。</w:t>
                  </w:r>
                </w:p>
              </w:tc>
            </w:tr>
            <w:tr w14:paraId="663C4D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tcMar>
                    <w:top w:w="0" w:type="dxa"/>
                    <w:left w:w="0" w:type="dxa"/>
                    <w:bottom w:w="0" w:type="dxa"/>
                    <w:right w:w="0" w:type="dxa"/>
                  </w:tcMar>
                  <w:vAlign w:val="center"/>
                </w:tcPr>
                <w:p w14:paraId="7A56FC98">
                  <w:pPr>
                    <w:keepNext/>
                    <w:keepLines/>
                    <w:adjustRightInd w:val="0"/>
                    <w:jc w:val="center"/>
                    <w:rPr>
                      <w:bCs/>
                    </w:rPr>
                  </w:pPr>
                  <w:r>
                    <w:rPr>
                      <w:bCs/>
                    </w:rPr>
                    <w:t>急救</w:t>
                  </w:r>
                </w:p>
              </w:tc>
              <w:tc>
                <w:tcPr>
                  <w:tcW w:w="4694" w:type="pct"/>
                  <w:gridSpan w:val="6"/>
                  <w:tcMar>
                    <w:top w:w="0" w:type="dxa"/>
                    <w:left w:w="0" w:type="dxa"/>
                    <w:bottom w:w="0" w:type="dxa"/>
                    <w:right w:w="0" w:type="dxa"/>
                  </w:tcMar>
                  <w:vAlign w:val="center"/>
                </w:tcPr>
                <w:p w14:paraId="7279CAD1">
                  <w:pPr>
                    <w:keepNext/>
                    <w:keepLines/>
                    <w:rPr>
                      <w:bCs/>
                    </w:rPr>
                  </w:pPr>
                  <w:r>
                    <w:rPr>
                      <w:bCs/>
                    </w:rPr>
                    <w:t>[吸入]：迅速脱离现场至空气新鲜处。注意保暖，呼吸困难时给输氧。呼吸及心跳停止者立即进行人工呼吸和心脏按压术。就医。</w:t>
                  </w:r>
                </w:p>
              </w:tc>
            </w:tr>
            <w:tr w14:paraId="48CE9B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tcMar>
                    <w:top w:w="0" w:type="dxa"/>
                    <w:left w:w="0" w:type="dxa"/>
                    <w:bottom w:w="0" w:type="dxa"/>
                    <w:right w:w="0" w:type="dxa"/>
                  </w:tcMar>
                  <w:vAlign w:val="center"/>
                </w:tcPr>
                <w:p w14:paraId="655FAFDA">
                  <w:pPr>
                    <w:keepNext/>
                    <w:keepLines/>
                    <w:adjustRightInd w:val="0"/>
                    <w:jc w:val="center"/>
                    <w:rPr>
                      <w:bCs/>
                    </w:rPr>
                  </w:pPr>
                  <w:r>
                    <w:rPr>
                      <w:bCs/>
                    </w:rPr>
                    <w:t>防护</w:t>
                  </w:r>
                </w:p>
              </w:tc>
              <w:tc>
                <w:tcPr>
                  <w:tcW w:w="4694" w:type="pct"/>
                  <w:gridSpan w:val="6"/>
                  <w:tcMar>
                    <w:top w:w="0" w:type="dxa"/>
                    <w:left w:w="0" w:type="dxa"/>
                    <w:bottom w:w="0" w:type="dxa"/>
                    <w:right w:w="0" w:type="dxa"/>
                  </w:tcMar>
                  <w:vAlign w:val="center"/>
                </w:tcPr>
                <w:p w14:paraId="2445E827">
                  <w:pPr>
                    <w:keepNext/>
                    <w:keepLines/>
                    <w:rPr>
                      <w:bCs/>
                    </w:rPr>
                  </w:pPr>
                  <w:r>
                    <w:rPr>
                      <w:bCs/>
                    </w:rPr>
                    <w:t>[工程控制]：生产过程密闭，全面通风。</w:t>
                  </w:r>
                </w:p>
                <w:p w14:paraId="03538150">
                  <w:pPr>
                    <w:keepNext/>
                    <w:keepLines/>
                    <w:rPr>
                      <w:bCs/>
                    </w:rPr>
                  </w:pPr>
                  <w:r>
                    <w:rPr>
                      <w:bCs/>
                    </w:rPr>
                    <w:t>[呼吸系统防护]：高浓度环境中，</w:t>
                  </w:r>
                  <w:r>
                    <w:rPr>
                      <w:rFonts w:hint="eastAsia"/>
                      <w:bCs/>
                    </w:rPr>
                    <w:t>佩戴</w:t>
                  </w:r>
                  <w:r>
                    <w:rPr>
                      <w:bCs/>
                    </w:rPr>
                    <w:t>供气式呼吸器。</w:t>
                  </w:r>
                </w:p>
                <w:p w14:paraId="58A7AA39">
                  <w:pPr>
                    <w:keepNext/>
                    <w:keepLines/>
                    <w:rPr>
                      <w:bCs/>
                    </w:rPr>
                  </w:pPr>
                  <w:r>
                    <w:rPr>
                      <w:bCs/>
                    </w:rPr>
                    <w:t>[眼睛防护]：一般不需特殊防护，高浓度接触时可戴安全防护眼镜。</w:t>
                  </w:r>
                </w:p>
                <w:p w14:paraId="4EE5DCCB">
                  <w:pPr>
                    <w:keepNext/>
                    <w:keepLines/>
                    <w:rPr>
                      <w:bCs/>
                    </w:rPr>
                  </w:pPr>
                  <w:r>
                    <w:rPr>
                      <w:bCs/>
                    </w:rPr>
                    <w:t>[防护服]：穿工作服。</w:t>
                  </w:r>
                </w:p>
                <w:p w14:paraId="51265822">
                  <w:pPr>
                    <w:keepNext/>
                    <w:keepLines/>
                    <w:rPr>
                      <w:bCs/>
                    </w:rPr>
                  </w:pPr>
                  <w:r>
                    <w:rPr>
                      <w:bCs/>
                    </w:rPr>
                    <w:t>[手防护]：一般不需特殊防护，高浓度接触时可戴防护手套。</w:t>
                  </w:r>
                </w:p>
                <w:p w14:paraId="4A8FC8AD">
                  <w:pPr>
                    <w:keepNext/>
                    <w:keepLines/>
                    <w:adjustRightInd w:val="0"/>
                    <w:rPr>
                      <w:bCs/>
                    </w:rPr>
                  </w:pPr>
                  <w:r>
                    <w:rPr>
                      <w:bCs/>
                    </w:rPr>
                    <w:t>[皮肤接触]：若有冻伤，就医治疗。</w:t>
                  </w:r>
                </w:p>
              </w:tc>
            </w:tr>
            <w:tr w14:paraId="22DD3D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tcMar>
                    <w:top w:w="0" w:type="dxa"/>
                    <w:left w:w="0" w:type="dxa"/>
                    <w:bottom w:w="0" w:type="dxa"/>
                    <w:right w:w="0" w:type="dxa"/>
                  </w:tcMar>
                  <w:vAlign w:val="center"/>
                </w:tcPr>
                <w:p w14:paraId="25EB311A">
                  <w:pPr>
                    <w:keepNext/>
                    <w:keepLines/>
                    <w:adjustRightInd w:val="0"/>
                    <w:jc w:val="center"/>
                    <w:rPr>
                      <w:bCs/>
                    </w:rPr>
                  </w:pPr>
                  <w:r>
                    <w:rPr>
                      <w:bCs/>
                    </w:rPr>
                    <w:t>泄漏处理</w:t>
                  </w:r>
                </w:p>
              </w:tc>
              <w:tc>
                <w:tcPr>
                  <w:tcW w:w="4694" w:type="pct"/>
                  <w:gridSpan w:val="6"/>
                  <w:tcMar>
                    <w:top w:w="0" w:type="dxa"/>
                    <w:left w:w="0" w:type="dxa"/>
                    <w:bottom w:w="0" w:type="dxa"/>
                    <w:right w:w="0" w:type="dxa"/>
                  </w:tcMar>
                  <w:vAlign w:val="center"/>
                </w:tcPr>
                <w:p w14:paraId="1C1F5847">
                  <w:pPr>
                    <w:keepNext/>
                    <w:keepLines/>
                    <w:adjustRightInd w:val="0"/>
                    <w:rPr>
                      <w:bCs/>
                    </w:rPr>
                  </w:pPr>
                  <w:r>
                    <w:rPr>
                      <w:bCs/>
                    </w:rPr>
                    <w:t>迅速撤离泄漏污染区人员至上风处，并隔离直至气体散尽，切断火源。建议应急处理人员戴自给式呼吸器，穿一般消防防护服。切断气源，喷雾状水稀释、溶解，抽排（室内）或强力通风（室外）。如有可能，将漏出气用排风机送至空旷地方或装设适当喷头烧掉。也可以将漏气的容器移至空旷处，注意通风。漏气容器不能再用，且要经过技术处理以清除可能剩下的气体。</w:t>
                  </w:r>
                </w:p>
              </w:tc>
            </w:tr>
            <w:tr w14:paraId="74386F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tcMar>
                    <w:top w:w="0" w:type="dxa"/>
                    <w:left w:w="0" w:type="dxa"/>
                    <w:bottom w:w="0" w:type="dxa"/>
                    <w:right w:w="0" w:type="dxa"/>
                  </w:tcMar>
                  <w:vAlign w:val="center"/>
                </w:tcPr>
                <w:p w14:paraId="06DF865A">
                  <w:pPr>
                    <w:keepNext/>
                    <w:keepLines/>
                    <w:adjustRightInd w:val="0"/>
                    <w:jc w:val="center"/>
                    <w:rPr>
                      <w:bCs/>
                    </w:rPr>
                  </w:pPr>
                  <w:r>
                    <w:rPr>
                      <w:bCs/>
                    </w:rPr>
                    <w:t>储运</w:t>
                  </w:r>
                </w:p>
              </w:tc>
              <w:tc>
                <w:tcPr>
                  <w:tcW w:w="4694" w:type="pct"/>
                  <w:gridSpan w:val="6"/>
                  <w:tcMar>
                    <w:top w:w="0" w:type="dxa"/>
                    <w:left w:w="0" w:type="dxa"/>
                    <w:bottom w:w="0" w:type="dxa"/>
                    <w:right w:w="0" w:type="dxa"/>
                  </w:tcMar>
                  <w:vAlign w:val="center"/>
                </w:tcPr>
                <w:p w14:paraId="33C6F6F0">
                  <w:pPr>
                    <w:keepNext/>
                    <w:keepLines/>
                    <w:adjustRightInd w:val="0"/>
                    <w:rPr>
                      <w:bCs/>
                    </w:rPr>
                  </w:pPr>
                  <w:r>
                    <w:rPr>
                      <w:bCs/>
                    </w:rPr>
                    <w:t>易燃压缩气体。储存于阴凉、通风仓间内。仓温不宜超过30℃。远离火种、热源。防止阳光直射。应与氧气、压缩空气、卤素（氟、氯、溴）等分开存放。切忌混储混运。储存间内的照明、通风等设施应采用防爆型，开关设在仓外。配备相应品种和数量的消防器材。罐储时要有防火防爆技术措施。露天贮罐夏季要有降温措施。禁止使用易产生火花的机械设备和工具。验收时要注意品名，注意验瓶日期，先进仓的先发用。搬运时轻装轻卸，防止钢瓶及附件破损。</w:t>
                  </w:r>
                </w:p>
              </w:tc>
            </w:tr>
            <w:tr w14:paraId="169B74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06" w:type="pct"/>
                  <w:tcMar>
                    <w:top w:w="0" w:type="dxa"/>
                    <w:left w:w="0" w:type="dxa"/>
                    <w:bottom w:w="0" w:type="dxa"/>
                    <w:right w:w="0" w:type="dxa"/>
                  </w:tcMar>
                  <w:vAlign w:val="center"/>
                </w:tcPr>
                <w:p w14:paraId="33AAE025">
                  <w:pPr>
                    <w:keepNext/>
                    <w:keepLines/>
                    <w:adjustRightInd w:val="0"/>
                    <w:rPr>
                      <w:bCs/>
                    </w:rPr>
                  </w:pPr>
                  <w:r>
                    <w:rPr>
                      <w:bCs/>
                    </w:rPr>
                    <w:t>其他</w:t>
                  </w:r>
                </w:p>
              </w:tc>
              <w:tc>
                <w:tcPr>
                  <w:tcW w:w="4694" w:type="pct"/>
                  <w:gridSpan w:val="6"/>
                  <w:tcMar>
                    <w:top w:w="0" w:type="dxa"/>
                    <w:left w:w="0" w:type="dxa"/>
                    <w:bottom w:w="0" w:type="dxa"/>
                    <w:right w:w="0" w:type="dxa"/>
                  </w:tcMar>
                  <w:vAlign w:val="center"/>
                </w:tcPr>
                <w:p w14:paraId="7D34F9B2">
                  <w:pPr>
                    <w:keepNext/>
                    <w:keepLines/>
                    <w:adjustRightInd w:val="0"/>
                    <w:jc w:val="left"/>
                    <w:rPr>
                      <w:bCs/>
                    </w:rPr>
                  </w:pPr>
                  <w:r>
                    <w:rPr>
                      <w:bCs/>
                    </w:rPr>
                    <w:t>工作现场严禁吸烟。避免长期反复接触。进入罐或其它高浓度区作业，须有人监护。</w:t>
                  </w:r>
                </w:p>
              </w:tc>
            </w:tr>
          </w:tbl>
          <w:p w14:paraId="2E6FAC6A">
            <w:pPr>
              <w:jc w:val="center"/>
              <w:rPr>
                <w:b/>
                <w:bCs/>
                <w:sz w:val="24"/>
              </w:rPr>
            </w:pPr>
            <w:r>
              <w:rPr>
                <w:b/>
                <w:kern w:val="0"/>
                <w:sz w:val="24"/>
              </w:rPr>
              <w:t>表</w:t>
            </w:r>
            <w:r>
              <w:rPr>
                <w:rFonts w:hint="eastAsia"/>
                <w:b/>
                <w:kern w:val="0"/>
                <w:sz w:val="24"/>
              </w:rPr>
              <w:t>4</w:t>
            </w:r>
            <w:r>
              <w:rPr>
                <w:b/>
                <w:kern w:val="0"/>
                <w:sz w:val="24"/>
              </w:rPr>
              <w:t>-</w:t>
            </w:r>
            <w:r>
              <w:rPr>
                <w:rFonts w:hint="eastAsia"/>
                <w:b/>
                <w:kern w:val="0"/>
                <w:sz w:val="24"/>
              </w:rPr>
              <w:t>17</w:t>
            </w:r>
            <w:r>
              <w:rPr>
                <w:b/>
                <w:kern w:val="0"/>
                <w:sz w:val="24"/>
              </w:rPr>
              <w:t xml:space="preserve"> </w:t>
            </w:r>
            <w:r>
              <w:rPr>
                <w:rFonts w:hint="eastAsia"/>
                <w:b/>
                <w:kern w:val="0"/>
                <w:sz w:val="24"/>
              </w:rPr>
              <w:t>氢氧化钠</w:t>
            </w:r>
            <w:r>
              <w:rPr>
                <w:b/>
                <w:kern w:val="0"/>
                <w:sz w:val="24"/>
              </w:rPr>
              <w:t>特性表</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06"/>
              <w:gridCol w:w="3711"/>
              <w:gridCol w:w="1518"/>
              <w:gridCol w:w="2360"/>
            </w:tblGrid>
            <w:tr w14:paraId="4925E0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restart"/>
                  <w:vAlign w:val="center"/>
                </w:tcPr>
                <w:p w14:paraId="351F0EB3">
                  <w:pPr>
                    <w:jc w:val="center"/>
                    <w:rPr>
                      <w:szCs w:val="21"/>
                    </w:rPr>
                  </w:pPr>
                  <w:r>
                    <w:rPr>
                      <w:szCs w:val="21"/>
                    </w:rPr>
                    <w:t>标</w:t>
                  </w:r>
                </w:p>
                <w:p w14:paraId="177116C0">
                  <w:pPr>
                    <w:jc w:val="center"/>
                    <w:rPr>
                      <w:szCs w:val="21"/>
                    </w:rPr>
                  </w:pPr>
                  <w:r>
                    <w:rPr>
                      <w:szCs w:val="21"/>
                    </w:rPr>
                    <w:t>识</w:t>
                  </w:r>
                </w:p>
              </w:tc>
              <w:tc>
                <w:tcPr>
                  <w:tcW w:w="2264" w:type="pct"/>
                </w:tcPr>
                <w:p w14:paraId="1FB96494">
                  <w:pPr>
                    <w:rPr>
                      <w:szCs w:val="21"/>
                    </w:rPr>
                  </w:pPr>
                  <w:r>
                    <w:rPr>
                      <w:szCs w:val="21"/>
                    </w:rPr>
                    <w:t>中文名：氢氧化钠</w:t>
                  </w:r>
                </w:p>
                <w:p w14:paraId="691088BE">
                  <w:pPr>
                    <w:rPr>
                      <w:szCs w:val="21"/>
                    </w:rPr>
                  </w:pPr>
                  <w:r>
                    <w:rPr>
                      <w:szCs w:val="21"/>
                    </w:rPr>
                    <w:t>别名：烧碱</w:t>
                  </w:r>
                </w:p>
              </w:tc>
              <w:tc>
                <w:tcPr>
                  <w:tcW w:w="2366" w:type="pct"/>
                  <w:gridSpan w:val="2"/>
                </w:tcPr>
                <w:p w14:paraId="7A12605F">
                  <w:pPr>
                    <w:rPr>
                      <w:szCs w:val="21"/>
                    </w:rPr>
                  </w:pPr>
                  <w:r>
                    <w:rPr>
                      <w:szCs w:val="21"/>
                    </w:rPr>
                    <w:t>英文名：sodiun hydroxide</w:t>
                  </w:r>
                </w:p>
                <w:p w14:paraId="44ABAC71">
                  <w:pPr>
                    <w:rPr>
                      <w:szCs w:val="21"/>
                    </w:rPr>
                  </w:pPr>
                  <w:r>
                    <w:rPr>
                      <w:szCs w:val="21"/>
                    </w:rPr>
                    <w:t>Caustic soda</w:t>
                  </w:r>
                </w:p>
              </w:tc>
            </w:tr>
            <w:tr w14:paraId="37BFF6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2570318C">
                  <w:pPr>
                    <w:widowControl/>
                    <w:jc w:val="left"/>
                    <w:rPr>
                      <w:szCs w:val="21"/>
                    </w:rPr>
                  </w:pPr>
                </w:p>
              </w:tc>
              <w:tc>
                <w:tcPr>
                  <w:tcW w:w="2264" w:type="pct"/>
                  <w:vAlign w:val="center"/>
                </w:tcPr>
                <w:p w14:paraId="189F5827">
                  <w:pPr>
                    <w:rPr>
                      <w:szCs w:val="21"/>
                    </w:rPr>
                  </w:pPr>
                  <w:r>
                    <w:rPr>
                      <w:szCs w:val="21"/>
                    </w:rPr>
                    <w:t>分子式：NaOH</w:t>
                  </w:r>
                </w:p>
              </w:tc>
              <w:tc>
                <w:tcPr>
                  <w:tcW w:w="926" w:type="pct"/>
                  <w:vAlign w:val="center"/>
                </w:tcPr>
                <w:p w14:paraId="168DFE3E">
                  <w:pPr>
                    <w:rPr>
                      <w:szCs w:val="21"/>
                    </w:rPr>
                  </w:pPr>
                  <w:r>
                    <w:rPr>
                      <w:szCs w:val="21"/>
                    </w:rPr>
                    <w:t>分子量：40.01</w:t>
                  </w:r>
                </w:p>
              </w:tc>
              <w:tc>
                <w:tcPr>
                  <w:tcW w:w="1440" w:type="pct"/>
                  <w:vAlign w:val="center"/>
                </w:tcPr>
                <w:p w14:paraId="798FC4F0">
                  <w:pPr>
                    <w:rPr>
                      <w:szCs w:val="21"/>
                    </w:rPr>
                  </w:pPr>
                  <w:r>
                    <w:rPr>
                      <w:szCs w:val="21"/>
                    </w:rPr>
                    <w:t>UN编号：1823</w:t>
                  </w:r>
                </w:p>
              </w:tc>
            </w:tr>
            <w:tr w14:paraId="7F7B6B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549002AA">
                  <w:pPr>
                    <w:widowControl/>
                    <w:jc w:val="left"/>
                    <w:rPr>
                      <w:szCs w:val="21"/>
                    </w:rPr>
                  </w:pPr>
                </w:p>
              </w:tc>
              <w:tc>
                <w:tcPr>
                  <w:tcW w:w="3190" w:type="pct"/>
                  <w:gridSpan w:val="2"/>
                  <w:vAlign w:val="center"/>
                </w:tcPr>
                <w:p w14:paraId="40426412">
                  <w:pPr>
                    <w:rPr>
                      <w:szCs w:val="21"/>
                    </w:rPr>
                  </w:pPr>
                  <w:r>
                    <w:rPr>
                      <w:szCs w:val="21"/>
                    </w:rPr>
                    <w:t>危险类别：第8.2类碱性腐蚀品82001</w:t>
                  </w:r>
                </w:p>
              </w:tc>
              <w:tc>
                <w:tcPr>
                  <w:tcW w:w="1440" w:type="pct"/>
                  <w:vAlign w:val="center"/>
                </w:tcPr>
                <w:p w14:paraId="53B3B902">
                  <w:pPr>
                    <w:rPr>
                      <w:szCs w:val="21"/>
                    </w:rPr>
                  </w:pPr>
                  <w:r>
                    <w:rPr>
                      <w:szCs w:val="21"/>
                    </w:rPr>
                    <w:t>CAS号：1310-73-2</w:t>
                  </w:r>
                </w:p>
              </w:tc>
            </w:tr>
            <w:tr w14:paraId="68A2F9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restart"/>
                  <w:vAlign w:val="center"/>
                </w:tcPr>
                <w:p w14:paraId="18C1104C">
                  <w:pPr>
                    <w:jc w:val="center"/>
                    <w:rPr>
                      <w:szCs w:val="21"/>
                    </w:rPr>
                  </w:pPr>
                  <w:r>
                    <w:rPr>
                      <w:szCs w:val="21"/>
                    </w:rPr>
                    <w:t>理化</w:t>
                  </w:r>
                </w:p>
                <w:p w14:paraId="23FF33A6">
                  <w:pPr>
                    <w:jc w:val="center"/>
                    <w:rPr>
                      <w:szCs w:val="21"/>
                    </w:rPr>
                  </w:pPr>
                  <w:r>
                    <w:rPr>
                      <w:szCs w:val="21"/>
                    </w:rPr>
                    <w:t>特性</w:t>
                  </w:r>
                </w:p>
              </w:tc>
              <w:tc>
                <w:tcPr>
                  <w:tcW w:w="4630" w:type="pct"/>
                  <w:gridSpan w:val="3"/>
                  <w:vAlign w:val="center"/>
                </w:tcPr>
                <w:p w14:paraId="3BB23D40">
                  <w:pPr>
                    <w:rPr>
                      <w:szCs w:val="21"/>
                    </w:rPr>
                  </w:pPr>
                  <w:r>
                    <w:rPr>
                      <w:szCs w:val="21"/>
                    </w:rPr>
                    <w:t>外观与性状：白色不透明固体，易潮解</w:t>
                  </w:r>
                </w:p>
              </w:tc>
            </w:tr>
            <w:tr w14:paraId="3CC878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1B65C0DC">
                  <w:pPr>
                    <w:widowControl/>
                    <w:jc w:val="left"/>
                    <w:rPr>
                      <w:szCs w:val="21"/>
                    </w:rPr>
                  </w:pPr>
                </w:p>
              </w:tc>
              <w:tc>
                <w:tcPr>
                  <w:tcW w:w="2264" w:type="pct"/>
                  <w:vAlign w:val="center"/>
                </w:tcPr>
                <w:p w14:paraId="1785AA05">
                  <w:pPr>
                    <w:rPr>
                      <w:szCs w:val="21"/>
                    </w:rPr>
                  </w:pPr>
                  <w:r>
                    <w:rPr>
                      <w:szCs w:val="21"/>
                    </w:rPr>
                    <w:t>熔点/℃：318.4</w:t>
                  </w:r>
                </w:p>
              </w:tc>
              <w:tc>
                <w:tcPr>
                  <w:tcW w:w="2366" w:type="pct"/>
                  <w:gridSpan w:val="2"/>
                  <w:vAlign w:val="center"/>
                </w:tcPr>
                <w:p w14:paraId="204D4332">
                  <w:pPr>
                    <w:rPr>
                      <w:szCs w:val="21"/>
                    </w:rPr>
                  </w:pPr>
                  <w:r>
                    <w:rPr>
                      <w:szCs w:val="21"/>
                    </w:rPr>
                    <w:t>沸点/℃：1390</w:t>
                  </w:r>
                </w:p>
              </w:tc>
            </w:tr>
            <w:tr w14:paraId="3CEF1B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3E103949">
                  <w:pPr>
                    <w:widowControl/>
                    <w:jc w:val="left"/>
                    <w:rPr>
                      <w:szCs w:val="21"/>
                    </w:rPr>
                  </w:pPr>
                </w:p>
              </w:tc>
              <w:tc>
                <w:tcPr>
                  <w:tcW w:w="2264" w:type="pct"/>
                  <w:vAlign w:val="center"/>
                </w:tcPr>
                <w:p w14:paraId="7E6CB35D">
                  <w:pPr>
                    <w:rPr>
                      <w:szCs w:val="21"/>
                    </w:rPr>
                  </w:pPr>
                  <w:r>
                    <w:rPr>
                      <w:szCs w:val="21"/>
                    </w:rPr>
                    <w:t>相对密度（水=1）：2.13</w:t>
                  </w:r>
                </w:p>
              </w:tc>
              <w:tc>
                <w:tcPr>
                  <w:tcW w:w="2366" w:type="pct"/>
                  <w:gridSpan w:val="2"/>
                  <w:vAlign w:val="center"/>
                </w:tcPr>
                <w:p w14:paraId="3BD00BF6">
                  <w:pPr>
                    <w:rPr>
                      <w:szCs w:val="21"/>
                    </w:rPr>
                  </w:pPr>
                  <w:r>
                    <w:rPr>
                      <w:szCs w:val="21"/>
                    </w:rPr>
                    <w:t>相对蒸气密度（空气=1）：无资料</w:t>
                  </w:r>
                </w:p>
              </w:tc>
            </w:tr>
            <w:tr w14:paraId="50D48A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009D89B6">
                  <w:pPr>
                    <w:widowControl/>
                    <w:jc w:val="left"/>
                    <w:rPr>
                      <w:szCs w:val="21"/>
                    </w:rPr>
                  </w:pPr>
                </w:p>
              </w:tc>
              <w:tc>
                <w:tcPr>
                  <w:tcW w:w="2264" w:type="pct"/>
                  <w:vAlign w:val="center"/>
                </w:tcPr>
                <w:p w14:paraId="68CB4A4A">
                  <w:pPr>
                    <w:rPr>
                      <w:szCs w:val="21"/>
                    </w:rPr>
                  </w:pPr>
                  <w:r>
                    <w:rPr>
                      <w:szCs w:val="21"/>
                    </w:rPr>
                    <w:t>饱和蒸汽压/kPa：0.13（739℃）</w:t>
                  </w:r>
                </w:p>
              </w:tc>
              <w:tc>
                <w:tcPr>
                  <w:tcW w:w="2366" w:type="pct"/>
                  <w:gridSpan w:val="2"/>
                  <w:vAlign w:val="center"/>
                </w:tcPr>
                <w:p w14:paraId="703CDD04">
                  <w:pPr>
                    <w:rPr>
                      <w:szCs w:val="21"/>
                    </w:rPr>
                  </w:pPr>
                  <w:r>
                    <w:rPr>
                      <w:szCs w:val="21"/>
                    </w:rPr>
                    <w:t>临界压力/MPa：25</w:t>
                  </w:r>
                </w:p>
              </w:tc>
            </w:tr>
            <w:tr w14:paraId="53E14E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7CE82936">
                  <w:pPr>
                    <w:widowControl/>
                    <w:jc w:val="left"/>
                    <w:rPr>
                      <w:szCs w:val="21"/>
                    </w:rPr>
                  </w:pPr>
                </w:p>
              </w:tc>
              <w:tc>
                <w:tcPr>
                  <w:tcW w:w="2264" w:type="pct"/>
                  <w:vAlign w:val="center"/>
                </w:tcPr>
                <w:p w14:paraId="23C73C5F">
                  <w:pPr>
                    <w:rPr>
                      <w:szCs w:val="21"/>
                    </w:rPr>
                  </w:pPr>
                  <w:r>
                    <w:rPr>
                      <w:szCs w:val="21"/>
                    </w:rPr>
                    <w:t>闪点（℃）：无意义</w:t>
                  </w:r>
                </w:p>
              </w:tc>
              <w:tc>
                <w:tcPr>
                  <w:tcW w:w="2366" w:type="pct"/>
                  <w:gridSpan w:val="2"/>
                  <w:vAlign w:val="center"/>
                </w:tcPr>
                <w:p w14:paraId="3E1B3087">
                  <w:pPr>
                    <w:rPr>
                      <w:szCs w:val="21"/>
                    </w:rPr>
                  </w:pPr>
                  <w:r>
                    <w:rPr>
                      <w:szCs w:val="21"/>
                    </w:rPr>
                    <w:t>临界温度（℃）：</w:t>
                  </w:r>
                </w:p>
              </w:tc>
            </w:tr>
            <w:tr w14:paraId="4F9075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3AF4B3BF">
                  <w:pPr>
                    <w:widowControl/>
                    <w:jc w:val="left"/>
                    <w:rPr>
                      <w:szCs w:val="21"/>
                    </w:rPr>
                  </w:pPr>
                </w:p>
              </w:tc>
              <w:tc>
                <w:tcPr>
                  <w:tcW w:w="2264" w:type="pct"/>
                  <w:vAlign w:val="center"/>
                </w:tcPr>
                <w:p w14:paraId="18AE212C">
                  <w:pPr>
                    <w:rPr>
                      <w:szCs w:val="21"/>
                    </w:rPr>
                  </w:pPr>
                  <w:r>
                    <w:rPr>
                      <w:szCs w:val="21"/>
                    </w:rPr>
                    <w:t>爆炸下限（%）：无意义</w:t>
                  </w:r>
                </w:p>
              </w:tc>
              <w:tc>
                <w:tcPr>
                  <w:tcW w:w="2366" w:type="pct"/>
                  <w:gridSpan w:val="2"/>
                  <w:vAlign w:val="center"/>
                </w:tcPr>
                <w:p w14:paraId="79066F45">
                  <w:pPr>
                    <w:rPr>
                      <w:szCs w:val="21"/>
                    </w:rPr>
                  </w:pPr>
                  <w:r>
                    <w:rPr>
                      <w:szCs w:val="21"/>
                    </w:rPr>
                    <w:t>爆炸上限（%）：无意义</w:t>
                  </w:r>
                </w:p>
              </w:tc>
            </w:tr>
            <w:tr w14:paraId="3819DB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493148FA">
                  <w:pPr>
                    <w:widowControl/>
                    <w:jc w:val="left"/>
                    <w:rPr>
                      <w:szCs w:val="21"/>
                    </w:rPr>
                  </w:pPr>
                </w:p>
              </w:tc>
              <w:tc>
                <w:tcPr>
                  <w:tcW w:w="2264" w:type="pct"/>
                  <w:vAlign w:val="center"/>
                </w:tcPr>
                <w:p w14:paraId="76141FA3">
                  <w:pPr>
                    <w:rPr>
                      <w:szCs w:val="21"/>
                    </w:rPr>
                  </w:pPr>
                  <w:r>
                    <w:rPr>
                      <w:szCs w:val="21"/>
                    </w:rPr>
                    <w:t>辛醇/水分配系数：-3.88</w:t>
                  </w:r>
                </w:p>
              </w:tc>
              <w:tc>
                <w:tcPr>
                  <w:tcW w:w="2366" w:type="pct"/>
                  <w:gridSpan w:val="2"/>
                  <w:vAlign w:val="center"/>
                </w:tcPr>
                <w:p w14:paraId="797DC1F8">
                  <w:pPr>
                    <w:rPr>
                      <w:szCs w:val="21"/>
                    </w:rPr>
                  </w:pPr>
                  <w:r>
                    <w:rPr>
                      <w:szCs w:val="21"/>
                    </w:rPr>
                    <w:t>燃烧热（kJ/mol）：</w:t>
                  </w:r>
                </w:p>
              </w:tc>
            </w:tr>
            <w:tr w14:paraId="63903E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35B141BD">
                  <w:pPr>
                    <w:widowControl/>
                    <w:jc w:val="left"/>
                    <w:rPr>
                      <w:szCs w:val="21"/>
                    </w:rPr>
                  </w:pPr>
                </w:p>
              </w:tc>
              <w:tc>
                <w:tcPr>
                  <w:tcW w:w="2264" w:type="pct"/>
                  <w:vAlign w:val="center"/>
                </w:tcPr>
                <w:p w14:paraId="7765CF80">
                  <w:pPr>
                    <w:rPr>
                      <w:szCs w:val="21"/>
                    </w:rPr>
                  </w:pPr>
                  <w:r>
                    <w:rPr>
                      <w:szCs w:val="21"/>
                    </w:rPr>
                    <w:t>引燃温度（℃）：无意义</w:t>
                  </w:r>
                </w:p>
              </w:tc>
              <w:tc>
                <w:tcPr>
                  <w:tcW w:w="2366" w:type="pct"/>
                  <w:gridSpan w:val="2"/>
                  <w:vAlign w:val="center"/>
                </w:tcPr>
                <w:p w14:paraId="3780E409">
                  <w:pPr>
                    <w:rPr>
                      <w:szCs w:val="21"/>
                    </w:rPr>
                  </w:pPr>
                </w:p>
              </w:tc>
            </w:tr>
            <w:tr w14:paraId="20E8C8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35245730">
                  <w:pPr>
                    <w:widowControl/>
                    <w:jc w:val="left"/>
                    <w:rPr>
                      <w:szCs w:val="21"/>
                    </w:rPr>
                  </w:pPr>
                </w:p>
              </w:tc>
              <w:tc>
                <w:tcPr>
                  <w:tcW w:w="4630" w:type="pct"/>
                  <w:gridSpan w:val="3"/>
                  <w:vAlign w:val="center"/>
                </w:tcPr>
                <w:p w14:paraId="14B5F3F4">
                  <w:pPr>
                    <w:rPr>
                      <w:szCs w:val="21"/>
                    </w:rPr>
                  </w:pPr>
                  <w:r>
                    <w:rPr>
                      <w:szCs w:val="21"/>
                    </w:rPr>
                    <w:t>溶解性：易溶于水、乙醇、甘油，不溶于丙酮、乙醚。</w:t>
                  </w:r>
                </w:p>
              </w:tc>
            </w:tr>
            <w:tr w14:paraId="6A0538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Merge w:val="continue"/>
                  <w:vAlign w:val="center"/>
                </w:tcPr>
                <w:p w14:paraId="412D5F48">
                  <w:pPr>
                    <w:widowControl/>
                    <w:jc w:val="left"/>
                    <w:rPr>
                      <w:szCs w:val="21"/>
                    </w:rPr>
                  </w:pPr>
                </w:p>
              </w:tc>
              <w:tc>
                <w:tcPr>
                  <w:tcW w:w="4630" w:type="pct"/>
                  <w:gridSpan w:val="3"/>
                  <w:vAlign w:val="center"/>
                </w:tcPr>
                <w:p w14:paraId="616A2BDA">
                  <w:pPr>
                    <w:rPr>
                      <w:szCs w:val="21"/>
                    </w:rPr>
                  </w:pPr>
                  <w:r>
                    <w:rPr>
                      <w:szCs w:val="21"/>
                    </w:rPr>
                    <w:t>主要用途：广泛用作中和剂，用于制造各种钠盐、肥皂、纸浆，整理棉织品、丝、粘胶纤维，橡胶制品的再生，金属清洗、电镀，漂白等。</w:t>
                  </w:r>
                </w:p>
              </w:tc>
            </w:tr>
            <w:tr w14:paraId="77D1A9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tcMar>
                    <w:left w:w="0" w:type="dxa"/>
                    <w:right w:w="0" w:type="dxa"/>
                  </w:tcMar>
                  <w:vAlign w:val="center"/>
                </w:tcPr>
                <w:p w14:paraId="0C2F686E">
                  <w:pPr>
                    <w:jc w:val="center"/>
                    <w:rPr>
                      <w:szCs w:val="21"/>
                    </w:rPr>
                  </w:pPr>
                  <w:r>
                    <w:rPr>
                      <w:szCs w:val="21"/>
                    </w:rPr>
                    <w:t>危险性概述</w:t>
                  </w:r>
                </w:p>
              </w:tc>
              <w:tc>
                <w:tcPr>
                  <w:tcW w:w="4630" w:type="pct"/>
                  <w:gridSpan w:val="3"/>
                  <w:vAlign w:val="center"/>
                </w:tcPr>
                <w:p w14:paraId="3107ED4D">
                  <w:pPr>
                    <w:rPr>
                      <w:szCs w:val="21"/>
                    </w:rPr>
                  </w:pPr>
                  <w:r>
                    <w:rPr>
                      <w:szCs w:val="21"/>
                    </w:rPr>
                    <w:t>侵入途径：吸入、食入</w:t>
                  </w:r>
                </w:p>
                <w:p w14:paraId="124BAC24">
                  <w:pPr>
                    <w:rPr>
                      <w:szCs w:val="21"/>
                    </w:rPr>
                  </w:pPr>
                  <w:r>
                    <w:rPr>
                      <w:szCs w:val="21"/>
                    </w:rPr>
                    <w:t>健康危害：本品有强烈刺激和腐蚀性。粉尘刺激眼和呼吸道，腐蚀鼻中隔；皮肤和眼直接接触可引起灼伤；误服可造成消化道灼伤，粘膜糜烂、出血和休克。</w:t>
                  </w:r>
                </w:p>
                <w:p w14:paraId="783A298C">
                  <w:pPr>
                    <w:rPr>
                      <w:szCs w:val="21"/>
                    </w:rPr>
                  </w:pPr>
                  <w:r>
                    <w:rPr>
                      <w:szCs w:val="21"/>
                    </w:rPr>
                    <w:t>燃爆危险：不燃，无特殊爆燃特性</w:t>
                  </w:r>
                </w:p>
              </w:tc>
            </w:tr>
            <w:tr w14:paraId="00CD86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tcMar>
                    <w:left w:w="0" w:type="dxa"/>
                    <w:right w:w="0" w:type="dxa"/>
                  </w:tcMar>
                  <w:vAlign w:val="center"/>
                </w:tcPr>
                <w:p w14:paraId="27C39F12">
                  <w:pPr>
                    <w:jc w:val="center"/>
                    <w:rPr>
                      <w:szCs w:val="21"/>
                    </w:rPr>
                  </w:pPr>
                  <w:r>
                    <w:rPr>
                      <w:szCs w:val="21"/>
                    </w:rPr>
                    <w:t>稳定性和反应性</w:t>
                  </w:r>
                </w:p>
              </w:tc>
              <w:tc>
                <w:tcPr>
                  <w:tcW w:w="4630" w:type="pct"/>
                  <w:gridSpan w:val="3"/>
                  <w:vAlign w:val="center"/>
                </w:tcPr>
                <w:p w14:paraId="403449CB">
                  <w:pPr>
                    <w:rPr>
                      <w:szCs w:val="21"/>
                    </w:rPr>
                  </w:pPr>
                  <w:r>
                    <w:rPr>
                      <w:szCs w:val="21"/>
                    </w:rPr>
                    <w:t>稳定性：稳定</w:t>
                  </w:r>
                </w:p>
                <w:p w14:paraId="32FA4910">
                  <w:pPr>
                    <w:rPr>
                      <w:szCs w:val="21"/>
                    </w:rPr>
                  </w:pPr>
                  <w:r>
                    <w:rPr>
                      <w:szCs w:val="21"/>
                    </w:rPr>
                    <w:t>禁配物：强酸、易燃或可燃物、二氧化碳、过氧化物、水</w:t>
                  </w:r>
                </w:p>
                <w:p w14:paraId="76688EA2">
                  <w:pPr>
                    <w:rPr>
                      <w:szCs w:val="21"/>
                    </w:rPr>
                  </w:pPr>
                  <w:r>
                    <w:rPr>
                      <w:szCs w:val="21"/>
                    </w:rPr>
                    <w:t>避免接触的条件：潮湿空气</w:t>
                  </w:r>
                </w:p>
                <w:p w14:paraId="59379D8D">
                  <w:pPr>
                    <w:rPr>
                      <w:szCs w:val="21"/>
                    </w:rPr>
                  </w:pPr>
                  <w:r>
                    <w:rPr>
                      <w:szCs w:val="21"/>
                    </w:rPr>
                    <w:t>聚合危害：不聚合</w:t>
                  </w:r>
                </w:p>
                <w:p w14:paraId="274951CD">
                  <w:pPr>
                    <w:rPr>
                      <w:szCs w:val="21"/>
                    </w:rPr>
                  </w:pPr>
                  <w:r>
                    <w:rPr>
                      <w:szCs w:val="21"/>
                    </w:rPr>
                    <w:t>分解产物：氧化钠</w:t>
                  </w:r>
                </w:p>
              </w:tc>
            </w:tr>
            <w:tr w14:paraId="4AD35F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Align w:val="center"/>
                </w:tcPr>
                <w:p w14:paraId="18D8C64E">
                  <w:pPr>
                    <w:jc w:val="center"/>
                    <w:rPr>
                      <w:szCs w:val="21"/>
                    </w:rPr>
                  </w:pPr>
                  <w:r>
                    <w:rPr>
                      <w:szCs w:val="21"/>
                    </w:rPr>
                    <w:t>消防措施</w:t>
                  </w:r>
                </w:p>
              </w:tc>
              <w:tc>
                <w:tcPr>
                  <w:tcW w:w="4630" w:type="pct"/>
                  <w:gridSpan w:val="3"/>
                  <w:tcMar>
                    <w:left w:w="0" w:type="dxa"/>
                    <w:right w:w="0" w:type="dxa"/>
                  </w:tcMar>
                  <w:vAlign w:val="center"/>
                </w:tcPr>
                <w:p w14:paraId="547ED8B6">
                  <w:pPr>
                    <w:rPr>
                      <w:szCs w:val="21"/>
                    </w:rPr>
                  </w:pPr>
                  <w:r>
                    <w:rPr>
                      <w:szCs w:val="21"/>
                    </w:rPr>
                    <w:t>危险特性：与酸发生中和反应并放热。遇潮时对铝、锌和锡有腐蚀性，并放出易燃易爆的氢气。本品不会燃烧</w:t>
                  </w:r>
                  <w:r>
                    <w:rPr>
                      <w:rFonts w:hint="eastAsia"/>
                      <w:szCs w:val="21"/>
                    </w:rPr>
                    <w:t>，</w:t>
                  </w:r>
                  <w:r>
                    <w:rPr>
                      <w:szCs w:val="21"/>
                    </w:rPr>
                    <w:t>遇水和水蒸气大量放热</w:t>
                  </w:r>
                  <w:r>
                    <w:rPr>
                      <w:rFonts w:hint="eastAsia"/>
                      <w:szCs w:val="21"/>
                    </w:rPr>
                    <w:t>，</w:t>
                  </w:r>
                  <w:r>
                    <w:rPr>
                      <w:szCs w:val="21"/>
                    </w:rPr>
                    <w:t>形成腐蚀性溶液。具有强腐蚀性。</w:t>
                  </w:r>
                </w:p>
                <w:p w14:paraId="7E10C16B">
                  <w:pPr>
                    <w:rPr>
                      <w:szCs w:val="21"/>
                    </w:rPr>
                  </w:pPr>
                  <w:r>
                    <w:rPr>
                      <w:szCs w:val="21"/>
                    </w:rPr>
                    <w:t>有害燃烧产物：无意义</w:t>
                  </w:r>
                </w:p>
                <w:p w14:paraId="1F280CF5">
                  <w:pPr>
                    <w:rPr>
                      <w:szCs w:val="21"/>
                    </w:rPr>
                  </w:pPr>
                  <w:r>
                    <w:rPr>
                      <w:szCs w:val="21"/>
                    </w:rPr>
                    <w:t>灭火方法：本品不燃。根据着火原因选择适当灭火剂灭火。</w:t>
                  </w:r>
                </w:p>
                <w:p w14:paraId="7A1DBA25">
                  <w:pPr>
                    <w:rPr>
                      <w:szCs w:val="21"/>
                    </w:rPr>
                  </w:pPr>
                  <w:r>
                    <w:rPr>
                      <w:szCs w:val="21"/>
                    </w:rPr>
                    <w:t>灭火注意事项及措施：消防人员须穿全身耐酸碱消防服、佩戴空气呼吸器灭火。尽可能将容器从火场移至空旷处。喷水保持火场容器冷却，直至灭火结束。</w:t>
                  </w:r>
                </w:p>
              </w:tc>
            </w:tr>
            <w:tr w14:paraId="6EADA6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tcMar>
                    <w:left w:w="0" w:type="dxa"/>
                    <w:right w:w="0" w:type="dxa"/>
                  </w:tcMar>
                  <w:vAlign w:val="center"/>
                </w:tcPr>
                <w:p w14:paraId="3DD52619">
                  <w:pPr>
                    <w:jc w:val="center"/>
                    <w:rPr>
                      <w:szCs w:val="21"/>
                    </w:rPr>
                  </w:pPr>
                  <w:r>
                    <w:rPr>
                      <w:szCs w:val="21"/>
                    </w:rPr>
                    <w:t>毒理学资料</w:t>
                  </w:r>
                </w:p>
              </w:tc>
              <w:tc>
                <w:tcPr>
                  <w:tcW w:w="4630" w:type="pct"/>
                  <w:gridSpan w:val="3"/>
                  <w:vAlign w:val="center"/>
                </w:tcPr>
                <w:p w14:paraId="1A86AF17">
                  <w:pPr>
                    <w:ind w:left="1050" w:hanging="1050" w:hangingChars="500"/>
                    <w:rPr>
                      <w:szCs w:val="21"/>
                    </w:rPr>
                  </w:pPr>
                  <w:r>
                    <w:rPr>
                      <w:szCs w:val="21"/>
                    </w:rPr>
                    <w:t>急性毒性：LD</w:t>
                  </w:r>
                  <w:r>
                    <w:rPr>
                      <w:szCs w:val="21"/>
                      <w:vertAlign w:val="subscript"/>
                    </w:rPr>
                    <w:t>50</w:t>
                  </w:r>
                  <w:r>
                    <w:rPr>
                      <w:szCs w:val="21"/>
                    </w:rPr>
                    <w:t>：40mg/kg（小鼠腹腔）；</w:t>
                  </w:r>
                </w:p>
                <w:p w14:paraId="66D366B4">
                  <w:pPr>
                    <w:ind w:left="1050" w:leftChars="500"/>
                    <w:rPr>
                      <w:szCs w:val="21"/>
                    </w:rPr>
                  </w:pPr>
                  <w:r>
                    <w:rPr>
                      <w:szCs w:val="21"/>
                    </w:rPr>
                    <w:t>LC</w:t>
                  </w:r>
                  <w:r>
                    <w:rPr>
                      <w:szCs w:val="21"/>
                      <w:vertAlign w:val="subscript"/>
                    </w:rPr>
                    <w:t>50</w:t>
                  </w:r>
                  <w:r>
                    <w:rPr>
                      <w:szCs w:val="21"/>
                    </w:rPr>
                    <w:t>：无资料</w:t>
                  </w:r>
                </w:p>
                <w:p w14:paraId="4ED49AAA">
                  <w:pPr>
                    <w:rPr>
                      <w:szCs w:val="21"/>
                    </w:rPr>
                  </w:pPr>
                  <w:r>
                    <w:rPr>
                      <w:szCs w:val="21"/>
                    </w:rPr>
                    <w:t>刺激性：家兔经皮：50mg（24h），重度刺激；</w:t>
                  </w:r>
                </w:p>
                <w:p w14:paraId="73C55D1D">
                  <w:pPr>
                    <w:ind w:firstLine="840" w:firstLineChars="400"/>
                    <w:rPr>
                      <w:szCs w:val="21"/>
                    </w:rPr>
                  </w:pPr>
                  <w:r>
                    <w:rPr>
                      <w:szCs w:val="21"/>
                    </w:rPr>
                    <w:t>家兔经眼：1%，重度刺激</w:t>
                  </w:r>
                </w:p>
              </w:tc>
            </w:tr>
            <w:tr w14:paraId="5F4D56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Align w:val="center"/>
                </w:tcPr>
                <w:p w14:paraId="71ECB975">
                  <w:pPr>
                    <w:jc w:val="center"/>
                    <w:rPr>
                      <w:szCs w:val="21"/>
                    </w:rPr>
                  </w:pPr>
                  <w:r>
                    <w:rPr>
                      <w:szCs w:val="21"/>
                    </w:rPr>
                    <w:t>接触控制/个体防护</w:t>
                  </w:r>
                </w:p>
              </w:tc>
              <w:tc>
                <w:tcPr>
                  <w:tcW w:w="4630" w:type="pct"/>
                  <w:gridSpan w:val="3"/>
                  <w:vAlign w:val="center"/>
                </w:tcPr>
                <w:p w14:paraId="083DCFFA">
                  <w:pPr>
                    <w:rPr>
                      <w:szCs w:val="21"/>
                    </w:rPr>
                  </w:pPr>
                  <w:r>
                    <w:rPr>
                      <w:szCs w:val="21"/>
                    </w:rPr>
                    <w:t>职业性接触限值（mg/m</w:t>
                  </w:r>
                  <w:r>
                    <w:rPr>
                      <w:szCs w:val="21"/>
                      <w:vertAlign w:val="superscript"/>
                    </w:rPr>
                    <w:t>3</w:t>
                  </w:r>
                  <w:r>
                    <w:rPr>
                      <w:szCs w:val="21"/>
                    </w:rPr>
                    <w:t>）</w:t>
                  </w:r>
                  <w:r>
                    <w:rPr>
                      <w:rFonts w:hint="eastAsia"/>
                      <w:szCs w:val="21"/>
                    </w:rPr>
                    <w:t>：</w:t>
                  </w:r>
                  <w:r>
                    <w:rPr>
                      <w:szCs w:val="21"/>
                    </w:rPr>
                    <w:t>中国MAC：2；美国（ACGIH）TLV-C：2</w:t>
                  </w:r>
                </w:p>
                <w:p w14:paraId="175450D7">
                  <w:pPr>
                    <w:rPr>
                      <w:szCs w:val="21"/>
                    </w:rPr>
                  </w:pPr>
                  <w:r>
                    <w:rPr>
                      <w:szCs w:val="21"/>
                    </w:rPr>
                    <w:t>监测方法：火焰原子吸收光谱法</w:t>
                  </w:r>
                </w:p>
                <w:p w14:paraId="49C9B2E1">
                  <w:pPr>
                    <w:rPr>
                      <w:szCs w:val="21"/>
                    </w:rPr>
                  </w:pPr>
                  <w:r>
                    <w:rPr>
                      <w:szCs w:val="21"/>
                    </w:rPr>
                    <w:t>工程控制：密闭操作。提供安全淋浴和洗眼设备。</w:t>
                  </w:r>
                </w:p>
                <w:p w14:paraId="34016269">
                  <w:pPr>
                    <w:rPr>
                      <w:szCs w:val="21"/>
                    </w:rPr>
                  </w:pPr>
                  <w:r>
                    <w:rPr>
                      <w:szCs w:val="21"/>
                    </w:rPr>
                    <w:t>呼吸系统防护：可能接触其粉尘时，必须佩戴过滤式防尘呼吸器。必要时佩戴空气呼吸器。</w:t>
                  </w:r>
                </w:p>
                <w:p w14:paraId="1C497D34">
                  <w:pPr>
                    <w:rPr>
                      <w:szCs w:val="21"/>
                    </w:rPr>
                  </w:pPr>
                  <w:r>
                    <w:rPr>
                      <w:szCs w:val="21"/>
                    </w:rPr>
                    <w:t>眼睛防护：戴化学安全防护眼镜。</w:t>
                  </w:r>
                </w:p>
                <w:p w14:paraId="5F10C7F1">
                  <w:pPr>
                    <w:rPr>
                      <w:szCs w:val="21"/>
                    </w:rPr>
                  </w:pPr>
                  <w:r>
                    <w:rPr>
                      <w:szCs w:val="21"/>
                    </w:rPr>
                    <w:t>身体防护：穿橡胶耐酸碱服。</w:t>
                  </w:r>
                </w:p>
                <w:p w14:paraId="0EBAD387">
                  <w:pPr>
                    <w:rPr>
                      <w:szCs w:val="21"/>
                    </w:rPr>
                  </w:pPr>
                  <w:r>
                    <w:rPr>
                      <w:szCs w:val="21"/>
                    </w:rPr>
                    <w:t>手防护：戴橡胶耐酸碱手套。</w:t>
                  </w:r>
                </w:p>
                <w:p w14:paraId="4B35EBFA">
                  <w:pPr>
                    <w:rPr>
                      <w:szCs w:val="21"/>
                    </w:rPr>
                  </w:pPr>
                  <w:r>
                    <w:rPr>
                      <w:szCs w:val="21"/>
                    </w:rPr>
                    <w:t>其它：工作现场禁止吸烟、进食和饮水，饭前要洗手。工作完毕，淋浴更衣。注意个人清洁卫生。</w:t>
                  </w:r>
                </w:p>
              </w:tc>
            </w:tr>
            <w:tr w14:paraId="603CA8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vAlign w:val="center"/>
                </w:tcPr>
                <w:p w14:paraId="3109E395">
                  <w:pPr>
                    <w:jc w:val="center"/>
                    <w:rPr>
                      <w:szCs w:val="21"/>
                    </w:rPr>
                  </w:pPr>
                  <w:r>
                    <w:rPr>
                      <w:szCs w:val="21"/>
                    </w:rPr>
                    <w:t>急救措施</w:t>
                  </w:r>
                </w:p>
              </w:tc>
              <w:tc>
                <w:tcPr>
                  <w:tcW w:w="4630" w:type="pct"/>
                  <w:gridSpan w:val="3"/>
                  <w:vAlign w:val="center"/>
                </w:tcPr>
                <w:p w14:paraId="488DCA85">
                  <w:pPr>
                    <w:rPr>
                      <w:szCs w:val="21"/>
                    </w:rPr>
                  </w:pPr>
                  <w:r>
                    <w:rPr>
                      <w:szCs w:val="21"/>
                    </w:rPr>
                    <w:t>皮肤接触：立即脱去污染的衣着，用大量流动清水冲洗20～30min。如有不适感。就医。</w:t>
                  </w:r>
                </w:p>
                <w:p w14:paraId="15A091F3">
                  <w:pPr>
                    <w:rPr>
                      <w:szCs w:val="21"/>
                    </w:rPr>
                  </w:pPr>
                  <w:r>
                    <w:rPr>
                      <w:szCs w:val="21"/>
                    </w:rPr>
                    <w:t>眼睛接触：立即提起眼睑，用大量流动清水或生理盐水彻底冲洗10～15min。如有不适感，就医。</w:t>
                  </w:r>
                </w:p>
                <w:p w14:paraId="7205276C">
                  <w:pPr>
                    <w:rPr>
                      <w:szCs w:val="21"/>
                    </w:rPr>
                  </w:pPr>
                  <w:r>
                    <w:rPr>
                      <w:szCs w:val="21"/>
                    </w:rPr>
                    <w:t>吸入：迅速脱离现场至空气新鲜处。保持呼吸道通畅。如呼吸困难，给输氧。呼吸、心跳停止，立即进行心肺复苏术。就医。</w:t>
                  </w:r>
                </w:p>
                <w:p w14:paraId="3ACBC66F">
                  <w:pPr>
                    <w:rPr>
                      <w:szCs w:val="21"/>
                    </w:rPr>
                  </w:pPr>
                  <w:r>
                    <w:rPr>
                      <w:szCs w:val="21"/>
                    </w:rPr>
                    <w:t>食入：用水漱口，禁止催吐。给饮牛奶或蛋清，就医。</w:t>
                  </w:r>
                </w:p>
              </w:tc>
            </w:tr>
            <w:tr w14:paraId="7C2E70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68" w:hRule="atLeast"/>
              </w:trPr>
              <w:tc>
                <w:tcPr>
                  <w:tcW w:w="370" w:type="pct"/>
                  <w:tcMar>
                    <w:left w:w="0" w:type="dxa"/>
                    <w:right w:w="0" w:type="dxa"/>
                  </w:tcMar>
                  <w:vAlign w:val="center"/>
                </w:tcPr>
                <w:p w14:paraId="0DF99046">
                  <w:pPr>
                    <w:jc w:val="center"/>
                    <w:rPr>
                      <w:szCs w:val="21"/>
                    </w:rPr>
                  </w:pPr>
                  <w:r>
                    <w:rPr>
                      <w:szCs w:val="21"/>
                    </w:rPr>
                    <w:t>泄漏应急处理</w:t>
                  </w:r>
                </w:p>
              </w:tc>
              <w:tc>
                <w:tcPr>
                  <w:tcW w:w="4630" w:type="pct"/>
                  <w:gridSpan w:val="3"/>
                  <w:vAlign w:val="center"/>
                </w:tcPr>
                <w:p w14:paraId="0AB763F6">
                  <w:pPr>
                    <w:rPr>
                      <w:szCs w:val="21"/>
                    </w:rPr>
                  </w:pPr>
                  <w:r>
                    <w:rPr>
                      <w:szCs w:val="21"/>
                    </w:rPr>
                    <w:t>隔离泄漏污染区，限制出入。建议应急处理人员戴防尘口罩，穿防酸碱服，戴橡胶耐酸碱手套。穿上适当的防护服前严禁接触破裂的容器和泄漏物。尽可能切断泄漏源。用塑料布覆盖泄漏物，减少飞散。勿使水进入包装容器内。用洁净的铲子收集泄漏物，置于干净、干燥、盖子较松的容器中，将容器移离泄漏区。</w:t>
                  </w:r>
                </w:p>
              </w:tc>
            </w:tr>
            <w:tr w14:paraId="33559F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tcMar>
                    <w:left w:w="57" w:type="dxa"/>
                    <w:right w:w="57" w:type="dxa"/>
                  </w:tcMar>
                  <w:vAlign w:val="center"/>
                </w:tcPr>
                <w:p w14:paraId="57CDD0CE">
                  <w:pPr>
                    <w:jc w:val="center"/>
                    <w:rPr>
                      <w:szCs w:val="21"/>
                    </w:rPr>
                  </w:pPr>
                  <w:r>
                    <w:rPr>
                      <w:szCs w:val="21"/>
                    </w:rPr>
                    <w:t>操作处置与储运</w:t>
                  </w:r>
                </w:p>
              </w:tc>
              <w:tc>
                <w:tcPr>
                  <w:tcW w:w="4630" w:type="pct"/>
                  <w:gridSpan w:val="3"/>
                  <w:vAlign w:val="center"/>
                </w:tcPr>
                <w:p w14:paraId="7558A9F6">
                  <w:pPr>
                    <w:rPr>
                      <w:szCs w:val="21"/>
                    </w:rPr>
                  </w:pPr>
                  <w:r>
                    <w:rPr>
                      <w:szCs w:val="21"/>
                    </w:rPr>
                    <w:t>操作注意事项：密闭操作。操作人员必须经过专门培训，严格遵守操作规程。建议操作人员佩戴头罩型电动送风过滤式防尘呼吸器，穿橡胶耐酸碱服，戴橡胶耐酸碱手套。远离易燃、可燃物。避免产生粉尘。避免与酸类接触。搬运时要轻装轻卸，防止包装及容器损坏。配备泄漏应急处理设备。倒空的容器可能残留有害物。稀释或制备溶液时，应把碱加入水中，避免沸腾和飞溅。</w:t>
                  </w:r>
                </w:p>
                <w:p w14:paraId="2CBE1ABE">
                  <w:pPr>
                    <w:rPr>
                      <w:szCs w:val="21"/>
                    </w:rPr>
                  </w:pPr>
                  <w:r>
                    <w:rPr>
                      <w:szCs w:val="21"/>
                    </w:rPr>
                    <w:t>储存注意事项：储存于阴凉、干燥、通风良好的库房。远离火种、热源。库温不宜超过35℃，相对湿度不超过80%。包装必须密封，切勿受潮。应与易（可）燃物、酸类等分开存放，切忌混储。储区应</w:t>
                  </w:r>
                  <w:r>
                    <w:rPr>
                      <w:rFonts w:hint="eastAsia"/>
                      <w:szCs w:val="21"/>
                    </w:rPr>
                    <w:t>备有</w:t>
                  </w:r>
                  <w:r>
                    <w:rPr>
                      <w:szCs w:val="21"/>
                    </w:rPr>
                    <w:t>合适的材料收容泄漏物。</w:t>
                  </w:r>
                </w:p>
              </w:tc>
            </w:tr>
            <w:tr w14:paraId="41DD08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0" w:hRule="atLeast"/>
              </w:trPr>
              <w:tc>
                <w:tcPr>
                  <w:tcW w:w="370" w:type="pct"/>
                  <w:tcMar>
                    <w:left w:w="0" w:type="dxa"/>
                    <w:right w:w="0" w:type="dxa"/>
                  </w:tcMar>
                  <w:vAlign w:val="center"/>
                </w:tcPr>
                <w:p w14:paraId="0A903532">
                  <w:pPr>
                    <w:jc w:val="center"/>
                    <w:rPr>
                      <w:szCs w:val="21"/>
                    </w:rPr>
                  </w:pPr>
                  <w:r>
                    <w:rPr>
                      <w:szCs w:val="21"/>
                    </w:rPr>
                    <w:t>废弃处置</w:t>
                  </w:r>
                </w:p>
              </w:tc>
              <w:tc>
                <w:tcPr>
                  <w:tcW w:w="4630" w:type="pct"/>
                  <w:gridSpan w:val="3"/>
                  <w:vAlign w:val="center"/>
                </w:tcPr>
                <w:p w14:paraId="254A3E84">
                  <w:pPr>
                    <w:rPr>
                      <w:szCs w:val="21"/>
                    </w:rPr>
                  </w:pPr>
                  <w:r>
                    <w:rPr>
                      <w:szCs w:val="21"/>
                    </w:rPr>
                    <w:t>废弃物性质：危险废物</w:t>
                  </w:r>
                </w:p>
                <w:p w14:paraId="3440DA64">
                  <w:pPr>
                    <w:rPr>
                      <w:szCs w:val="21"/>
                    </w:rPr>
                  </w:pPr>
                  <w:r>
                    <w:rPr>
                      <w:szCs w:val="21"/>
                    </w:rPr>
                    <w:t>废弃处置方法：中和、稀释后，排入废水系统</w:t>
                  </w:r>
                  <w:r>
                    <w:rPr>
                      <w:rFonts w:hint="eastAsia"/>
                      <w:szCs w:val="21"/>
                    </w:rPr>
                    <w:t>。</w:t>
                  </w:r>
                </w:p>
                <w:p w14:paraId="383F9AF5">
                  <w:pPr>
                    <w:rPr>
                      <w:szCs w:val="21"/>
                    </w:rPr>
                  </w:pPr>
                  <w:r>
                    <w:rPr>
                      <w:szCs w:val="21"/>
                    </w:rPr>
                    <w:t>废弃注意事项：处置前应参阅国家和地方相关法规。把倒空的容器归还厂商或在规定场所掩埋</w:t>
                  </w:r>
                  <w:r>
                    <w:rPr>
                      <w:rFonts w:hint="eastAsia"/>
                      <w:szCs w:val="21"/>
                    </w:rPr>
                    <w:t>。</w:t>
                  </w:r>
                </w:p>
              </w:tc>
            </w:tr>
            <w:tr w14:paraId="34E67B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370" w:type="pct"/>
                  <w:tcMar>
                    <w:left w:w="57" w:type="dxa"/>
                    <w:right w:w="57" w:type="dxa"/>
                  </w:tcMar>
                  <w:vAlign w:val="center"/>
                </w:tcPr>
                <w:p w14:paraId="59B09AB7">
                  <w:pPr>
                    <w:jc w:val="center"/>
                    <w:rPr>
                      <w:szCs w:val="21"/>
                    </w:rPr>
                  </w:pPr>
                  <w:r>
                    <w:rPr>
                      <w:szCs w:val="21"/>
                    </w:rPr>
                    <w:t>运输信息</w:t>
                  </w:r>
                </w:p>
              </w:tc>
              <w:tc>
                <w:tcPr>
                  <w:tcW w:w="4630" w:type="pct"/>
                  <w:gridSpan w:val="3"/>
                  <w:vAlign w:val="center"/>
                </w:tcPr>
                <w:p w14:paraId="5426868D">
                  <w:pPr>
                    <w:rPr>
                      <w:szCs w:val="21"/>
                    </w:rPr>
                  </w:pPr>
                  <w:r>
                    <w:rPr>
                      <w:szCs w:val="21"/>
                    </w:rPr>
                    <w:t>包装类别：Ⅱ类包装              包装标志：腐蚀品</w:t>
                  </w:r>
                </w:p>
                <w:p w14:paraId="35C41220">
                  <w:pPr>
                    <w:rPr>
                      <w:szCs w:val="21"/>
                    </w:rPr>
                  </w:pPr>
                  <w:r>
                    <w:rPr>
                      <w:szCs w:val="21"/>
                    </w:rPr>
                    <w:t>包装方法：固体可装入0.5毫米厚的钢桶中严封，每桶净重不超过100公斤；塑料袋或二层牛皮纸袋外全开口或中开口钢桶；螺纹口玻璃瓶、铁盖压口玻璃瓶、塑料瓶或金属桶（罐）外普通木箱；螺纹口玻璃瓶、塑料瓶或镀锡薄钢板桶（罐）外满底板花格箱、纤维板箱或胶合板箱；镀锡薄钢板桶（罐）、金属桶（罐）、塑料瓶或金属软管外瓦楞纸箱。</w:t>
                  </w:r>
                </w:p>
                <w:p w14:paraId="7E692D03">
                  <w:pPr>
                    <w:rPr>
                      <w:szCs w:val="21"/>
                    </w:rPr>
                  </w:pPr>
                  <w:r>
                    <w:rPr>
                      <w:szCs w:val="21"/>
                    </w:rPr>
                    <w:t>运输注意事项：铁路运输时，钢桶包装的可用敞车运输。起运时包装要完整，装载应稳妥。运输过程中要确保容器不泄漏、不倒塌、不坠落、不损坏。严禁与易燃物或可燃物、酸类、食用化学品等混装混运。运输时运输车辆应配备泄漏应急处理设备。</w:t>
                  </w:r>
                </w:p>
              </w:tc>
            </w:tr>
          </w:tbl>
          <w:p w14:paraId="7A47AFB9">
            <w:pPr>
              <w:spacing w:line="360" w:lineRule="auto"/>
              <w:ind w:firstLine="480" w:firstLineChars="200"/>
              <w:rPr>
                <w:sz w:val="24"/>
                <w:szCs w:val="32"/>
              </w:rPr>
            </w:pPr>
            <w:r>
              <w:rPr>
                <w:sz w:val="24"/>
                <w:szCs w:val="32"/>
              </w:rPr>
              <w:t>（2）勘探过程危险性识别</w:t>
            </w:r>
          </w:p>
          <w:p w14:paraId="6EC87C82">
            <w:pPr>
              <w:spacing w:line="360" w:lineRule="auto"/>
              <w:ind w:firstLine="480" w:firstLineChars="200"/>
              <w:rPr>
                <w:sz w:val="24"/>
                <w:szCs w:val="32"/>
              </w:rPr>
            </w:pPr>
            <w:r>
              <w:rPr>
                <w:sz w:val="24"/>
                <w:szCs w:val="32"/>
              </w:rPr>
              <w:t>1）危险性识别</w:t>
            </w:r>
          </w:p>
          <w:p w14:paraId="5E507504">
            <w:pPr>
              <w:spacing w:line="360" w:lineRule="auto"/>
              <w:ind w:firstLine="480" w:firstLineChars="200"/>
              <w:rPr>
                <w:sz w:val="24"/>
                <w:szCs w:val="32"/>
              </w:rPr>
            </w:pPr>
            <w:r>
              <w:rPr>
                <w:rFonts w:hint="eastAsia"/>
                <w:sz w:val="24"/>
                <w:szCs w:val="32"/>
              </w:rPr>
              <w:t>勘探井开发过程环境风险事故中，影响范围较广的风险事故主要为井喷及井喷引起的火灾、爆炸等。其潜在的风险事故和危害如下表所示。</w:t>
            </w:r>
          </w:p>
          <w:p w14:paraId="04296955">
            <w:pPr>
              <w:autoSpaceDE w:val="0"/>
              <w:autoSpaceDN w:val="0"/>
              <w:adjustRightInd w:val="0"/>
              <w:ind w:firstLine="482" w:firstLineChars="200"/>
              <w:jc w:val="center"/>
              <w:rPr>
                <w:b/>
                <w:kern w:val="0"/>
                <w:sz w:val="24"/>
              </w:rPr>
            </w:pPr>
            <w:r>
              <w:rPr>
                <w:b/>
                <w:kern w:val="0"/>
                <w:sz w:val="24"/>
              </w:rPr>
              <w:t>表</w:t>
            </w:r>
            <w:r>
              <w:rPr>
                <w:rFonts w:hint="eastAsia"/>
                <w:b/>
                <w:kern w:val="0"/>
                <w:sz w:val="24"/>
              </w:rPr>
              <w:t>4</w:t>
            </w:r>
            <w:r>
              <w:rPr>
                <w:b/>
                <w:kern w:val="0"/>
                <w:sz w:val="24"/>
              </w:rPr>
              <w:t>-</w:t>
            </w:r>
            <w:r>
              <w:rPr>
                <w:rFonts w:hint="eastAsia"/>
                <w:b/>
                <w:kern w:val="0"/>
                <w:sz w:val="24"/>
              </w:rPr>
              <w:t>18 主要事故类型、来源及影响环境的途径</w:t>
            </w:r>
          </w:p>
          <w:tbl>
            <w:tblPr>
              <w:tblStyle w:val="3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992"/>
              <w:gridCol w:w="851"/>
              <w:gridCol w:w="992"/>
              <w:gridCol w:w="3924"/>
              <w:gridCol w:w="1436"/>
            </w:tblGrid>
            <w:tr w14:paraId="795D119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606" w:type="pct"/>
                  <w:vAlign w:val="center"/>
                </w:tcPr>
                <w:p w14:paraId="796F949E">
                  <w:pPr>
                    <w:jc w:val="center"/>
                    <w:rPr>
                      <w:szCs w:val="21"/>
                    </w:rPr>
                  </w:pPr>
                  <w:r>
                    <w:rPr>
                      <w:szCs w:val="21"/>
                    </w:rPr>
                    <w:t>事故类型</w:t>
                  </w:r>
                </w:p>
              </w:tc>
              <w:tc>
                <w:tcPr>
                  <w:tcW w:w="519" w:type="pct"/>
                  <w:vAlign w:val="center"/>
                </w:tcPr>
                <w:p w14:paraId="4831E917">
                  <w:pPr>
                    <w:jc w:val="center"/>
                    <w:rPr>
                      <w:szCs w:val="21"/>
                    </w:rPr>
                  </w:pPr>
                  <w:r>
                    <w:rPr>
                      <w:szCs w:val="21"/>
                    </w:rPr>
                    <w:t>来源</w:t>
                  </w:r>
                </w:p>
              </w:tc>
              <w:tc>
                <w:tcPr>
                  <w:tcW w:w="605" w:type="pct"/>
                  <w:vAlign w:val="center"/>
                </w:tcPr>
                <w:p w14:paraId="6D428D94">
                  <w:pPr>
                    <w:jc w:val="center"/>
                    <w:rPr>
                      <w:szCs w:val="21"/>
                    </w:rPr>
                  </w:pPr>
                  <w:r>
                    <w:rPr>
                      <w:szCs w:val="21"/>
                    </w:rPr>
                    <w:t>危险物质</w:t>
                  </w:r>
                </w:p>
              </w:tc>
              <w:tc>
                <w:tcPr>
                  <w:tcW w:w="2394" w:type="pct"/>
                  <w:vAlign w:val="center"/>
                </w:tcPr>
                <w:p w14:paraId="47BBF8C3">
                  <w:pPr>
                    <w:jc w:val="center"/>
                    <w:rPr>
                      <w:szCs w:val="21"/>
                    </w:rPr>
                  </w:pPr>
                  <w:r>
                    <w:rPr>
                      <w:szCs w:val="21"/>
                    </w:rPr>
                    <w:t>影响环境的途径</w:t>
                  </w:r>
                </w:p>
              </w:tc>
              <w:tc>
                <w:tcPr>
                  <w:tcW w:w="876" w:type="pct"/>
                  <w:vAlign w:val="center"/>
                </w:tcPr>
                <w:p w14:paraId="58EE7ACE">
                  <w:pPr>
                    <w:jc w:val="center"/>
                    <w:rPr>
                      <w:szCs w:val="21"/>
                    </w:rPr>
                  </w:pPr>
                  <w:r>
                    <w:rPr>
                      <w:szCs w:val="21"/>
                    </w:rPr>
                    <w:t>可能影响的环境敏感目标</w:t>
                  </w:r>
                </w:p>
              </w:tc>
            </w:tr>
            <w:tr w14:paraId="434B999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606" w:type="pct"/>
                  <w:vAlign w:val="center"/>
                </w:tcPr>
                <w:p w14:paraId="499AF98D">
                  <w:pPr>
                    <w:jc w:val="center"/>
                    <w:rPr>
                      <w:szCs w:val="21"/>
                    </w:rPr>
                  </w:pPr>
                  <w:r>
                    <w:rPr>
                      <w:szCs w:val="21"/>
                    </w:rPr>
                    <w:t>井喷</w:t>
                  </w:r>
                </w:p>
              </w:tc>
              <w:tc>
                <w:tcPr>
                  <w:tcW w:w="519" w:type="pct"/>
                  <w:vAlign w:val="center"/>
                </w:tcPr>
                <w:p w14:paraId="6264BD17">
                  <w:pPr>
                    <w:jc w:val="center"/>
                    <w:rPr>
                      <w:szCs w:val="21"/>
                    </w:rPr>
                  </w:pPr>
                  <w:r>
                    <w:rPr>
                      <w:szCs w:val="21"/>
                    </w:rPr>
                    <w:t>钻井、试油</w:t>
                  </w:r>
                </w:p>
              </w:tc>
              <w:tc>
                <w:tcPr>
                  <w:tcW w:w="605" w:type="pct"/>
                  <w:vAlign w:val="center"/>
                </w:tcPr>
                <w:p w14:paraId="4E1BA149">
                  <w:pPr>
                    <w:jc w:val="center"/>
                    <w:rPr>
                      <w:szCs w:val="21"/>
                    </w:rPr>
                  </w:pPr>
                  <w:r>
                    <w:rPr>
                      <w:szCs w:val="21"/>
                    </w:rPr>
                    <w:t>原油、钻井泥浆、CO</w:t>
                  </w:r>
                </w:p>
              </w:tc>
              <w:tc>
                <w:tcPr>
                  <w:tcW w:w="2394" w:type="pct"/>
                  <w:vAlign w:val="center"/>
                </w:tcPr>
                <w:p w14:paraId="11A3778C">
                  <w:pPr>
                    <w:rPr>
                      <w:szCs w:val="21"/>
                    </w:rPr>
                  </w:pPr>
                  <w:r>
                    <w:rPr>
                      <w:rFonts w:hint="eastAsia" w:ascii="宋体" w:hAnsi="宋体" w:cs="宋体"/>
                      <w:szCs w:val="21"/>
                    </w:rPr>
                    <w:t>①</w:t>
                  </w:r>
                  <w:r>
                    <w:rPr>
                      <w:rFonts w:hint="eastAsia"/>
                      <w:szCs w:val="21"/>
                    </w:rPr>
                    <w:t>井喷</w:t>
                  </w:r>
                  <w:r>
                    <w:rPr>
                      <w:szCs w:val="21"/>
                    </w:rPr>
                    <w:t>事故引发火灾从而污染大气环境；</w:t>
                  </w:r>
                </w:p>
                <w:p w14:paraId="4BB90144">
                  <w:pPr>
                    <w:rPr>
                      <w:szCs w:val="21"/>
                    </w:rPr>
                  </w:pPr>
                  <w:r>
                    <w:rPr>
                      <w:rFonts w:hint="eastAsia" w:ascii="宋体" w:hAnsi="宋体" w:cs="宋体"/>
                      <w:szCs w:val="21"/>
                    </w:rPr>
                    <w:t>②</w:t>
                  </w:r>
                  <w:r>
                    <w:rPr>
                      <w:szCs w:val="21"/>
                    </w:rPr>
                    <w:t>泄漏进入地表，阻塞土壤孔隙，使土壤板结，降低通透性，不利于植物生长；</w:t>
                  </w:r>
                </w:p>
                <w:p w14:paraId="36C005CA">
                  <w:pPr>
                    <w:rPr>
                      <w:szCs w:val="21"/>
                    </w:rPr>
                  </w:pPr>
                  <w:r>
                    <w:rPr>
                      <w:rFonts w:hint="eastAsia" w:ascii="宋体" w:hAnsi="宋体" w:cs="宋体"/>
                      <w:szCs w:val="21"/>
                    </w:rPr>
                    <w:t>③</w:t>
                  </w:r>
                  <w:r>
                    <w:rPr>
                      <w:szCs w:val="21"/>
                    </w:rPr>
                    <w:t>进入地下水层，污染地下水水质</w:t>
                  </w:r>
                  <w:r>
                    <w:rPr>
                      <w:rFonts w:hint="eastAsia"/>
                      <w:szCs w:val="21"/>
                    </w:rPr>
                    <w:t>。</w:t>
                  </w:r>
                </w:p>
              </w:tc>
              <w:tc>
                <w:tcPr>
                  <w:tcW w:w="876" w:type="pct"/>
                  <w:vAlign w:val="center"/>
                </w:tcPr>
                <w:p w14:paraId="5606C6D3">
                  <w:pPr>
                    <w:jc w:val="center"/>
                    <w:rPr>
                      <w:szCs w:val="21"/>
                    </w:rPr>
                  </w:pPr>
                  <w:r>
                    <w:rPr>
                      <w:szCs w:val="21"/>
                    </w:rPr>
                    <w:t>周围大气环境、土壤环境、地下水环境</w:t>
                  </w:r>
                </w:p>
              </w:tc>
            </w:tr>
            <w:tr w14:paraId="77012F6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606" w:type="pct"/>
                  <w:vAlign w:val="center"/>
                </w:tcPr>
                <w:p w14:paraId="47A12F50">
                  <w:pPr>
                    <w:jc w:val="center"/>
                    <w:rPr>
                      <w:szCs w:val="21"/>
                    </w:rPr>
                  </w:pPr>
                  <w:r>
                    <w:rPr>
                      <w:szCs w:val="21"/>
                    </w:rPr>
                    <w:t>井漏</w:t>
                  </w:r>
                </w:p>
              </w:tc>
              <w:tc>
                <w:tcPr>
                  <w:tcW w:w="519" w:type="pct"/>
                  <w:vAlign w:val="center"/>
                </w:tcPr>
                <w:p w14:paraId="7C7B284B">
                  <w:pPr>
                    <w:jc w:val="center"/>
                    <w:rPr>
                      <w:szCs w:val="21"/>
                    </w:rPr>
                  </w:pPr>
                  <w:r>
                    <w:rPr>
                      <w:szCs w:val="21"/>
                    </w:rPr>
                    <w:t>钻井</w:t>
                  </w:r>
                </w:p>
              </w:tc>
              <w:tc>
                <w:tcPr>
                  <w:tcW w:w="605" w:type="pct"/>
                  <w:vAlign w:val="center"/>
                </w:tcPr>
                <w:p w14:paraId="2AA0ECF3">
                  <w:pPr>
                    <w:jc w:val="center"/>
                    <w:rPr>
                      <w:szCs w:val="21"/>
                    </w:rPr>
                  </w:pPr>
                  <w:r>
                    <w:rPr>
                      <w:szCs w:val="21"/>
                    </w:rPr>
                    <w:t>钻井</w:t>
                  </w:r>
                  <w:r>
                    <w:rPr>
                      <w:rFonts w:hint="eastAsia"/>
                      <w:szCs w:val="21"/>
                    </w:rPr>
                    <w:t>泥浆</w:t>
                  </w:r>
                </w:p>
              </w:tc>
              <w:tc>
                <w:tcPr>
                  <w:tcW w:w="2394" w:type="pct"/>
                  <w:vAlign w:val="center"/>
                </w:tcPr>
                <w:p w14:paraId="285D7A11">
                  <w:pPr>
                    <w:jc w:val="left"/>
                    <w:rPr>
                      <w:szCs w:val="21"/>
                    </w:rPr>
                  </w:pPr>
                  <w:r>
                    <w:rPr>
                      <w:szCs w:val="21"/>
                    </w:rPr>
                    <w:t>钻井泥浆等沿裂缝漏失进入地下水层，污染地下水水质</w:t>
                  </w:r>
                  <w:r>
                    <w:rPr>
                      <w:rFonts w:hint="eastAsia"/>
                      <w:szCs w:val="21"/>
                    </w:rPr>
                    <w:t>。</w:t>
                  </w:r>
                </w:p>
              </w:tc>
              <w:tc>
                <w:tcPr>
                  <w:tcW w:w="876" w:type="pct"/>
                  <w:vAlign w:val="center"/>
                </w:tcPr>
                <w:p w14:paraId="41616D15">
                  <w:pPr>
                    <w:jc w:val="center"/>
                    <w:rPr>
                      <w:szCs w:val="21"/>
                    </w:rPr>
                  </w:pPr>
                  <w:r>
                    <w:rPr>
                      <w:szCs w:val="21"/>
                    </w:rPr>
                    <w:t>地下水环境</w:t>
                  </w:r>
                </w:p>
              </w:tc>
            </w:tr>
            <w:tr w14:paraId="597FE2B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606" w:type="pct"/>
                  <w:vAlign w:val="center"/>
                </w:tcPr>
                <w:p w14:paraId="14A34B81">
                  <w:pPr>
                    <w:jc w:val="center"/>
                    <w:rPr>
                      <w:szCs w:val="21"/>
                    </w:rPr>
                  </w:pPr>
                  <w:r>
                    <w:rPr>
                      <w:szCs w:val="21"/>
                    </w:rPr>
                    <w:t>柴油罐泄漏、火灾、爆炸</w:t>
                  </w:r>
                </w:p>
              </w:tc>
              <w:tc>
                <w:tcPr>
                  <w:tcW w:w="519" w:type="pct"/>
                  <w:vAlign w:val="center"/>
                </w:tcPr>
                <w:p w14:paraId="7AF0C382">
                  <w:pPr>
                    <w:jc w:val="center"/>
                    <w:rPr>
                      <w:szCs w:val="21"/>
                    </w:rPr>
                  </w:pPr>
                  <w:r>
                    <w:rPr>
                      <w:rFonts w:hint="eastAsia"/>
                      <w:szCs w:val="21"/>
                    </w:rPr>
                    <w:t>钻井/试油</w:t>
                  </w:r>
                </w:p>
              </w:tc>
              <w:tc>
                <w:tcPr>
                  <w:tcW w:w="605" w:type="pct"/>
                  <w:vAlign w:val="center"/>
                </w:tcPr>
                <w:p w14:paraId="1ADB1AF7">
                  <w:pPr>
                    <w:jc w:val="center"/>
                    <w:rPr>
                      <w:szCs w:val="21"/>
                    </w:rPr>
                  </w:pPr>
                  <w:r>
                    <w:rPr>
                      <w:szCs w:val="21"/>
                    </w:rPr>
                    <w:t>柴油</w:t>
                  </w:r>
                  <w:r>
                    <w:rPr>
                      <w:rFonts w:hint="eastAsia"/>
                      <w:szCs w:val="21"/>
                    </w:rPr>
                    <w:t>、CO等</w:t>
                  </w:r>
                </w:p>
              </w:tc>
              <w:tc>
                <w:tcPr>
                  <w:tcW w:w="2394" w:type="pct"/>
                  <w:vAlign w:val="center"/>
                </w:tcPr>
                <w:p w14:paraId="3C94BB7B">
                  <w:pPr>
                    <w:jc w:val="left"/>
                    <w:rPr>
                      <w:szCs w:val="21"/>
                    </w:rPr>
                  </w:pPr>
                  <w:r>
                    <w:rPr>
                      <w:rFonts w:hint="eastAsia" w:ascii="宋体" w:hAnsi="宋体" w:cs="宋体"/>
                      <w:szCs w:val="21"/>
                    </w:rPr>
                    <w:t>①</w:t>
                  </w:r>
                  <w:r>
                    <w:rPr>
                      <w:rFonts w:hint="eastAsia"/>
                      <w:szCs w:val="21"/>
                    </w:rPr>
                    <w:t>柴油泄漏</w:t>
                  </w:r>
                  <w:r>
                    <w:rPr>
                      <w:szCs w:val="21"/>
                    </w:rPr>
                    <w:t>引发火灾从而污染大气环境；</w:t>
                  </w:r>
                </w:p>
                <w:p w14:paraId="0F5538C9">
                  <w:pPr>
                    <w:jc w:val="left"/>
                    <w:rPr>
                      <w:szCs w:val="21"/>
                    </w:rPr>
                  </w:pPr>
                  <w:r>
                    <w:rPr>
                      <w:rFonts w:hint="eastAsia" w:ascii="宋体" w:hAnsi="宋体" w:cs="宋体"/>
                      <w:szCs w:val="21"/>
                    </w:rPr>
                    <w:t>②</w:t>
                  </w:r>
                  <w:r>
                    <w:rPr>
                      <w:szCs w:val="21"/>
                    </w:rPr>
                    <w:t>泄漏进入地表，阻塞土壤孔隙，使土壤板结，降低通透性，不利于植物生长；</w:t>
                  </w:r>
                </w:p>
                <w:p w14:paraId="7730734E">
                  <w:pPr>
                    <w:jc w:val="left"/>
                    <w:rPr>
                      <w:szCs w:val="21"/>
                    </w:rPr>
                  </w:pPr>
                  <w:r>
                    <w:rPr>
                      <w:rFonts w:hint="eastAsia" w:ascii="宋体" w:hAnsi="宋体" w:cs="宋体"/>
                      <w:szCs w:val="21"/>
                    </w:rPr>
                    <w:t>③</w:t>
                  </w:r>
                  <w:r>
                    <w:rPr>
                      <w:szCs w:val="21"/>
                    </w:rPr>
                    <w:t>进入地下水层，污染地下水水质</w:t>
                  </w:r>
                  <w:r>
                    <w:rPr>
                      <w:rFonts w:hint="eastAsia"/>
                      <w:szCs w:val="21"/>
                    </w:rPr>
                    <w:t>。</w:t>
                  </w:r>
                </w:p>
              </w:tc>
              <w:tc>
                <w:tcPr>
                  <w:tcW w:w="876" w:type="pct"/>
                  <w:vAlign w:val="center"/>
                </w:tcPr>
                <w:p w14:paraId="172939C6">
                  <w:pPr>
                    <w:jc w:val="center"/>
                    <w:rPr>
                      <w:szCs w:val="21"/>
                    </w:rPr>
                  </w:pPr>
                  <w:r>
                    <w:rPr>
                      <w:szCs w:val="21"/>
                    </w:rPr>
                    <w:t>周围大气环境、土壤环境、地下水环境</w:t>
                  </w:r>
                </w:p>
              </w:tc>
            </w:tr>
            <w:tr w14:paraId="16CFE0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606" w:type="pct"/>
                  <w:vAlign w:val="center"/>
                </w:tcPr>
                <w:p w14:paraId="40231C82">
                  <w:pPr>
                    <w:jc w:val="center"/>
                    <w:rPr>
                      <w:szCs w:val="21"/>
                    </w:rPr>
                  </w:pPr>
                  <w:r>
                    <w:rPr>
                      <w:rFonts w:hint="eastAsia"/>
                      <w:szCs w:val="21"/>
                    </w:rPr>
                    <w:t>井口、管线、储液罐</w:t>
                  </w:r>
                  <w:r>
                    <w:rPr>
                      <w:szCs w:val="21"/>
                    </w:rPr>
                    <w:t>泄漏、火灾、爆炸</w:t>
                  </w:r>
                </w:p>
              </w:tc>
              <w:tc>
                <w:tcPr>
                  <w:tcW w:w="519" w:type="pct"/>
                  <w:vAlign w:val="center"/>
                </w:tcPr>
                <w:p w14:paraId="6183715E">
                  <w:pPr>
                    <w:jc w:val="center"/>
                    <w:rPr>
                      <w:szCs w:val="21"/>
                    </w:rPr>
                  </w:pPr>
                  <w:r>
                    <w:rPr>
                      <w:szCs w:val="21"/>
                    </w:rPr>
                    <w:t>试油</w:t>
                  </w:r>
                </w:p>
              </w:tc>
              <w:tc>
                <w:tcPr>
                  <w:tcW w:w="605" w:type="pct"/>
                  <w:vAlign w:val="center"/>
                </w:tcPr>
                <w:p w14:paraId="5D48328C">
                  <w:pPr>
                    <w:jc w:val="center"/>
                    <w:rPr>
                      <w:szCs w:val="21"/>
                    </w:rPr>
                  </w:pPr>
                  <w:r>
                    <w:rPr>
                      <w:rFonts w:hint="eastAsia"/>
                      <w:szCs w:val="21"/>
                    </w:rPr>
                    <w:t>原油</w:t>
                  </w:r>
                  <w:r>
                    <w:rPr>
                      <w:szCs w:val="21"/>
                    </w:rPr>
                    <w:t>、CO等</w:t>
                  </w:r>
                </w:p>
              </w:tc>
              <w:tc>
                <w:tcPr>
                  <w:tcW w:w="2394" w:type="pct"/>
                  <w:vAlign w:val="center"/>
                </w:tcPr>
                <w:p w14:paraId="60EAD4D0">
                  <w:pPr>
                    <w:jc w:val="left"/>
                    <w:rPr>
                      <w:szCs w:val="21"/>
                    </w:rPr>
                  </w:pPr>
                  <w:r>
                    <w:rPr>
                      <w:rFonts w:hint="eastAsia" w:ascii="宋体" w:hAnsi="宋体" w:cs="宋体"/>
                      <w:szCs w:val="21"/>
                    </w:rPr>
                    <w:t>①</w:t>
                  </w:r>
                  <w:r>
                    <w:rPr>
                      <w:rFonts w:hint="eastAsia"/>
                      <w:szCs w:val="21"/>
                    </w:rPr>
                    <w:t>原油泄漏</w:t>
                  </w:r>
                  <w:r>
                    <w:rPr>
                      <w:szCs w:val="21"/>
                    </w:rPr>
                    <w:t>引发火灾从而污染大气环境；</w:t>
                  </w:r>
                </w:p>
                <w:p w14:paraId="079CDCA9">
                  <w:pPr>
                    <w:jc w:val="left"/>
                    <w:rPr>
                      <w:szCs w:val="21"/>
                    </w:rPr>
                  </w:pPr>
                  <w:r>
                    <w:rPr>
                      <w:rFonts w:hint="eastAsia" w:ascii="宋体" w:hAnsi="宋体" w:cs="宋体"/>
                      <w:szCs w:val="21"/>
                    </w:rPr>
                    <w:t>②</w:t>
                  </w:r>
                  <w:r>
                    <w:rPr>
                      <w:szCs w:val="21"/>
                    </w:rPr>
                    <w:t>泄漏进入地表，阻塞土壤孔隙，使土壤板结，降低通透性，不利于植物生长；</w:t>
                  </w:r>
                </w:p>
                <w:p w14:paraId="7487D095">
                  <w:pPr>
                    <w:jc w:val="left"/>
                    <w:rPr>
                      <w:szCs w:val="21"/>
                    </w:rPr>
                  </w:pPr>
                  <w:r>
                    <w:rPr>
                      <w:rFonts w:hint="eastAsia" w:ascii="宋体" w:hAnsi="宋体" w:cs="宋体"/>
                      <w:szCs w:val="21"/>
                    </w:rPr>
                    <w:t>③</w:t>
                  </w:r>
                  <w:r>
                    <w:rPr>
                      <w:szCs w:val="21"/>
                    </w:rPr>
                    <w:t>进入地下水层，污染地下水水质</w:t>
                  </w:r>
                  <w:r>
                    <w:rPr>
                      <w:rFonts w:hint="eastAsia"/>
                      <w:szCs w:val="21"/>
                    </w:rPr>
                    <w:t>。</w:t>
                  </w:r>
                </w:p>
              </w:tc>
              <w:tc>
                <w:tcPr>
                  <w:tcW w:w="876" w:type="pct"/>
                  <w:vAlign w:val="center"/>
                </w:tcPr>
                <w:p w14:paraId="7C1C70A5">
                  <w:pPr>
                    <w:jc w:val="center"/>
                    <w:rPr>
                      <w:szCs w:val="21"/>
                    </w:rPr>
                  </w:pPr>
                  <w:r>
                    <w:rPr>
                      <w:szCs w:val="21"/>
                    </w:rPr>
                    <w:t>周围大气环境、土壤环境、地下水环境</w:t>
                  </w:r>
                </w:p>
              </w:tc>
            </w:tr>
            <w:tr w14:paraId="3A3DFA0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606" w:type="pct"/>
                  <w:vAlign w:val="center"/>
                </w:tcPr>
                <w:p w14:paraId="0520F31F">
                  <w:pPr>
                    <w:jc w:val="center"/>
                    <w:rPr>
                      <w:szCs w:val="21"/>
                    </w:rPr>
                  </w:pPr>
                  <w:r>
                    <w:rPr>
                      <w:rFonts w:hint="eastAsia"/>
                      <w:szCs w:val="21"/>
                    </w:rPr>
                    <w:t>危废</w:t>
                  </w:r>
                  <w:r>
                    <w:rPr>
                      <w:szCs w:val="21"/>
                    </w:rPr>
                    <w:t>物质泄漏</w:t>
                  </w:r>
                </w:p>
              </w:tc>
              <w:tc>
                <w:tcPr>
                  <w:tcW w:w="519" w:type="pct"/>
                  <w:vAlign w:val="center"/>
                </w:tcPr>
                <w:p w14:paraId="2476292B">
                  <w:pPr>
                    <w:jc w:val="center"/>
                    <w:rPr>
                      <w:szCs w:val="21"/>
                    </w:rPr>
                  </w:pPr>
                  <w:r>
                    <w:rPr>
                      <w:szCs w:val="21"/>
                    </w:rPr>
                    <w:t>危废暂存</w:t>
                  </w:r>
                </w:p>
              </w:tc>
              <w:tc>
                <w:tcPr>
                  <w:tcW w:w="605" w:type="pct"/>
                  <w:vAlign w:val="center"/>
                </w:tcPr>
                <w:p w14:paraId="1C9B266A">
                  <w:pPr>
                    <w:jc w:val="center"/>
                    <w:rPr>
                      <w:szCs w:val="21"/>
                    </w:rPr>
                  </w:pPr>
                  <w:r>
                    <w:rPr>
                      <w:szCs w:val="21"/>
                    </w:rPr>
                    <w:t>废润滑油等矿物油</w:t>
                  </w:r>
                </w:p>
              </w:tc>
              <w:tc>
                <w:tcPr>
                  <w:tcW w:w="2394" w:type="pct"/>
                  <w:vAlign w:val="center"/>
                </w:tcPr>
                <w:p w14:paraId="7DFF4AEA">
                  <w:pPr>
                    <w:jc w:val="left"/>
                    <w:rPr>
                      <w:rFonts w:ascii="宋体" w:hAnsi="宋体" w:cs="宋体"/>
                      <w:szCs w:val="21"/>
                    </w:rPr>
                  </w:pPr>
                  <w:r>
                    <w:rPr>
                      <w:rFonts w:hint="eastAsia" w:ascii="宋体" w:hAnsi="宋体" w:cs="宋体"/>
                      <w:szCs w:val="21"/>
                    </w:rPr>
                    <w:t>泄漏后污染区域地下水及土壤；若发生火灾，污染区域大气环境</w:t>
                  </w:r>
                </w:p>
              </w:tc>
              <w:tc>
                <w:tcPr>
                  <w:tcW w:w="876" w:type="pct"/>
                  <w:vAlign w:val="center"/>
                </w:tcPr>
                <w:p w14:paraId="216733FD">
                  <w:pPr>
                    <w:jc w:val="center"/>
                    <w:rPr>
                      <w:szCs w:val="21"/>
                    </w:rPr>
                  </w:pPr>
                  <w:r>
                    <w:rPr>
                      <w:szCs w:val="21"/>
                    </w:rPr>
                    <w:t>周围大气环境、土壤环境、地下水环境</w:t>
                  </w:r>
                </w:p>
              </w:tc>
            </w:tr>
          </w:tbl>
          <w:p w14:paraId="004AF93B">
            <w:pPr>
              <w:spacing w:line="360" w:lineRule="auto"/>
              <w:ind w:firstLine="480" w:firstLineChars="200"/>
              <w:rPr>
                <w:sz w:val="24"/>
                <w:szCs w:val="32"/>
              </w:rPr>
            </w:pPr>
            <w:r>
              <w:rPr>
                <w:sz w:val="24"/>
                <w:szCs w:val="32"/>
              </w:rPr>
              <w:t>2）风险事故类比调查</w:t>
            </w:r>
          </w:p>
          <w:p w14:paraId="4B1A35B5">
            <w:pPr>
              <w:spacing w:line="360" w:lineRule="auto"/>
              <w:ind w:firstLine="480" w:firstLineChars="200"/>
              <w:rPr>
                <w:sz w:val="24"/>
                <w:szCs w:val="32"/>
              </w:rPr>
            </w:pPr>
            <w:r>
              <w:rPr>
                <w:rFonts w:hint="eastAsia"/>
                <w:sz w:val="24"/>
                <w:szCs w:val="32"/>
              </w:rPr>
              <w:t>因地层的复杂多变性，钻井过程中存在井喷事故发生的可能性，但油气田已发生的井喷事故多发生在油气田勘探开发初期，随着对地层和地质状况的不断深入了解，加之防喷技术的提高，目前油气田勘探开发过程中井喷事故的发生概率在不断降低。通过对巴彦油田现有勘探井数据分析，压力分布规律及控制措施已基本掌握，勘探井发生井喷的概率极低，即使发生井喷事故，压井措施也比较容易成功。</w:t>
            </w:r>
          </w:p>
          <w:p w14:paraId="35BF8D46">
            <w:pPr>
              <w:spacing w:line="360" w:lineRule="auto"/>
              <w:ind w:firstLine="480" w:firstLineChars="200"/>
              <w:jc w:val="left"/>
              <w:rPr>
                <w:b/>
                <w:sz w:val="30"/>
                <w:szCs w:val="30"/>
              </w:rPr>
            </w:pPr>
            <w:r>
              <w:rPr>
                <w:sz w:val="24"/>
                <w:szCs w:val="32"/>
              </w:rPr>
              <w:t>据不完全统计，中国在油气勘探开发的40年间，累计发生井喷失控事故230次，占完井总数的2.41‰，其中，井喷失控着火78次，占井喷失控总数的34%，因此，井喷失控的事故率约为0.603×10</w:t>
            </w:r>
            <w:r>
              <w:rPr>
                <w:sz w:val="24"/>
                <w:szCs w:val="32"/>
                <w:vertAlign w:val="superscript"/>
              </w:rPr>
              <w:t>-4</w:t>
            </w:r>
            <w:r>
              <w:rPr>
                <w:sz w:val="24"/>
                <w:szCs w:val="32"/>
              </w:rPr>
              <w:t>次/年，其中井喷失控着火的事故率约为0.203×10</w:t>
            </w:r>
            <w:r>
              <w:rPr>
                <w:sz w:val="24"/>
                <w:szCs w:val="32"/>
                <w:vertAlign w:val="superscript"/>
              </w:rPr>
              <w:t>-4</w:t>
            </w:r>
            <w:r>
              <w:rPr>
                <w:sz w:val="24"/>
                <w:szCs w:val="32"/>
              </w:rPr>
              <w:t>次/年，未着火的事故率约为0.4×10</w:t>
            </w:r>
            <w:r>
              <w:rPr>
                <w:sz w:val="24"/>
                <w:szCs w:val="32"/>
                <w:vertAlign w:val="superscript"/>
              </w:rPr>
              <w:t>-4</w:t>
            </w:r>
            <w:r>
              <w:rPr>
                <w:sz w:val="24"/>
                <w:szCs w:val="32"/>
              </w:rPr>
              <w:t>次/年。</w:t>
            </w:r>
          </w:p>
          <w:p w14:paraId="5EE74D1B">
            <w:pPr>
              <w:spacing w:line="360" w:lineRule="auto"/>
              <w:ind w:firstLine="480" w:firstLineChars="200"/>
              <w:rPr>
                <w:sz w:val="24"/>
                <w:szCs w:val="32"/>
              </w:rPr>
            </w:pPr>
            <w:r>
              <w:rPr>
                <w:rFonts w:hint="eastAsia"/>
                <w:sz w:val="24"/>
                <w:szCs w:val="32"/>
              </w:rPr>
              <w:t>根据施工期工艺特点，可能造成潜在环境风险的主要环节包括：钻井、起下钻、下套管、固井、测井和试油作业等，在整个钻井过程中可能发生的事故以井喷后果最为严重，井喷失控易酿成火灾、爆炸事故，造成人员伤亡、设备损坏、油井报废和自然环境的污染。</w:t>
            </w:r>
          </w:p>
          <w:p w14:paraId="573E77A5">
            <w:pPr>
              <w:spacing w:line="360" w:lineRule="auto"/>
              <w:ind w:firstLine="480" w:firstLineChars="200"/>
              <w:rPr>
                <w:sz w:val="24"/>
                <w:szCs w:val="32"/>
              </w:rPr>
            </w:pPr>
            <w:r>
              <w:rPr>
                <w:sz w:val="24"/>
                <w:szCs w:val="32"/>
              </w:rPr>
              <w:t>（3）环境影响途径及危害程度</w:t>
            </w:r>
          </w:p>
          <w:p w14:paraId="3A1CA13A">
            <w:pPr>
              <w:spacing w:line="360" w:lineRule="auto"/>
              <w:ind w:firstLine="480" w:firstLineChars="200"/>
              <w:rPr>
                <w:sz w:val="24"/>
                <w:szCs w:val="32"/>
              </w:rPr>
            </w:pPr>
            <w:r>
              <w:rPr>
                <w:sz w:val="24"/>
                <w:szCs w:val="32"/>
              </w:rPr>
              <w:t>1）随空气扩散</w:t>
            </w:r>
          </w:p>
          <w:p w14:paraId="5252AA94">
            <w:pPr>
              <w:spacing w:line="360" w:lineRule="auto"/>
              <w:ind w:firstLine="480" w:firstLineChars="200"/>
              <w:rPr>
                <w:sz w:val="24"/>
                <w:szCs w:val="32"/>
              </w:rPr>
            </w:pPr>
            <w:r>
              <w:rPr>
                <w:sz w:val="24"/>
                <w:szCs w:val="32"/>
              </w:rPr>
              <w:t>工程环境风险事故中随空气扩散的物质主要是火灾爆炸烟气中的SO</w:t>
            </w:r>
            <w:r>
              <w:rPr>
                <w:sz w:val="24"/>
                <w:szCs w:val="32"/>
                <w:vertAlign w:val="subscript"/>
              </w:rPr>
              <w:t>2</w:t>
            </w:r>
            <w:r>
              <w:rPr>
                <w:sz w:val="24"/>
                <w:szCs w:val="32"/>
              </w:rPr>
              <w:t>、CO、轻烃等物质以及泄漏事故中挥发大空气中的烃类物质。其中挥发的烃类物质扩散范围较近，只影响泄漏点附近范围；而火灾爆炸烟气中的SO</w:t>
            </w:r>
            <w:r>
              <w:rPr>
                <w:sz w:val="24"/>
                <w:szCs w:val="32"/>
                <w:vertAlign w:val="subscript"/>
              </w:rPr>
              <w:t>2</w:t>
            </w:r>
            <w:r>
              <w:rPr>
                <w:sz w:val="24"/>
                <w:szCs w:val="32"/>
              </w:rPr>
              <w:t>、NOx、CO、烟尘等物质则受烟气排量大的影响，扩散范围较远，一般可随空气流通扩散至几公里甚至更远的范围，将会严重影响周边区域环境空气质量。</w:t>
            </w:r>
          </w:p>
          <w:p w14:paraId="5E3C8743">
            <w:pPr>
              <w:spacing w:line="360" w:lineRule="auto"/>
              <w:ind w:firstLine="480" w:firstLineChars="200"/>
              <w:rPr>
                <w:sz w:val="24"/>
                <w:szCs w:val="32"/>
              </w:rPr>
            </w:pPr>
            <w:r>
              <w:rPr>
                <w:sz w:val="24"/>
                <w:szCs w:val="32"/>
              </w:rPr>
              <w:t>2）随河流水体扩散</w:t>
            </w:r>
          </w:p>
          <w:p w14:paraId="136E9A0B">
            <w:pPr>
              <w:spacing w:line="360" w:lineRule="auto"/>
              <w:ind w:firstLine="480" w:firstLineChars="200"/>
              <w:rPr>
                <w:sz w:val="24"/>
                <w:szCs w:val="32"/>
              </w:rPr>
            </w:pPr>
            <w:r>
              <w:rPr>
                <w:sz w:val="24"/>
                <w:szCs w:val="32"/>
              </w:rPr>
              <w:t>一旦发生井喷、油品泄漏等事故，喷出或泄漏出的油品如果未及时清理可能进入附近地表水体，对河流水质造成污染。</w:t>
            </w:r>
          </w:p>
          <w:p w14:paraId="4EFDFC0E">
            <w:pPr>
              <w:spacing w:line="360" w:lineRule="auto"/>
              <w:ind w:firstLine="480" w:firstLineChars="200"/>
              <w:rPr>
                <w:sz w:val="24"/>
                <w:szCs w:val="32"/>
              </w:rPr>
            </w:pPr>
            <w:r>
              <w:rPr>
                <w:sz w:val="24"/>
                <w:szCs w:val="32"/>
              </w:rPr>
              <w:t>项目距离</w:t>
            </w:r>
            <w:r>
              <w:rPr>
                <w:rFonts w:hint="eastAsia"/>
                <w:sz w:val="24"/>
                <w:szCs w:val="32"/>
              </w:rPr>
              <w:t>地表水体</w:t>
            </w:r>
            <w:r>
              <w:rPr>
                <w:sz w:val="24"/>
                <w:szCs w:val="32"/>
              </w:rPr>
              <w:t>较远，不会对地表水环境产生影响。</w:t>
            </w:r>
          </w:p>
          <w:p w14:paraId="373845DB">
            <w:pPr>
              <w:spacing w:line="360" w:lineRule="auto"/>
              <w:ind w:firstLine="480" w:firstLineChars="200"/>
              <w:rPr>
                <w:sz w:val="24"/>
                <w:szCs w:val="32"/>
              </w:rPr>
            </w:pPr>
            <w:r>
              <w:rPr>
                <w:sz w:val="24"/>
                <w:szCs w:val="32"/>
              </w:rPr>
              <w:t>3）进入地下水</w:t>
            </w:r>
          </w:p>
          <w:p w14:paraId="3730765F">
            <w:pPr>
              <w:spacing w:line="360" w:lineRule="auto"/>
              <w:ind w:firstLine="480" w:firstLineChars="200"/>
              <w:rPr>
                <w:sz w:val="24"/>
                <w:szCs w:val="32"/>
              </w:rPr>
            </w:pPr>
            <w:r>
              <w:rPr>
                <w:sz w:val="24"/>
                <w:szCs w:val="32"/>
              </w:rPr>
              <w:t>进入地下水扩散传播的主要是事故状态下泄漏的油品，他们当中含有的石油类等有害物质会直接进入受污染区域的土壤，在地下水位埋深浅的区域还可能通过土壤渗透到地下水环境，进而可能造成区域的地下水环境污染。</w:t>
            </w:r>
          </w:p>
          <w:p w14:paraId="32387624">
            <w:pPr>
              <w:spacing w:line="360" w:lineRule="auto"/>
              <w:ind w:firstLine="480" w:firstLineChars="200"/>
              <w:rPr>
                <w:sz w:val="24"/>
                <w:szCs w:val="32"/>
              </w:rPr>
            </w:pPr>
            <w:r>
              <w:rPr>
                <w:rFonts w:hint="eastAsia"/>
                <w:sz w:val="24"/>
                <w:szCs w:val="32"/>
              </w:rPr>
              <w:t>项目采用撬装式储罐，下方铺设有防渗膜，发生油类泄漏时可及时发现并收集处置，因此不会进入到地下水环境</w:t>
            </w:r>
            <w:r>
              <w:rPr>
                <w:sz w:val="24"/>
                <w:szCs w:val="32"/>
              </w:rPr>
              <w:t>。</w:t>
            </w:r>
          </w:p>
          <w:p w14:paraId="1C4C082B">
            <w:pPr>
              <w:spacing w:line="360" w:lineRule="auto"/>
              <w:ind w:firstLine="480" w:firstLineChars="200"/>
              <w:rPr>
                <w:sz w:val="24"/>
                <w:szCs w:val="32"/>
              </w:rPr>
            </w:pPr>
            <w:r>
              <w:rPr>
                <w:rFonts w:hint="eastAsia"/>
                <w:sz w:val="24"/>
                <w:szCs w:val="32"/>
              </w:rPr>
              <w:t>2</w:t>
            </w:r>
            <w:r>
              <w:rPr>
                <w:sz w:val="24"/>
                <w:szCs w:val="32"/>
              </w:rPr>
              <w:t>、环境风险分析</w:t>
            </w:r>
          </w:p>
          <w:p w14:paraId="2450744B">
            <w:pPr>
              <w:spacing w:line="360" w:lineRule="auto"/>
              <w:ind w:firstLine="480" w:firstLineChars="200"/>
              <w:rPr>
                <w:sz w:val="24"/>
                <w:szCs w:val="32"/>
              </w:rPr>
            </w:pPr>
            <w:r>
              <w:rPr>
                <w:sz w:val="24"/>
                <w:szCs w:val="32"/>
              </w:rPr>
              <w:t>（1）环境空气风险分析</w:t>
            </w:r>
          </w:p>
          <w:p w14:paraId="4CA9C6C2">
            <w:pPr>
              <w:spacing w:line="360" w:lineRule="auto"/>
              <w:ind w:firstLine="480" w:firstLineChars="200"/>
              <w:rPr>
                <w:sz w:val="24"/>
                <w:szCs w:val="32"/>
              </w:rPr>
            </w:pPr>
            <w:r>
              <w:rPr>
                <w:rFonts w:hint="eastAsia"/>
                <w:sz w:val="24"/>
                <w:szCs w:val="32"/>
              </w:rPr>
              <w:t>项目对大气环境造成影响的风险事故主要为井喷、柴油罐、采出液储罐、井口至储液罐管线及危险废物泄漏事故。</w:t>
            </w:r>
          </w:p>
          <w:p w14:paraId="2763FEFF">
            <w:pPr>
              <w:spacing w:line="360" w:lineRule="auto"/>
              <w:ind w:firstLine="480" w:firstLineChars="200"/>
              <w:rPr>
                <w:sz w:val="24"/>
                <w:szCs w:val="32"/>
              </w:rPr>
            </w:pPr>
            <w:r>
              <w:rPr>
                <w:sz w:val="24"/>
                <w:szCs w:val="32"/>
              </w:rPr>
              <w:t>1）井喷事故</w:t>
            </w:r>
          </w:p>
          <w:p w14:paraId="6E1BF093">
            <w:pPr>
              <w:spacing w:line="360" w:lineRule="auto"/>
              <w:ind w:firstLine="480" w:firstLineChars="200"/>
              <w:rPr>
                <w:sz w:val="24"/>
                <w:szCs w:val="32"/>
              </w:rPr>
            </w:pPr>
            <w:r>
              <w:rPr>
                <w:rFonts w:hint="eastAsia"/>
                <w:sz w:val="24"/>
                <w:szCs w:val="32"/>
              </w:rPr>
              <w:t>井喷失控事故对大气环境造成的影响较大。其主要成分是烷烃和芳烃碳氢化合物，其中，对大气环境可造成污染的是其中较轻的烃类组分，这些成分挥发进入大气形成烃类污染。若泄漏得不到及时处理，则烃类挥发时间持续较长，形成的污染就较严重。如果一次事故泄漏量过多，覆盖面较大，在未能及时回收、气象因子适宜的条件下，便可形成较重的局部大气污染，这时，大气中总烃的浓度可比正常情况高出数倍甚至更多。泄漏后如果发生火灾，则燃烧形成的黑烟造成较重的大气污染。根据对相似油田和华北油田历史上发生的井喷事故的调查，一旦发生井喷事故，污染范围通常在100~200m范围内。</w:t>
            </w:r>
          </w:p>
          <w:p w14:paraId="55767C70">
            <w:pPr>
              <w:spacing w:line="360" w:lineRule="auto"/>
              <w:ind w:firstLine="480" w:firstLineChars="200"/>
              <w:rPr>
                <w:sz w:val="24"/>
                <w:szCs w:val="32"/>
              </w:rPr>
            </w:pPr>
            <w:r>
              <w:rPr>
                <w:rFonts w:hint="eastAsia"/>
                <w:sz w:val="24"/>
                <w:szCs w:val="32"/>
              </w:rPr>
              <w:t>造成井喷必须有三个基本条件：要有连通性好的地层；要有石油、气、水的存在；要有一定的能量（地层压力）。项目钻井时根据地层压力特征采取了对应的防喷措施，在按照钻井安全环保控制措施施工条件下井喷事故的发生频率很小。</w:t>
            </w:r>
          </w:p>
          <w:p w14:paraId="16499352">
            <w:pPr>
              <w:spacing w:line="360" w:lineRule="auto"/>
              <w:ind w:firstLine="480" w:firstLineChars="200"/>
              <w:rPr>
                <w:sz w:val="24"/>
                <w:szCs w:val="32"/>
              </w:rPr>
            </w:pPr>
            <w:r>
              <w:rPr>
                <w:sz w:val="24"/>
                <w:szCs w:val="32"/>
              </w:rPr>
              <w:t>2）柴油罐、采出液储罐</w:t>
            </w:r>
            <w:r>
              <w:rPr>
                <w:rFonts w:hint="eastAsia"/>
                <w:sz w:val="24"/>
                <w:szCs w:val="32"/>
              </w:rPr>
              <w:t>、井口至储液罐</w:t>
            </w:r>
            <w:r>
              <w:rPr>
                <w:sz w:val="24"/>
                <w:szCs w:val="32"/>
              </w:rPr>
              <w:t>管线</w:t>
            </w:r>
            <w:r>
              <w:rPr>
                <w:rFonts w:hint="eastAsia"/>
                <w:sz w:val="24"/>
                <w:szCs w:val="32"/>
              </w:rPr>
              <w:t>、</w:t>
            </w:r>
            <w:r>
              <w:rPr>
                <w:sz w:val="24"/>
                <w:szCs w:val="32"/>
              </w:rPr>
              <w:t>废润滑油</w:t>
            </w:r>
            <w:r>
              <w:rPr>
                <w:rFonts w:hint="eastAsia"/>
                <w:sz w:val="24"/>
                <w:szCs w:val="32"/>
              </w:rPr>
              <w:t>和</w:t>
            </w:r>
            <w:r>
              <w:rPr>
                <w:sz w:val="24"/>
                <w:szCs w:val="32"/>
              </w:rPr>
              <w:t>落地油泄漏事故影响分析</w:t>
            </w:r>
          </w:p>
          <w:p w14:paraId="14184046">
            <w:pPr>
              <w:spacing w:line="360" w:lineRule="auto"/>
              <w:ind w:firstLine="480" w:firstLineChars="200"/>
              <w:rPr>
                <w:sz w:val="24"/>
                <w:szCs w:val="32"/>
              </w:rPr>
            </w:pPr>
            <w:r>
              <w:rPr>
                <w:sz w:val="24"/>
                <w:szCs w:val="32"/>
              </w:rPr>
              <w:t>风险影响主要是柴油罐、采出液储罐</w:t>
            </w:r>
            <w:r>
              <w:rPr>
                <w:rFonts w:hint="eastAsia"/>
                <w:sz w:val="24"/>
                <w:szCs w:val="32"/>
              </w:rPr>
              <w:t>、井口至储液罐</w:t>
            </w:r>
            <w:r>
              <w:rPr>
                <w:sz w:val="24"/>
                <w:szCs w:val="32"/>
              </w:rPr>
              <w:t>管线</w:t>
            </w:r>
            <w:r>
              <w:rPr>
                <w:rFonts w:hint="eastAsia"/>
                <w:sz w:val="24"/>
                <w:szCs w:val="32"/>
              </w:rPr>
              <w:t>、撬装式危废贮存点</w:t>
            </w:r>
            <w:r>
              <w:rPr>
                <w:rFonts w:hint="eastAsia"/>
                <w:sz w:val="24"/>
              </w:rPr>
              <w:t>的</w:t>
            </w:r>
            <w:r>
              <w:rPr>
                <w:rFonts w:hint="eastAsia"/>
                <w:sz w:val="24"/>
                <w:szCs w:val="32"/>
              </w:rPr>
              <w:t>废润滑油和落地油</w:t>
            </w:r>
            <w:r>
              <w:rPr>
                <w:sz w:val="24"/>
                <w:szCs w:val="32"/>
              </w:rPr>
              <w:t>泄漏后产生的次生灾害火灾爆炸。</w:t>
            </w:r>
          </w:p>
          <w:p w14:paraId="6EFF5F64">
            <w:pPr>
              <w:spacing w:line="360" w:lineRule="auto"/>
              <w:ind w:firstLine="480" w:firstLineChars="200"/>
              <w:rPr>
                <w:sz w:val="24"/>
                <w:szCs w:val="32"/>
              </w:rPr>
            </w:pPr>
            <w:r>
              <w:rPr>
                <w:rFonts w:hint="eastAsia"/>
                <w:sz w:val="24"/>
                <w:szCs w:val="32"/>
              </w:rPr>
              <w:t>废润滑油、落地油产生量较小，密闭暂存于撬装式危废贮存点</w:t>
            </w:r>
            <w:r>
              <w:rPr>
                <w:rFonts w:hint="eastAsia"/>
                <w:sz w:val="24"/>
              </w:rPr>
              <w:t>，</w:t>
            </w:r>
            <w:r>
              <w:rPr>
                <w:rFonts w:hint="eastAsia"/>
                <w:sz w:val="24"/>
                <w:szCs w:val="32"/>
              </w:rPr>
              <w:t>撬装式危废贮存点采用定制专用板房，底板及围堰进行重点防渗，泄漏概率比较低。柴油和采出液均采用密闭防腐储罐，由于容器、</w:t>
            </w:r>
            <w:r>
              <w:rPr>
                <w:sz w:val="24"/>
                <w:szCs w:val="32"/>
              </w:rPr>
              <w:t>罐体和管线破裂导致柴油/采出液大量泄漏的概率很小，一般情况管道阀门泄漏，少量跑冒漏滴均收集围堰内，对事故现场空气环境产生影响较小，局部大气中烃类浓度可能高出正常情况。若遇明火引发的火灾事故或爆炸时产生的次生污染物CO等，不完全燃烧伴生的CO产生时间短、产生量较小，扩散进入大气后环境中的有害气体浓度较低且持续时间不长，不会产生较大的急性中毒事件，对环境影响较小</w:t>
            </w:r>
            <w:r>
              <w:rPr>
                <w:rFonts w:hint="eastAsia"/>
                <w:sz w:val="24"/>
                <w:szCs w:val="32"/>
              </w:rPr>
              <w:t>。</w:t>
            </w:r>
          </w:p>
          <w:p w14:paraId="5757AF4B">
            <w:pPr>
              <w:spacing w:line="360" w:lineRule="auto"/>
              <w:ind w:firstLine="480" w:firstLineChars="200"/>
              <w:rPr>
                <w:sz w:val="24"/>
                <w:szCs w:val="32"/>
              </w:rPr>
            </w:pPr>
            <w:r>
              <w:rPr>
                <w:sz w:val="24"/>
                <w:szCs w:val="32"/>
              </w:rPr>
              <w:t>（2）地表水环境风险分析</w:t>
            </w:r>
          </w:p>
          <w:p w14:paraId="7D8BBD80">
            <w:pPr>
              <w:spacing w:line="360" w:lineRule="auto"/>
              <w:ind w:firstLine="480" w:firstLineChars="200"/>
              <w:rPr>
                <w:sz w:val="24"/>
                <w:szCs w:val="32"/>
              </w:rPr>
            </w:pPr>
            <w:r>
              <w:rPr>
                <w:rFonts w:hint="eastAsia"/>
                <w:sz w:val="24"/>
                <w:szCs w:val="32"/>
              </w:rPr>
              <w:t>项目周围近距离无地表水敏感目标，不会对地表水体产生不利影响。</w:t>
            </w:r>
          </w:p>
          <w:p w14:paraId="3EB4C45E">
            <w:pPr>
              <w:spacing w:line="360" w:lineRule="auto"/>
              <w:ind w:firstLine="480" w:firstLineChars="200"/>
              <w:rPr>
                <w:sz w:val="24"/>
                <w:szCs w:val="32"/>
              </w:rPr>
            </w:pPr>
            <w:r>
              <w:rPr>
                <w:sz w:val="24"/>
                <w:szCs w:val="32"/>
              </w:rPr>
              <w:t>（3）地下水环境风险分析</w:t>
            </w:r>
          </w:p>
          <w:p w14:paraId="2CB8C28E">
            <w:pPr>
              <w:spacing w:line="360" w:lineRule="auto"/>
              <w:ind w:firstLine="480" w:firstLineChars="200"/>
              <w:rPr>
                <w:sz w:val="24"/>
                <w:szCs w:val="32"/>
              </w:rPr>
            </w:pPr>
            <w:r>
              <w:rPr>
                <w:sz w:val="24"/>
                <w:szCs w:val="32"/>
              </w:rPr>
              <w:t>1）井漏事故影响分析</w:t>
            </w:r>
          </w:p>
          <w:p w14:paraId="0165C546">
            <w:pPr>
              <w:spacing w:line="360" w:lineRule="auto"/>
              <w:ind w:firstLine="480" w:firstLineChars="200"/>
              <w:rPr>
                <w:sz w:val="24"/>
                <w:szCs w:val="32"/>
              </w:rPr>
            </w:pPr>
            <w:r>
              <w:rPr>
                <w:sz w:val="24"/>
                <w:szCs w:val="32"/>
              </w:rPr>
              <w:t>井漏事故对地下水的污染是指在钻井过程中，钻井泥浆漏失于含水层中，造成地下含水层水质污染。就钻井源漏失而言，发生在局部且持续时间较短。</w:t>
            </w:r>
          </w:p>
          <w:p w14:paraId="31519C1E">
            <w:pPr>
              <w:spacing w:line="360" w:lineRule="auto"/>
              <w:ind w:firstLine="480" w:firstLineChars="200"/>
              <w:rPr>
                <w:sz w:val="24"/>
                <w:szCs w:val="32"/>
              </w:rPr>
            </w:pPr>
            <w:r>
              <w:rPr>
                <w:sz w:val="24"/>
                <w:szCs w:val="32"/>
              </w:rPr>
              <w:t>项目</w:t>
            </w:r>
            <w:r>
              <w:rPr>
                <w:rFonts w:hint="eastAsia"/>
                <w:sz w:val="24"/>
                <w:szCs w:val="32"/>
              </w:rPr>
              <w:t>一开</w:t>
            </w:r>
            <w:r>
              <w:rPr>
                <w:sz w:val="24"/>
                <w:szCs w:val="32"/>
              </w:rPr>
              <w:t>阶段钻井泥浆主要成分为清水和膨润土等，不含有毒有害物质，</w:t>
            </w:r>
            <w:r>
              <w:rPr>
                <w:rFonts w:hint="eastAsia"/>
                <w:sz w:val="24"/>
                <w:szCs w:val="32"/>
              </w:rPr>
              <w:t>表层套管下深至500m左右并注入水泥封固，确保套管能完全封隔含水层，500m的深度</w:t>
            </w:r>
            <w:r>
              <w:rPr>
                <w:sz w:val="24"/>
                <w:szCs w:val="32"/>
              </w:rPr>
              <w:t>基本涵盖了可能具有使用功能的地下水，因此项目钻井过程不会对可能具备使用功能的地下水造成影响。</w:t>
            </w:r>
          </w:p>
          <w:p w14:paraId="6A87E90E">
            <w:pPr>
              <w:spacing w:line="360" w:lineRule="auto"/>
              <w:ind w:firstLine="480" w:firstLineChars="200"/>
              <w:rPr>
                <w:sz w:val="24"/>
                <w:szCs w:val="32"/>
              </w:rPr>
            </w:pPr>
            <w:r>
              <w:rPr>
                <w:rFonts w:hint="eastAsia"/>
                <w:sz w:val="24"/>
                <w:szCs w:val="32"/>
              </w:rPr>
              <w:t>后续</w:t>
            </w:r>
            <w:r>
              <w:rPr>
                <w:sz w:val="24"/>
                <w:szCs w:val="32"/>
              </w:rPr>
              <w:t>施工时已完成水泥固井，因此钻井泥浆不会在</w:t>
            </w:r>
            <w:r>
              <w:rPr>
                <w:rFonts w:hint="eastAsia"/>
                <w:sz w:val="24"/>
                <w:szCs w:val="32"/>
              </w:rPr>
              <w:t>套管</w:t>
            </w:r>
            <w:r>
              <w:rPr>
                <w:sz w:val="24"/>
                <w:szCs w:val="32"/>
              </w:rPr>
              <w:t>范围内漏失，漏失发生在</w:t>
            </w:r>
            <w:r>
              <w:rPr>
                <w:rFonts w:hint="eastAsia"/>
                <w:sz w:val="24"/>
                <w:szCs w:val="32"/>
              </w:rPr>
              <w:t>套管</w:t>
            </w:r>
            <w:r>
              <w:rPr>
                <w:sz w:val="24"/>
                <w:szCs w:val="32"/>
              </w:rPr>
              <w:t>以下的范围内。由于钻井</w:t>
            </w:r>
            <w:r>
              <w:rPr>
                <w:rFonts w:hint="eastAsia"/>
                <w:sz w:val="24"/>
                <w:szCs w:val="32"/>
              </w:rPr>
              <w:t>泥浆中的固相颗粒在井壁可形成低渗透性的滤饼，能有效减少液体渗入地层，同时采用近平衡或欠平衡钻井技术（即钻井泥浆液柱压力等于或小于地层压力），可有效防止钻井泥浆进入地层中，因此对后续</w:t>
            </w:r>
            <w:r>
              <w:rPr>
                <w:sz w:val="24"/>
                <w:szCs w:val="32"/>
              </w:rPr>
              <w:t>施工二开范围内的</w:t>
            </w:r>
            <w:r>
              <w:rPr>
                <w:rFonts w:hint="eastAsia"/>
                <w:sz w:val="24"/>
                <w:szCs w:val="32"/>
              </w:rPr>
              <w:t>深层</w:t>
            </w:r>
            <w:r>
              <w:rPr>
                <w:sz w:val="24"/>
                <w:szCs w:val="32"/>
              </w:rPr>
              <w:t>地下水影响较小。</w:t>
            </w:r>
          </w:p>
          <w:p w14:paraId="0E5F9EBE">
            <w:pPr>
              <w:spacing w:line="360" w:lineRule="auto"/>
              <w:ind w:firstLine="480" w:firstLineChars="200"/>
              <w:rPr>
                <w:sz w:val="24"/>
                <w:szCs w:val="32"/>
              </w:rPr>
            </w:pPr>
            <w:r>
              <w:rPr>
                <w:sz w:val="24"/>
                <w:szCs w:val="32"/>
              </w:rPr>
              <w:t>井漏主要发生于具有特殊地质结构的油藏区，如具有溶洞、裂隙等不稳定的地层构造区域。在油气资源勘探过程中未发现不稳定地质因素。另外，施工单位针对井漏制定有完善的应对措施，钻井过程中一旦发现异常，施工单位将立即停钻采取添加</w:t>
            </w:r>
            <w:r>
              <w:rPr>
                <w:rFonts w:hint="eastAsia"/>
                <w:sz w:val="24"/>
                <w:szCs w:val="32"/>
              </w:rPr>
              <w:t>堵漏</w:t>
            </w:r>
            <w:r>
              <w:rPr>
                <w:sz w:val="24"/>
                <w:szCs w:val="32"/>
              </w:rPr>
              <w:t>剂、打水泥塞等措施，防止井漏事故的发生，可有效减轻井漏对地下水的影响。</w:t>
            </w:r>
          </w:p>
          <w:p w14:paraId="672BEE77">
            <w:pPr>
              <w:spacing w:line="360" w:lineRule="auto"/>
              <w:ind w:firstLine="480" w:firstLineChars="200"/>
              <w:rPr>
                <w:sz w:val="24"/>
                <w:szCs w:val="32"/>
              </w:rPr>
            </w:pPr>
            <w:r>
              <w:rPr>
                <w:rFonts w:hint="eastAsia"/>
                <w:sz w:val="24"/>
                <w:szCs w:val="32"/>
              </w:rPr>
              <w:t>2）钻井泥浆储罐泄漏事故影响分析</w:t>
            </w:r>
          </w:p>
          <w:p w14:paraId="185C6406">
            <w:pPr>
              <w:spacing w:line="360" w:lineRule="auto"/>
              <w:ind w:firstLine="480" w:firstLineChars="200"/>
              <w:rPr>
                <w:sz w:val="24"/>
                <w:szCs w:val="32"/>
              </w:rPr>
            </w:pPr>
            <w:r>
              <w:rPr>
                <w:rFonts w:hint="eastAsia"/>
                <w:sz w:val="24"/>
                <w:szCs w:val="32"/>
              </w:rPr>
              <w:t>钻井泥浆正常情况下储存在罐中，对地下水影响较小。一旦钻井泥浆罐渗漏，钻井泥浆会直接进入土层，通过包气带下渗。项目施工过程中对井场采取分区防渗措施，做好防渗工作，就不会发生钻井泥浆泄漏对地下水的影响。</w:t>
            </w:r>
          </w:p>
          <w:p w14:paraId="737AD998">
            <w:pPr>
              <w:spacing w:line="360" w:lineRule="auto"/>
              <w:ind w:firstLine="480" w:firstLineChars="200"/>
              <w:rPr>
                <w:sz w:val="24"/>
                <w:szCs w:val="32"/>
              </w:rPr>
            </w:pPr>
            <w:r>
              <w:rPr>
                <w:rFonts w:hint="eastAsia"/>
                <w:sz w:val="24"/>
                <w:szCs w:val="32"/>
              </w:rPr>
              <w:t>3）撬装式危废贮存点、柴油罐等泄漏事故</w:t>
            </w:r>
          </w:p>
          <w:p w14:paraId="07C268FC">
            <w:pPr>
              <w:spacing w:line="360" w:lineRule="auto"/>
              <w:ind w:firstLine="480" w:firstLineChars="200"/>
              <w:rPr>
                <w:sz w:val="24"/>
                <w:szCs w:val="32"/>
              </w:rPr>
            </w:pPr>
            <w:r>
              <w:rPr>
                <w:rFonts w:hint="eastAsia"/>
                <w:sz w:val="24"/>
                <w:szCs w:val="32"/>
              </w:rPr>
              <w:t>若危废贮存容器、柴油储罐发生破损，同时危废贮存区、柴油罐区内防渗层发生破损，则泄漏的废润滑油、柴油等液态物质可能会通过破损的防渗层下渗至土壤直至地下水层，污染区域地下水。</w:t>
            </w:r>
          </w:p>
          <w:p w14:paraId="2B901A17">
            <w:pPr>
              <w:spacing w:line="360" w:lineRule="auto"/>
              <w:ind w:firstLine="480" w:firstLineChars="200"/>
              <w:rPr>
                <w:sz w:val="24"/>
                <w:szCs w:val="32"/>
              </w:rPr>
            </w:pPr>
            <w:r>
              <w:rPr>
                <w:rFonts w:hint="eastAsia"/>
                <w:sz w:val="24"/>
                <w:szCs w:val="32"/>
              </w:rPr>
              <w:t>项目施工过程中，加强日常监管、加强巡视来减少此类事故的发生，从而有效减轻对区域地下水的影响</w:t>
            </w:r>
            <w:r>
              <w:rPr>
                <w:rFonts w:hint="eastAsia"/>
                <w:sz w:val="24"/>
                <w:szCs w:val="20"/>
              </w:rPr>
              <w:t>。</w:t>
            </w:r>
          </w:p>
          <w:p w14:paraId="05555B3A">
            <w:pPr>
              <w:spacing w:line="360" w:lineRule="auto"/>
              <w:ind w:firstLine="480" w:firstLineChars="200"/>
              <w:rPr>
                <w:sz w:val="24"/>
                <w:szCs w:val="32"/>
              </w:rPr>
            </w:pPr>
            <w:r>
              <w:rPr>
                <w:rFonts w:hint="eastAsia"/>
                <w:sz w:val="24"/>
                <w:szCs w:val="32"/>
              </w:rPr>
              <w:t>（4）对生态环境的影响分析</w:t>
            </w:r>
          </w:p>
          <w:p w14:paraId="528B316D">
            <w:pPr>
              <w:spacing w:line="360" w:lineRule="auto"/>
              <w:ind w:firstLine="480" w:firstLineChars="200"/>
              <w:rPr>
                <w:sz w:val="24"/>
                <w:szCs w:val="32"/>
              </w:rPr>
            </w:pPr>
            <w:r>
              <w:rPr>
                <w:rFonts w:hint="eastAsia"/>
                <w:sz w:val="24"/>
                <w:szCs w:val="32"/>
              </w:rPr>
              <w:t>原油和含油污水的事故性泄漏对土壤环境污染显著。原油使生长于地表面的植物破坏和死亡，短期内不能恢复，导致土壤抗蚀能力下降，土地风沙化严重。泄漏原油流入土壤孔隙，降低土壤的通透性和土壤中酶活性，使土壤生物减少。原油集中于土壤表层0~20cm范围内，这便使得根系分布于此深度的植物不能生长。含油污水中的油类也由于土壤吸附作用集中于表层，形成污染。油类对土壤的污染，可造成土壤肥力下降，改变土壤的理化性质，影响土壤正常的结构和能力。</w:t>
            </w:r>
          </w:p>
          <w:p w14:paraId="1332F532">
            <w:pPr>
              <w:spacing w:line="360" w:lineRule="auto"/>
              <w:ind w:firstLine="480" w:firstLineChars="200"/>
              <w:rPr>
                <w:sz w:val="24"/>
                <w:szCs w:val="32"/>
              </w:rPr>
            </w:pPr>
            <w:r>
              <w:rPr>
                <w:rFonts w:hint="eastAsia"/>
                <w:sz w:val="24"/>
                <w:szCs w:val="32"/>
              </w:rPr>
              <w:t>原油泄漏对生态环境（主要指植物）的影响也较显著。泄漏原油粘附于植物叶片表面将阻断植物的光合作用，使植物枯萎、死亡；土壤污染造成的土壤理化性状变化往往也会影响植物生长，严重时可导致植物死亡；含油污水中油浓度不高时（几十毫克/升），对植物的影响不显著，但浓度较高时（几百毫克/升以上）可影响植物生长。因此，就土壤-植物生态系统而言，原油泄漏事故造成的影响一般比较显著，但由于植物生长范围较固定，因此影响仅限于直接有落地原油覆盖地区。</w:t>
            </w:r>
          </w:p>
          <w:p w14:paraId="79F061A5">
            <w:pPr>
              <w:spacing w:line="360" w:lineRule="auto"/>
              <w:ind w:firstLine="480" w:firstLineChars="200"/>
              <w:rPr>
                <w:sz w:val="24"/>
                <w:szCs w:val="32"/>
              </w:rPr>
            </w:pPr>
            <w:r>
              <w:rPr>
                <w:rFonts w:hint="eastAsia"/>
                <w:sz w:val="24"/>
                <w:szCs w:val="32"/>
              </w:rPr>
              <w:t>项目施工过程中在井场范围内分区铺设防渗膜，若操作不当，油类物质滴至地面后，根据污染深度，铲至未被污染土层深度，不会对深层土壤产生不利影响。</w:t>
            </w:r>
          </w:p>
          <w:p w14:paraId="349DC342">
            <w:pPr>
              <w:spacing w:line="360" w:lineRule="auto"/>
              <w:ind w:firstLine="480"/>
              <w:rPr>
                <w:b/>
                <w:sz w:val="24"/>
              </w:rPr>
            </w:pPr>
            <w:r>
              <w:rPr>
                <w:rFonts w:hint="eastAsia"/>
                <w:b/>
                <w:sz w:val="24"/>
              </w:rPr>
              <w:t>八、项目污染物产排量汇总</w:t>
            </w:r>
          </w:p>
          <w:p w14:paraId="16FA0411">
            <w:pPr>
              <w:spacing w:line="360" w:lineRule="auto"/>
              <w:ind w:firstLine="480" w:firstLineChars="200"/>
              <w:rPr>
                <w:sz w:val="24"/>
                <w:szCs w:val="32"/>
              </w:rPr>
            </w:pPr>
            <w:r>
              <w:rPr>
                <w:rFonts w:hint="eastAsia"/>
                <w:sz w:val="24"/>
                <w:szCs w:val="32"/>
              </w:rPr>
              <w:t>项目污染物产排量汇总如下表所示。</w:t>
            </w:r>
          </w:p>
          <w:p w14:paraId="5E52216F">
            <w:pPr>
              <w:autoSpaceDE w:val="0"/>
              <w:autoSpaceDN w:val="0"/>
              <w:adjustRightInd w:val="0"/>
              <w:jc w:val="center"/>
              <w:rPr>
                <w:b/>
                <w:bCs/>
                <w:kern w:val="0"/>
                <w:sz w:val="24"/>
              </w:rPr>
            </w:pPr>
            <w:r>
              <w:rPr>
                <w:b/>
                <w:bCs/>
                <w:kern w:val="0"/>
                <w:sz w:val="24"/>
              </w:rPr>
              <w:t>表</w:t>
            </w:r>
            <w:r>
              <w:rPr>
                <w:rFonts w:hint="eastAsia"/>
                <w:b/>
                <w:bCs/>
                <w:kern w:val="0"/>
                <w:sz w:val="24"/>
              </w:rPr>
              <w:t>4</w:t>
            </w:r>
            <w:r>
              <w:rPr>
                <w:b/>
                <w:bCs/>
                <w:kern w:val="0"/>
                <w:sz w:val="24"/>
              </w:rPr>
              <w:t>-</w:t>
            </w:r>
            <w:r>
              <w:rPr>
                <w:rFonts w:hint="eastAsia"/>
                <w:b/>
                <w:bCs/>
                <w:kern w:val="0"/>
                <w:sz w:val="24"/>
              </w:rPr>
              <w:t>19 项目污染物产排量汇总表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596"/>
              <w:gridCol w:w="1047"/>
              <w:gridCol w:w="1419"/>
              <w:gridCol w:w="1183"/>
              <w:gridCol w:w="3003"/>
              <w:gridCol w:w="947"/>
            </w:tblGrid>
            <w:tr w14:paraId="39E329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370" w:type="pct"/>
                  <w:shd w:val="clear" w:color="auto" w:fill="auto"/>
                  <w:tcMar>
                    <w:left w:w="0" w:type="dxa"/>
                    <w:right w:w="0" w:type="dxa"/>
                  </w:tcMar>
                  <w:vAlign w:val="center"/>
                </w:tcPr>
                <w:p w14:paraId="7CBD2AB0">
                  <w:pPr>
                    <w:jc w:val="center"/>
                    <w:rPr>
                      <w:szCs w:val="21"/>
                    </w:rPr>
                  </w:pPr>
                  <w:r>
                    <w:rPr>
                      <w:szCs w:val="21"/>
                    </w:rPr>
                    <w:t>废气</w:t>
                  </w:r>
                </w:p>
              </w:tc>
              <w:tc>
                <w:tcPr>
                  <w:tcW w:w="645" w:type="pct"/>
                  <w:shd w:val="clear" w:color="auto" w:fill="auto"/>
                  <w:tcMar>
                    <w:left w:w="0" w:type="dxa"/>
                    <w:right w:w="0" w:type="dxa"/>
                  </w:tcMar>
                  <w:vAlign w:val="center"/>
                </w:tcPr>
                <w:p w14:paraId="681780A9">
                  <w:pPr>
                    <w:jc w:val="center"/>
                    <w:rPr>
                      <w:szCs w:val="21"/>
                    </w:rPr>
                  </w:pPr>
                  <w:r>
                    <w:rPr>
                      <w:szCs w:val="21"/>
                    </w:rPr>
                    <w:t>污染源</w:t>
                  </w:r>
                </w:p>
              </w:tc>
              <w:tc>
                <w:tcPr>
                  <w:tcW w:w="872" w:type="pct"/>
                  <w:shd w:val="clear" w:color="auto" w:fill="auto"/>
                  <w:tcMar>
                    <w:left w:w="0" w:type="dxa"/>
                    <w:right w:w="0" w:type="dxa"/>
                  </w:tcMar>
                  <w:vAlign w:val="center"/>
                </w:tcPr>
                <w:p w14:paraId="336229C7">
                  <w:pPr>
                    <w:jc w:val="center"/>
                    <w:rPr>
                      <w:szCs w:val="21"/>
                    </w:rPr>
                  </w:pPr>
                  <w:r>
                    <w:rPr>
                      <w:szCs w:val="21"/>
                    </w:rPr>
                    <w:t>污染物</w:t>
                  </w:r>
                </w:p>
              </w:tc>
              <w:tc>
                <w:tcPr>
                  <w:tcW w:w="692" w:type="pct"/>
                  <w:shd w:val="clear" w:color="auto" w:fill="auto"/>
                  <w:tcMar>
                    <w:left w:w="0" w:type="dxa"/>
                    <w:right w:w="0" w:type="dxa"/>
                  </w:tcMar>
                  <w:vAlign w:val="center"/>
                </w:tcPr>
                <w:p w14:paraId="2E7537D7">
                  <w:pPr>
                    <w:jc w:val="center"/>
                    <w:rPr>
                      <w:szCs w:val="21"/>
                    </w:rPr>
                  </w:pPr>
                  <w:r>
                    <w:rPr>
                      <w:szCs w:val="21"/>
                    </w:rPr>
                    <w:t>产生量</w:t>
                  </w:r>
                </w:p>
                <w:p w14:paraId="28336B98">
                  <w:pPr>
                    <w:jc w:val="center"/>
                    <w:rPr>
                      <w:szCs w:val="21"/>
                    </w:rPr>
                  </w:pPr>
                  <w:r>
                    <w:rPr>
                      <w:szCs w:val="21"/>
                    </w:rPr>
                    <w:t>（勘探期）</w:t>
                  </w:r>
                </w:p>
              </w:tc>
              <w:tc>
                <w:tcPr>
                  <w:tcW w:w="1838" w:type="pct"/>
                  <w:shd w:val="clear" w:color="auto" w:fill="auto"/>
                  <w:tcMar>
                    <w:left w:w="0" w:type="dxa"/>
                    <w:right w:w="0" w:type="dxa"/>
                  </w:tcMar>
                  <w:vAlign w:val="center"/>
                </w:tcPr>
                <w:p w14:paraId="2CFE937E">
                  <w:pPr>
                    <w:jc w:val="center"/>
                    <w:rPr>
                      <w:szCs w:val="21"/>
                    </w:rPr>
                  </w:pPr>
                  <w:r>
                    <w:rPr>
                      <w:szCs w:val="21"/>
                    </w:rPr>
                    <w:t>治理措施</w:t>
                  </w:r>
                </w:p>
              </w:tc>
              <w:tc>
                <w:tcPr>
                  <w:tcW w:w="583" w:type="pct"/>
                  <w:shd w:val="clear" w:color="auto" w:fill="auto"/>
                  <w:tcMar>
                    <w:left w:w="0" w:type="dxa"/>
                    <w:right w:w="0" w:type="dxa"/>
                  </w:tcMar>
                  <w:vAlign w:val="center"/>
                </w:tcPr>
                <w:p w14:paraId="38D6FA2C">
                  <w:pPr>
                    <w:jc w:val="center"/>
                    <w:rPr>
                      <w:szCs w:val="21"/>
                    </w:rPr>
                  </w:pPr>
                  <w:r>
                    <w:rPr>
                      <w:szCs w:val="21"/>
                    </w:rPr>
                    <w:t>排放量</w:t>
                  </w:r>
                </w:p>
                <w:p w14:paraId="564DE439">
                  <w:pPr>
                    <w:jc w:val="center"/>
                    <w:rPr>
                      <w:szCs w:val="21"/>
                    </w:rPr>
                  </w:pPr>
                  <w:r>
                    <w:rPr>
                      <w:szCs w:val="21"/>
                    </w:rPr>
                    <w:t>（勘探期）</w:t>
                  </w:r>
                </w:p>
              </w:tc>
            </w:tr>
            <w:tr w14:paraId="2DFF4F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60" w:hRule="atLeast"/>
                <w:jc w:val="center"/>
              </w:trPr>
              <w:tc>
                <w:tcPr>
                  <w:tcW w:w="370" w:type="pct"/>
                  <w:vMerge w:val="restart"/>
                  <w:shd w:val="clear" w:color="auto" w:fill="auto"/>
                  <w:tcMar>
                    <w:left w:w="0" w:type="dxa"/>
                    <w:right w:w="0" w:type="dxa"/>
                  </w:tcMar>
                  <w:vAlign w:val="center"/>
                </w:tcPr>
                <w:p w14:paraId="5F493875">
                  <w:pPr>
                    <w:jc w:val="center"/>
                    <w:rPr>
                      <w:szCs w:val="21"/>
                    </w:rPr>
                  </w:pPr>
                  <w:r>
                    <w:rPr>
                      <w:szCs w:val="21"/>
                    </w:rPr>
                    <w:t>废气</w:t>
                  </w:r>
                </w:p>
              </w:tc>
              <w:tc>
                <w:tcPr>
                  <w:tcW w:w="645" w:type="pct"/>
                  <w:shd w:val="clear" w:color="auto" w:fill="auto"/>
                  <w:tcMar>
                    <w:left w:w="0" w:type="dxa"/>
                    <w:right w:w="0" w:type="dxa"/>
                  </w:tcMar>
                  <w:vAlign w:val="center"/>
                </w:tcPr>
                <w:p w14:paraId="44331DD2">
                  <w:pPr>
                    <w:jc w:val="center"/>
                    <w:rPr>
                      <w:szCs w:val="21"/>
                    </w:rPr>
                  </w:pPr>
                  <w:r>
                    <w:rPr>
                      <w:rFonts w:hint="eastAsia"/>
                      <w:szCs w:val="21"/>
                    </w:rPr>
                    <w:t>扬尘</w:t>
                  </w:r>
                </w:p>
              </w:tc>
              <w:tc>
                <w:tcPr>
                  <w:tcW w:w="872" w:type="pct"/>
                  <w:shd w:val="clear" w:color="auto" w:fill="auto"/>
                  <w:tcMar>
                    <w:left w:w="0" w:type="dxa"/>
                    <w:right w:w="0" w:type="dxa"/>
                  </w:tcMar>
                  <w:vAlign w:val="center"/>
                </w:tcPr>
                <w:p w14:paraId="5EA6368F">
                  <w:pPr>
                    <w:jc w:val="center"/>
                    <w:rPr>
                      <w:szCs w:val="21"/>
                    </w:rPr>
                  </w:pPr>
                  <w:r>
                    <w:rPr>
                      <w:szCs w:val="21"/>
                    </w:rPr>
                    <w:t>颗粒物</w:t>
                  </w:r>
                </w:p>
              </w:tc>
              <w:tc>
                <w:tcPr>
                  <w:tcW w:w="692" w:type="pct"/>
                  <w:shd w:val="clear" w:color="auto" w:fill="auto"/>
                  <w:tcMar>
                    <w:left w:w="0" w:type="dxa"/>
                    <w:right w:w="0" w:type="dxa"/>
                  </w:tcMar>
                  <w:vAlign w:val="center"/>
                </w:tcPr>
                <w:p w14:paraId="4870BE05">
                  <w:pPr>
                    <w:jc w:val="center"/>
                    <w:rPr>
                      <w:szCs w:val="21"/>
                    </w:rPr>
                  </w:pPr>
                  <w:r>
                    <w:rPr>
                      <w:rFonts w:hint="eastAsia"/>
                      <w:szCs w:val="21"/>
                    </w:rPr>
                    <w:t>/</w:t>
                  </w:r>
                </w:p>
              </w:tc>
              <w:tc>
                <w:tcPr>
                  <w:tcW w:w="1838" w:type="pct"/>
                  <w:shd w:val="clear" w:color="auto" w:fill="auto"/>
                  <w:tcMar>
                    <w:left w:w="0" w:type="dxa"/>
                    <w:right w:w="0" w:type="dxa"/>
                  </w:tcMar>
                  <w:vAlign w:val="center"/>
                </w:tcPr>
                <w:p w14:paraId="76AAF495">
                  <w:pPr>
                    <w:jc w:val="center"/>
                    <w:rPr>
                      <w:szCs w:val="21"/>
                    </w:rPr>
                  </w:pPr>
                  <w:r>
                    <w:rPr>
                      <w:szCs w:val="21"/>
                    </w:rPr>
                    <w:t>泼洒抑尘</w:t>
                  </w:r>
                  <w:r>
                    <w:rPr>
                      <w:rFonts w:hint="eastAsia"/>
                      <w:szCs w:val="21"/>
                    </w:rPr>
                    <w:t>，</w:t>
                  </w:r>
                  <w:r>
                    <w:rPr>
                      <w:szCs w:val="21"/>
                    </w:rPr>
                    <w:t>场界设置围挡</w:t>
                  </w:r>
                  <w:r>
                    <w:rPr>
                      <w:rFonts w:hint="eastAsia"/>
                      <w:szCs w:val="21"/>
                    </w:rPr>
                    <w:t>，原材料堆存区上部设苫布遮盖，表土堆存区上铺密目网等。</w:t>
                  </w:r>
                </w:p>
              </w:tc>
              <w:tc>
                <w:tcPr>
                  <w:tcW w:w="583" w:type="pct"/>
                  <w:shd w:val="clear" w:color="auto" w:fill="auto"/>
                  <w:tcMar>
                    <w:left w:w="0" w:type="dxa"/>
                    <w:right w:w="0" w:type="dxa"/>
                  </w:tcMar>
                  <w:vAlign w:val="center"/>
                </w:tcPr>
                <w:p w14:paraId="7F99591C">
                  <w:pPr>
                    <w:jc w:val="center"/>
                    <w:rPr>
                      <w:szCs w:val="21"/>
                    </w:rPr>
                  </w:pPr>
                  <w:r>
                    <w:rPr>
                      <w:rFonts w:hint="eastAsia"/>
                      <w:szCs w:val="21"/>
                    </w:rPr>
                    <w:t>/</w:t>
                  </w:r>
                </w:p>
              </w:tc>
            </w:tr>
            <w:tr w14:paraId="0FA8F7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0" w:type="pct"/>
                  <w:vMerge w:val="continue"/>
                  <w:shd w:val="clear" w:color="auto" w:fill="auto"/>
                  <w:tcMar>
                    <w:left w:w="0" w:type="dxa"/>
                    <w:right w:w="0" w:type="dxa"/>
                  </w:tcMar>
                  <w:vAlign w:val="center"/>
                </w:tcPr>
                <w:p w14:paraId="180C37F3">
                  <w:pPr>
                    <w:jc w:val="center"/>
                    <w:rPr>
                      <w:szCs w:val="21"/>
                    </w:rPr>
                  </w:pPr>
                </w:p>
              </w:tc>
              <w:tc>
                <w:tcPr>
                  <w:tcW w:w="645" w:type="pct"/>
                  <w:vMerge w:val="restart"/>
                  <w:shd w:val="clear" w:color="auto" w:fill="auto"/>
                  <w:tcMar>
                    <w:left w:w="0" w:type="dxa"/>
                    <w:right w:w="0" w:type="dxa"/>
                  </w:tcMar>
                  <w:vAlign w:val="center"/>
                </w:tcPr>
                <w:p w14:paraId="21EC9930">
                  <w:pPr>
                    <w:jc w:val="center"/>
                    <w:rPr>
                      <w:szCs w:val="21"/>
                    </w:rPr>
                  </w:pPr>
                  <w:r>
                    <w:rPr>
                      <w:rFonts w:hint="eastAsia"/>
                      <w:szCs w:val="21"/>
                    </w:rPr>
                    <w:t>柴油发电机组尾气</w:t>
                  </w:r>
                </w:p>
              </w:tc>
              <w:tc>
                <w:tcPr>
                  <w:tcW w:w="872" w:type="pct"/>
                  <w:shd w:val="clear" w:color="auto" w:fill="auto"/>
                  <w:tcMar>
                    <w:left w:w="0" w:type="dxa"/>
                    <w:right w:w="0" w:type="dxa"/>
                  </w:tcMar>
                  <w:vAlign w:val="center"/>
                </w:tcPr>
                <w:p w14:paraId="37140651">
                  <w:pPr>
                    <w:jc w:val="center"/>
                    <w:rPr>
                      <w:szCs w:val="21"/>
                    </w:rPr>
                  </w:pPr>
                  <w:r>
                    <w:rPr>
                      <w:szCs w:val="21"/>
                    </w:rPr>
                    <w:t>SO</w:t>
                  </w:r>
                  <w:r>
                    <w:rPr>
                      <w:szCs w:val="21"/>
                      <w:vertAlign w:val="subscript"/>
                    </w:rPr>
                    <w:t>2</w:t>
                  </w:r>
                </w:p>
              </w:tc>
              <w:tc>
                <w:tcPr>
                  <w:tcW w:w="692" w:type="pct"/>
                  <w:shd w:val="clear" w:color="auto" w:fill="auto"/>
                  <w:tcMar>
                    <w:left w:w="0" w:type="dxa"/>
                    <w:right w:w="0" w:type="dxa"/>
                  </w:tcMar>
                  <w:vAlign w:val="center"/>
                </w:tcPr>
                <w:p w14:paraId="651B376C">
                  <w:pPr>
                    <w:jc w:val="center"/>
                    <w:rPr>
                      <w:szCs w:val="21"/>
                    </w:rPr>
                  </w:pPr>
                  <w:r>
                    <w:rPr>
                      <w:rFonts w:hint="eastAsia"/>
                      <w:szCs w:val="21"/>
                    </w:rPr>
                    <w:t>3.388t</w:t>
                  </w:r>
                </w:p>
              </w:tc>
              <w:tc>
                <w:tcPr>
                  <w:tcW w:w="1838" w:type="pct"/>
                  <w:vMerge w:val="restart"/>
                  <w:shd w:val="clear" w:color="auto" w:fill="auto"/>
                  <w:tcMar>
                    <w:left w:w="0" w:type="dxa"/>
                    <w:right w:w="0" w:type="dxa"/>
                  </w:tcMar>
                  <w:vAlign w:val="center"/>
                </w:tcPr>
                <w:p w14:paraId="1755414A">
                  <w:pPr>
                    <w:jc w:val="center"/>
                    <w:rPr>
                      <w:szCs w:val="21"/>
                    </w:rPr>
                  </w:pPr>
                  <w:r>
                    <w:rPr>
                      <w:rFonts w:hint="eastAsia"/>
                      <w:szCs w:val="21"/>
                    </w:rPr>
                    <w:t>采用先进设备，使用高标准清洁燃油，不超负荷运行，并对设备定期检修，确保其正常运行。</w:t>
                  </w:r>
                </w:p>
              </w:tc>
              <w:tc>
                <w:tcPr>
                  <w:tcW w:w="583" w:type="pct"/>
                  <w:shd w:val="clear" w:color="auto" w:fill="auto"/>
                  <w:tcMar>
                    <w:left w:w="0" w:type="dxa"/>
                    <w:right w:w="0" w:type="dxa"/>
                  </w:tcMar>
                  <w:vAlign w:val="center"/>
                </w:tcPr>
                <w:p w14:paraId="10571D73">
                  <w:pPr>
                    <w:jc w:val="center"/>
                    <w:rPr>
                      <w:szCs w:val="21"/>
                    </w:rPr>
                  </w:pPr>
                  <w:r>
                    <w:rPr>
                      <w:rFonts w:hint="eastAsia"/>
                      <w:szCs w:val="21"/>
                    </w:rPr>
                    <w:t>3.388t</w:t>
                  </w:r>
                </w:p>
              </w:tc>
            </w:tr>
            <w:tr w14:paraId="428EB3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0" w:type="pct"/>
                  <w:vMerge w:val="continue"/>
                  <w:shd w:val="clear" w:color="auto" w:fill="auto"/>
                  <w:tcMar>
                    <w:left w:w="0" w:type="dxa"/>
                    <w:right w:w="0" w:type="dxa"/>
                  </w:tcMar>
                  <w:vAlign w:val="center"/>
                </w:tcPr>
                <w:p w14:paraId="1BE13810">
                  <w:pPr>
                    <w:jc w:val="center"/>
                    <w:rPr>
                      <w:szCs w:val="21"/>
                    </w:rPr>
                  </w:pPr>
                </w:p>
              </w:tc>
              <w:tc>
                <w:tcPr>
                  <w:tcW w:w="645" w:type="pct"/>
                  <w:vMerge w:val="continue"/>
                  <w:shd w:val="clear" w:color="auto" w:fill="auto"/>
                  <w:tcMar>
                    <w:left w:w="0" w:type="dxa"/>
                    <w:right w:w="0" w:type="dxa"/>
                  </w:tcMar>
                  <w:vAlign w:val="center"/>
                </w:tcPr>
                <w:p w14:paraId="7CDC9F19">
                  <w:pPr>
                    <w:jc w:val="center"/>
                    <w:rPr>
                      <w:szCs w:val="21"/>
                    </w:rPr>
                  </w:pPr>
                </w:p>
              </w:tc>
              <w:tc>
                <w:tcPr>
                  <w:tcW w:w="872" w:type="pct"/>
                  <w:shd w:val="clear" w:color="auto" w:fill="auto"/>
                  <w:tcMar>
                    <w:left w:w="0" w:type="dxa"/>
                    <w:right w:w="0" w:type="dxa"/>
                  </w:tcMar>
                  <w:vAlign w:val="center"/>
                </w:tcPr>
                <w:p w14:paraId="285C5F7C">
                  <w:pPr>
                    <w:jc w:val="center"/>
                    <w:rPr>
                      <w:szCs w:val="21"/>
                    </w:rPr>
                  </w:pPr>
                  <w:r>
                    <w:rPr>
                      <w:szCs w:val="21"/>
                    </w:rPr>
                    <w:t>NOx</w:t>
                  </w:r>
                </w:p>
              </w:tc>
              <w:tc>
                <w:tcPr>
                  <w:tcW w:w="692" w:type="pct"/>
                  <w:shd w:val="clear" w:color="auto" w:fill="auto"/>
                  <w:tcMar>
                    <w:left w:w="0" w:type="dxa"/>
                    <w:right w:w="0" w:type="dxa"/>
                  </w:tcMar>
                  <w:vAlign w:val="center"/>
                </w:tcPr>
                <w:p w14:paraId="4BA97BFE">
                  <w:pPr>
                    <w:jc w:val="center"/>
                    <w:rPr>
                      <w:szCs w:val="21"/>
                    </w:rPr>
                  </w:pPr>
                  <w:r>
                    <w:rPr>
                      <w:rFonts w:hint="eastAsia"/>
                      <w:szCs w:val="21"/>
                    </w:rPr>
                    <w:t>2.168t</w:t>
                  </w:r>
                </w:p>
              </w:tc>
              <w:tc>
                <w:tcPr>
                  <w:tcW w:w="1838" w:type="pct"/>
                  <w:vMerge w:val="continue"/>
                  <w:shd w:val="clear" w:color="auto" w:fill="auto"/>
                  <w:tcMar>
                    <w:left w:w="0" w:type="dxa"/>
                    <w:right w:w="0" w:type="dxa"/>
                  </w:tcMar>
                  <w:vAlign w:val="center"/>
                </w:tcPr>
                <w:p w14:paraId="6072A326">
                  <w:pPr>
                    <w:jc w:val="center"/>
                    <w:rPr>
                      <w:szCs w:val="21"/>
                    </w:rPr>
                  </w:pPr>
                </w:p>
              </w:tc>
              <w:tc>
                <w:tcPr>
                  <w:tcW w:w="583" w:type="pct"/>
                  <w:shd w:val="clear" w:color="auto" w:fill="auto"/>
                  <w:tcMar>
                    <w:left w:w="0" w:type="dxa"/>
                    <w:right w:w="0" w:type="dxa"/>
                  </w:tcMar>
                  <w:vAlign w:val="center"/>
                </w:tcPr>
                <w:p w14:paraId="198477B2">
                  <w:pPr>
                    <w:jc w:val="center"/>
                    <w:rPr>
                      <w:szCs w:val="21"/>
                    </w:rPr>
                  </w:pPr>
                  <w:r>
                    <w:rPr>
                      <w:rFonts w:hint="eastAsia"/>
                      <w:szCs w:val="21"/>
                    </w:rPr>
                    <w:t>2.168t</w:t>
                  </w:r>
                </w:p>
              </w:tc>
            </w:tr>
            <w:tr w14:paraId="708757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0" w:type="pct"/>
                  <w:vMerge w:val="continue"/>
                  <w:shd w:val="clear" w:color="auto" w:fill="auto"/>
                  <w:tcMar>
                    <w:left w:w="0" w:type="dxa"/>
                    <w:right w:w="0" w:type="dxa"/>
                  </w:tcMar>
                  <w:vAlign w:val="center"/>
                </w:tcPr>
                <w:p w14:paraId="4675E6CF">
                  <w:pPr>
                    <w:jc w:val="center"/>
                    <w:rPr>
                      <w:szCs w:val="21"/>
                    </w:rPr>
                  </w:pPr>
                </w:p>
              </w:tc>
              <w:tc>
                <w:tcPr>
                  <w:tcW w:w="645" w:type="pct"/>
                  <w:vMerge w:val="continue"/>
                  <w:shd w:val="clear" w:color="auto" w:fill="auto"/>
                  <w:tcMar>
                    <w:left w:w="0" w:type="dxa"/>
                    <w:right w:w="0" w:type="dxa"/>
                  </w:tcMar>
                  <w:vAlign w:val="center"/>
                </w:tcPr>
                <w:p w14:paraId="7DE7384A">
                  <w:pPr>
                    <w:jc w:val="center"/>
                    <w:rPr>
                      <w:szCs w:val="21"/>
                    </w:rPr>
                  </w:pPr>
                </w:p>
              </w:tc>
              <w:tc>
                <w:tcPr>
                  <w:tcW w:w="872" w:type="pct"/>
                  <w:shd w:val="clear" w:color="auto" w:fill="auto"/>
                  <w:tcMar>
                    <w:left w:w="0" w:type="dxa"/>
                    <w:right w:w="0" w:type="dxa"/>
                  </w:tcMar>
                  <w:vAlign w:val="center"/>
                </w:tcPr>
                <w:p w14:paraId="7B0DE0EA">
                  <w:pPr>
                    <w:jc w:val="center"/>
                    <w:rPr>
                      <w:szCs w:val="21"/>
                    </w:rPr>
                  </w:pPr>
                  <w:r>
                    <w:rPr>
                      <w:szCs w:val="21"/>
                    </w:rPr>
                    <w:t>颗粒物</w:t>
                  </w:r>
                </w:p>
              </w:tc>
              <w:tc>
                <w:tcPr>
                  <w:tcW w:w="692" w:type="pct"/>
                  <w:shd w:val="clear" w:color="auto" w:fill="auto"/>
                  <w:tcMar>
                    <w:left w:w="0" w:type="dxa"/>
                    <w:right w:w="0" w:type="dxa"/>
                  </w:tcMar>
                  <w:vAlign w:val="center"/>
                </w:tcPr>
                <w:p w14:paraId="162E820C">
                  <w:pPr>
                    <w:jc w:val="center"/>
                    <w:rPr>
                      <w:szCs w:val="21"/>
                    </w:rPr>
                  </w:pPr>
                  <w:r>
                    <w:rPr>
                      <w:rFonts w:hint="eastAsia"/>
                      <w:szCs w:val="21"/>
                    </w:rPr>
                    <w:t>0.605</w:t>
                  </w:r>
                  <w:r>
                    <w:rPr>
                      <w:szCs w:val="21"/>
                    </w:rPr>
                    <w:t>t</w:t>
                  </w:r>
                </w:p>
              </w:tc>
              <w:tc>
                <w:tcPr>
                  <w:tcW w:w="1838" w:type="pct"/>
                  <w:vMerge w:val="continue"/>
                  <w:shd w:val="clear" w:color="auto" w:fill="auto"/>
                  <w:tcMar>
                    <w:left w:w="0" w:type="dxa"/>
                    <w:right w:w="0" w:type="dxa"/>
                  </w:tcMar>
                  <w:vAlign w:val="center"/>
                </w:tcPr>
                <w:p w14:paraId="4DEFFB4A">
                  <w:pPr>
                    <w:jc w:val="center"/>
                    <w:rPr>
                      <w:szCs w:val="21"/>
                    </w:rPr>
                  </w:pPr>
                </w:p>
              </w:tc>
              <w:tc>
                <w:tcPr>
                  <w:tcW w:w="583" w:type="pct"/>
                  <w:shd w:val="clear" w:color="auto" w:fill="auto"/>
                  <w:tcMar>
                    <w:left w:w="0" w:type="dxa"/>
                    <w:right w:w="0" w:type="dxa"/>
                  </w:tcMar>
                  <w:vAlign w:val="center"/>
                </w:tcPr>
                <w:p w14:paraId="751914C0">
                  <w:pPr>
                    <w:jc w:val="center"/>
                    <w:rPr>
                      <w:szCs w:val="21"/>
                    </w:rPr>
                  </w:pPr>
                  <w:r>
                    <w:rPr>
                      <w:rFonts w:hint="eastAsia"/>
                      <w:szCs w:val="21"/>
                    </w:rPr>
                    <w:t>0.605</w:t>
                  </w:r>
                  <w:r>
                    <w:rPr>
                      <w:szCs w:val="21"/>
                    </w:rPr>
                    <w:t>t</w:t>
                  </w:r>
                </w:p>
              </w:tc>
            </w:tr>
            <w:tr w14:paraId="12DB36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jc w:val="center"/>
              </w:trPr>
              <w:tc>
                <w:tcPr>
                  <w:tcW w:w="370" w:type="pct"/>
                  <w:vMerge w:val="continue"/>
                  <w:shd w:val="clear" w:color="auto" w:fill="auto"/>
                  <w:tcMar>
                    <w:left w:w="0" w:type="dxa"/>
                    <w:right w:w="0" w:type="dxa"/>
                  </w:tcMar>
                  <w:vAlign w:val="center"/>
                </w:tcPr>
                <w:p w14:paraId="6544372A">
                  <w:pPr>
                    <w:jc w:val="center"/>
                    <w:rPr>
                      <w:szCs w:val="21"/>
                    </w:rPr>
                  </w:pPr>
                </w:p>
              </w:tc>
              <w:tc>
                <w:tcPr>
                  <w:tcW w:w="645" w:type="pct"/>
                  <w:shd w:val="clear" w:color="auto" w:fill="auto"/>
                  <w:tcMar>
                    <w:left w:w="0" w:type="dxa"/>
                    <w:right w:w="0" w:type="dxa"/>
                  </w:tcMar>
                  <w:vAlign w:val="center"/>
                </w:tcPr>
                <w:p w14:paraId="2107BBF3">
                  <w:pPr>
                    <w:jc w:val="center"/>
                    <w:rPr>
                      <w:szCs w:val="21"/>
                    </w:rPr>
                  </w:pPr>
                  <w:r>
                    <w:rPr>
                      <w:rFonts w:hint="eastAsia"/>
                      <w:szCs w:val="21"/>
                    </w:rPr>
                    <w:t>柴油罐挥发废气</w:t>
                  </w:r>
                </w:p>
              </w:tc>
              <w:tc>
                <w:tcPr>
                  <w:tcW w:w="872" w:type="pct"/>
                  <w:shd w:val="clear" w:color="auto" w:fill="auto"/>
                  <w:tcMar>
                    <w:left w:w="0" w:type="dxa"/>
                    <w:right w:w="0" w:type="dxa"/>
                  </w:tcMar>
                  <w:vAlign w:val="center"/>
                </w:tcPr>
                <w:p w14:paraId="4769DC97">
                  <w:pPr>
                    <w:jc w:val="center"/>
                    <w:rPr>
                      <w:szCs w:val="21"/>
                    </w:rPr>
                  </w:pPr>
                  <w:r>
                    <w:rPr>
                      <w:szCs w:val="21"/>
                    </w:rPr>
                    <w:t>非甲烷总烃</w:t>
                  </w:r>
                </w:p>
              </w:tc>
              <w:tc>
                <w:tcPr>
                  <w:tcW w:w="692" w:type="pct"/>
                  <w:shd w:val="clear" w:color="auto" w:fill="auto"/>
                  <w:tcMar>
                    <w:left w:w="0" w:type="dxa"/>
                    <w:right w:w="0" w:type="dxa"/>
                  </w:tcMar>
                  <w:vAlign w:val="center"/>
                </w:tcPr>
                <w:p w14:paraId="572E9613">
                  <w:pPr>
                    <w:jc w:val="center"/>
                    <w:rPr>
                      <w:szCs w:val="21"/>
                    </w:rPr>
                  </w:pPr>
                  <w:r>
                    <w:rPr>
                      <w:rFonts w:hint="eastAsia"/>
                      <w:szCs w:val="21"/>
                    </w:rPr>
                    <w:t>0.432t</w:t>
                  </w:r>
                </w:p>
              </w:tc>
              <w:tc>
                <w:tcPr>
                  <w:tcW w:w="1838" w:type="pct"/>
                  <w:shd w:val="clear" w:color="auto" w:fill="auto"/>
                  <w:tcMar>
                    <w:left w:w="0" w:type="dxa"/>
                    <w:right w:w="0" w:type="dxa"/>
                  </w:tcMar>
                  <w:vAlign w:val="center"/>
                </w:tcPr>
                <w:p w14:paraId="54FEC49A">
                  <w:pPr>
                    <w:jc w:val="center"/>
                    <w:rPr>
                      <w:szCs w:val="21"/>
                    </w:rPr>
                  </w:pPr>
                  <w:r>
                    <w:rPr>
                      <w:rFonts w:hint="eastAsia"/>
                      <w:szCs w:val="21"/>
                    </w:rPr>
                    <w:t>采用防腐储罐，采用环密技术防止烃类泄漏及挥发；设置切断系统，对管线、阀门等进行定期的检查。</w:t>
                  </w:r>
                </w:p>
              </w:tc>
              <w:tc>
                <w:tcPr>
                  <w:tcW w:w="583" w:type="pct"/>
                  <w:shd w:val="clear" w:color="auto" w:fill="auto"/>
                  <w:tcMar>
                    <w:left w:w="0" w:type="dxa"/>
                    <w:right w:w="0" w:type="dxa"/>
                  </w:tcMar>
                  <w:vAlign w:val="center"/>
                </w:tcPr>
                <w:p w14:paraId="0FA31619">
                  <w:pPr>
                    <w:jc w:val="center"/>
                    <w:rPr>
                      <w:szCs w:val="21"/>
                    </w:rPr>
                  </w:pPr>
                  <w:r>
                    <w:rPr>
                      <w:rFonts w:hint="eastAsia"/>
                      <w:szCs w:val="21"/>
                    </w:rPr>
                    <w:t>0.432t</w:t>
                  </w:r>
                </w:p>
              </w:tc>
            </w:tr>
            <w:tr w14:paraId="14E9F2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jc w:val="center"/>
              </w:trPr>
              <w:tc>
                <w:tcPr>
                  <w:tcW w:w="370" w:type="pct"/>
                  <w:vMerge w:val="continue"/>
                  <w:shd w:val="clear" w:color="auto" w:fill="auto"/>
                  <w:tcMar>
                    <w:left w:w="0" w:type="dxa"/>
                    <w:right w:w="0" w:type="dxa"/>
                  </w:tcMar>
                  <w:vAlign w:val="center"/>
                </w:tcPr>
                <w:p w14:paraId="64563EF7">
                  <w:pPr>
                    <w:jc w:val="center"/>
                    <w:rPr>
                      <w:szCs w:val="21"/>
                    </w:rPr>
                  </w:pPr>
                </w:p>
              </w:tc>
              <w:tc>
                <w:tcPr>
                  <w:tcW w:w="645" w:type="pct"/>
                  <w:shd w:val="clear" w:color="auto" w:fill="auto"/>
                  <w:tcMar>
                    <w:left w:w="0" w:type="dxa"/>
                    <w:right w:w="0" w:type="dxa"/>
                  </w:tcMar>
                  <w:vAlign w:val="center"/>
                </w:tcPr>
                <w:p w14:paraId="48EBC1B4">
                  <w:pPr>
                    <w:jc w:val="center"/>
                    <w:rPr>
                      <w:szCs w:val="21"/>
                    </w:rPr>
                  </w:pPr>
                  <w:r>
                    <w:rPr>
                      <w:rFonts w:hint="eastAsia" w:ascii="宋体" w:hAnsi="宋体"/>
                      <w:szCs w:val="21"/>
                    </w:rPr>
                    <w:t>储液罐</w:t>
                  </w:r>
                  <w:r>
                    <w:rPr>
                      <w:rFonts w:ascii="宋体" w:hAnsi="宋体"/>
                      <w:szCs w:val="21"/>
                    </w:rPr>
                    <w:t>挥发废气</w:t>
                  </w:r>
                </w:p>
              </w:tc>
              <w:tc>
                <w:tcPr>
                  <w:tcW w:w="872" w:type="pct"/>
                  <w:shd w:val="clear" w:color="auto" w:fill="auto"/>
                  <w:tcMar>
                    <w:left w:w="0" w:type="dxa"/>
                    <w:right w:w="0" w:type="dxa"/>
                  </w:tcMar>
                  <w:vAlign w:val="center"/>
                </w:tcPr>
                <w:p w14:paraId="5C0544BA">
                  <w:pPr>
                    <w:jc w:val="center"/>
                    <w:rPr>
                      <w:szCs w:val="21"/>
                    </w:rPr>
                  </w:pPr>
                  <w:r>
                    <w:rPr>
                      <w:szCs w:val="21"/>
                    </w:rPr>
                    <w:t>非甲烷总烃</w:t>
                  </w:r>
                </w:p>
              </w:tc>
              <w:tc>
                <w:tcPr>
                  <w:tcW w:w="692" w:type="pct"/>
                  <w:shd w:val="clear" w:color="auto" w:fill="auto"/>
                  <w:tcMar>
                    <w:left w:w="0" w:type="dxa"/>
                    <w:right w:w="0" w:type="dxa"/>
                  </w:tcMar>
                  <w:vAlign w:val="center"/>
                </w:tcPr>
                <w:p w14:paraId="19FD4238">
                  <w:pPr>
                    <w:jc w:val="center"/>
                    <w:rPr>
                      <w:szCs w:val="21"/>
                    </w:rPr>
                  </w:pPr>
                  <w:r>
                    <w:rPr>
                      <w:rFonts w:hint="eastAsia"/>
                      <w:kern w:val="0"/>
                      <w:szCs w:val="21"/>
                    </w:rPr>
                    <w:t>50.25kg/试油期</w:t>
                  </w:r>
                </w:p>
              </w:tc>
              <w:tc>
                <w:tcPr>
                  <w:tcW w:w="1838" w:type="pct"/>
                  <w:shd w:val="clear" w:color="auto" w:fill="auto"/>
                  <w:tcMar>
                    <w:left w:w="0" w:type="dxa"/>
                    <w:right w:w="0" w:type="dxa"/>
                  </w:tcMar>
                  <w:vAlign w:val="center"/>
                </w:tcPr>
                <w:p w14:paraId="1F0253C4">
                  <w:pPr>
                    <w:jc w:val="center"/>
                    <w:rPr>
                      <w:szCs w:val="21"/>
                    </w:rPr>
                  </w:pPr>
                  <w:r>
                    <w:rPr>
                      <w:szCs w:val="21"/>
                    </w:rPr>
                    <w:t>试</w:t>
                  </w:r>
                  <w:r>
                    <w:rPr>
                      <w:rFonts w:hint="eastAsia"/>
                      <w:szCs w:val="21"/>
                    </w:rPr>
                    <w:t>油阶段</w:t>
                  </w:r>
                  <w:r>
                    <w:rPr>
                      <w:szCs w:val="21"/>
                    </w:rPr>
                    <w:t>采出液通过密闭管线进入卧式高架防腐储液罐，采用环密技术</w:t>
                  </w:r>
                  <w:r>
                    <w:rPr>
                      <w:rFonts w:hint="eastAsia"/>
                      <w:szCs w:val="21"/>
                    </w:rPr>
                    <w:t>，</w:t>
                  </w:r>
                  <w:r>
                    <w:rPr>
                      <w:szCs w:val="21"/>
                    </w:rPr>
                    <w:t>储液罐安装装车鹤管，装车采用浸没式</w:t>
                  </w:r>
                  <w:r>
                    <w:rPr>
                      <w:rFonts w:hint="eastAsia"/>
                      <w:szCs w:val="21"/>
                    </w:rPr>
                    <w:t>。</w:t>
                  </w:r>
                </w:p>
              </w:tc>
              <w:tc>
                <w:tcPr>
                  <w:tcW w:w="583" w:type="pct"/>
                  <w:shd w:val="clear" w:color="auto" w:fill="auto"/>
                  <w:tcMar>
                    <w:left w:w="0" w:type="dxa"/>
                    <w:right w:w="0" w:type="dxa"/>
                  </w:tcMar>
                  <w:vAlign w:val="center"/>
                </w:tcPr>
                <w:p w14:paraId="1FB60995">
                  <w:pPr>
                    <w:jc w:val="center"/>
                    <w:rPr>
                      <w:szCs w:val="21"/>
                    </w:rPr>
                  </w:pPr>
                  <w:r>
                    <w:rPr>
                      <w:rFonts w:hint="eastAsia"/>
                      <w:kern w:val="0"/>
                      <w:szCs w:val="21"/>
                    </w:rPr>
                    <w:t>50.25kg/试油期</w:t>
                  </w:r>
                </w:p>
              </w:tc>
            </w:tr>
            <w:tr w14:paraId="455586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70" w:type="pct"/>
                  <w:vMerge w:val="continue"/>
                  <w:shd w:val="clear" w:color="auto" w:fill="auto"/>
                  <w:tcMar>
                    <w:left w:w="0" w:type="dxa"/>
                    <w:right w:w="0" w:type="dxa"/>
                  </w:tcMar>
                  <w:vAlign w:val="center"/>
                </w:tcPr>
                <w:p w14:paraId="0C9D4CC7">
                  <w:pPr>
                    <w:jc w:val="center"/>
                    <w:rPr>
                      <w:szCs w:val="21"/>
                    </w:rPr>
                  </w:pPr>
                </w:p>
              </w:tc>
              <w:tc>
                <w:tcPr>
                  <w:tcW w:w="645" w:type="pct"/>
                  <w:shd w:val="clear" w:color="auto" w:fill="auto"/>
                  <w:tcMar>
                    <w:left w:w="0" w:type="dxa"/>
                    <w:right w:w="0" w:type="dxa"/>
                  </w:tcMar>
                  <w:vAlign w:val="center"/>
                </w:tcPr>
                <w:p w14:paraId="45F916E3">
                  <w:pPr>
                    <w:jc w:val="center"/>
                    <w:rPr>
                      <w:rFonts w:ascii="宋体" w:hAnsi="宋体"/>
                      <w:szCs w:val="21"/>
                    </w:rPr>
                  </w:pPr>
                  <w:r>
                    <w:rPr>
                      <w:rFonts w:hint="eastAsia"/>
                      <w:szCs w:val="21"/>
                    </w:rPr>
                    <w:t>伴生气</w:t>
                  </w:r>
                </w:p>
              </w:tc>
              <w:tc>
                <w:tcPr>
                  <w:tcW w:w="872" w:type="pct"/>
                  <w:shd w:val="clear" w:color="auto" w:fill="auto"/>
                  <w:tcMar>
                    <w:left w:w="0" w:type="dxa"/>
                    <w:right w:w="0" w:type="dxa"/>
                  </w:tcMar>
                  <w:vAlign w:val="center"/>
                </w:tcPr>
                <w:p w14:paraId="2BA1830B">
                  <w:pPr>
                    <w:jc w:val="center"/>
                    <w:rPr>
                      <w:szCs w:val="21"/>
                    </w:rPr>
                  </w:pPr>
                  <w:r>
                    <w:rPr>
                      <w:szCs w:val="21"/>
                    </w:rPr>
                    <w:t>非甲烷总烃</w:t>
                  </w:r>
                </w:p>
              </w:tc>
              <w:tc>
                <w:tcPr>
                  <w:tcW w:w="692" w:type="pct"/>
                  <w:shd w:val="clear" w:color="auto" w:fill="auto"/>
                  <w:tcMar>
                    <w:left w:w="0" w:type="dxa"/>
                    <w:right w:w="0" w:type="dxa"/>
                  </w:tcMar>
                  <w:vAlign w:val="center"/>
                </w:tcPr>
                <w:p w14:paraId="3DAC3C46">
                  <w:pPr>
                    <w:jc w:val="center"/>
                    <w:rPr>
                      <w:kern w:val="0"/>
                      <w:szCs w:val="21"/>
                    </w:rPr>
                  </w:pPr>
                  <w:r>
                    <w:rPr>
                      <w:rFonts w:hint="eastAsia"/>
                      <w:kern w:val="0"/>
                      <w:szCs w:val="21"/>
                    </w:rPr>
                    <w:t>/</w:t>
                  </w:r>
                </w:p>
              </w:tc>
              <w:tc>
                <w:tcPr>
                  <w:tcW w:w="1838" w:type="pct"/>
                  <w:shd w:val="clear" w:color="auto" w:fill="auto"/>
                  <w:tcMar>
                    <w:left w:w="0" w:type="dxa"/>
                    <w:right w:w="0" w:type="dxa"/>
                  </w:tcMar>
                  <w:vAlign w:val="center"/>
                </w:tcPr>
                <w:p w14:paraId="6BD46DF8">
                  <w:pPr>
                    <w:jc w:val="center"/>
                    <w:rPr>
                      <w:szCs w:val="21"/>
                    </w:rPr>
                  </w:pPr>
                  <w:r>
                    <w:rPr>
                      <w:rFonts w:hint="eastAsia"/>
                      <w:szCs w:val="21"/>
                    </w:rPr>
                    <w:t>采用火炬就地燃烧。</w:t>
                  </w:r>
                </w:p>
              </w:tc>
              <w:tc>
                <w:tcPr>
                  <w:tcW w:w="583" w:type="pct"/>
                  <w:shd w:val="clear" w:color="auto" w:fill="auto"/>
                  <w:tcMar>
                    <w:left w:w="0" w:type="dxa"/>
                    <w:right w:w="0" w:type="dxa"/>
                  </w:tcMar>
                  <w:vAlign w:val="center"/>
                </w:tcPr>
                <w:p w14:paraId="6CA995CA">
                  <w:pPr>
                    <w:jc w:val="center"/>
                    <w:rPr>
                      <w:szCs w:val="21"/>
                    </w:rPr>
                  </w:pPr>
                  <w:r>
                    <w:rPr>
                      <w:rFonts w:hint="eastAsia"/>
                      <w:szCs w:val="21"/>
                    </w:rPr>
                    <w:t>/</w:t>
                  </w:r>
                </w:p>
              </w:tc>
            </w:tr>
            <w:tr w14:paraId="197FC1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jc w:val="center"/>
              </w:trPr>
              <w:tc>
                <w:tcPr>
                  <w:tcW w:w="370" w:type="pct"/>
                  <w:vMerge w:val="restart"/>
                  <w:shd w:val="clear" w:color="auto" w:fill="auto"/>
                  <w:tcMar>
                    <w:left w:w="0" w:type="dxa"/>
                    <w:right w:w="0" w:type="dxa"/>
                  </w:tcMar>
                  <w:vAlign w:val="center"/>
                </w:tcPr>
                <w:p w14:paraId="65CC1512">
                  <w:pPr>
                    <w:jc w:val="center"/>
                    <w:rPr>
                      <w:szCs w:val="21"/>
                    </w:rPr>
                  </w:pPr>
                  <w:r>
                    <w:rPr>
                      <w:szCs w:val="21"/>
                    </w:rPr>
                    <w:t>废水</w:t>
                  </w:r>
                </w:p>
              </w:tc>
              <w:tc>
                <w:tcPr>
                  <w:tcW w:w="645" w:type="pct"/>
                  <w:shd w:val="clear" w:color="auto" w:fill="auto"/>
                  <w:tcMar>
                    <w:left w:w="0" w:type="dxa"/>
                    <w:right w:w="0" w:type="dxa"/>
                  </w:tcMar>
                  <w:vAlign w:val="center"/>
                </w:tcPr>
                <w:p w14:paraId="48547262">
                  <w:pPr>
                    <w:jc w:val="center"/>
                    <w:rPr>
                      <w:szCs w:val="21"/>
                    </w:rPr>
                  </w:pPr>
                  <w:r>
                    <w:rPr>
                      <w:rFonts w:hint="eastAsia"/>
                      <w:szCs w:val="21"/>
                    </w:rPr>
                    <w:t>废弃泥浆、钻井岩屑中的废水</w:t>
                  </w:r>
                </w:p>
              </w:tc>
              <w:tc>
                <w:tcPr>
                  <w:tcW w:w="872" w:type="pct"/>
                  <w:shd w:val="clear" w:color="auto" w:fill="auto"/>
                  <w:tcMar>
                    <w:left w:w="0" w:type="dxa"/>
                    <w:right w:w="0" w:type="dxa"/>
                  </w:tcMar>
                  <w:vAlign w:val="center"/>
                </w:tcPr>
                <w:p w14:paraId="04ADE6D3">
                  <w:pPr>
                    <w:jc w:val="center"/>
                    <w:rPr>
                      <w:szCs w:val="21"/>
                    </w:rPr>
                  </w:pPr>
                  <w:r>
                    <w:rPr>
                      <w:rFonts w:hint="eastAsia"/>
                      <w:szCs w:val="21"/>
                    </w:rPr>
                    <w:t>pH、COD、石油类、氨氮、SS</w:t>
                  </w:r>
                </w:p>
              </w:tc>
              <w:tc>
                <w:tcPr>
                  <w:tcW w:w="692" w:type="pct"/>
                  <w:shd w:val="clear" w:color="auto" w:fill="auto"/>
                  <w:tcMar>
                    <w:left w:w="0" w:type="dxa"/>
                    <w:right w:w="0" w:type="dxa"/>
                  </w:tcMar>
                  <w:vAlign w:val="center"/>
                </w:tcPr>
                <w:p w14:paraId="0C33DCA6">
                  <w:pPr>
                    <w:jc w:val="center"/>
                    <w:rPr>
                      <w:szCs w:val="21"/>
                    </w:rPr>
                  </w:pPr>
                  <w:r>
                    <w:rPr>
                      <w:rFonts w:hint="eastAsia"/>
                      <w:szCs w:val="21"/>
                    </w:rPr>
                    <w:t>976</w:t>
                  </w:r>
                  <w:r>
                    <w:rPr>
                      <w:szCs w:val="21"/>
                    </w:rPr>
                    <w:t>m³</w:t>
                  </w:r>
                </w:p>
              </w:tc>
              <w:tc>
                <w:tcPr>
                  <w:tcW w:w="1838" w:type="pct"/>
                  <w:shd w:val="clear" w:color="auto" w:fill="auto"/>
                  <w:tcMar>
                    <w:left w:w="0" w:type="dxa"/>
                    <w:right w:w="0" w:type="dxa"/>
                  </w:tcMar>
                  <w:vAlign w:val="center"/>
                </w:tcPr>
                <w:p w14:paraId="09B142A6">
                  <w:pPr>
                    <w:jc w:val="center"/>
                    <w:rPr>
                      <w:szCs w:val="21"/>
                    </w:rPr>
                  </w:pPr>
                  <w:r>
                    <w:rPr>
                      <w:rFonts w:hint="eastAsia"/>
                      <w:szCs w:val="21"/>
                    </w:rPr>
                    <w:t>钻井过程中废水随同废弃泥浆、钻井岩屑拉运至内蒙古众宁环保科技有限公司油气田废弃物集中处理厂处理</w:t>
                  </w:r>
                  <w:r>
                    <w:rPr>
                      <w:szCs w:val="21"/>
                    </w:rPr>
                    <w:t>。</w:t>
                  </w:r>
                </w:p>
              </w:tc>
              <w:tc>
                <w:tcPr>
                  <w:tcW w:w="583" w:type="pct"/>
                  <w:shd w:val="clear" w:color="auto" w:fill="auto"/>
                  <w:tcMar>
                    <w:left w:w="0" w:type="dxa"/>
                    <w:right w:w="0" w:type="dxa"/>
                  </w:tcMar>
                  <w:vAlign w:val="center"/>
                </w:tcPr>
                <w:p w14:paraId="1B0862E6">
                  <w:pPr>
                    <w:jc w:val="center"/>
                    <w:rPr>
                      <w:szCs w:val="21"/>
                    </w:rPr>
                  </w:pPr>
                  <w:r>
                    <w:rPr>
                      <w:szCs w:val="21"/>
                    </w:rPr>
                    <w:t>/</w:t>
                  </w:r>
                </w:p>
              </w:tc>
            </w:tr>
            <w:tr w14:paraId="1FC4BC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624" w:hRule="atLeast"/>
                <w:jc w:val="center"/>
              </w:trPr>
              <w:tc>
                <w:tcPr>
                  <w:tcW w:w="370" w:type="pct"/>
                  <w:vMerge w:val="continue"/>
                  <w:shd w:val="clear" w:color="auto" w:fill="auto"/>
                  <w:tcMar>
                    <w:left w:w="0" w:type="dxa"/>
                    <w:right w:w="0" w:type="dxa"/>
                  </w:tcMar>
                  <w:vAlign w:val="center"/>
                </w:tcPr>
                <w:p w14:paraId="18EF8383">
                  <w:pPr>
                    <w:jc w:val="center"/>
                    <w:rPr>
                      <w:szCs w:val="21"/>
                    </w:rPr>
                  </w:pPr>
                </w:p>
              </w:tc>
              <w:tc>
                <w:tcPr>
                  <w:tcW w:w="645" w:type="pct"/>
                  <w:shd w:val="clear" w:color="auto" w:fill="auto"/>
                  <w:tcMar>
                    <w:left w:w="0" w:type="dxa"/>
                    <w:right w:w="0" w:type="dxa"/>
                  </w:tcMar>
                  <w:vAlign w:val="center"/>
                </w:tcPr>
                <w:p w14:paraId="40F4A10C">
                  <w:pPr>
                    <w:jc w:val="center"/>
                    <w:rPr>
                      <w:szCs w:val="21"/>
                    </w:rPr>
                  </w:pPr>
                  <w:r>
                    <w:rPr>
                      <w:rFonts w:hint="eastAsia"/>
                      <w:szCs w:val="21"/>
                    </w:rPr>
                    <w:t>盥洗废水</w:t>
                  </w:r>
                </w:p>
              </w:tc>
              <w:tc>
                <w:tcPr>
                  <w:tcW w:w="872" w:type="pct"/>
                  <w:shd w:val="clear" w:color="auto" w:fill="auto"/>
                  <w:tcMar>
                    <w:left w:w="0" w:type="dxa"/>
                    <w:right w:w="0" w:type="dxa"/>
                  </w:tcMar>
                  <w:vAlign w:val="center"/>
                </w:tcPr>
                <w:p w14:paraId="2582588A">
                  <w:pPr>
                    <w:jc w:val="center"/>
                    <w:rPr>
                      <w:spacing w:val="-20"/>
                      <w:szCs w:val="21"/>
                    </w:rPr>
                  </w:pPr>
                  <w:r>
                    <w:rPr>
                      <w:szCs w:val="21"/>
                    </w:rPr>
                    <w:t>pH</w:t>
                  </w:r>
                  <w:r>
                    <w:rPr>
                      <w:rFonts w:hint="eastAsia"/>
                      <w:szCs w:val="21"/>
                    </w:rPr>
                    <w:t>、</w:t>
                  </w:r>
                  <w:r>
                    <w:rPr>
                      <w:szCs w:val="21"/>
                    </w:rPr>
                    <w:t>COD</w:t>
                  </w:r>
                  <w:r>
                    <w:rPr>
                      <w:rFonts w:hint="eastAsia"/>
                      <w:szCs w:val="21"/>
                    </w:rPr>
                    <w:t>、</w:t>
                  </w:r>
                  <w:r>
                    <w:rPr>
                      <w:szCs w:val="21"/>
                    </w:rPr>
                    <w:t>BOD</w:t>
                  </w:r>
                  <w:r>
                    <w:rPr>
                      <w:szCs w:val="21"/>
                      <w:vertAlign w:val="subscript"/>
                    </w:rPr>
                    <w:t>5</w:t>
                  </w:r>
                  <w:r>
                    <w:rPr>
                      <w:rFonts w:hint="eastAsia"/>
                      <w:szCs w:val="21"/>
                    </w:rPr>
                    <w:t>、</w:t>
                  </w:r>
                  <w:r>
                    <w:rPr>
                      <w:szCs w:val="21"/>
                    </w:rPr>
                    <w:t>SS</w:t>
                  </w:r>
                  <w:r>
                    <w:rPr>
                      <w:rFonts w:hint="eastAsia"/>
                      <w:szCs w:val="21"/>
                    </w:rPr>
                    <w:t>等</w:t>
                  </w:r>
                </w:p>
              </w:tc>
              <w:tc>
                <w:tcPr>
                  <w:tcW w:w="692" w:type="pct"/>
                  <w:shd w:val="clear" w:color="auto" w:fill="auto"/>
                  <w:tcMar>
                    <w:left w:w="0" w:type="dxa"/>
                    <w:right w:w="0" w:type="dxa"/>
                  </w:tcMar>
                  <w:vAlign w:val="center"/>
                </w:tcPr>
                <w:p w14:paraId="355A74B4">
                  <w:pPr>
                    <w:jc w:val="center"/>
                    <w:rPr>
                      <w:szCs w:val="21"/>
                    </w:rPr>
                  </w:pPr>
                  <w:r>
                    <w:rPr>
                      <w:rFonts w:hint="eastAsia"/>
                      <w:szCs w:val="21"/>
                    </w:rPr>
                    <w:t>345.6m</w:t>
                  </w:r>
                  <w:r>
                    <w:rPr>
                      <w:rFonts w:hint="eastAsia"/>
                      <w:szCs w:val="21"/>
                      <w:vertAlign w:val="superscript"/>
                    </w:rPr>
                    <w:t>3</w:t>
                  </w:r>
                </w:p>
              </w:tc>
              <w:tc>
                <w:tcPr>
                  <w:tcW w:w="1838" w:type="pct"/>
                  <w:shd w:val="clear" w:color="auto" w:fill="auto"/>
                  <w:tcMar>
                    <w:left w:w="0" w:type="dxa"/>
                    <w:right w:w="0" w:type="dxa"/>
                  </w:tcMar>
                  <w:vAlign w:val="center"/>
                </w:tcPr>
                <w:p w14:paraId="1A29F869">
                  <w:pPr>
                    <w:jc w:val="center"/>
                    <w:rPr>
                      <w:szCs w:val="21"/>
                    </w:rPr>
                  </w:pPr>
                  <w:r>
                    <w:rPr>
                      <w:rFonts w:hint="eastAsia"/>
                      <w:szCs w:val="21"/>
                    </w:rPr>
                    <w:t>排入</w:t>
                  </w:r>
                  <w:r>
                    <w:rPr>
                      <w:szCs w:val="21"/>
                    </w:rPr>
                    <w:t>井场设置的</w:t>
                  </w:r>
                  <w:r>
                    <w:rPr>
                      <w:rFonts w:hint="eastAsia"/>
                      <w:szCs w:val="21"/>
                    </w:rPr>
                    <w:t>环保厕所</w:t>
                  </w:r>
                  <w:r>
                    <w:rPr>
                      <w:szCs w:val="21"/>
                    </w:rPr>
                    <w:t>，定期清掏。</w:t>
                  </w:r>
                </w:p>
              </w:tc>
              <w:tc>
                <w:tcPr>
                  <w:tcW w:w="583" w:type="pct"/>
                  <w:shd w:val="clear" w:color="auto" w:fill="auto"/>
                  <w:tcMar>
                    <w:left w:w="0" w:type="dxa"/>
                    <w:right w:w="0" w:type="dxa"/>
                  </w:tcMar>
                  <w:vAlign w:val="center"/>
                </w:tcPr>
                <w:p w14:paraId="7A19A8B0">
                  <w:pPr>
                    <w:jc w:val="center"/>
                    <w:rPr>
                      <w:szCs w:val="21"/>
                    </w:rPr>
                  </w:pPr>
                  <w:r>
                    <w:rPr>
                      <w:szCs w:val="21"/>
                    </w:rPr>
                    <w:t>/</w:t>
                  </w:r>
                </w:p>
              </w:tc>
            </w:tr>
            <w:tr w14:paraId="29FAFE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jc w:val="center"/>
              </w:trPr>
              <w:tc>
                <w:tcPr>
                  <w:tcW w:w="370" w:type="pct"/>
                  <w:shd w:val="clear" w:color="auto" w:fill="auto"/>
                  <w:tcMar>
                    <w:left w:w="0" w:type="dxa"/>
                    <w:right w:w="0" w:type="dxa"/>
                  </w:tcMar>
                  <w:vAlign w:val="center"/>
                </w:tcPr>
                <w:p w14:paraId="6DF695CE">
                  <w:pPr>
                    <w:jc w:val="center"/>
                    <w:rPr>
                      <w:szCs w:val="21"/>
                    </w:rPr>
                  </w:pPr>
                  <w:r>
                    <w:rPr>
                      <w:szCs w:val="21"/>
                    </w:rPr>
                    <w:t>噪声</w:t>
                  </w:r>
                </w:p>
              </w:tc>
              <w:tc>
                <w:tcPr>
                  <w:tcW w:w="645" w:type="pct"/>
                  <w:shd w:val="clear" w:color="auto" w:fill="auto"/>
                  <w:tcMar>
                    <w:left w:w="0" w:type="dxa"/>
                    <w:right w:w="0" w:type="dxa"/>
                  </w:tcMar>
                  <w:vAlign w:val="center"/>
                </w:tcPr>
                <w:p w14:paraId="0E98B4A9">
                  <w:pPr>
                    <w:jc w:val="center"/>
                    <w:rPr>
                      <w:szCs w:val="21"/>
                    </w:rPr>
                  </w:pPr>
                  <w:r>
                    <w:rPr>
                      <w:rFonts w:hint="eastAsia"/>
                      <w:szCs w:val="21"/>
                    </w:rPr>
                    <w:t>钻井及试油设备</w:t>
                  </w:r>
                </w:p>
              </w:tc>
              <w:tc>
                <w:tcPr>
                  <w:tcW w:w="872" w:type="pct"/>
                  <w:shd w:val="clear" w:color="auto" w:fill="auto"/>
                  <w:tcMar>
                    <w:left w:w="0" w:type="dxa"/>
                    <w:right w:w="0" w:type="dxa"/>
                  </w:tcMar>
                  <w:vAlign w:val="center"/>
                </w:tcPr>
                <w:p w14:paraId="575D7C3F">
                  <w:pPr>
                    <w:jc w:val="center"/>
                    <w:rPr>
                      <w:szCs w:val="21"/>
                    </w:rPr>
                  </w:pPr>
                  <w:r>
                    <w:rPr>
                      <w:szCs w:val="21"/>
                    </w:rPr>
                    <w:t>Leq（A）</w:t>
                  </w:r>
                </w:p>
              </w:tc>
              <w:tc>
                <w:tcPr>
                  <w:tcW w:w="692" w:type="pct"/>
                  <w:shd w:val="clear" w:color="auto" w:fill="auto"/>
                  <w:tcMar>
                    <w:left w:w="0" w:type="dxa"/>
                    <w:right w:w="0" w:type="dxa"/>
                  </w:tcMar>
                  <w:vAlign w:val="center"/>
                </w:tcPr>
                <w:p w14:paraId="0D5CBD90">
                  <w:pPr>
                    <w:jc w:val="center"/>
                    <w:rPr>
                      <w:szCs w:val="21"/>
                    </w:rPr>
                  </w:pPr>
                  <w:r>
                    <w:rPr>
                      <w:szCs w:val="21"/>
                    </w:rPr>
                    <w:t>/</w:t>
                  </w:r>
                </w:p>
              </w:tc>
              <w:tc>
                <w:tcPr>
                  <w:tcW w:w="1838" w:type="pct"/>
                  <w:shd w:val="clear" w:color="auto" w:fill="auto"/>
                  <w:tcMar>
                    <w:left w:w="0" w:type="dxa"/>
                    <w:right w:w="0" w:type="dxa"/>
                  </w:tcMar>
                  <w:vAlign w:val="center"/>
                </w:tcPr>
                <w:p w14:paraId="3C2D17D5">
                  <w:pPr>
                    <w:jc w:val="center"/>
                    <w:rPr>
                      <w:szCs w:val="21"/>
                    </w:rPr>
                  </w:pPr>
                  <w:r>
                    <w:rPr>
                      <w:szCs w:val="21"/>
                    </w:rPr>
                    <w:t>选用低噪声设备、基础减振。</w:t>
                  </w:r>
                </w:p>
              </w:tc>
              <w:tc>
                <w:tcPr>
                  <w:tcW w:w="583" w:type="pct"/>
                  <w:shd w:val="clear" w:color="auto" w:fill="auto"/>
                  <w:tcMar>
                    <w:left w:w="0" w:type="dxa"/>
                    <w:right w:w="0" w:type="dxa"/>
                  </w:tcMar>
                  <w:vAlign w:val="center"/>
                </w:tcPr>
                <w:p w14:paraId="589F0766">
                  <w:pPr>
                    <w:jc w:val="center"/>
                    <w:rPr>
                      <w:szCs w:val="21"/>
                    </w:rPr>
                  </w:pPr>
                  <w:r>
                    <w:rPr>
                      <w:szCs w:val="21"/>
                    </w:rPr>
                    <w:t>/</w:t>
                  </w:r>
                </w:p>
              </w:tc>
            </w:tr>
            <w:tr w14:paraId="02482C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2" w:hRule="atLeast"/>
                <w:jc w:val="center"/>
              </w:trPr>
              <w:tc>
                <w:tcPr>
                  <w:tcW w:w="370" w:type="pct"/>
                  <w:vMerge w:val="restart"/>
                  <w:shd w:val="clear" w:color="auto" w:fill="auto"/>
                  <w:tcMar>
                    <w:left w:w="0" w:type="dxa"/>
                    <w:right w:w="0" w:type="dxa"/>
                  </w:tcMar>
                  <w:vAlign w:val="center"/>
                </w:tcPr>
                <w:p w14:paraId="54C127B2">
                  <w:pPr>
                    <w:jc w:val="center"/>
                    <w:rPr>
                      <w:szCs w:val="21"/>
                    </w:rPr>
                  </w:pPr>
                  <w:r>
                    <w:rPr>
                      <w:szCs w:val="21"/>
                    </w:rPr>
                    <w:t>固体废物</w:t>
                  </w:r>
                </w:p>
              </w:tc>
              <w:tc>
                <w:tcPr>
                  <w:tcW w:w="645" w:type="pct"/>
                  <w:shd w:val="clear" w:color="auto" w:fill="auto"/>
                  <w:tcMar>
                    <w:left w:w="0" w:type="dxa"/>
                    <w:right w:w="0" w:type="dxa"/>
                  </w:tcMar>
                  <w:vAlign w:val="center"/>
                </w:tcPr>
                <w:p w14:paraId="05B12184">
                  <w:pPr>
                    <w:jc w:val="center"/>
                    <w:rPr>
                      <w:szCs w:val="21"/>
                    </w:rPr>
                  </w:pPr>
                  <w:r>
                    <w:rPr>
                      <w:szCs w:val="21"/>
                    </w:rPr>
                    <w:t>废弃泥浆、钻井岩屑</w:t>
                  </w:r>
                </w:p>
              </w:tc>
              <w:tc>
                <w:tcPr>
                  <w:tcW w:w="872" w:type="pct"/>
                  <w:shd w:val="clear" w:color="auto" w:fill="auto"/>
                  <w:tcMar>
                    <w:left w:w="0" w:type="dxa"/>
                    <w:right w:w="0" w:type="dxa"/>
                  </w:tcMar>
                  <w:vAlign w:val="center"/>
                </w:tcPr>
                <w:p w14:paraId="4C27AD99">
                  <w:pPr>
                    <w:jc w:val="center"/>
                    <w:rPr>
                      <w:szCs w:val="21"/>
                    </w:rPr>
                  </w:pPr>
                  <w:r>
                    <w:rPr>
                      <w:szCs w:val="21"/>
                    </w:rPr>
                    <w:t>水、粘土、岩石、土壤等</w:t>
                  </w:r>
                </w:p>
              </w:tc>
              <w:tc>
                <w:tcPr>
                  <w:tcW w:w="692" w:type="pct"/>
                  <w:shd w:val="clear" w:color="auto" w:fill="auto"/>
                  <w:tcMar>
                    <w:left w:w="0" w:type="dxa"/>
                    <w:right w:w="0" w:type="dxa"/>
                  </w:tcMar>
                  <w:vAlign w:val="center"/>
                </w:tcPr>
                <w:p w14:paraId="5653BDB8">
                  <w:pPr>
                    <w:jc w:val="center"/>
                    <w:rPr>
                      <w:szCs w:val="21"/>
                    </w:rPr>
                  </w:pPr>
                  <w:r>
                    <w:rPr>
                      <w:rFonts w:hint="eastAsia"/>
                      <w:szCs w:val="21"/>
                    </w:rPr>
                    <w:t>1424.88</w:t>
                  </w:r>
                  <w:r>
                    <w:rPr>
                      <w:szCs w:val="21"/>
                    </w:rPr>
                    <w:t>m</w:t>
                  </w:r>
                  <w:r>
                    <w:rPr>
                      <w:szCs w:val="21"/>
                      <w:vertAlign w:val="superscript"/>
                    </w:rPr>
                    <w:t>3</w:t>
                  </w:r>
                </w:p>
              </w:tc>
              <w:tc>
                <w:tcPr>
                  <w:tcW w:w="1838" w:type="pct"/>
                  <w:shd w:val="clear" w:color="auto" w:fill="auto"/>
                  <w:tcMar>
                    <w:left w:w="0" w:type="dxa"/>
                    <w:right w:w="0" w:type="dxa"/>
                  </w:tcMar>
                  <w:vAlign w:val="center"/>
                </w:tcPr>
                <w:p w14:paraId="19E33BB5">
                  <w:pPr>
                    <w:jc w:val="center"/>
                    <w:rPr>
                      <w:szCs w:val="21"/>
                    </w:rPr>
                  </w:pPr>
                  <w:r>
                    <w:rPr>
                      <w:rFonts w:hint="eastAsia"/>
                      <w:szCs w:val="21"/>
                    </w:rPr>
                    <w:t>废弃泥浆、钻井岩屑拉运至内蒙古众宁环保科技有限公司油气田废弃物集中处理厂处理。</w:t>
                  </w:r>
                </w:p>
              </w:tc>
              <w:tc>
                <w:tcPr>
                  <w:tcW w:w="583" w:type="pct"/>
                  <w:shd w:val="clear" w:color="auto" w:fill="auto"/>
                  <w:tcMar>
                    <w:left w:w="0" w:type="dxa"/>
                    <w:right w:w="0" w:type="dxa"/>
                  </w:tcMar>
                  <w:vAlign w:val="center"/>
                </w:tcPr>
                <w:p w14:paraId="409E902D">
                  <w:pPr>
                    <w:jc w:val="center"/>
                    <w:rPr>
                      <w:szCs w:val="21"/>
                    </w:rPr>
                  </w:pPr>
                  <w:r>
                    <w:rPr>
                      <w:szCs w:val="21"/>
                    </w:rPr>
                    <w:t>/</w:t>
                  </w:r>
                </w:p>
              </w:tc>
            </w:tr>
            <w:tr w14:paraId="28408E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370" w:type="pct"/>
                  <w:vMerge w:val="continue"/>
                  <w:shd w:val="clear" w:color="auto" w:fill="auto"/>
                  <w:tcMar>
                    <w:left w:w="0" w:type="dxa"/>
                    <w:right w:w="0" w:type="dxa"/>
                  </w:tcMar>
                  <w:vAlign w:val="center"/>
                </w:tcPr>
                <w:p w14:paraId="3123960F">
                  <w:pPr>
                    <w:jc w:val="center"/>
                    <w:rPr>
                      <w:szCs w:val="21"/>
                    </w:rPr>
                  </w:pPr>
                </w:p>
              </w:tc>
              <w:tc>
                <w:tcPr>
                  <w:tcW w:w="645" w:type="pct"/>
                  <w:shd w:val="clear" w:color="auto" w:fill="auto"/>
                  <w:tcMar>
                    <w:left w:w="0" w:type="dxa"/>
                    <w:right w:w="0" w:type="dxa"/>
                  </w:tcMar>
                  <w:vAlign w:val="center"/>
                </w:tcPr>
                <w:p w14:paraId="72B054F5">
                  <w:pPr>
                    <w:jc w:val="center"/>
                    <w:rPr>
                      <w:szCs w:val="21"/>
                    </w:rPr>
                  </w:pPr>
                  <w:r>
                    <w:rPr>
                      <w:szCs w:val="21"/>
                    </w:rPr>
                    <w:t>废润滑油</w:t>
                  </w:r>
                </w:p>
              </w:tc>
              <w:tc>
                <w:tcPr>
                  <w:tcW w:w="872" w:type="pct"/>
                  <w:shd w:val="clear" w:color="auto" w:fill="auto"/>
                  <w:tcMar>
                    <w:left w:w="0" w:type="dxa"/>
                    <w:right w:w="0" w:type="dxa"/>
                  </w:tcMar>
                  <w:vAlign w:val="center"/>
                </w:tcPr>
                <w:p w14:paraId="04826111">
                  <w:pPr>
                    <w:jc w:val="center"/>
                    <w:rPr>
                      <w:szCs w:val="21"/>
                    </w:rPr>
                  </w:pPr>
                  <w:r>
                    <w:rPr>
                      <w:szCs w:val="21"/>
                    </w:rPr>
                    <w:t>矿物油</w:t>
                  </w:r>
                </w:p>
              </w:tc>
              <w:tc>
                <w:tcPr>
                  <w:tcW w:w="692" w:type="pct"/>
                  <w:shd w:val="clear" w:color="auto" w:fill="auto"/>
                  <w:tcMar>
                    <w:left w:w="0" w:type="dxa"/>
                    <w:right w:w="0" w:type="dxa"/>
                  </w:tcMar>
                  <w:vAlign w:val="center"/>
                </w:tcPr>
                <w:p w14:paraId="012022C6">
                  <w:pPr>
                    <w:jc w:val="center"/>
                    <w:rPr>
                      <w:szCs w:val="21"/>
                    </w:rPr>
                  </w:pPr>
                  <w:r>
                    <w:rPr>
                      <w:rFonts w:hint="eastAsia"/>
                      <w:szCs w:val="21"/>
                    </w:rPr>
                    <w:t>0.2</w:t>
                  </w:r>
                  <w:r>
                    <w:rPr>
                      <w:szCs w:val="21"/>
                    </w:rPr>
                    <w:t>t</w:t>
                  </w:r>
                </w:p>
              </w:tc>
              <w:tc>
                <w:tcPr>
                  <w:tcW w:w="1838" w:type="pct"/>
                  <w:vMerge w:val="restart"/>
                  <w:shd w:val="clear" w:color="auto" w:fill="auto"/>
                  <w:tcMar>
                    <w:left w:w="0" w:type="dxa"/>
                    <w:right w:w="0" w:type="dxa"/>
                  </w:tcMar>
                  <w:vAlign w:val="center"/>
                </w:tcPr>
                <w:p w14:paraId="2F6F77C4">
                  <w:pPr>
                    <w:jc w:val="center"/>
                    <w:rPr>
                      <w:szCs w:val="21"/>
                    </w:rPr>
                  </w:pPr>
                  <w:r>
                    <w:rPr>
                      <w:rFonts w:hint="eastAsia"/>
                      <w:szCs w:val="21"/>
                    </w:rPr>
                    <w:t>废润滑油、落地油及废防渗材料收集后，暂存在井场设置的撬装式危废贮存点，交有资质单位拉运处置。</w:t>
                  </w:r>
                </w:p>
              </w:tc>
              <w:tc>
                <w:tcPr>
                  <w:tcW w:w="583" w:type="pct"/>
                  <w:shd w:val="clear" w:color="auto" w:fill="auto"/>
                  <w:tcMar>
                    <w:left w:w="0" w:type="dxa"/>
                    <w:right w:w="0" w:type="dxa"/>
                  </w:tcMar>
                  <w:vAlign w:val="center"/>
                </w:tcPr>
                <w:p w14:paraId="2D146409">
                  <w:pPr>
                    <w:jc w:val="center"/>
                    <w:rPr>
                      <w:szCs w:val="21"/>
                    </w:rPr>
                  </w:pPr>
                  <w:r>
                    <w:rPr>
                      <w:rFonts w:hint="eastAsia"/>
                      <w:szCs w:val="21"/>
                    </w:rPr>
                    <w:t>/</w:t>
                  </w:r>
                </w:p>
              </w:tc>
            </w:tr>
            <w:tr w14:paraId="201B70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370" w:type="pct"/>
                  <w:vMerge w:val="continue"/>
                  <w:shd w:val="clear" w:color="auto" w:fill="auto"/>
                  <w:tcMar>
                    <w:left w:w="0" w:type="dxa"/>
                    <w:right w:w="0" w:type="dxa"/>
                  </w:tcMar>
                  <w:vAlign w:val="center"/>
                </w:tcPr>
                <w:p w14:paraId="746538EC">
                  <w:pPr>
                    <w:jc w:val="center"/>
                    <w:rPr>
                      <w:szCs w:val="21"/>
                    </w:rPr>
                  </w:pPr>
                </w:p>
              </w:tc>
              <w:tc>
                <w:tcPr>
                  <w:tcW w:w="645" w:type="pct"/>
                  <w:shd w:val="clear" w:color="auto" w:fill="auto"/>
                  <w:tcMar>
                    <w:left w:w="0" w:type="dxa"/>
                    <w:right w:w="0" w:type="dxa"/>
                  </w:tcMar>
                  <w:vAlign w:val="center"/>
                </w:tcPr>
                <w:p w14:paraId="26486167">
                  <w:pPr>
                    <w:jc w:val="center"/>
                    <w:rPr>
                      <w:szCs w:val="21"/>
                    </w:rPr>
                  </w:pPr>
                  <w:r>
                    <w:rPr>
                      <w:szCs w:val="21"/>
                    </w:rPr>
                    <w:t>落地油</w:t>
                  </w:r>
                </w:p>
              </w:tc>
              <w:tc>
                <w:tcPr>
                  <w:tcW w:w="872" w:type="pct"/>
                  <w:shd w:val="clear" w:color="auto" w:fill="auto"/>
                  <w:tcMar>
                    <w:left w:w="0" w:type="dxa"/>
                    <w:right w:w="0" w:type="dxa"/>
                  </w:tcMar>
                  <w:vAlign w:val="center"/>
                </w:tcPr>
                <w:p w14:paraId="452B4782">
                  <w:pPr>
                    <w:jc w:val="center"/>
                    <w:rPr>
                      <w:szCs w:val="21"/>
                    </w:rPr>
                  </w:pPr>
                  <w:r>
                    <w:rPr>
                      <w:szCs w:val="21"/>
                    </w:rPr>
                    <w:t>矿物油</w:t>
                  </w:r>
                </w:p>
              </w:tc>
              <w:tc>
                <w:tcPr>
                  <w:tcW w:w="692" w:type="pct"/>
                  <w:shd w:val="clear" w:color="auto" w:fill="auto"/>
                  <w:tcMar>
                    <w:left w:w="0" w:type="dxa"/>
                    <w:right w:w="0" w:type="dxa"/>
                  </w:tcMar>
                  <w:vAlign w:val="center"/>
                </w:tcPr>
                <w:p w14:paraId="3057E2A7">
                  <w:pPr>
                    <w:jc w:val="center"/>
                    <w:rPr>
                      <w:szCs w:val="21"/>
                    </w:rPr>
                  </w:pPr>
                  <w:r>
                    <w:rPr>
                      <w:rFonts w:hint="eastAsia"/>
                      <w:szCs w:val="21"/>
                    </w:rPr>
                    <w:t>0.2</w:t>
                  </w:r>
                  <w:r>
                    <w:rPr>
                      <w:szCs w:val="21"/>
                    </w:rPr>
                    <w:t>t</w:t>
                  </w:r>
                </w:p>
              </w:tc>
              <w:tc>
                <w:tcPr>
                  <w:tcW w:w="1838" w:type="pct"/>
                  <w:vMerge w:val="continue"/>
                  <w:shd w:val="clear" w:color="auto" w:fill="auto"/>
                  <w:tcMar>
                    <w:left w:w="0" w:type="dxa"/>
                    <w:right w:w="0" w:type="dxa"/>
                  </w:tcMar>
                  <w:vAlign w:val="center"/>
                </w:tcPr>
                <w:p w14:paraId="479AFD27">
                  <w:pPr>
                    <w:jc w:val="center"/>
                    <w:rPr>
                      <w:szCs w:val="21"/>
                    </w:rPr>
                  </w:pPr>
                </w:p>
              </w:tc>
              <w:tc>
                <w:tcPr>
                  <w:tcW w:w="583" w:type="pct"/>
                  <w:shd w:val="clear" w:color="auto" w:fill="auto"/>
                  <w:tcMar>
                    <w:left w:w="0" w:type="dxa"/>
                    <w:right w:w="0" w:type="dxa"/>
                  </w:tcMar>
                  <w:vAlign w:val="center"/>
                </w:tcPr>
                <w:p w14:paraId="3E6D75B7">
                  <w:pPr>
                    <w:jc w:val="center"/>
                    <w:rPr>
                      <w:szCs w:val="21"/>
                    </w:rPr>
                  </w:pPr>
                  <w:r>
                    <w:rPr>
                      <w:rFonts w:hint="eastAsia"/>
                      <w:szCs w:val="21"/>
                    </w:rPr>
                    <w:t>/</w:t>
                  </w:r>
                </w:p>
              </w:tc>
            </w:tr>
            <w:tr w14:paraId="2FD82A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370" w:type="pct"/>
                  <w:vMerge w:val="continue"/>
                  <w:shd w:val="clear" w:color="auto" w:fill="auto"/>
                  <w:tcMar>
                    <w:left w:w="0" w:type="dxa"/>
                    <w:right w:w="0" w:type="dxa"/>
                  </w:tcMar>
                  <w:vAlign w:val="center"/>
                </w:tcPr>
                <w:p w14:paraId="71D11F06">
                  <w:pPr>
                    <w:jc w:val="center"/>
                    <w:rPr>
                      <w:szCs w:val="21"/>
                    </w:rPr>
                  </w:pPr>
                </w:p>
              </w:tc>
              <w:tc>
                <w:tcPr>
                  <w:tcW w:w="645" w:type="pct"/>
                  <w:shd w:val="clear" w:color="auto" w:fill="auto"/>
                  <w:tcMar>
                    <w:left w:w="0" w:type="dxa"/>
                    <w:right w:w="0" w:type="dxa"/>
                  </w:tcMar>
                  <w:vAlign w:val="center"/>
                </w:tcPr>
                <w:p w14:paraId="3028084D">
                  <w:pPr>
                    <w:jc w:val="center"/>
                    <w:rPr>
                      <w:szCs w:val="21"/>
                    </w:rPr>
                  </w:pPr>
                  <w:r>
                    <w:rPr>
                      <w:szCs w:val="21"/>
                    </w:rPr>
                    <w:t>废防渗材料</w:t>
                  </w:r>
                </w:p>
              </w:tc>
              <w:tc>
                <w:tcPr>
                  <w:tcW w:w="872" w:type="pct"/>
                  <w:shd w:val="clear" w:color="auto" w:fill="auto"/>
                  <w:tcMar>
                    <w:left w:w="0" w:type="dxa"/>
                    <w:right w:w="0" w:type="dxa"/>
                  </w:tcMar>
                  <w:vAlign w:val="center"/>
                </w:tcPr>
                <w:p w14:paraId="5238AFF3">
                  <w:pPr>
                    <w:jc w:val="center"/>
                    <w:rPr>
                      <w:szCs w:val="21"/>
                    </w:rPr>
                  </w:pPr>
                  <w:r>
                    <w:rPr>
                      <w:szCs w:val="21"/>
                    </w:rPr>
                    <w:t>矿物油</w:t>
                  </w:r>
                </w:p>
              </w:tc>
              <w:tc>
                <w:tcPr>
                  <w:tcW w:w="692" w:type="pct"/>
                  <w:shd w:val="clear" w:color="auto" w:fill="auto"/>
                  <w:tcMar>
                    <w:left w:w="0" w:type="dxa"/>
                    <w:right w:w="0" w:type="dxa"/>
                  </w:tcMar>
                  <w:vAlign w:val="center"/>
                </w:tcPr>
                <w:p w14:paraId="3AECDD97">
                  <w:pPr>
                    <w:jc w:val="center"/>
                    <w:rPr>
                      <w:szCs w:val="21"/>
                    </w:rPr>
                  </w:pPr>
                  <w:r>
                    <w:rPr>
                      <w:rFonts w:hint="eastAsia"/>
                      <w:szCs w:val="21"/>
                    </w:rPr>
                    <w:t>0.5t</w:t>
                  </w:r>
                </w:p>
              </w:tc>
              <w:tc>
                <w:tcPr>
                  <w:tcW w:w="1838" w:type="pct"/>
                  <w:vMerge w:val="continue"/>
                  <w:shd w:val="clear" w:color="auto" w:fill="auto"/>
                  <w:tcMar>
                    <w:left w:w="0" w:type="dxa"/>
                    <w:right w:w="0" w:type="dxa"/>
                  </w:tcMar>
                  <w:vAlign w:val="center"/>
                </w:tcPr>
                <w:p w14:paraId="797D91AD">
                  <w:pPr>
                    <w:jc w:val="center"/>
                    <w:rPr>
                      <w:szCs w:val="21"/>
                    </w:rPr>
                  </w:pPr>
                </w:p>
              </w:tc>
              <w:tc>
                <w:tcPr>
                  <w:tcW w:w="583" w:type="pct"/>
                  <w:shd w:val="clear" w:color="auto" w:fill="auto"/>
                  <w:tcMar>
                    <w:left w:w="0" w:type="dxa"/>
                    <w:right w:w="0" w:type="dxa"/>
                  </w:tcMar>
                  <w:vAlign w:val="center"/>
                </w:tcPr>
                <w:p w14:paraId="13718499">
                  <w:pPr>
                    <w:jc w:val="center"/>
                    <w:rPr>
                      <w:szCs w:val="21"/>
                    </w:rPr>
                  </w:pPr>
                  <w:r>
                    <w:rPr>
                      <w:rFonts w:hint="eastAsia"/>
                      <w:szCs w:val="21"/>
                    </w:rPr>
                    <w:t>/</w:t>
                  </w:r>
                </w:p>
              </w:tc>
            </w:tr>
            <w:tr w14:paraId="16F3CF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899" w:hRule="atLeast"/>
                <w:jc w:val="center"/>
              </w:trPr>
              <w:tc>
                <w:tcPr>
                  <w:tcW w:w="370" w:type="pct"/>
                  <w:vMerge w:val="continue"/>
                  <w:shd w:val="clear" w:color="auto" w:fill="auto"/>
                  <w:tcMar>
                    <w:left w:w="0" w:type="dxa"/>
                    <w:right w:w="0" w:type="dxa"/>
                  </w:tcMar>
                  <w:vAlign w:val="center"/>
                </w:tcPr>
                <w:p w14:paraId="5BB6BB2D">
                  <w:pPr>
                    <w:jc w:val="center"/>
                    <w:rPr>
                      <w:szCs w:val="21"/>
                    </w:rPr>
                  </w:pPr>
                </w:p>
              </w:tc>
              <w:tc>
                <w:tcPr>
                  <w:tcW w:w="645" w:type="pct"/>
                  <w:shd w:val="clear" w:color="auto" w:fill="auto"/>
                  <w:tcMar>
                    <w:left w:w="0" w:type="dxa"/>
                    <w:right w:w="0" w:type="dxa"/>
                  </w:tcMar>
                  <w:vAlign w:val="center"/>
                </w:tcPr>
                <w:p w14:paraId="4371E618">
                  <w:pPr>
                    <w:jc w:val="center"/>
                    <w:rPr>
                      <w:szCs w:val="21"/>
                    </w:rPr>
                  </w:pPr>
                  <w:r>
                    <w:rPr>
                      <w:szCs w:val="21"/>
                    </w:rPr>
                    <w:t>生活垃圾</w:t>
                  </w:r>
                </w:p>
              </w:tc>
              <w:tc>
                <w:tcPr>
                  <w:tcW w:w="872" w:type="pct"/>
                  <w:shd w:val="clear" w:color="auto" w:fill="auto"/>
                  <w:tcMar>
                    <w:left w:w="0" w:type="dxa"/>
                    <w:right w:w="0" w:type="dxa"/>
                  </w:tcMar>
                  <w:vAlign w:val="center"/>
                </w:tcPr>
                <w:p w14:paraId="2974EF2B">
                  <w:pPr>
                    <w:jc w:val="center"/>
                    <w:rPr>
                      <w:szCs w:val="21"/>
                    </w:rPr>
                  </w:pPr>
                  <w:r>
                    <w:rPr>
                      <w:szCs w:val="21"/>
                    </w:rPr>
                    <w:t>生活垃圾</w:t>
                  </w:r>
                </w:p>
              </w:tc>
              <w:tc>
                <w:tcPr>
                  <w:tcW w:w="692" w:type="pct"/>
                  <w:shd w:val="clear" w:color="auto" w:fill="auto"/>
                  <w:tcMar>
                    <w:left w:w="0" w:type="dxa"/>
                    <w:right w:w="0" w:type="dxa"/>
                  </w:tcMar>
                  <w:vAlign w:val="center"/>
                </w:tcPr>
                <w:p w14:paraId="38164823">
                  <w:pPr>
                    <w:jc w:val="center"/>
                    <w:rPr>
                      <w:szCs w:val="21"/>
                    </w:rPr>
                  </w:pPr>
                  <w:r>
                    <w:rPr>
                      <w:rFonts w:hint="eastAsia"/>
                      <w:szCs w:val="21"/>
                    </w:rPr>
                    <w:t>3.6t</w:t>
                  </w:r>
                </w:p>
              </w:tc>
              <w:tc>
                <w:tcPr>
                  <w:tcW w:w="1838" w:type="pct"/>
                  <w:shd w:val="clear" w:color="auto" w:fill="auto"/>
                  <w:tcMar>
                    <w:left w:w="0" w:type="dxa"/>
                    <w:right w:w="0" w:type="dxa"/>
                  </w:tcMar>
                  <w:vAlign w:val="center"/>
                </w:tcPr>
                <w:p w14:paraId="3C164D9D">
                  <w:pPr>
                    <w:jc w:val="center"/>
                    <w:rPr>
                      <w:szCs w:val="21"/>
                    </w:rPr>
                  </w:pPr>
                  <w:r>
                    <w:rPr>
                      <w:rFonts w:hint="eastAsia"/>
                      <w:szCs w:val="21"/>
                    </w:rPr>
                    <w:t>井场设置垃圾桶，集中收集后，拉运至当地乡镇生活垃圾点，由当地环卫部门处理。</w:t>
                  </w:r>
                </w:p>
              </w:tc>
              <w:tc>
                <w:tcPr>
                  <w:tcW w:w="583" w:type="pct"/>
                  <w:shd w:val="clear" w:color="auto" w:fill="auto"/>
                  <w:tcMar>
                    <w:left w:w="0" w:type="dxa"/>
                    <w:right w:w="0" w:type="dxa"/>
                  </w:tcMar>
                  <w:vAlign w:val="center"/>
                </w:tcPr>
                <w:p w14:paraId="043F71FA">
                  <w:pPr>
                    <w:jc w:val="center"/>
                    <w:rPr>
                      <w:szCs w:val="21"/>
                    </w:rPr>
                  </w:pPr>
                  <w:r>
                    <w:rPr>
                      <w:szCs w:val="21"/>
                    </w:rPr>
                    <w:t>/</w:t>
                  </w:r>
                </w:p>
              </w:tc>
            </w:tr>
          </w:tbl>
          <w:p w14:paraId="5A0CDE1F">
            <w:pPr>
              <w:spacing w:line="360" w:lineRule="auto"/>
              <w:ind w:firstLine="480" w:firstLineChars="200"/>
              <w:rPr>
                <w:sz w:val="24"/>
                <w:szCs w:val="32"/>
              </w:rPr>
            </w:pPr>
          </w:p>
        </w:tc>
      </w:tr>
      <w:tr w14:paraId="66A3F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89" w:hRule="atLeast"/>
          <w:jc w:val="center"/>
        </w:trPr>
        <w:tc>
          <w:tcPr>
            <w:tcW w:w="486" w:type="dxa"/>
            <w:tcMar>
              <w:left w:w="28" w:type="dxa"/>
              <w:right w:w="28" w:type="dxa"/>
            </w:tcMar>
            <w:vAlign w:val="center"/>
          </w:tcPr>
          <w:p w14:paraId="0D9CBF74">
            <w:pPr>
              <w:pStyle w:val="25"/>
              <w:adjustRightInd w:val="0"/>
              <w:snapToGrid w:val="0"/>
              <w:spacing w:before="0" w:beforeAutospacing="0" w:after="0" w:afterAutospacing="0"/>
              <w:jc w:val="center"/>
              <w:rPr>
                <w:rFonts w:ascii="Times New Roman" w:hAnsi="Times New Roman"/>
                <w:b/>
                <w:bCs/>
                <w:spacing w:val="10"/>
                <w:kern w:val="2"/>
              </w:rPr>
            </w:pPr>
            <w:r>
              <w:rPr>
                <w:rFonts w:ascii="Times New Roman" w:hAnsi="Times New Roman"/>
                <w:b/>
                <w:bCs/>
                <w:spacing w:val="10"/>
                <w:kern w:val="2"/>
              </w:rPr>
              <w:t>运营期生态环境影响分析</w:t>
            </w:r>
          </w:p>
        </w:tc>
        <w:tc>
          <w:tcPr>
            <w:tcW w:w="8411" w:type="dxa"/>
            <w:vAlign w:val="center"/>
          </w:tcPr>
          <w:p w14:paraId="0485A63E">
            <w:pPr>
              <w:spacing w:line="360" w:lineRule="auto"/>
              <w:ind w:firstLine="480" w:firstLineChars="200"/>
              <w:jc w:val="left"/>
              <w:rPr>
                <w:sz w:val="24"/>
              </w:rPr>
            </w:pPr>
            <w:r>
              <w:rPr>
                <w:sz w:val="24"/>
              </w:rPr>
              <w:t>项目为</w:t>
            </w:r>
            <w:r>
              <w:rPr>
                <w:rFonts w:hint="eastAsia"/>
                <w:sz w:val="24"/>
              </w:rPr>
              <w:t>石油</w:t>
            </w:r>
            <w:r>
              <w:rPr>
                <w:sz w:val="24"/>
              </w:rPr>
              <w:t>勘探</w:t>
            </w:r>
            <w:r>
              <w:rPr>
                <w:rFonts w:hint="eastAsia"/>
                <w:sz w:val="24"/>
              </w:rPr>
              <w:t>工程</w:t>
            </w:r>
            <w:r>
              <w:rPr>
                <w:sz w:val="24"/>
              </w:rPr>
              <w:t>，不包括运营期，因此无运营期污染。</w:t>
            </w:r>
          </w:p>
        </w:tc>
      </w:tr>
      <w:tr w14:paraId="47B8E4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32" w:hRule="atLeast"/>
          <w:jc w:val="center"/>
        </w:trPr>
        <w:tc>
          <w:tcPr>
            <w:tcW w:w="486" w:type="dxa"/>
            <w:tcMar>
              <w:left w:w="28" w:type="dxa"/>
              <w:right w:w="28" w:type="dxa"/>
            </w:tcMar>
            <w:vAlign w:val="center"/>
          </w:tcPr>
          <w:p w14:paraId="7C7BAC9E">
            <w:pPr>
              <w:pStyle w:val="25"/>
              <w:adjustRightInd w:val="0"/>
              <w:snapToGrid w:val="0"/>
              <w:spacing w:before="0" w:beforeAutospacing="0" w:after="0" w:afterAutospacing="0"/>
              <w:jc w:val="center"/>
              <w:rPr>
                <w:rFonts w:ascii="Times New Roman" w:hAnsi="Times New Roman"/>
                <w:b/>
                <w:bCs/>
                <w:spacing w:val="10"/>
                <w:kern w:val="2"/>
              </w:rPr>
            </w:pPr>
            <w:r>
              <w:rPr>
                <w:rFonts w:ascii="Times New Roman" w:hAnsi="Times New Roman"/>
                <w:b/>
                <w:bCs/>
                <w:spacing w:val="10"/>
                <w:kern w:val="2"/>
              </w:rPr>
              <w:t>选址选线环境合理性分析</w:t>
            </w:r>
          </w:p>
        </w:tc>
        <w:tc>
          <w:tcPr>
            <w:tcW w:w="8411" w:type="dxa"/>
          </w:tcPr>
          <w:p w14:paraId="48D95560">
            <w:pPr>
              <w:adjustRightInd w:val="0"/>
              <w:snapToGrid w:val="0"/>
              <w:spacing w:line="360" w:lineRule="auto"/>
              <w:ind w:firstLine="480" w:firstLineChars="200"/>
              <w:rPr>
                <w:sz w:val="24"/>
              </w:rPr>
            </w:pPr>
            <w:r>
              <w:rPr>
                <w:rFonts w:hint="eastAsia"/>
                <w:sz w:val="24"/>
              </w:rPr>
              <w:t>1、环境制约因素</w:t>
            </w:r>
          </w:p>
          <w:p w14:paraId="6A7B9939">
            <w:pPr>
              <w:adjustRightInd w:val="0"/>
              <w:snapToGrid w:val="0"/>
              <w:spacing w:line="360" w:lineRule="auto"/>
              <w:ind w:firstLine="480" w:firstLineChars="200"/>
              <w:rPr>
                <w:sz w:val="24"/>
              </w:rPr>
            </w:pPr>
            <w:r>
              <w:rPr>
                <w:rFonts w:hint="eastAsia"/>
                <w:sz w:val="24"/>
              </w:rPr>
              <w:t>项目</w:t>
            </w:r>
            <w:r>
              <w:rPr>
                <w:sz w:val="24"/>
              </w:rPr>
              <w:t>位于内蒙古自治区</w:t>
            </w:r>
            <w:r>
              <w:rPr>
                <w:rFonts w:hint="eastAsia"/>
                <w:sz w:val="24"/>
              </w:rPr>
              <w:t>巴彦淖尔市磴口县沙漠林业实验中心农场四实验场</w:t>
            </w:r>
            <w:r>
              <w:rPr>
                <w:sz w:val="24"/>
              </w:rPr>
              <w:t>，井场中心地理坐标：106°42′48.417″，40°25′45.892″，土地利用现状为</w:t>
            </w:r>
            <w:r>
              <w:rPr>
                <w:rFonts w:hint="eastAsia"/>
                <w:sz w:val="24"/>
              </w:rPr>
              <w:t>天然牧草地</w:t>
            </w:r>
            <w:r>
              <w:rPr>
                <w:sz w:val="24"/>
              </w:rPr>
              <w:t>、其他草地。</w:t>
            </w:r>
          </w:p>
          <w:p w14:paraId="6FA84153">
            <w:pPr>
              <w:spacing w:line="360" w:lineRule="auto"/>
              <w:ind w:firstLine="480" w:firstLineChars="200"/>
              <w:rPr>
                <w:sz w:val="24"/>
              </w:rPr>
            </w:pPr>
            <w:r>
              <w:rPr>
                <w:rFonts w:hint="eastAsia"/>
                <w:sz w:val="24"/>
              </w:rPr>
              <w:t>项目井场占地需满足“地上服从地下”的原则，只有地下有油，地上才占地钻探，通过前期预探明确了磴口构造带是石油地质条件较好的储油凹陷之一。</w:t>
            </w:r>
          </w:p>
          <w:p w14:paraId="287A8615">
            <w:pPr>
              <w:spacing w:line="360" w:lineRule="auto"/>
              <w:ind w:firstLine="480" w:firstLineChars="200"/>
              <w:rPr>
                <w:sz w:val="24"/>
              </w:rPr>
            </w:pPr>
            <w:r>
              <w:rPr>
                <w:rFonts w:hint="eastAsia"/>
                <w:sz w:val="24"/>
              </w:rPr>
              <w:t>石油勘探工作为24小时作业，为了降低对周边居民生产、生活的影响，选址尽量远离村庄居住区。在避让村庄居住区、符合井场布置技术并满足项目钻探目的的要求后，最终选定当前井位。</w:t>
            </w:r>
          </w:p>
          <w:p w14:paraId="48F77512">
            <w:pPr>
              <w:spacing w:line="360" w:lineRule="auto"/>
              <w:ind w:firstLine="480" w:firstLineChars="200"/>
              <w:rPr>
                <w:sz w:val="24"/>
              </w:rPr>
            </w:pPr>
            <w:r>
              <w:rPr>
                <w:sz w:val="24"/>
              </w:rPr>
              <w:t>同时，项目所在地无自然保护区、风景名胜区、集中式饮用水水源保护区</w:t>
            </w:r>
            <w:r>
              <w:rPr>
                <w:rFonts w:hint="eastAsia"/>
                <w:sz w:val="24"/>
              </w:rPr>
              <w:t>及其他</w:t>
            </w:r>
            <w:r>
              <w:rPr>
                <w:sz w:val="24"/>
              </w:rPr>
              <w:t>需要特别保护的区域内，</w:t>
            </w:r>
            <w:r>
              <w:rPr>
                <w:rFonts w:hint="eastAsia"/>
                <w:sz w:val="24"/>
              </w:rPr>
              <w:t>无重大的环境制约因素</w:t>
            </w:r>
            <w:r>
              <w:rPr>
                <w:sz w:val="24"/>
              </w:rPr>
              <w:t>。</w:t>
            </w:r>
          </w:p>
          <w:p w14:paraId="32C527EA">
            <w:pPr>
              <w:spacing w:line="360" w:lineRule="auto"/>
              <w:ind w:firstLine="480" w:firstLineChars="200"/>
              <w:rPr>
                <w:sz w:val="24"/>
              </w:rPr>
            </w:pPr>
            <w:r>
              <w:rPr>
                <w:rFonts w:hint="eastAsia"/>
                <w:sz w:val="24"/>
              </w:rPr>
              <w:t>2、选址合理性</w:t>
            </w:r>
          </w:p>
          <w:p w14:paraId="0A69F06B">
            <w:pPr>
              <w:spacing w:line="360" w:lineRule="auto"/>
              <w:ind w:firstLine="480" w:firstLineChars="200"/>
              <w:rPr>
                <w:sz w:val="24"/>
              </w:rPr>
            </w:pPr>
            <w:r>
              <w:rPr>
                <w:sz w:val="24"/>
              </w:rPr>
              <w:t>根据现场勘查，</w:t>
            </w:r>
            <w:r>
              <w:rPr>
                <w:rFonts w:hint="eastAsia"/>
                <w:sz w:val="24"/>
              </w:rPr>
              <w:t>井场</w:t>
            </w:r>
            <w:r>
              <w:rPr>
                <w:sz w:val="24"/>
              </w:rPr>
              <w:t>选址满足《石油天然气钻井井控技术要求》（GB/T31033-20</w:t>
            </w:r>
            <w:r>
              <w:rPr>
                <w:rFonts w:hint="eastAsia"/>
                <w:sz w:val="24"/>
              </w:rPr>
              <w:t>25</w:t>
            </w:r>
            <w:r>
              <w:rPr>
                <w:sz w:val="24"/>
              </w:rPr>
              <w:t>）以及《钻前工程及井场布置技术要求》（SY/T5466-2013）</w:t>
            </w:r>
            <w:r>
              <w:rPr>
                <w:rFonts w:hint="eastAsia"/>
                <w:sz w:val="24"/>
              </w:rPr>
              <w:t>中相关安全距离的要求</w:t>
            </w:r>
            <w:r>
              <w:rPr>
                <w:sz w:val="24"/>
              </w:rPr>
              <w:t>。</w:t>
            </w:r>
          </w:p>
          <w:p w14:paraId="2F18F621">
            <w:pPr>
              <w:autoSpaceDE w:val="0"/>
              <w:autoSpaceDN w:val="0"/>
              <w:adjustRightInd w:val="0"/>
              <w:jc w:val="center"/>
              <w:rPr>
                <w:b/>
                <w:kern w:val="0"/>
                <w:sz w:val="24"/>
              </w:rPr>
            </w:pPr>
            <w:r>
              <w:rPr>
                <w:b/>
                <w:kern w:val="0"/>
                <w:sz w:val="24"/>
              </w:rPr>
              <w:t>表4-</w:t>
            </w:r>
            <w:r>
              <w:rPr>
                <w:rFonts w:hint="eastAsia"/>
                <w:b/>
                <w:kern w:val="0"/>
                <w:sz w:val="24"/>
              </w:rPr>
              <w:t>20</w:t>
            </w:r>
            <w:r>
              <w:rPr>
                <w:b/>
                <w:kern w:val="0"/>
                <w:sz w:val="24"/>
              </w:rPr>
              <w:t xml:space="preserve"> </w:t>
            </w:r>
            <w:r>
              <w:rPr>
                <w:rFonts w:hint="eastAsia"/>
                <w:b/>
                <w:kern w:val="0"/>
                <w:sz w:val="24"/>
              </w:rPr>
              <w:t>项目</w:t>
            </w:r>
            <w:r>
              <w:rPr>
                <w:b/>
                <w:kern w:val="0"/>
                <w:sz w:val="24"/>
              </w:rPr>
              <w:t>井场</w:t>
            </w:r>
            <w:r>
              <w:rPr>
                <w:rFonts w:hint="eastAsia"/>
                <w:b/>
                <w:kern w:val="0"/>
                <w:sz w:val="24"/>
              </w:rPr>
              <w:t>选址</w:t>
            </w:r>
            <w:r>
              <w:rPr>
                <w:b/>
                <w:kern w:val="0"/>
                <w:sz w:val="24"/>
              </w:rPr>
              <w:t>分析表</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3652"/>
              <w:gridCol w:w="3583"/>
              <w:gridCol w:w="960"/>
            </w:tblGrid>
            <w:tr w14:paraId="4241CA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228" w:type="pct"/>
                  <w:tcBorders>
                    <w:tl2br w:val="single" w:color="auto" w:sz="4" w:space="0"/>
                  </w:tcBorders>
                  <w:tcMar>
                    <w:left w:w="0" w:type="dxa"/>
                    <w:right w:w="0" w:type="dxa"/>
                  </w:tcMar>
                  <w:vAlign w:val="center"/>
                </w:tcPr>
                <w:p w14:paraId="052EBE8C">
                  <w:pPr>
                    <w:pStyle w:val="7"/>
                    <w:ind w:firstLine="0" w:firstLineChars="0"/>
                    <w:jc w:val="right"/>
                    <w:rPr>
                      <w:szCs w:val="21"/>
                    </w:rPr>
                  </w:pPr>
                  <w:r>
                    <w:rPr>
                      <w:szCs w:val="21"/>
                    </w:rPr>
                    <w:t>名称</w:t>
                  </w:r>
                </w:p>
                <w:p w14:paraId="04E5E135">
                  <w:pPr>
                    <w:pStyle w:val="7"/>
                    <w:ind w:firstLine="0" w:firstLineChars="0"/>
                    <w:jc w:val="left"/>
                    <w:rPr>
                      <w:szCs w:val="21"/>
                    </w:rPr>
                  </w:pPr>
                  <w:r>
                    <w:rPr>
                      <w:szCs w:val="21"/>
                    </w:rPr>
                    <w:t>安全距离要求</w:t>
                  </w:r>
                </w:p>
              </w:tc>
              <w:tc>
                <w:tcPr>
                  <w:tcW w:w="2772" w:type="pct"/>
                  <w:gridSpan w:val="2"/>
                  <w:tcMar>
                    <w:left w:w="0" w:type="dxa"/>
                    <w:right w:w="0" w:type="dxa"/>
                  </w:tcMar>
                  <w:vAlign w:val="center"/>
                </w:tcPr>
                <w:p w14:paraId="68D7985F">
                  <w:pPr>
                    <w:pStyle w:val="7"/>
                    <w:ind w:firstLine="0" w:firstLineChars="0"/>
                    <w:jc w:val="center"/>
                    <w:rPr>
                      <w:szCs w:val="21"/>
                    </w:rPr>
                  </w:pPr>
                  <w:r>
                    <w:rPr>
                      <w:rFonts w:hint="eastAsia"/>
                      <w:szCs w:val="21"/>
                    </w:rPr>
                    <w:t>磴4平台井场</w:t>
                  </w:r>
                </w:p>
              </w:tc>
            </w:tr>
            <w:tr w14:paraId="72548A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624" w:hRule="atLeast"/>
              </w:trPr>
              <w:tc>
                <w:tcPr>
                  <w:tcW w:w="2228" w:type="pct"/>
                  <w:tcMar>
                    <w:left w:w="0" w:type="dxa"/>
                    <w:right w:w="0" w:type="dxa"/>
                  </w:tcMar>
                  <w:vAlign w:val="center"/>
                </w:tcPr>
                <w:p w14:paraId="0571C0EA">
                  <w:pPr>
                    <w:pStyle w:val="220"/>
                    <w:jc w:val="center"/>
                    <w:rPr>
                      <w:rFonts w:ascii="Times New Roman" w:hAnsi="Times New Roman"/>
                      <w:sz w:val="21"/>
                      <w:szCs w:val="21"/>
                      <w:lang w:eastAsia="zh-CN"/>
                    </w:rPr>
                  </w:pPr>
                  <w:r>
                    <w:rPr>
                      <w:rFonts w:ascii="Times New Roman" w:hAnsi="Times New Roman"/>
                      <w:sz w:val="21"/>
                      <w:szCs w:val="21"/>
                      <w:lang w:eastAsia="zh-CN"/>
                    </w:rPr>
                    <w:t>井口距高压线及其他永久性设施不小于75m</w:t>
                  </w:r>
                </w:p>
              </w:tc>
              <w:tc>
                <w:tcPr>
                  <w:tcW w:w="2186" w:type="pct"/>
                  <w:tcBorders>
                    <w:right w:val="single" w:color="auto" w:sz="4" w:space="0"/>
                  </w:tcBorders>
                  <w:tcMar>
                    <w:left w:w="0" w:type="dxa"/>
                    <w:right w:w="0" w:type="dxa"/>
                  </w:tcMar>
                  <w:vAlign w:val="center"/>
                </w:tcPr>
                <w:p w14:paraId="5BDC2B1B">
                  <w:pPr>
                    <w:jc w:val="center"/>
                    <w:rPr>
                      <w:szCs w:val="21"/>
                    </w:rPr>
                  </w:pPr>
                  <w:r>
                    <w:rPr>
                      <w:szCs w:val="21"/>
                    </w:rPr>
                    <w:t>井口75m范围内无高压线及其他永久性设施</w:t>
                  </w:r>
                </w:p>
              </w:tc>
              <w:tc>
                <w:tcPr>
                  <w:tcW w:w="586" w:type="pct"/>
                  <w:tcBorders>
                    <w:left w:val="single" w:color="auto" w:sz="4" w:space="0"/>
                  </w:tcBorders>
                  <w:vAlign w:val="center"/>
                </w:tcPr>
                <w:p w14:paraId="42E820C7">
                  <w:pPr>
                    <w:jc w:val="center"/>
                    <w:rPr>
                      <w:szCs w:val="21"/>
                    </w:rPr>
                  </w:pPr>
                  <w:r>
                    <w:rPr>
                      <w:szCs w:val="21"/>
                    </w:rPr>
                    <w:t>符合要求</w:t>
                  </w:r>
                </w:p>
              </w:tc>
            </w:tr>
            <w:tr w14:paraId="6D30C1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624" w:hRule="atLeast"/>
              </w:trPr>
              <w:tc>
                <w:tcPr>
                  <w:tcW w:w="2228" w:type="pct"/>
                  <w:tcMar>
                    <w:left w:w="0" w:type="dxa"/>
                    <w:right w:w="0" w:type="dxa"/>
                  </w:tcMar>
                  <w:vAlign w:val="center"/>
                </w:tcPr>
                <w:p w14:paraId="47641F58">
                  <w:pPr>
                    <w:pStyle w:val="220"/>
                    <w:jc w:val="center"/>
                    <w:rPr>
                      <w:rFonts w:ascii="Times New Roman" w:hAnsi="Times New Roman"/>
                      <w:sz w:val="21"/>
                      <w:szCs w:val="21"/>
                      <w:lang w:eastAsia="zh-CN"/>
                    </w:rPr>
                  </w:pPr>
                  <w:r>
                    <w:rPr>
                      <w:rFonts w:ascii="Times New Roman" w:hAnsi="Times New Roman"/>
                      <w:sz w:val="21"/>
                      <w:szCs w:val="21"/>
                    </w:rPr>
                    <w:t>井口距民宅不小于100m</w:t>
                  </w:r>
                </w:p>
              </w:tc>
              <w:tc>
                <w:tcPr>
                  <w:tcW w:w="2186" w:type="pct"/>
                  <w:tcBorders>
                    <w:right w:val="single" w:color="auto" w:sz="4" w:space="0"/>
                  </w:tcBorders>
                  <w:tcMar>
                    <w:left w:w="0" w:type="dxa"/>
                    <w:right w:w="0" w:type="dxa"/>
                  </w:tcMar>
                  <w:vAlign w:val="center"/>
                </w:tcPr>
                <w:p w14:paraId="780C38AA">
                  <w:pPr>
                    <w:jc w:val="center"/>
                    <w:rPr>
                      <w:szCs w:val="21"/>
                    </w:rPr>
                  </w:pPr>
                  <w:r>
                    <w:rPr>
                      <w:szCs w:val="21"/>
                    </w:rPr>
                    <w:t>井口100m范围内无民宅</w:t>
                  </w:r>
                </w:p>
              </w:tc>
              <w:tc>
                <w:tcPr>
                  <w:tcW w:w="586" w:type="pct"/>
                  <w:tcBorders>
                    <w:left w:val="single" w:color="auto" w:sz="4" w:space="0"/>
                  </w:tcBorders>
                  <w:vAlign w:val="center"/>
                </w:tcPr>
                <w:p w14:paraId="302EA6F5">
                  <w:pPr>
                    <w:jc w:val="center"/>
                    <w:rPr>
                      <w:szCs w:val="21"/>
                    </w:rPr>
                  </w:pPr>
                  <w:r>
                    <w:rPr>
                      <w:szCs w:val="21"/>
                    </w:rPr>
                    <w:t>符合要求</w:t>
                  </w:r>
                </w:p>
              </w:tc>
            </w:tr>
            <w:tr w14:paraId="084C46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624" w:hRule="atLeast"/>
              </w:trPr>
              <w:tc>
                <w:tcPr>
                  <w:tcW w:w="2228" w:type="pct"/>
                  <w:tcMar>
                    <w:left w:w="0" w:type="dxa"/>
                    <w:right w:w="0" w:type="dxa"/>
                  </w:tcMar>
                  <w:vAlign w:val="center"/>
                </w:tcPr>
                <w:p w14:paraId="2910323B">
                  <w:pPr>
                    <w:pStyle w:val="220"/>
                    <w:jc w:val="center"/>
                    <w:rPr>
                      <w:rFonts w:ascii="Times New Roman" w:hAnsi="Times New Roman"/>
                      <w:sz w:val="21"/>
                      <w:szCs w:val="21"/>
                      <w:lang w:eastAsia="zh-CN"/>
                    </w:rPr>
                  </w:pPr>
                  <w:r>
                    <w:rPr>
                      <w:rFonts w:ascii="Times New Roman" w:hAnsi="Times New Roman"/>
                      <w:sz w:val="21"/>
                      <w:szCs w:val="21"/>
                      <w:lang w:eastAsia="zh-CN"/>
                    </w:rPr>
                    <w:t>井口距铁路、高速公路不小于200m</w:t>
                  </w:r>
                </w:p>
              </w:tc>
              <w:tc>
                <w:tcPr>
                  <w:tcW w:w="2186" w:type="pct"/>
                  <w:tcBorders>
                    <w:right w:val="single" w:color="auto" w:sz="4" w:space="0"/>
                  </w:tcBorders>
                  <w:tcMar>
                    <w:left w:w="0" w:type="dxa"/>
                    <w:right w:w="0" w:type="dxa"/>
                  </w:tcMar>
                  <w:vAlign w:val="center"/>
                </w:tcPr>
                <w:p w14:paraId="559BB7BB">
                  <w:pPr>
                    <w:jc w:val="center"/>
                    <w:rPr>
                      <w:szCs w:val="21"/>
                    </w:rPr>
                  </w:pPr>
                  <w:r>
                    <w:rPr>
                      <w:szCs w:val="21"/>
                    </w:rPr>
                    <w:t>井口200m范围内无铁路、高速公路</w:t>
                  </w:r>
                </w:p>
              </w:tc>
              <w:tc>
                <w:tcPr>
                  <w:tcW w:w="586" w:type="pct"/>
                  <w:tcBorders>
                    <w:left w:val="single" w:color="auto" w:sz="4" w:space="0"/>
                  </w:tcBorders>
                  <w:vAlign w:val="center"/>
                </w:tcPr>
                <w:p w14:paraId="1BDF2E60">
                  <w:pPr>
                    <w:jc w:val="center"/>
                    <w:rPr>
                      <w:szCs w:val="21"/>
                    </w:rPr>
                  </w:pPr>
                  <w:r>
                    <w:rPr>
                      <w:szCs w:val="21"/>
                    </w:rPr>
                    <w:t>符合要求</w:t>
                  </w:r>
                </w:p>
              </w:tc>
            </w:tr>
            <w:tr w14:paraId="4BBDB2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624" w:hRule="atLeast"/>
              </w:trPr>
              <w:tc>
                <w:tcPr>
                  <w:tcW w:w="2228" w:type="pct"/>
                  <w:tcMar>
                    <w:left w:w="0" w:type="dxa"/>
                    <w:right w:w="0" w:type="dxa"/>
                  </w:tcMar>
                  <w:vAlign w:val="center"/>
                </w:tcPr>
                <w:p w14:paraId="635B05E9">
                  <w:pPr>
                    <w:pStyle w:val="220"/>
                    <w:jc w:val="center"/>
                    <w:rPr>
                      <w:rFonts w:ascii="Times New Roman" w:hAnsi="Times New Roman"/>
                      <w:sz w:val="21"/>
                      <w:szCs w:val="21"/>
                      <w:lang w:eastAsia="zh-CN"/>
                    </w:rPr>
                  </w:pPr>
                  <w:r>
                    <w:rPr>
                      <w:rFonts w:ascii="Times New Roman" w:hAnsi="Times New Roman"/>
                      <w:sz w:val="21"/>
                      <w:szCs w:val="21"/>
                      <w:lang w:eastAsia="zh-CN"/>
                    </w:rPr>
                    <w:t>井口距学校、医院和大型油库等人口密集性、高危性场所应不小于500m</w:t>
                  </w:r>
                </w:p>
              </w:tc>
              <w:tc>
                <w:tcPr>
                  <w:tcW w:w="2186" w:type="pct"/>
                  <w:tcBorders>
                    <w:right w:val="single" w:color="auto" w:sz="4" w:space="0"/>
                  </w:tcBorders>
                  <w:tcMar>
                    <w:left w:w="0" w:type="dxa"/>
                    <w:right w:w="0" w:type="dxa"/>
                  </w:tcMar>
                  <w:vAlign w:val="center"/>
                </w:tcPr>
                <w:p w14:paraId="147D6AE7">
                  <w:pPr>
                    <w:jc w:val="center"/>
                    <w:rPr>
                      <w:szCs w:val="21"/>
                    </w:rPr>
                  </w:pPr>
                  <w:r>
                    <w:rPr>
                      <w:szCs w:val="21"/>
                    </w:rPr>
                    <w:t>井口500m范围内无学校、医院和大型油库等人口密集性、高危性场所</w:t>
                  </w:r>
                </w:p>
              </w:tc>
              <w:tc>
                <w:tcPr>
                  <w:tcW w:w="586" w:type="pct"/>
                  <w:tcBorders>
                    <w:left w:val="single" w:color="auto" w:sz="4" w:space="0"/>
                  </w:tcBorders>
                  <w:vAlign w:val="center"/>
                </w:tcPr>
                <w:p w14:paraId="7D7172AD">
                  <w:pPr>
                    <w:jc w:val="center"/>
                    <w:rPr>
                      <w:szCs w:val="21"/>
                    </w:rPr>
                  </w:pPr>
                  <w:r>
                    <w:rPr>
                      <w:szCs w:val="21"/>
                    </w:rPr>
                    <w:t>符合要求</w:t>
                  </w:r>
                </w:p>
              </w:tc>
            </w:tr>
          </w:tbl>
          <w:p w14:paraId="0817456B">
            <w:pPr>
              <w:spacing w:line="360" w:lineRule="auto"/>
              <w:ind w:firstLine="480" w:firstLineChars="200"/>
              <w:rPr>
                <w:sz w:val="24"/>
              </w:rPr>
            </w:pPr>
            <w:r>
              <w:rPr>
                <w:rFonts w:hint="eastAsia"/>
                <w:sz w:val="24"/>
              </w:rPr>
              <w:t>项目选址符合勘探井钻探目的及要求。</w:t>
            </w:r>
          </w:p>
          <w:p w14:paraId="70BA0EC2">
            <w:pPr>
              <w:spacing w:line="360" w:lineRule="auto"/>
              <w:ind w:firstLine="480" w:firstLineChars="200"/>
              <w:rPr>
                <w:sz w:val="24"/>
              </w:rPr>
            </w:pPr>
            <w:r>
              <w:rPr>
                <w:rFonts w:hint="eastAsia"/>
                <w:sz w:val="24"/>
              </w:rPr>
              <w:t>3、临时用地合理性</w:t>
            </w:r>
          </w:p>
          <w:p w14:paraId="0A46C227">
            <w:pPr>
              <w:spacing w:line="360" w:lineRule="auto"/>
              <w:ind w:firstLine="480" w:firstLineChars="200"/>
              <w:rPr>
                <w:sz w:val="24"/>
              </w:rPr>
            </w:pPr>
            <w:r>
              <w:rPr>
                <w:rFonts w:hint="eastAsia"/>
                <w:sz w:val="24"/>
              </w:rPr>
              <w:t>2026年6月16日磴口县防沙治沙局出具《关于中国石油天然气股份有限公司华北油田巴彦勘探开发分公司油气勘探开发项目（磴4平台井）临时占用草原的批复》，同意临时用地申请。</w:t>
            </w:r>
          </w:p>
          <w:p w14:paraId="42CFF97D">
            <w:pPr>
              <w:spacing w:line="360" w:lineRule="auto"/>
              <w:ind w:firstLine="480" w:firstLineChars="200"/>
              <w:rPr>
                <w:sz w:val="24"/>
              </w:rPr>
            </w:pPr>
            <w:r>
              <w:rPr>
                <w:rFonts w:hint="eastAsia"/>
                <w:kern w:val="0"/>
                <w:sz w:val="24"/>
              </w:rPr>
              <w:t>项目完成后，若无工业油流则永久封井并恢复原地貌；若发现工业油流，则按程序办理土地征收审批手续后，依法实施后续开采。项目不涉及后续开发。</w:t>
            </w:r>
          </w:p>
          <w:p w14:paraId="177772F2">
            <w:pPr>
              <w:spacing w:line="360" w:lineRule="auto"/>
              <w:ind w:firstLine="480" w:firstLineChars="200"/>
              <w:rPr>
                <w:sz w:val="24"/>
              </w:rPr>
            </w:pPr>
            <w:r>
              <w:rPr>
                <w:rFonts w:hint="eastAsia"/>
                <w:sz w:val="24"/>
              </w:rPr>
              <w:t>4、环境影响程度</w:t>
            </w:r>
          </w:p>
          <w:p w14:paraId="0B1A607E">
            <w:pPr>
              <w:spacing w:line="360" w:lineRule="auto"/>
              <w:ind w:firstLine="480" w:firstLineChars="200"/>
              <w:rPr>
                <w:sz w:val="24"/>
              </w:rPr>
            </w:pPr>
            <w:r>
              <w:rPr>
                <w:rFonts w:hint="eastAsia"/>
                <w:sz w:val="24"/>
              </w:rPr>
              <w:t>项目为</w:t>
            </w:r>
            <w:r>
              <w:rPr>
                <w:sz w:val="24"/>
              </w:rPr>
              <w:t>临时占地，建设单位</w:t>
            </w:r>
            <w:r>
              <w:rPr>
                <w:rFonts w:hint="eastAsia"/>
                <w:sz w:val="24"/>
              </w:rPr>
              <w:t>已</w:t>
            </w:r>
            <w:r>
              <w:rPr>
                <w:sz w:val="24"/>
              </w:rPr>
              <w:t>与土地所有人及相关部门签订临时用地协议</w:t>
            </w:r>
            <w:r>
              <w:rPr>
                <w:rFonts w:hint="eastAsia"/>
                <w:sz w:val="24"/>
              </w:rPr>
              <w:t>，</w:t>
            </w:r>
            <w:r>
              <w:rPr>
                <w:sz w:val="24"/>
              </w:rPr>
              <w:t>按照</w:t>
            </w:r>
            <w:r>
              <w:rPr>
                <w:rFonts w:hint="eastAsia"/>
                <w:sz w:val="24"/>
              </w:rPr>
              <w:t>相关</w:t>
            </w:r>
            <w:r>
              <w:rPr>
                <w:sz w:val="24"/>
              </w:rPr>
              <w:t>补偿标准的要求缴纳补偿费</w:t>
            </w:r>
            <w:r>
              <w:rPr>
                <w:rFonts w:hint="eastAsia"/>
                <w:sz w:val="24"/>
              </w:rPr>
              <w:t>等</w:t>
            </w:r>
            <w:r>
              <w:rPr>
                <w:sz w:val="24"/>
              </w:rPr>
              <w:t>。施工结束后，建设单位应对临时占地及时恢复。</w:t>
            </w:r>
          </w:p>
          <w:p w14:paraId="7A0F471F">
            <w:pPr>
              <w:spacing w:line="360" w:lineRule="auto"/>
              <w:ind w:firstLine="480" w:firstLineChars="200"/>
              <w:rPr>
                <w:sz w:val="24"/>
              </w:rPr>
            </w:pPr>
            <w:r>
              <w:rPr>
                <w:rFonts w:hint="eastAsia"/>
                <w:sz w:val="24"/>
              </w:rPr>
              <w:t>项目勘探施工会占用部分天然牧草地和其他草地，造成地表植被的破坏，植被盖度降低，对局部地区生态环境造成一定影响。项目对环境的影响主要在施工期，施工期剥离表层土单独堆放并在施工结束后回填，以利于植被的恢复，严格控制临时占地范围，以减少对草地的破坏。</w:t>
            </w:r>
          </w:p>
          <w:p w14:paraId="2EFCDBDA">
            <w:pPr>
              <w:spacing w:line="360" w:lineRule="auto"/>
              <w:ind w:firstLine="480" w:firstLineChars="200"/>
              <w:rPr>
                <w:sz w:val="24"/>
              </w:rPr>
            </w:pPr>
            <w:r>
              <w:rPr>
                <w:rFonts w:hint="eastAsia"/>
                <w:sz w:val="24"/>
              </w:rPr>
              <w:t>根据环境影响分析章节，项目废气、废水、噪声、固体废物均得到有效的治理，污染物可实现达标排放。项目的实施不会对周边环境产生明显不利影响。</w:t>
            </w:r>
          </w:p>
          <w:p w14:paraId="7906F05B">
            <w:pPr>
              <w:spacing w:line="360" w:lineRule="auto"/>
              <w:ind w:firstLine="480" w:firstLineChars="200"/>
              <w:jc w:val="left"/>
              <w:rPr>
                <w:sz w:val="24"/>
              </w:rPr>
            </w:pPr>
            <w:r>
              <w:rPr>
                <w:rFonts w:hint="eastAsia"/>
                <w:sz w:val="24"/>
              </w:rPr>
              <w:t>综上，从环境角度分析</w:t>
            </w:r>
            <w:r>
              <w:rPr>
                <w:sz w:val="24"/>
              </w:rPr>
              <w:t>，项目选址合理</w:t>
            </w:r>
            <w:r>
              <w:rPr>
                <w:rFonts w:hint="eastAsia"/>
                <w:sz w:val="24"/>
              </w:rPr>
              <w:t>。</w:t>
            </w:r>
          </w:p>
        </w:tc>
      </w:tr>
    </w:tbl>
    <w:p w14:paraId="47D6076E">
      <w:pPr>
        <w:pStyle w:val="25"/>
        <w:spacing w:before="0" w:beforeAutospacing="0" w:after="0" w:afterAutospacing="0"/>
        <w:jc w:val="center"/>
        <w:outlineLvl w:val="0"/>
        <w:rPr>
          <w:rFonts w:ascii="黑体" w:hAnsi="黑体" w:eastAsia="黑体"/>
          <w:b/>
          <w:snapToGrid w:val="0"/>
          <w:kern w:val="2"/>
          <w:sz w:val="30"/>
          <w:szCs w:val="30"/>
        </w:rPr>
      </w:pPr>
      <w:r>
        <w:rPr>
          <w:b/>
          <w:snapToGrid w:val="0"/>
          <w:kern w:val="2"/>
          <w:sz w:val="30"/>
          <w:szCs w:val="30"/>
        </w:rPr>
        <w:br w:type="page"/>
      </w:r>
      <w:bookmarkStart w:id="18" w:name="_Toc214007557"/>
      <w:r>
        <w:rPr>
          <w:rFonts w:ascii="黑体" w:hAnsi="黑体" w:eastAsia="黑体"/>
          <w:b/>
          <w:snapToGrid w:val="0"/>
          <w:kern w:val="2"/>
          <w:sz w:val="30"/>
          <w:szCs w:val="30"/>
        </w:rPr>
        <w:t>五</w:t>
      </w:r>
      <w:r>
        <w:rPr>
          <w:rFonts w:hint="eastAsia" w:ascii="黑体" w:hAnsi="黑体" w:eastAsia="黑体"/>
          <w:b/>
          <w:snapToGrid w:val="0"/>
          <w:kern w:val="2"/>
          <w:sz w:val="30"/>
          <w:szCs w:val="30"/>
        </w:rPr>
        <w:t>、</w:t>
      </w:r>
      <w:r>
        <w:rPr>
          <w:rFonts w:ascii="黑体" w:hAnsi="黑体" w:eastAsia="黑体"/>
          <w:b/>
          <w:snapToGrid w:val="0"/>
          <w:kern w:val="2"/>
          <w:sz w:val="30"/>
          <w:szCs w:val="30"/>
        </w:rPr>
        <w:t>主要生态环境保护措施</w:t>
      </w:r>
      <w:bookmarkEnd w:id="18"/>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8420"/>
      </w:tblGrid>
      <w:tr w14:paraId="59B831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477" w:type="dxa"/>
            <w:tcMar>
              <w:left w:w="28" w:type="dxa"/>
              <w:right w:w="28" w:type="dxa"/>
            </w:tcMar>
            <w:vAlign w:val="center"/>
          </w:tcPr>
          <w:p w14:paraId="1AFF588B">
            <w:pPr>
              <w:adjustRightInd w:val="0"/>
              <w:snapToGrid w:val="0"/>
              <w:jc w:val="center"/>
              <w:rPr>
                <w:b/>
                <w:bCs/>
                <w:sz w:val="24"/>
              </w:rPr>
            </w:pPr>
            <w:r>
              <w:rPr>
                <w:b/>
                <w:bCs/>
                <w:spacing w:val="10"/>
                <w:sz w:val="24"/>
              </w:rPr>
              <w:t>施工期生态环境保护措施</w:t>
            </w:r>
          </w:p>
        </w:tc>
        <w:tc>
          <w:tcPr>
            <w:tcW w:w="8420" w:type="dxa"/>
          </w:tcPr>
          <w:p w14:paraId="3D17E4C2">
            <w:pPr>
              <w:pStyle w:val="74"/>
              <w:spacing w:line="360" w:lineRule="auto"/>
              <w:ind w:firstLine="482"/>
              <w:rPr>
                <w:b/>
              </w:rPr>
            </w:pPr>
            <w:r>
              <w:rPr>
                <w:b/>
              </w:rPr>
              <w:t>一、施工期</w:t>
            </w:r>
            <w:r>
              <w:rPr>
                <w:rFonts w:hint="eastAsia"/>
                <w:b/>
              </w:rPr>
              <w:t>废气</w:t>
            </w:r>
            <w:r>
              <w:rPr>
                <w:b/>
              </w:rPr>
              <w:t>治理</w:t>
            </w:r>
            <w:r>
              <w:rPr>
                <w:rFonts w:hint="eastAsia"/>
                <w:b/>
              </w:rPr>
              <w:t>措施</w:t>
            </w:r>
          </w:p>
          <w:p w14:paraId="0B1F42DA">
            <w:pPr>
              <w:pStyle w:val="74"/>
              <w:spacing w:line="360" w:lineRule="auto"/>
              <w:ind w:firstLine="480"/>
            </w:pPr>
            <w:r>
              <w:rPr>
                <w:rFonts w:ascii="Times New Roman" w:hAnsi="Times New Roman"/>
              </w:rPr>
              <w:t>1、</w:t>
            </w:r>
            <w:r>
              <w:t>施工扬尘</w:t>
            </w:r>
          </w:p>
          <w:p w14:paraId="4B9544E1">
            <w:pPr>
              <w:pStyle w:val="74"/>
              <w:spacing w:line="360" w:lineRule="auto"/>
              <w:ind w:firstLine="480"/>
              <w:rPr>
                <w:rFonts w:ascii="Times New Roman" w:hAnsi="Times New Roman"/>
              </w:rPr>
            </w:pPr>
            <w:r>
              <w:rPr>
                <w:rFonts w:ascii="Times New Roman" w:hAnsi="Times New Roman"/>
              </w:rPr>
              <w:t>为有效控制勘探施工期间的扬尘影响，采取以下抑尘措施，可较大限度的降低施工扬尘对周围环境的影响。</w:t>
            </w:r>
          </w:p>
          <w:p w14:paraId="1F5E0E19">
            <w:pPr>
              <w:pStyle w:val="74"/>
              <w:spacing w:line="360" w:lineRule="auto"/>
              <w:ind w:firstLine="480"/>
              <w:rPr>
                <w:rFonts w:ascii="Times New Roman" w:hAnsi="Times New Roman"/>
              </w:rPr>
            </w:pPr>
            <w:r>
              <w:rPr>
                <w:rFonts w:hint="eastAsia" w:ascii="Times New Roman" w:hAnsi="Times New Roman"/>
              </w:rPr>
              <w:t>（1）在施工场地边界区域设置不低于1.8m的围挡，设置提示牌/警示牌等。场地内定期洒水降尘，大风天气停止表土施工作业并增加洒水降尘频率。</w:t>
            </w:r>
          </w:p>
          <w:p w14:paraId="147A7B3F">
            <w:pPr>
              <w:pStyle w:val="74"/>
              <w:spacing w:line="360" w:lineRule="auto"/>
              <w:ind w:firstLine="480"/>
              <w:rPr>
                <w:rFonts w:ascii="Times New Roman" w:hAnsi="Times New Roman"/>
              </w:rPr>
            </w:pPr>
            <w:r>
              <w:rPr>
                <w:rFonts w:hint="eastAsia" w:ascii="Times New Roman" w:hAnsi="Times New Roman"/>
              </w:rPr>
              <w:t>（2）钻井泥浆原材料均为袋装或桶装，原材料堆存区上部设苫布遮盖；表土堆存区上铺密目网，并定期洒水抑尘；生活垃圾采用垃圾桶存放。</w:t>
            </w:r>
          </w:p>
          <w:p w14:paraId="3E04CA8F">
            <w:pPr>
              <w:pStyle w:val="74"/>
              <w:spacing w:line="360" w:lineRule="auto"/>
              <w:ind w:firstLine="480"/>
              <w:rPr>
                <w:rFonts w:ascii="Times New Roman" w:hAnsi="Times New Roman"/>
              </w:rPr>
            </w:pPr>
            <w:r>
              <w:rPr>
                <w:rFonts w:hint="eastAsia" w:ascii="Times New Roman" w:hAnsi="Times New Roman"/>
              </w:rPr>
              <w:t>（3）施工运输车辆减速慢行，使用篷布遮盖，严禁超载，严禁沿路遗撒。</w:t>
            </w:r>
          </w:p>
          <w:p w14:paraId="039A13E9">
            <w:pPr>
              <w:pStyle w:val="74"/>
              <w:spacing w:line="360" w:lineRule="auto"/>
              <w:ind w:firstLine="480"/>
              <w:rPr>
                <w:rFonts w:ascii="Times New Roman" w:hAnsi="Times New Roman"/>
              </w:rPr>
            </w:pPr>
            <w:r>
              <w:rPr>
                <w:rFonts w:hint="eastAsia" w:ascii="Times New Roman" w:hAnsi="Times New Roman"/>
              </w:rPr>
              <w:t>（4）根据大气污染预警等级和应急预案合理施工，出现重污染天气或者四级以上大风天气状况时，不进行拆除、土石方作业等可能产生扬尘污染的行为</w:t>
            </w:r>
            <w:r>
              <w:rPr>
                <w:rFonts w:ascii="Times New Roman" w:hAnsi="Times New Roman"/>
              </w:rPr>
              <w:t>。</w:t>
            </w:r>
          </w:p>
          <w:p w14:paraId="44DE9450">
            <w:pPr>
              <w:pStyle w:val="74"/>
              <w:spacing w:line="360" w:lineRule="auto"/>
              <w:ind w:firstLine="480"/>
              <w:rPr>
                <w:rFonts w:ascii="Times New Roman" w:hAnsi="Times New Roman"/>
              </w:rPr>
            </w:pPr>
            <w:r>
              <w:rPr>
                <w:rFonts w:hint="eastAsia" w:ascii="Times New Roman" w:hAnsi="Times New Roman"/>
              </w:rPr>
              <w:t>根据现场调查，井场周围100m范围内无居民点，且施工扬尘粒径较大，漂移距离短，因此，施工期间只要采取合理化管理、控制作业面积、土堆适当洒水抑尘、土建材料遮盖、大风天停止作业等措施，施工扬尘影响范围有限，</w:t>
            </w:r>
            <w:r>
              <w:rPr>
                <w:rFonts w:ascii="Times New Roman" w:hAnsi="Times New Roman"/>
              </w:rPr>
              <w:t>可满足《大气污染物综合排放标准》（GB16297-1996）表2</w:t>
            </w:r>
            <w:r>
              <w:rPr>
                <w:rFonts w:hint="eastAsia" w:ascii="Times New Roman" w:hAnsi="Times New Roman"/>
              </w:rPr>
              <w:t>新污染源大气污染物排放限值中的颗粒物无组织排放监控浓度限值</w:t>
            </w:r>
            <w:r>
              <w:rPr>
                <w:rFonts w:ascii="Times New Roman" w:hAnsi="Times New Roman"/>
              </w:rPr>
              <w:t>1.0mg/m</w:t>
            </w:r>
            <w:r>
              <w:rPr>
                <w:rFonts w:ascii="Times New Roman" w:hAnsi="Times New Roman"/>
                <w:vertAlign w:val="superscript"/>
              </w:rPr>
              <w:t>3</w:t>
            </w:r>
            <w:r>
              <w:rPr>
                <w:rFonts w:hint="eastAsia" w:ascii="Times New Roman" w:hAnsi="Times New Roman"/>
              </w:rPr>
              <w:t>，</w:t>
            </w:r>
            <w:r>
              <w:rPr>
                <w:rFonts w:ascii="Times New Roman" w:hAnsi="Times New Roman"/>
              </w:rPr>
              <w:t>最大限度的降低施工扬尘对周围环境的影响，随着勘探期的结束，施工扬尘影响也将结束</w:t>
            </w:r>
            <w:r>
              <w:rPr>
                <w:rFonts w:hint="eastAsia" w:ascii="Times New Roman" w:hAnsi="Times New Roman"/>
              </w:rPr>
              <w:t>，不会对附近居民点产生明显影响。</w:t>
            </w:r>
          </w:p>
          <w:p w14:paraId="207941D6">
            <w:pPr>
              <w:pStyle w:val="74"/>
              <w:spacing w:line="360" w:lineRule="auto"/>
              <w:ind w:firstLine="480"/>
            </w:pPr>
            <w:r>
              <w:rPr>
                <w:rFonts w:ascii="Times New Roman" w:hAnsi="Times New Roman"/>
              </w:rPr>
              <w:t>2、</w:t>
            </w:r>
            <w:r>
              <w:rPr>
                <w:rFonts w:hint="eastAsia"/>
              </w:rPr>
              <w:t>柴油机发电机组尾气</w:t>
            </w:r>
          </w:p>
          <w:p w14:paraId="5CBE0D1D">
            <w:pPr>
              <w:spacing w:line="360" w:lineRule="auto"/>
              <w:ind w:firstLine="480"/>
              <w:rPr>
                <w:sz w:val="24"/>
              </w:rPr>
            </w:pPr>
            <w:r>
              <w:rPr>
                <w:rFonts w:hint="eastAsia"/>
                <w:sz w:val="24"/>
              </w:rPr>
              <w:t>柴油机使用符合国标的0#或-35#轻质柴油（冬季使用-35#轻质柴油，其他季节使用0#轻质柴油），使用过程产生燃烧废气，废气</w:t>
            </w:r>
            <w:r>
              <w:rPr>
                <w:sz w:val="24"/>
              </w:rPr>
              <w:t>排放满足《大气污染物综合排放标准》（GB16297-1996）中表2最高允许排放浓度指标要求</w:t>
            </w:r>
            <w:r>
              <w:rPr>
                <w:rFonts w:hint="eastAsia"/>
                <w:sz w:val="24"/>
              </w:rPr>
              <w:t>。</w:t>
            </w:r>
          </w:p>
          <w:p w14:paraId="11AA4D02">
            <w:pPr>
              <w:spacing w:line="360" w:lineRule="auto"/>
              <w:ind w:firstLine="480" w:firstLineChars="200"/>
              <w:rPr>
                <w:sz w:val="24"/>
                <w:highlight w:val="yellow"/>
              </w:rPr>
            </w:pPr>
            <w:r>
              <w:rPr>
                <w:rFonts w:hint="eastAsia"/>
                <w:sz w:val="24"/>
              </w:rPr>
              <w:t>施工期采用先进的柴油发电机组，严禁使用超期服役和尾气超标的设备；使用符合国标的0#或-35#轻质柴油，避免排放黑烟，减少有害废气排放；加强对设备检修和维护保养，使其保持良好的工作状态。同时项目影响范围很小，周边较为空旷，扩散条件好，当地大气环境质量的影响将是局部的、暂时的，不会造成大的影响，措施可行。</w:t>
            </w:r>
          </w:p>
          <w:p w14:paraId="01D76B0E">
            <w:pPr>
              <w:pStyle w:val="74"/>
              <w:spacing w:line="360" w:lineRule="auto"/>
              <w:ind w:firstLine="480"/>
              <w:rPr>
                <w:rFonts w:ascii="Times New Roman" w:hAnsi="Times New Roman"/>
                <w:szCs w:val="24"/>
              </w:rPr>
            </w:pPr>
            <w:r>
              <w:rPr>
                <w:rFonts w:hint="eastAsia" w:ascii="Times New Roman" w:hAnsi="Times New Roman"/>
                <w:szCs w:val="24"/>
              </w:rPr>
              <w:t>3、柴油罐挥发废气</w:t>
            </w:r>
          </w:p>
          <w:p w14:paraId="1D2AF8BC">
            <w:pPr>
              <w:pStyle w:val="74"/>
              <w:spacing w:line="360" w:lineRule="auto"/>
              <w:ind w:firstLine="480"/>
              <w:rPr>
                <w:rFonts w:ascii="Times New Roman" w:hAnsi="Times New Roman"/>
                <w:szCs w:val="24"/>
              </w:rPr>
            </w:pPr>
            <w:r>
              <w:rPr>
                <w:rFonts w:hint="eastAsia" w:ascii="Times New Roman" w:hAnsi="Times New Roman"/>
                <w:szCs w:val="24"/>
              </w:rPr>
              <w:t>为防止烃类气体的无组织挥发，项目拟采取以下措施：</w:t>
            </w:r>
          </w:p>
          <w:p w14:paraId="59B8A432">
            <w:pPr>
              <w:pStyle w:val="74"/>
              <w:spacing w:line="360" w:lineRule="auto"/>
              <w:ind w:firstLine="480"/>
              <w:rPr>
                <w:rFonts w:ascii="Times New Roman" w:hAnsi="Times New Roman"/>
                <w:szCs w:val="24"/>
              </w:rPr>
            </w:pPr>
            <w:r>
              <w:rPr>
                <w:rFonts w:hint="eastAsia" w:ascii="Times New Roman" w:hAnsi="Times New Roman"/>
                <w:szCs w:val="24"/>
              </w:rPr>
              <w:t>（1）储油罐采用防腐贮罐，采用环密技术防止烃类泄漏。</w:t>
            </w:r>
          </w:p>
          <w:p w14:paraId="555B17EE">
            <w:pPr>
              <w:pStyle w:val="74"/>
              <w:spacing w:line="360" w:lineRule="auto"/>
              <w:ind w:firstLine="480"/>
              <w:rPr>
                <w:rFonts w:ascii="Times New Roman" w:hAnsi="Times New Roman"/>
                <w:szCs w:val="24"/>
              </w:rPr>
            </w:pPr>
            <w:r>
              <w:rPr>
                <w:rFonts w:hint="eastAsia" w:ascii="Times New Roman" w:hAnsi="Times New Roman"/>
                <w:szCs w:val="24"/>
              </w:rPr>
              <w:t>（2）罐体应保持完好，不应有孔洞和裂隙。设置切断系统，一旦发生事故，紧急切断油源，从而最大限度地减少烃类及油的排放量。</w:t>
            </w:r>
          </w:p>
          <w:p w14:paraId="45E7ABA3">
            <w:pPr>
              <w:pStyle w:val="74"/>
              <w:spacing w:line="360" w:lineRule="auto"/>
              <w:ind w:firstLine="480"/>
              <w:rPr>
                <w:rFonts w:ascii="Times New Roman" w:hAnsi="Times New Roman"/>
                <w:szCs w:val="24"/>
              </w:rPr>
            </w:pPr>
            <w:r>
              <w:rPr>
                <w:rFonts w:hint="eastAsia" w:ascii="Times New Roman" w:hAnsi="Times New Roman"/>
                <w:szCs w:val="24"/>
              </w:rPr>
              <w:t>（3）对管线、阀门等进行定期地检查、检修，以防止跑、冒、滴、漏的发生。</w:t>
            </w:r>
          </w:p>
          <w:p w14:paraId="38215CE0">
            <w:pPr>
              <w:pStyle w:val="74"/>
              <w:spacing w:line="360" w:lineRule="auto"/>
              <w:ind w:firstLine="480"/>
              <w:rPr>
                <w:rFonts w:ascii="Times New Roman" w:hAnsi="Times New Roman"/>
                <w:szCs w:val="24"/>
              </w:rPr>
            </w:pPr>
            <w:r>
              <w:rPr>
                <w:rFonts w:ascii="Times New Roman" w:hAnsi="Times New Roman"/>
                <w:szCs w:val="24"/>
              </w:rPr>
              <w:t>采取上述措施后经预测，柴油罐区无组织排放非甲烷总烃最大落地浓度为</w:t>
            </w:r>
            <w:r>
              <w:rPr>
                <w:rFonts w:hint="eastAsia" w:ascii="Times New Roman" w:hAnsi="Times New Roman"/>
                <w:szCs w:val="24"/>
              </w:rPr>
              <w:t>1.68m</w:t>
            </w:r>
            <w:r>
              <w:rPr>
                <w:rFonts w:ascii="Times New Roman" w:hAnsi="Times New Roman"/>
                <w:szCs w:val="24"/>
              </w:rPr>
              <w:t>g/m</w:t>
            </w:r>
            <w:r>
              <w:rPr>
                <w:rFonts w:ascii="Times New Roman" w:hAnsi="Times New Roman"/>
                <w:szCs w:val="24"/>
                <w:vertAlign w:val="superscript"/>
              </w:rPr>
              <w:t>3</w:t>
            </w:r>
            <w:r>
              <w:rPr>
                <w:rFonts w:ascii="Times New Roman" w:hAnsi="Times New Roman"/>
                <w:szCs w:val="24"/>
              </w:rPr>
              <w:t>，因此项目无组织排放废气对周围大气环境影响很小</w:t>
            </w:r>
            <w:r>
              <w:rPr>
                <w:rFonts w:hint="eastAsia" w:ascii="Times New Roman" w:hAnsi="Times New Roman"/>
                <w:szCs w:val="24"/>
              </w:rPr>
              <w:t>。</w:t>
            </w:r>
          </w:p>
          <w:p w14:paraId="0C5D9FF7">
            <w:pPr>
              <w:pStyle w:val="74"/>
              <w:spacing w:line="360" w:lineRule="auto"/>
              <w:ind w:firstLine="480"/>
              <w:rPr>
                <w:rFonts w:ascii="Times New Roman" w:hAnsi="Times New Roman"/>
                <w:szCs w:val="24"/>
              </w:rPr>
            </w:pPr>
            <w:r>
              <w:rPr>
                <w:rFonts w:hint="eastAsia" w:ascii="Times New Roman" w:hAnsi="Times New Roman"/>
                <w:szCs w:val="24"/>
              </w:rPr>
              <w:t>4</w:t>
            </w:r>
            <w:r>
              <w:rPr>
                <w:rFonts w:ascii="Times New Roman" w:hAnsi="Times New Roman"/>
                <w:szCs w:val="24"/>
              </w:rPr>
              <w:t>、</w:t>
            </w:r>
            <w:r>
              <w:rPr>
                <w:rFonts w:hint="eastAsia" w:ascii="Times New Roman" w:hAnsi="Times New Roman"/>
                <w:szCs w:val="24"/>
              </w:rPr>
              <w:t>储液罐</w:t>
            </w:r>
            <w:r>
              <w:rPr>
                <w:rFonts w:ascii="Times New Roman" w:hAnsi="Times New Roman"/>
                <w:szCs w:val="24"/>
              </w:rPr>
              <w:t>挥发废气</w:t>
            </w:r>
          </w:p>
          <w:p w14:paraId="313AC45A">
            <w:pPr>
              <w:spacing w:line="360" w:lineRule="auto"/>
              <w:ind w:firstLine="480" w:firstLineChars="200"/>
              <w:rPr>
                <w:sz w:val="24"/>
              </w:rPr>
            </w:pPr>
            <w:r>
              <w:rPr>
                <w:rFonts w:hint="eastAsia"/>
                <w:sz w:val="24"/>
              </w:rPr>
              <w:t>项目</w:t>
            </w:r>
            <w:r>
              <w:rPr>
                <w:sz w:val="24"/>
              </w:rPr>
              <w:t>试油</w:t>
            </w:r>
            <w:r>
              <w:rPr>
                <w:rFonts w:hint="eastAsia"/>
                <w:sz w:val="24"/>
              </w:rPr>
              <w:t>阶段</w:t>
            </w:r>
            <w:r>
              <w:rPr>
                <w:sz w:val="24"/>
              </w:rPr>
              <w:t>产生的废气主要为</w:t>
            </w:r>
            <w:r>
              <w:rPr>
                <w:rFonts w:hint="eastAsia"/>
                <w:sz w:val="24"/>
              </w:rPr>
              <w:t>储液罐</w:t>
            </w:r>
            <w:r>
              <w:rPr>
                <w:sz w:val="24"/>
              </w:rPr>
              <w:t>挥发的非甲烷总烃</w:t>
            </w:r>
            <w:r>
              <w:rPr>
                <w:rFonts w:hint="eastAsia"/>
                <w:sz w:val="24"/>
              </w:rPr>
              <w:t>，</w:t>
            </w:r>
            <w:r>
              <w:rPr>
                <w:sz w:val="24"/>
              </w:rPr>
              <w:t>非甲烷总烃产生量较少，浓度较低，且污染形式呈分散的面源，地区环境有利于污染物扩散</w:t>
            </w:r>
            <w:r>
              <w:rPr>
                <w:szCs w:val="22"/>
              </w:rPr>
              <w:t>，</w:t>
            </w:r>
            <w:r>
              <w:rPr>
                <w:sz w:val="24"/>
                <w:szCs w:val="22"/>
              </w:rPr>
              <w:t>对环境产生的影响不大。</w:t>
            </w:r>
          </w:p>
          <w:p w14:paraId="35D4A513">
            <w:pPr>
              <w:spacing w:line="360" w:lineRule="auto"/>
              <w:ind w:firstLine="480" w:firstLineChars="200"/>
              <w:rPr>
                <w:sz w:val="24"/>
              </w:rPr>
            </w:pPr>
            <w:r>
              <w:rPr>
                <w:sz w:val="24"/>
              </w:rPr>
              <w:t>为</w:t>
            </w:r>
            <w:r>
              <w:rPr>
                <w:rFonts w:hint="eastAsia"/>
                <w:sz w:val="24"/>
              </w:rPr>
              <w:t>减少</w:t>
            </w:r>
            <w:r>
              <w:rPr>
                <w:sz w:val="24"/>
              </w:rPr>
              <w:t>烃类气体的无组织挥发，项目采取如下措施。</w:t>
            </w:r>
          </w:p>
          <w:p w14:paraId="4700F0B9">
            <w:pPr>
              <w:spacing w:line="360" w:lineRule="auto"/>
              <w:ind w:firstLine="480" w:firstLineChars="200"/>
              <w:rPr>
                <w:sz w:val="24"/>
              </w:rPr>
            </w:pPr>
            <w:r>
              <w:rPr>
                <w:rFonts w:hint="eastAsia"/>
                <w:sz w:val="24"/>
              </w:rPr>
              <w:t>（1）</w:t>
            </w:r>
            <w:r>
              <w:rPr>
                <w:sz w:val="24"/>
              </w:rPr>
              <w:t>储液罐采用卧式高架防腐储液罐，采用环密技术</w:t>
            </w:r>
            <w:r>
              <w:rPr>
                <w:rFonts w:hint="eastAsia"/>
                <w:sz w:val="24"/>
              </w:rPr>
              <w:t>，减少</w:t>
            </w:r>
            <w:r>
              <w:rPr>
                <w:sz w:val="24"/>
              </w:rPr>
              <w:t>烃类废气挥发。</w:t>
            </w:r>
          </w:p>
          <w:p w14:paraId="5A3D727F">
            <w:pPr>
              <w:spacing w:line="360" w:lineRule="auto"/>
              <w:ind w:firstLine="480" w:firstLineChars="200"/>
              <w:rPr>
                <w:sz w:val="24"/>
              </w:rPr>
            </w:pPr>
            <w:r>
              <w:rPr>
                <w:rFonts w:hint="eastAsia"/>
                <w:sz w:val="24"/>
              </w:rPr>
              <w:t>（2）</w:t>
            </w:r>
            <w:r>
              <w:rPr>
                <w:sz w:val="24"/>
              </w:rPr>
              <w:t>为</w:t>
            </w:r>
            <w:r>
              <w:rPr>
                <w:rFonts w:hint="eastAsia"/>
                <w:sz w:val="24"/>
              </w:rPr>
              <w:t>减少</w:t>
            </w:r>
            <w:r>
              <w:rPr>
                <w:sz w:val="24"/>
              </w:rPr>
              <w:t>集输过程中烃类的损失，采用密闭集输流程，井口</w:t>
            </w:r>
            <w:r>
              <w:rPr>
                <w:rFonts w:hint="eastAsia"/>
                <w:sz w:val="24"/>
              </w:rPr>
              <w:t>、</w:t>
            </w:r>
            <w:r>
              <w:rPr>
                <w:sz w:val="24"/>
              </w:rPr>
              <w:t>储液罐设置切断阀</w:t>
            </w:r>
            <w:r>
              <w:rPr>
                <w:rFonts w:hint="eastAsia"/>
                <w:sz w:val="24"/>
              </w:rPr>
              <w:t>，</w:t>
            </w:r>
            <w:r>
              <w:rPr>
                <w:sz w:val="24"/>
              </w:rPr>
              <w:t>一旦发生事故，紧急切断油源，从而最大限度地减少油气集输过程中烃类</w:t>
            </w:r>
            <w:r>
              <w:rPr>
                <w:rFonts w:hint="eastAsia"/>
                <w:sz w:val="24"/>
              </w:rPr>
              <w:t>废气</w:t>
            </w:r>
            <w:r>
              <w:rPr>
                <w:sz w:val="24"/>
              </w:rPr>
              <w:t>的挥发。</w:t>
            </w:r>
          </w:p>
          <w:p w14:paraId="555199B4">
            <w:pPr>
              <w:spacing w:line="360" w:lineRule="auto"/>
              <w:ind w:firstLine="480" w:firstLineChars="200"/>
              <w:rPr>
                <w:sz w:val="24"/>
              </w:rPr>
            </w:pPr>
            <w:r>
              <w:rPr>
                <w:rFonts w:hint="eastAsia"/>
                <w:sz w:val="24"/>
              </w:rPr>
              <w:t>（3）</w:t>
            </w:r>
            <w:r>
              <w:rPr>
                <w:sz w:val="24"/>
              </w:rPr>
              <w:t>加强井下作业和油井生产管理，减少烃类散失，试采作业前，做好油井的压力监测，并准备应急措施。</w:t>
            </w:r>
          </w:p>
          <w:p w14:paraId="4023D86D">
            <w:pPr>
              <w:spacing w:line="360" w:lineRule="auto"/>
              <w:ind w:firstLine="480" w:firstLineChars="200"/>
              <w:rPr>
                <w:sz w:val="24"/>
              </w:rPr>
            </w:pPr>
            <w:r>
              <w:rPr>
                <w:rFonts w:hint="eastAsia"/>
                <w:sz w:val="24"/>
              </w:rPr>
              <w:t>（4）</w:t>
            </w:r>
            <w:r>
              <w:rPr>
                <w:sz w:val="24"/>
              </w:rPr>
              <w:t>对井场的设备、管线、阀门等进行定期的检查、检修，以防止跑、冒、滴、漏的发生</w:t>
            </w:r>
            <w:r>
              <w:rPr>
                <w:rFonts w:hint="eastAsia"/>
                <w:sz w:val="24"/>
              </w:rPr>
              <w:t>；</w:t>
            </w:r>
            <w:r>
              <w:rPr>
                <w:sz w:val="24"/>
              </w:rPr>
              <w:t>定期对采出液管线进行巡检，以便及时发现问题，消除事故隐患。</w:t>
            </w:r>
          </w:p>
          <w:p w14:paraId="17D39A5B">
            <w:pPr>
              <w:spacing w:line="360" w:lineRule="auto"/>
              <w:ind w:firstLine="480" w:firstLineChars="200"/>
              <w:rPr>
                <w:sz w:val="24"/>
              </w:rPr>
            </w:pPr>
            <w:r>
              <w:rPr>
                <w:rFonts w:hint="eastAsia"/>
                <w:sz w:val="24"/>
              </w:rPr>
              <w:t>（5）</w:t>
            </w:r>
            <w:r>
              <w:rPr>
                <w:sz w:val="24"/>
              </w:rPr>
              <w:t>采出液装车会有少量烃类气体的无组织挥发，</w:t>
            </w:r>
            <w:r>
              <w:rPr>
                <w:rFonts w:hint="eastAsia"/>
                <w:sz w:val="24"/>
              </w:rPr>
              <w:t>项目</w:t>
            </w:r>
            <w:r>
              <w:rPr>
                <w:sz w:val="24"/>
              </w:rPr>
              <w:t>拟采取以下防治措施：</w:t>
            </w:r>
          </w:p>
          <w:p w14:paraId="486CAB14">
            <w:pPr>
              <w:spacing w:line="360" w:lineRule="auto"/>
              <w:ind w:firstLine="480" w:firstLineChars="200"/>
              <w:rPr>
                <w:sz w:val="24"/>
              </w:rPr>
            </w:pPr>
            <w:r>
              <w:rPr>
                <w:rFonts w:hint="eastAsia"/>
                <w:sz w:val="24"/>
              </w:rPr>
              <w:t>1）</w:t>
            </w:r>
            <w:r>
              <w:rPr>
                <w:sz w:val="24"/>
              </w:rPr>
              <w:t>井口采用先进的井控装置，同时采取密闭集输工艺，最大限度地降低烃类</w:t>
            </w:r>
            <w:r>
              <w:rPr>
                <w:rFonts w:hint="eastAsia"/>
                <w:sz w:val="24"/>
              </w:rPr>
              <w:t>废气</w:t>
            </w:r>
            <w:r>
              <w:rPr>
                <w:sz w:val="24"/>
              </w:rPr>
              <w:t>的无组织挥发。</w:t>
            </w:r>
          </w:p>
          <w:p w14:paraId="5319F125">
            <w:pPr>
              <w:spacing w:line="360" w:lineRule="auto"/>
              <w:ind w:firstLine="480" w:firstLineChars="200"/>
              <w:rPr>
                <w:sz w:val="24"/>
              </w:rPr>
            </w:pPr>
            <w:r>
              <w:rPr>
                <w:rFonts w:hint="eastAsia"/>
                <w:sz w:val="24"/>
              </w:rPr>
              <w:t>2）</w:t>
            </w:r>
            <w:r>
              <w:rPr>
                <w:sz w:val="24"/>
              </w:rPr>
              <w:t>加强采出液装车过程管理，在储液罐上安装简易装车流程。装车过程中，采用浸没式装车方式</w:t>
            </w:r>
            <w:r>
              <w:rPr>
                <w:rFonts w:hint="eastAsia"/>
                <w:sz w:val="24"/>
              </w:rPr>
              <w:t>，采出液</w:t>
            </w:r>
            <w:r>
              <w:rPr>
                <w:sz w:val="24"/>
              </w:rPr>
              <w:t>通过</w:t>
            </w:r>
            <w:r>
              <w:rPr>
                <w:rFonts w:hint="eastAsia"/>
                <w:sz w:val="24"/>
              </w:rPr>
              <w:t>罐体</w:t>
            </w:r>
            <w:r>
              <w:rPr>
                <w:sz w:val="24"/>
              </w:rPr>
              <w:t>上端的拉油鹤管输送到拉油罐车里，且确保拉油鹤管出口一直延伸至罐车底部，有效地降低烃类气体的挥发</w:t>
            </w:r>
            <w:r>
              <w:rPr>
                <w:rFonts w:hint="eastAsia"/>
                <w:sz w:val="24"/>
              </w:rPr>
              <w:t>；控制装卸流速，避免高速装卸导致液体飞溅、湍流加剧，减少油气“二次挥发”。</w:t>
            </w:r>
          </w:p>
          <w:p w14:paraId="545F500D">
            <w:pPr>
              <w:spacing w:line="360" w:lineRule="auto"/>
              <w:ind w:firstLine="480" w:firstLineChars="200"/>
              <w:rPr>
                <w:sz w:val="24"/>
              </w:rPr>
            </w:pPr>
            <w:r>
              <w:rPr>
                <w:rFonts w:hint="eastAsia"/>
                <w:sz w:val="24"/>
              </w:rPr>
              <w:t>3）油罐车使用符合国家标准的密闭罐，罐口配备双密封盖（如机械密封+橡胶密封圈），罐体内设防波板（减少运输颠簸导致的液体搅动挥发），杜绝“敞口运输”或“简易加盖”，确保全程密闭，减少烃类废气的挥发。</w:t>
            </w:r>
          </w:p>
          <w:p w14:paraId="71B8642F">
            <w:pPr>
              <w:spacing w:line="360" w:lineRule="auto"/>
              <w:ind w:firstLine="480" w:firstLineChars="200"/>
              <w:rPr>
                <w:sz w:val="24"/>
              </w:rPr>
            </w:pPr>
            <w:r>
              <w:rPr>
                <w:rFonts w:hint="eastAsia"/>
                <w:sz w:val="24"/>
              </w:rPr>
              <w:t>4）制定采出液泄漏应急方案，定期开展应急演练，确保突发情况下能快速控制污染，减少环境影响</w:t>
            </w:r>
            <w:r>
              <w:rPr>
                <w:sz w:val="24"/>
              </w:rPr>
              <w:t>。</w:t>
            </w:r>
          </w:p>
          <w:p w14:paraId="1288DE2F">
            <w:pPr>
              <w:spacing w:line="360" w:lineRule="auto"/>
              <w:ind w:firstLine="480" w:firstLineChars="200"/>
              <w:rPr>
                <w:sz w:val="24"/>
              </w:rPr>
            </w:pPr>
            <w:r>
              <w:rPr>
                <w:kern w:val="0"/>
                <w:sz w:val="24"/>
              </w:rPr>
              <w:t>经预测可知，无组织非甲烷总烃最大落地浓度为</w:t>
            </w:r>
            <w:r>
              <w:rPr>
                <w:rFonts w:hint="eastAsia"/>
                <w:kern w:val="0"/>
                <w:sz w:val="24"/>
              </w:rPr>
              <w:t>0.62m</w:t>
            </w:r>
            <w:r>
              <w:rPr>
                <w:kern w:val="0"/>
                <w:sz w:val="24"/>
              </w:rPr>
              <w:t>g/m</w:t>
            </w:r>
            <w:r>
              <w:rPr>
                <w:kern w:val="0"/>
                <w:sz w:val="24"/>
                <w:vertAlign w:val="superscript"/>
              </w:rPr>
              <w:t>3</w:t>
            </w:r>
            <w:r>
              <w:rPr>
                <w:kern w:val="0"/>
                <w:sz w:val="24"/>
              </w:rPr>
              <w:t>，</w:t>
            </w:r>
            <w:r>
              <w:rPr>
                <w:rFonts w:hint="eastAsia"/>
                <w:sz w:val="24"/>
              </w:rPr>
              <w:t>井场场界非甲烷总烃排放浓度满足</w:t>
            </w:r>
            <w:r>
              <w:rPr>
                <w:sz w:val="24"/>
              </w:rPr>
              <w:t>《陆上石油天然气开采工业大气污染物排放标准》（GB39728-2020）企业边界污染物控制要求，</w:t>
            </w:r>
            <w:r>
              <w:rPr>
                <w:rFonts w:hint="eastAsia"/>
                <w:sz w:val="24"/>
              </w:rPr>
              <w:t>井场内非甲烷总烃排放浓度满足《挥发性有机物无组织排放控制标准》（GB37822-2019）表A.1要求，对周围环境空气影响较小，措施可行</w:t>
            </w:r>
            <w:r>
              <w:rPr>
                <w:sz w:val="24"/>
              </w:rPr>
              <w:t>。</w:t>
            </w:r>
          </w:p>
          <w:p w14:paraId="20F38548">
            <w:pPr>
              <w:spacing w:line="360" w:lineRule="auto"/>
              <w:ind w:firstLine="480" w:firstLineChars="200"/>
              <w:rPr>
                <w:sz w:val="24"/>
              </w:rPr>
            </w:pPr>
            <w:r>
              <w:rPr>
                <w:rFonts w:hint="eastAsia"/>
                <w:sz w:val="24"/>
              </w:rPr>
              <w:t>5</w:t>
            </w:r>
            <w:r>
              <w:rPr>
                <w:sz w:val="24"/>
              </w:rPr>
              <w:t>、伴生气</w:t>
            </w:r>
          </w:p>
          <w:p w14:paraId="7A7510B7">
            <w:pPr>
              <w:spacing w:line="360" w:lineRule="auto"/>
              <w:ind w:firstLine="480" w:firstLineChars="200"/>
              <w:rPr>
                <w:sz w:val="24"/>
              </w:rPr>
            </w:pPr>
            <w:r>
              <w:rPr>
                <w:sz w:val="24"/>
              </w:rPr>
              <w:t>试油阶段勘探井伴生气体主要为天然气及少量非甲烷总烃，采用火炬就地燃烧，燃烧产物主要为二氧化碳。</w:t>
            </w:r>
          </w:p>
          <w:p w14:paraId="6196D8DC">
            <w:pPr>
              <w:spacing w:line="360" w:lineRule="auto"/>
              <w:ind w:firstLine="480" w:firstLineChars="200"/>
              <w:rPr>
                <w:sz w:val="24"/>
              </w:rPr>
            </w:pPr>
            <w:r>
              <w:rPr>
                <w:sz w:val="24"/>
              </w:rPr>
              <w:t>试油</w:t>
            </w:r>
            <w:r>
              <w:rPr>
                <w:rFonts w:hint="eastAsia"/>
                <w:sz w:val="24"/>
              </w:rPr>
              <w:t>阶段</w:t>
            </w:r>
            <w:r>
              <w:rPr>
                <w:sz w:val="24"/>
              </w:rPr>
              <w:t>产生的伴生气量取决于所钻井的产量和测试时间，项目单井试油</w:t>
            </w:r>
            <w:r>
              <w:rPr>
                <w:rFonts w:hint="eastAsia"/>
                <w:sz w:val="24"/>
              </w:rPr>
              <w:t>7天，时间</w:t>
            </w:r>
            <w:r>
              <w:rPr>
                <w:sz w:val="24"/>
              </w:rPr>
              <w:t>较短。放喷天然气时间更短，一般最多持续几小时。测试放喷的天然气经点火燃烧，其主要污染物为NO</w:t>
            </w:r>
            <w:r>
              <w:rPr>
                <w:sz w:val="24"/>
                <w:vertAlign w:val="subscript"/>
              </w:rPr>
              <w:t>x</w:t>
            </w:r>
            <w:r>
              <w:rPr>
                <w:sz w:val="24"/>
              </w:rPr>
              <w:t>、CO</w:t>
            </w:r>
            <w:r>
              <w:rPr>
                <w:sz w:val="24"/>
                <w:vertAlign w:val="subscript"/>
              </w:rPr>
              <w:t>2</w:t>
            </w:r>
            <w:r>
              <w:rPr>
                <w:sz w:val="24"/>
              </w:rPr>
              <w:t>。井眼加装井下压力感应装置，遇到气体逸散将自动报警并转入压井状态，试</w:t>
            </w:r>
            <w:r>
              <w:rPr>
                <w:rFonts w:hint="eastAsia"/>
                <w:sz w:val="24"/>
              </w:rPr>
              <w:t>油</w:t>
            </w:r>
            <w:r>
              <w:rPr>
                <w:sz w:val="24"/>
              </w:rPr>
              <w:t>阶段伴生气</w:t>
            </w:r>
            <w:r>
              <w:rPr>
                <w:rFonts w:hint="eastAsia"/>
                <w:sz w:val="24"/>
              </w:rPr>
              <w:t>放</w:t>
            </w:r>
            <w:r>
              <w:rPr>
                <w:sz w:val="24"/>
              </w:rPr>
              <w:t>喷试验时间短暂，燃烧排放量较小，对周边影响较小。</w:t>
            </w:r>
          </w:p>
          <w:p w14:paraId="3923BBF6">
            <w:pPr>
              <w:spacing w:line="360" w:lineRule="auto"/>
              <w:ind w:firstLine="480" w:firstLineChars="200"/>
              <w:rPr>
                <w:sz w:val="32"/>
              </w:rPr>
            </w:pPr>
            <w:r>
              <w:rPr>
                <w:sz w:val="24"/>
              </w:rPr>
              <w:t>由上分析，其产生的废气对当地大气环境影响甚微。</w:t>
            </w:r>
          </w:p>
          <w:p w14:paraId="2B5C0216">
            <w:pPr>
              <w:pStyle w:val="74"/>
              <w:spacing w:line="360" w:lineRule="auto"/>
              <w:ind w:firstLine="482"/>
              <w:rPr>
                <w:rFonts w:ascii="Times New Roman" w:hAnsi="Times New Roman"/>
                <w:b/>
                <w:szCs w:val="24"/>
              </w:rPr>
            </w:pPr>
            <w:r>
              <w:rPr>
                <w:rFonts w:ascii="Times New Roman" w:hAnsi="Times New Roman"/>
                <w:b/>
                <w:szCs w:val="24"/>
              </w:rPr>
              <w:t>二、施工期</w:t>
            </w:r>
            <w:r>
              <w:rPr>
                <w:rFonts w:hint="eastAsia" w:ascii="Times New Roman" w:hAnsi="Times New Roman"/>
                <w:b/>
                <w:szCs w:val="24"/>
              </w:rPr>
              <w:t>废水</w:t>
            </w:r>
            <w:r>
              <w:rPr>
                <w:rFonts w:ascii="Times New Roman" w:hAnsi="Times New Roman"/>
                <w:b/>
                <w:szCs w:val="24"/>
              </w:rPr>
              <w:t>治理</w:t>
            </w:r>
            <w:r>
              <w:rPr>
                <w:rFonts w:hint="eastAsia" w:ascii="Times New Roman" w:hAnsi="Times New Roman"/>
                <w:b/>
                <w:szCs w:val="24"/>
              </w:rPr>
              <w:t>措施</w:t>
            </w:r>
          </w:p>
          <w:p w14:paraId="777A6DDB">
            <w:pPr>
              <w:spacing w:line="360" w:lineRule="auto"/>
              <w:ind w:firstLine="480" w:firstLineChars="200"/>
              <w:rPr>
                <w:sz w:val="24"/>
              </w:rPr>
            </w:pPr>
            <w:r>
              <w:rPr>
                <w:rFonts w:hint="eastAsia"/>
                <w:sz w:val="24"/>
              </w:rPr>
              <w:t>项目生产过程用水主要为钻井泥浆用水，这部分水通过钻井泥浆配置过程进入钻井泥浆循环系统。钻井过程中废水与同废弃泥浆、岩屑收集至可移动废水罐临时贮存，自然沉降后，上清液通过螺杆泵抽回到泥浆不落地循环系统，继续使用，下部无法继续使用的废水随同废弃泥浆、钻井岩屑一并拉运至内蒙古众宁环保科技有限公司油气田废弃物集中处理厂处理。含水废弃泥浆及岩屑不在现场进行压滤及分离，因此不单独产生钻井废水。</w:t>
            </w:r>
          </w:p>
          <w:p w14:paraId="3F712372">
            <w:pPr>
              <w:pStyle w:val="74"/>
              <w:spacing w:line="360" w:lineRule="auto"/>
              <w:ind w:firstLine="480"/>
              <w:rPr>
                <w:rFonts w:ascii="Times New Roman" w:hAnsi="Times New Roman"/>
              </w:rPr>
            </w:pPr>
            <w:r>
              <w:rPr>
                <w:rFonts w:ascii="Times New Roman" w:hAnsi="Times New Roman"/>
              </w:rPr>
              <w:t>项目</w:t>
            </w:r>
            <w:r>
              <w:rPr>
                <w:rFonts w:hint="eastAsia" w:ascii="Times New Roman" w:hAnsi="Times New Roman"/>
              </w:rPr>
              <w:t>盥洗废水</w:t>
            </w:r>
            <w:r>
              <w:rPr>
                <w:rFonts w:ascii="Times New Roman" w:hAnsi="Times New Roman"/>
              </w:rPr>
              <w:t>产生量为</w:t>
            </w:r>
            <w:r>
              <w:rPr>
                <w:rFonts w:hint="eastAsia" w:ascii="Times New Roman" w:hAnsi="Times New Roman"/>
              </w:rPr>
              <w:t>345.6</w:t>
            </w:r>
            <w:r>
              <w:rPr>
                <w:rFonts w:ascii="Times New Roman" w:hAnsi="Times New Roman"/>
              </w:rPr>
              <w:t>m</w:t>
            </w:r>
            <w:r>
              <w:rPr>
                <w:rFonts w:ascii="Times New Roman" w:hAnsi="Times New Roman"/>
                <w:vertAlign w:val="superscript"/>
              </w:rPr>
              <w:t>3</w:t>
            </w:r>
            <w:r>
              <w:rPr>
                <w:rFonts w:ascii="Times New Roman" w:hAnsi="Times New Roman"/>
              </w:rPr>
              <w:t>/勘探期，</w:t>
            </w:r>
            <w:r>
              <w:rPr>
                <w:rFonts w:hint="eastAsia" w:ascii="Times New Roman" w:hAnsi="Times New Roman"/>
              </w:rPr>
              <w:t>盥洗废水</w:t>
            </w:r>
            <w:r>
              <w:rPr>
                <w:rFonts w:ascii="Times New Roman" w:hAnsi="Times New Roman"/>
              </w:rPr>
              <w:t>主要污染物为pH：6~9，COD：400mg/L，BOD</w:t>
            </w:r>
            <w:r>
              <w:rPr>
                <w:rFonts w:ascii="Times New Roman" w:hAnsi="Times New Roman"/>
                <w:vertAlign w:val="subscript"/>
              </w:rPr>
              <w:t>5</w:t>
            </w:r>
            <w:r>
              <w:rPr>
                <w:rFonts w:ascii="Times New Roman" w:hAnsi="Times New Roman"/>
              </w:rPr>
              <w:t>：200mg/L，SS：250mg/L，氨氮：25mg/L，</w:t>
            </w:r>
            <w:r>
              <w:rPr>
                <w:rFonts w:hint="eastAsia" w:ascii="Times New Roman" w:hAnsi="Times New Roman"/>
              </w:rPr>
              <w:t>盥洗废水</w:t>
            </w:r>
            <w:r>
              <w:rPr>
                <w:rFonts w:ascii="Times New Roman" w:hAnsi="Times New Roman"/>
              </w:rPr>
              <w:t>排入井场设置的</w:t>
            </w:r>
            <w:r>
              <w:rPr>
                <w:rFonts w:hint="eastAsia" w:ascii="Times New Roman" w:hAnsi="Times New Roman"/>
              </w:rPr>
              <w:t>环保厕所</w:t>
            </w:r>
            <w:r>
              <w:rPr>
                <w:rFonts w:ascii="Times New Roman" w:hAnsi="Times New Roman"/>
              </w:rPr>
              <w:t>，定期清掏</w:t>
            </w:r>
            <w:r>
              <w:rPr>
                <w:rFonts w:hint="eastAsia" w:ascii="Times New Roman" w:hAnsi="Times New Roman"/>
              </w:rPr>
              <w:t>。</w:t>
            </w:r>
          </w:p>
          <w:p w14:paraId="314628E8">
            <w:pPr>
              <w:pStyle w:val="74"/>
              <w:spacing w:line="360" w:lineRule="auto"/>
              <w:ind w:firstLine="480"/>
              <w:rPr>
                <w:rFonts w:ascii="Times New Roman" w:hAnsi="Times New Roman"/>
              </w:rPr>
            </w:pPr>
            <w:r>
              <w:rPr>
                <w:rFonts w:hint="eastAsia" w:ascii="Times New Roman" w:hAnsi="Times New Roman"/>
              </w:rPr>
              <w:t>针对含水废弃泥浆及岩屑、盥洗废水分别采取措施后，各废水均能得到有效处理；根据“建设内容”中依托工程章节分析知，含水废弃泥浆、岩屑依托内蒙古众宁环保科技有限公司油气田废弃物集中处理厂可行。</w:t>
            </w:r>
          </w:p>
          <w:p w14:paraId="5B224E9F">
            <w:pPr>
              <w:widowControl/>
              <w:autoSpaceDE w:val="0"/>
              <w:autoSpaceDN w:val="0"/>
              <w:adjustRightInd w:val="0"/>
              <w:spacing w:line="360" w:lineRule="auto"/>
              <w:ind w:firstLine="480" w:firstLineChars="200"/>
              <w:rPr>
                <w:kern w:val="0"/>
                <w:sz w:val="24"/>
              </w:rPr>
            </w:pPr>
            <w:r>
              <w:rPr>
                <w:kern w:val="0"/>
                <w:sz w:val="24"/>
              </w:rPr>
              <w:t>施工期不排放污水，全部回收利用，对井场周边水环境基本没有影响，措施可行。</w:t>
            </w:r>
          </w:p>
          <w:p w14:paraId="1A592405">
            <w:pPr>
              <w:pStyle w:val="74"/>
              <w:spacing w:line="360" w:lineRule="auto"/>
              <w:ind w:firstLine="482"/>
              <w:rPr>
                <w:rFonts w:ascii="Times New Roman" w:hAnsi="Times New Roman"/>
                <w:b/>
                <w:szCs w:val="24"/>
              </w:rPr>
            </w:pPr>
            <w:r>
              <w:rPr>
                <w:rFonts w:ascii="Times New Roman" w:hAnsi="Times New Roman"/>
                <w:b/>
                <w:szCs w:val="24"/>
              </w:rPr>
              <w:t>三、</w:t>
            </w:r>
            <w:r>
              <w:rPr>
                <w:rFonts w:hint="eastAsia" w:ascii="Times New Roman" w:hAnsi="Times New Roman"/>
                <w:b/>
                <w:szCs w:val="24"/>
              </w:rPr>
              <w:t>施工期噪声防治措施</w:t>
            </w:r>
          </w:p>
          <w:p w14:paraId="640A3694">
            <w:pPr>
              <w:adjustRightInd w:val="0"/>
              <w:snapToGrid w:val="0"/>
              <w:spacing w:line="360" w:lineRule="auto"/>
              <w:ind w:firstLine="480" w:firstLineChars="200"/>
              <w:rPr>
                <w:bCs/>
                <w:sz w:val="24"/>
                <w:lang w:val="en-GB"/>
              </w:rPr>
            </w:pPr>
            <w:r>
              <w:rPr>
                <w:rFonts w:hint="eastAsia"/>
                <w:bCs/>
                <w:sz w:val="24"/>
                <w:lang w:val="en-GB"/>
              </w:rPr>
              <w:t>为最大限度避免和减轻施工对周围其他声环境的不利影响，本评价对施工期噪声控制提出以下要求和建议：</w:t>
            </w:r>
          </w:p>
          <w:p w14:paraId="3CE7DE98">
            <w:pPr>
              <w:adjustRightInd w:val="0"/>
              <w:snapToGrid w:val="0"/>
              <w:spacing w:line="360" w:lineRule="auto"/>
              <w:ind w:firstLine="480" w:firstLineChars="200"/>
              <w:rPr>
                <w:bCs/>
                <w:sz w:val="24"/>
                <w:lang w:val="en-GB"/>
              </w:rPr>
            </w:pPr>
            <w:r>
              <w:rPr>
                <w:rFonts w:hint="eastAsia"/>
                <w:bCs/>
                <w:sz w:val="24"/>
                <w:lang w:val="en-GB"/>
              </w:rPr>
              <w:t>（1）选用低噪声设备和工艺，对钻机、钻井泵、柴油机等高噪声设备安放稳固，与地面保持良好接触，做好基础减振，并定期维护保养，及时更换磨损部件，消除因松动、摩擦、不平衡引起的异常噪声。</w:t>
            </w:r>
          </w:p>
          <w:p w14:paraId="32031D2E">
            <w:pPr>
              <w:adjustRightInd w:val="0"/>
              <w:snapToGrid w:val="0"/>
              <w:spacing w:line="360" w:lineRule="auto"/>
              <w:ind w:firstLine="480" w:firstLineChars="200"/>
              <w:rPr>
                <w:bCs/>
                <w:sz w:val="24"/>
                <w:lang w:val="en-GB"/>
              </w:rPr>
            </w:pPr>
            <w:r>
              <w:rPr>
                <w:rFonts w:hint="eastAsia"/>
                <w:bCs/>
                <w:sz w:val="24"/>
                <w:lang w:val="en-GB"/>
              </w:rPr>
              <w:t>（2）井场施工布置时，高噪声设备（柴油机、钻井泥浆泵等）布置在远离村庄一侧。</w:t>
            </w:r>
          </w:p>
          <w:p w14:paraId="36183411">
            <w:pPr>
              <w:adjustRightInd w:val="0"/>
              <w:snapToGrid w:val="0"/>
              <w:spacing w:line="360" w:lineRule="auto"/>
              <w:ind w:firstLine="480" w:firstLineChars="200"/>
              <w:rPr>
                <w:bCs/>
                <w:sz w:val="24"/>
                <w:lang w:val="en-GB"/>
              </w:rPr>
            </w:pPr>
            <w:r>
              <w:rPr>
                <w:rFonts w:hint="eastAsia"/>
                <w:bCs/>
                <w:sz w:val="24"/>
                <w:lang w:val="en-GB"/>
              </w:rPr>
              <w:t>（3）制定施工计划时，合理安排施工工序和施工时间，避免高噪声设备同时施工，将高噪声设备施工时间安排在白天非敏感时段进行，避免或减少在夜间（通常指22：00至次日6：00）和午休时间进行高噪声作业。钻井施工作业为24h连续进行，夜间施工应告知周围单位或居民。</w:t>
            </w:r>
          </w:p>
          <w:p w14:paraId="6AC2BD64">
            <w:pPr>
              <w:adjustRightInd w:val="0"/>
              <w:snapToGrid w:val="0"/>
              <w:spacing w:line="360" w:lineRule="auto"/>
              <w:ind w:firstLine="480" w:firstLineChars="200"/>
              <w:rPr>
                <w:bCs/>
                <w:sz w:val="24"/>
                <w:lang w:val="en-GB"/>
              </w:rPr>
            </w:pPr>
            <w:r>
              <w:rPr>
                <w:rFonts w:hint="eastAsia"/>
                <w:bCs/>
                <w:sz w:val="24"/>
                <w:lang w:val="en-GB"/>
              </w:rPr>
              <w:t>（4）尽量避免在同一地点安排大量的高噪声设备，以避免局部声级过高；井场各种管材轻拿轻放，减少撞击性噪声。</w:t>
            </w:r>
          </w:p>
          <w:p w14:paraId="6464A54A">
            <w:pPr>
              <w:adjustRightInd w:val="0"/>
              <w:snapToGrid w:val="0"/>
              <w:spacing w:line="360" w:lineRule="auto"/>
              <w:ind w:firstLine="480" w:firstLineChars="200"/>
              <w:rPr>
                <w:bCs/>
                <w:sz w:val="24"/>
                <w:lang w:val="en-GB"/>
              </w:rPr>
            </w:pPr>
            <w:r>
              <w:rPr>
                <w:rFonts w:hint="eastAsia"/>
                <w:bCs/>
                <w:sz w:val="24"/>
                <w:lang w:val="en-GB"/>
              </w:rPr>
              <w:t>（5）对运输车辆定期维修、养护，合理调配车辆来往行车密度，合理安排运输时间，尽量避开村民休息时间；在通过散户时要减速慢行并减少喇叭鸣放。</w:t>
            </w:r>
          </w:p>
          <w:p w14:paraId="7E7163B9">
            <w:pPr>
              <w:adjustRightInd w:val="0"/>
              <w:snapToGrid w:val="0"/>
              <w:spacing w:line="360" w:lineRule="auto"/>
              <w:ind w:firstLine="480" w:firstLineChars="200"/>
              <w:rPr>
                <w:bCs/>
                <w:sz w:val="24"/>
                <w:lang w:val="en-GB"/>
              </w:rPr>
            </w:pPr>
            <w:r>
              <w:rPr>
                <w:rFonts w:hint="eastAsia"/>
                <w:bCs/>
                <w:sz w:val="24"/>
                <w:lang w:val="en-GB"/>
              </w:rPr>
              <w:t>（6）项目开始前及进行中，主动与周边居民沟通，告知作业性质、可能产生的噪声、已采取的防治措施、预计持续时间及联系方式。建立投诉反馈机制。</w:t>
            </w:r>
          </w:p>
          <w:p w14:paraId="72A11E15">
            <w:pPr>
              <w:adjustRightInd w:val="0"/>
              <w:snapToGrid w:val="0"/>
              <w:spacing w:line="360" w:lineRule="auto"/>
              <w:ind w:firstLine="480" w:firstLineChars="200"/>
              <w:rPr>
                <w:bCs/>
                <w:sz w:val="24"/>
                <w:lang w:val="en-GB"/>
              </w:rPr>
            </w:pPr>
            <w:r>
              <w:rPr>
                <w:bCs/>
                <w:sz w:val="24"/>
                <w:lang w:val="en-GB"/>
              </w:rPr>
              <w:t>采取以上措施后，施工噪声对周围村庄影响较小，声环境质量可基本维持现状，勘探期结束后噪声影响随即消失</w:t>
            </w:r>
            <w:r>
              <w:rPr>
                <w:rFonts w:hint="eastAsia"/>
                <w:bCs/>
                <w:sz w:val="24"/>
                <w:lang w:val="en-GB"/>
              </w:rPr>
              <w:t>，</w:t>
            </w:r>
            <w:r>
              <w:rPr>
                <w:bCs/>
                <w:sz w:val="24"/>
                <w:lang w:val="en-GB"/>
              </w:rPr>
              <w:t>措施可行。</w:t>
            </w:r>
          </w:p>
          <w:p w14:paraId="4224143E">
            <w:pPr>
              <w:pStyle w:val="74"/>
              <w:spacing w:line="360" w:lineRule="auto"/>
              <w:ind w:firstLine="482"/>
              <w:rPr>
                <w:rFonts w:ascii="Times New Roman" w:hAnsi="Times New Roman"/>
                <w:b/>
              </w:rPr>
            </w:pPr>
            <w:r>
              <w:rPr>
                <w:rFonts w:ascii="Times New Roman" w:hAnsi="Times New Roman"/>
                <w:b/>
              </w:rPr>
              <w:t>四、</w:t>
            </w:r>
            <w:r>
              <w:rPr>
                <w:rFonts w:hint="eastAsia" w:ascii="Times New Roman" w:hAnsi="Times New Roman"/>
                <w:b/>
              </w:rPr>
              <w:t>施工期固废防治措施</w:t>
            </w:r>
          </w:p>
          <w:p w14:paraId="16364596">
            <w:pPr>
              <w:pStyle w:val="74"/>
              <w:spacing w:line="360" w:lineRule="auto"/>
              <w:ind w:firstLine="480"/>
              <w:rPr>
                <w:rFonts w:ascii="Times New Roman" w:hAnsi="Times New Roman"/>
                <w:szCs w:val="24"/>
              </w:rPr>
            </w:pPr>
            <w:r>
              <w:rPr>
                <w:rFonts w:hint="eastAsia" w:ascii="Times New Roman" w:hAnsi="Times New Roman"/>
                <w:szCs w:val="24"/>
              </w:rPr>
              <w:t>1、一般固体废物</w:t>
            </w:r>
          </w:p>
          <w:p w14:paraId="687271C5">
            <w:pPr>
              <w:pStyle w:val="74"/>
              <w:spacing w:line="360" w:lineRule="auto"/>
              <w:ind w:firstLine="480"/>
              <w:rPr>
                <w:rFonts w:ascii="Times New Roman" w:hAnsi="Times New Roman"/>
                <w:szCs w:val="24"/>
              </w:rPr>
            </w:pPr>
            <w:r>
              <w:rPr>
                <w:rFonts w:hint="eastAsia" w:ascii="Times New Roman" w:hAnsi="Times New Roman"/>
                <w:szCs w:val="24"/>
              </w:rPr>
              <w:t>（1）</w:t>
            </w:r>
            <w:r>
              <w:rPr>
                <w:rFonts w:ascii="Times New Roman" w:hAnsi="Times New Roman"/>
                <w:bCs/>
                <w:szCs w:val="24"/>
                <w:lang w:val="en-GB"/>
              </w:rPr>
              <w:t>废弃泥浆</w:t>
            </w:r>
            <w:r>
              <w:rPr>
                <w:rFonts w:hint="eastAsia" w:ascii="Times New Roman" w:hAnsi="Times New Roman"/>
                <w:bCs/>
                <w:szCs w:val="24"/>
                <w:lang w:val="en-GB"/>
              </w:rPr>
              <w:t>、</w:t>
            </w:r>
            <w:r>
              <w:rPr>
                <w:rFonts w:ascii="Times New Roman" w:hAnsi="Times New Roman"/>
                <w:bCs/>
                <w:szCs w:val="24"/>
                <w:lang w:val="en-GB"/>
              </w:rPr>
              <w:t>钻井岩屑</w:t>
            </w:r>
          </w:p>
          <w:p w14:paraId="38A16084">
            <w:pPr>
              <w:pStyle w:val="74"/>
              <w:spacing w:line="360" w:lineRule="auto"/>
              <w:ind w:firstLine="480"/>
              <w:rPr>
                <w:rFonts w:ascii="Times New Roman" w:hAnsi="Times New Roman"/>
                <w:highlight w:val="yellow"/>
              </w:rPr>
            </w:pPr>
            <w:r>
              <w:rPr>
                <w:rFonts w:ascii="Times New Roman" w:hAnsi="Times New Roman"/>
                <w:bCs/>
                <w:szCs w:val="24"/>
              </w:rPr>
              <w:t>项目采用水基型钻井泥浆</w:t>
            </w:r>
            <w:r>
              <w:rPr>
                <w:rFonts w:hint="eastAsia" w:ascii="Times New Roman" w:hAnsi="Times New Roman"/>
                <w:bCs/>
                <w:szCs w:val="24"/>
              </w:rPr>
              <w:t>，</w:t>
            </w:r>
            <w:r>
              <w:rPr>
                <w:rFonts w:hint="eastAsia"/>
              </w:rPr>
              <w:t>结合</w:t>
            </w:r>
            <w:r>
              <w:t>水平衡</w:t>
            </w:r>
            <w:r>
              <w:rPr>
                <w:rFonts w:hint="eastAsia"/>
              </w:rPr>
              <w:t>情况，</w:t>
            </w:r>
            <w:r>
              <w:rPr>
                <w:rFonts w:ascii="Times New Roman" w:hAnsi="Times New Roman"/>
              </w:rPr>
              <w:t>钻井过程产生的废弃泥浆、钻井岩屑约</w:t>
            </w:r>
            <w:r>
              <w:rPr>
                <w:rFonts w:hint="eastAsia" w:ascii="Times New Roman" w:hAnsi="Times New Roman"/>
              </w:rPr>
              <w:t>2400.88</w:t>
            </w:r>
            <w:r>
              <w:rPr>
                <w:rFonts w:ascii="Times New Roman" w:hAnsi="Times New Roman"/>
                <w:bCs/>
              </w:rPr>
              <w:t>m</w:t>
            </w:r>
            <w:r>
              <w:rPr>
                <w:rFonts w:ascii="Times New Roman" w:hAnsi="Times New Roman"/>
                <w:bCs/>
                <w:vertAlign w:val="superscript"/>
              </w:rPr>
              <w:t>3</w:t>
            </w:r>
            <w:r>
              <w:rPr>
                <w:rFonts w:hint="eastAsia" w:ascii="Times New Roman" w:hAnsi="Times New Roman"/>
                <w:bCs/>
              </w:rPr>
              <w:t>/钻井期（16.67</w:t>
            </w:r>
            <w:r>
              <w:rPr>
                <w:rFonts w:ascii="Times New Roman" w:hAnsi="Times New Roman"/>
                <w:bCs/>
              </w:rPr>
              <w:t>m</w:t>
            </w:r>
            <w:r>
              <w:rPr>
                <w:rFonts w:ascii="Times New Roman" w:hAnsi="Times New Roman"/>
                <w:bCs/>
                <w:vertAlign w:val="superscript"/>
              </w:rPr>
              <w:t>3</w:t>
            </w:r>
            <w:r>
              <w:rPr>
                <w:rFonts w:hint="eastAsia" w:ascii="Times New Roman" w:hAnsi="Times New Roman"/>
                <w:bCs/>
              </w:rPr>
              <w:t>/d）</w:t>
            </w:r>
            <w:r>
              <w:rPr>
                <w:rFonts w:ascii="Times New Roman" w:hAnsi="Times New Roman"/>
              </w:rPr>
              <w:t>，属于Ⅱ类一般工业固体废物</w:t>
            </w:r>
            <w:r>
              <w:rPr>
                <w:rFonts w:hint="eastAsia" w:ascii="Times New Roman" w:hAnsi="Times New Roman"/>
              </w:rPr>
              <w:t>（代码</w:t>
            </w:r>
            <w:r>
              <w:rPr>
                <w:rFonts w:ascii="Times New Roman" w:hAnsi="Times New Roman"/>
              </w:rPr>
              <w:t>071-001-S12</w:t>
            </w:r>
            <w:r>
              <w:rPr>
                <w:rFonts w:hint="eastAsia" w:ascii="Times New Roman" w:hAnsi="Times New Roman"/>
              </w:rPr>
              <w:t>）</w:t>
            </w:r>
            <w:r>
              <w:rPr>
                <w:rFonts w:ascii="Times New Roman" w:hAnsi="Times New Roman"/>
              </w:rPr>
              <w:t>，</w:t>
            </w:r>
            <w:r>
              <w:rPr>
                <w:rFonts w:ascii="Times New Roman" w:hAnsi="Times New Roman"/>
                <w:szCs w:val="21"/>
              </w:rPr>
              <w:t>收集至泥浆不落地循环系统装置旁的</w:t>
            </w:r>
            <w:r>
              <w:rPr>
                <w:rFonts w:hint="eastAsia" w:ascii="Times New Roman" w:hAnsi="Times New Roman"/>
              </w:rPr>
              <w:t>3</w:t>
            </w:r>
            <w:r>
              <w:rPr>
                <w:rFonts w:ascii="Times New Roman" w:hAnsi="Times New Roman"/>
              </w:rPr>
              <w:t>具30m</w:t>
            </w:r>
            <w:r>
              <w:rPr>
                <w:rFonts w:ascii="Times New Roman" w:hAnsi="Times New Roman"/>
                <w:vertAlign w:val="superscript"/>
              </w:rPr>
              <w:t>3</w:t>
            </w:r>
            <w:r>
              <w:rPr>
                <w:rFonts w:ascii="Times New Roman" w:hAnsi="Times New Roman"/>
                <w:szCs w:val="21"/>
              </w:rPr>
              <w:t>可移动废水罐临时贮存</w:t>
            </w:r>
            <w:r>
              <w:rPr>
                <w:rFonts w:ascii="Times New Roman" w:hAnsi="Times New Roman"/>
              </w:rPr>
              <w:t>，定期</w:t>
            </w:r>
            <w:r>
              <w:rPr>
                <w:rFonts w:hint="eastAsia" w:ascii="Times New Roman" w:hAnsi="Times New Roman"/>
              </w:rPr>
              <w:t>拉运至内蒙古众宁环保科技有限公司油气田废弃物集中处理厂</w:t>
            </w:r>
            <w:r>
              <w:rPr>
                <w:rFonts w:ascii="Times New Roman" w:hAnsi="Times New Roman"/>
              </w:rPr>
              <w:t>处理。</w:t>
            </w:r>
          </w:p>
          <w:p w14:paraId="4153EACF">
            <w:pPr>
              <w:pStyle w:val="74"/>
              <w:spacing w:line="360" w:lineRule="auto"/>
              <w:ind w:firstLine="480"/>
              <w:rPr>
                <w:rFonts w:ascii="Times New Roman" w:hAnsi="Times New Roman"/>
                <w:kern w:val="0"/>
              </w:rPr>
            </w:pPr>
            <w:r>
              <w:rPr>
                <w:rFonts w:ascii="Times New Roman" w:hAnsi="Times New Roman"/>
              </w:rPr>
              <w:t>项目</w:t>
            </w:r>
            <w:r>
              <w:rPr>
                <w:rFonts w:ascii="Times New Roman" w:hAnsi="Times New Roman"/>
                <w:szCs w:val="24"/>
              </w:rPr>
              <w:t>采用泥浆不落地循环系统装置，</w:t>
            </w:r>
            <w:r>
              <w:rPr>
                <w:rFonts w:ascii="Times New Roman" w:hAnsi="Times New Roman"/>
              </w:rPr>
              <w:t>不开挖泥浆循环池。</w:t>
            </w:r>
            <w:r>
              <w:rPr>
                <w:rFonts w:ascii="Times New Roman" w:hAnsi="Times New Roman"/>
                <w:szCs w:val="24"/>
              </w:rPr>
              <w:t>泥浆不落地循环系统装置</w:t>
            </w:r>
            <w:r>
              <w:rPr>
                <w:rFonts w:ascii="Times New Roman" w:hAnsi="Times New Roman"/>
              </w:rPr>
              <w:t>配备防渗防溢钻井泥浆循环罐，钻井</w:t>
            </w:r>
            <w:r>
              <w:rPr>
                <w:rFonts w:ascii="Times New Roman" w:hAnsi="Times New Roman"/>
                <w:kern w:val="0"/>
              </w:rPr>
              <w:t>泥浆循环罐、</w:t>
            </w:r>
            <w:r>
              <w:rPr>
                <w:rFonts w:ascii="Times New Roman" w:hAnsi="Times New Roman"/>
                <w:szCs w:val="21"/>
              </w:rPr>
              <w:t>可移动废水罐</w:t>
            </w:r>
            <w:r>
              <w:rPr>
                <w:rFonts w:ascii="Times New Roman" w:hAnsi="Times New Roman"/>
                <w:kern w:val="0"/>
              </w:rPr>
              <w:t>下方铺设双层防渗膜并设置围堰，防渗性能满足1.0×10</w:t>
            </w:r>
            <w:r>
              <w:rPr>
                <w:rFonts w:ascii="Times New Roman" w:hAnsi="Times New Roman"/>
                <w:kern w:val="0"/>
                <w:vertAlign w:val="superscript"/>
              </w:rPr>
              <w:t>-10</w:t>
            </w:r>
            <w:r>
              <w:rPr>
                <w:rFonts w:ascii="Times New Roman" w:hAnsi="Times New Roman"/>
                <w:kern w:val="0"/>
              </w:rPr>
              <w:t>cm/s的要求，能够有效防止污染物下渗，避免对土壤、地下水环境等产生影响。</w:t>
            </w:r>
          </w:p>
          <w:p w14:paraId="356461C5">
            <w:pPr>
              <w:pStyle w:val="74"/>
              <w:spacing w:line="360" w:lineRule="auto"/>
              <w:ind w:firstLine="480"/>
              <w:rPr>
                <w:rFonts w:ascii="Times New Roman" w:hAnsi="Times New Roman"/>
                <w:kern w:val="0"/>
              </w:rPr>
            </w:pPr>
            <w:r>
              <w:rPr>
                <w:rFonts w:hint="eastAsia"/>
                <w:bCs/>
                <w:szCs w:val="32"/>
              </w:rPr>
              <w:t>废弃泥浆及岩屑运输前检查包装容器是否完整、密封，运输过程中加强运输环保管理。建设单位建立固体废物管理台账，做好各项防范措施和应急措施，加强对转运车辆的监督和指导，严格根据已经选定的路线进行转运并避开环境敏感区，使意外事故危害程度降到最小。对运输参与人员进行环境保护教育培训，提升应对泄漏等风险事故的应对能力；制作运输路线需要穿越的各个行政区域相应的环境保护等主管部门的通讯录，提升应急反应能力，将可能造成的环境影响降至最低。</w:t>
            </w:r>
          </w:p>
          <w:p w14:paraId="50378B0C">
            <w:pPr>
              <w:pStyle w:val="74"/>
              <w:spacing w:line="360" w:lineRule="auto"/>
              <w:ind w:firstLine="480"/>
              <w:rPr>
                <w:rFonts w:ascii="Times New Roman" w:hAnsi="Times New Roman"/>
                <w:kern w:val="0"/>
              </w:rPr>
            </w:pPr>
            <w:r>
              <w:rPr>
                <w:rFonts w:hint="eastAsia" w:ascii="Times New Roman" w:hAnsi="Times New Roman"/>
                <w:kern w:val="0"/>
              </w:rPr>
              <w:t>内蒙古众宁环保科技有限公司油气田废弃物集中处理厂为中国石油华北油田公司在兴隆勘探区的配套工程，主要处理中国石油华北油田在巴彦淖尔钻井产生的废弃水基泥浆，目前油气田废弃物集中处理厂正常稳定运行。</w:t>
            </w:r>
          </w:p>
          <w:p w14:paraId="3F2369A7">
            <w:pPr>
              <w:pStyle w:val="74"/>
              <w:spacing w:line="360" w:lineRule="auto"/>
              <w:ind w:firstLine="480"/>
              <w:rPr>
                <w:rFonts w:ascii="Times New Roman" w:hAnsi="Times New Roman"/>
                <w:bCs/>
                <w:szCs w:val="24"/>
              </w:rPr>
            </w:pPr>
            <w:r>
              <w:rPr>
                <w:rFonts w:hint="eastAsia" w:ascii="Times New Roman" w:hAnsi="Times New Roman"/>
                <w:kern w:val="0"/>
              </w:rPr>
              <w:t>2026年5月1日，华北油田巴彦勘探开发分公司与河北华北石油路桥工程有限公司签订《2026-2027年巴彦钻井泥浆不落地无害化处理服务合同》，服务期限为自合同签订生效之日起至2027年4月30日止；2026年4月30日，河北华北石油路桥工程有限公司与内蒙古众宁环保科技有限公司签订了钻井废弃泥浆处置协议，服务期限为自协议签订之日起24个月止。内蒙古众宁环保科技有限公司经营范围涵盖了项目废弃水基泥浆及岩屑的类别，其油气田废弃物集中处理厂有足够能力处置上述固废（具体详见依托工程相关分析），措施可行</w:t>
            </w:r>
            <w:r>
              <w:rPr>
                <w:rFonts w:ascii="Times New Roman" w:hAnsi="Times New Roman"/>
                <w:bCs/>
                <w:szCs w:val="24"/>
              </w:rPr>
              <w:t>。</w:t>
            </w:r>
          </w:p>
          <w:p w14:paraId="55C9618D">
            <w:pPr>
              <w:pStyle w:val="74"/>
              <w:spacing w:line="360" w:lineRule="auto"/>
              <w:ind w:firstLine="480"/>
              <w:rPr>
                <w:rFonts w:ascii="Times New Roman" w:hAnsi="Times New Roman"/>
              </w:rPr>
            </w:pPr>
            <w:r>
              <w:rPr>
                <w:rFonts w:hint="eastAsia" w:ascii="Times New Roman" w:hAnsi="Times New Roman"/>
                <w:bCs/>
                <w:szCs w:val="24"/>
              </w:rPr>
              <w:t>（2）</w:t>
            </w:r>
            <w:r>
              <w:rPr>
                <w:rFonts w:ascii="Times New Roman" w:hAnsi="Times New Roman"/>
              </w:rPr>
              <w:t>生活垃圾</w:t>
            </w:r>
          </w:p>
          <w:p w14:paraId="2058EA5F">
            <w:pPr>
              <w:pStyle w:val="221"/>
              <w:spacing w:line="360" w:lineRule="auto"/>
              <w:ind w:firstLine="480"/>
              <w:rPr>
                <w:rFonts w:ascii="Times New Roman" w:hAnsi="Times New Roman"/>
                <w:bCs/>
                <w:szCs w:val="24"/>
                <w:lang w:val="en-US"/>
              </w:rPr>
            </w:pPr>
            <w:r>
              <w:rPr>
                <w:rFonts w:ascii="Times New Roman" w:hAnsi="Times New Roman"/>
                <w:szCs w:val="24"/>
              </w:rPr>
              <w:t>项目生活垃圾的产生量为</w:t>
            </w:r>
            <w:r>
              <w:rPr>
                <w:rFonts w:hint="eastAsia" w:ascii="Times New Roman" w:hAnsi="Times New Roman"/>
                <w:szCs w:val="24"/>
              </w:rPr>
              <w:t>3.6</w:t>
            </w:r>
            <w:r>
              <w:rPr>
                <w:rFonts w:ascii="Times New Roman" w:hAnsi="Times New Roman"/>
                <w:szCs w:val="24"/>
              </w:rPr>
              <w:t>t/勘探期</w:t>
            </w:r>
            <w:r>
              <w:rPr>
                <w:rFonts w:ascii="Times New Roman" w:hAnsi="Times New Roman"/>
              </w:rPr>
              <w:t>。</w:t>
            </w:r>
            <w:r>
              <w:rPr>
                <w:rFonts w:hint="eastAsia" w:ascii="Times New Roman" w:hAnsi="Times New Roman"/>
              </w:rPr>
              <w:t>井场</w:t>
            </w:r>
            <w:r>
              <w:rPr>
                <w:rFonts w:ascii="Times New Roman" w:hAnsi="Times New Roman"/>
              </w:rPr>
              <w:t>设置垃圾桶</w:t>
            </w:r>
            <w:r>
              <w:rPr>
                <w:rFonts w:hint="eastAsia" w:ascii="Times New Roman" w:hAnsi="Times New Roman"/>
              </w:rPr>
              <w:t>，</w:t>
            </w:r>
            <w:r>
              <w:rPr>
                <w:rFonts w:ascii="Times New Roman" w:hAnsi="Times New Roman"/>
              </w:rPr>
              <w:t>集中收集后，拉运至当地乡镇生活垃圾点，由当地环卫部门处理，</w:t>
            </w:r>
            <w:r>
              <w:rPr>
                <w:rFonts w:hint="eastAsia" w:ascii="Times New Roman" w:hAnsi="Times New Roman"/>
              </w:rPr>
              <w:t>措施可行</w:t>
            </w:r>
            <w:r>
              <w:rPr>
                <w:rFonts w:ascii="Times New Roman" w:hAnsi="Times New Roman"/>
              </w:rPr>
              <w:t>。</w:t>
            </w:r>
            <w:r>
              <w:rPr>
                <w:rFonts w:hint="eastAsia" w:ascii="Times New Roman" w:hAnsi="Times New Roman"/>
              </w:rPr>
              <w:t>施工过程中，加强施工人员日常素养管理，确保产生的生活垃圾不随意丢弃。</w:t>
            </w:r>
          </w:p>
          <w:p w14:paraId="307CE5E8">
            <w:pPr>
              <w:spacing w:line="360" w:lineRule="auto"/>
              <w:ind w:firstLine="480" w:firstLineChars="200"/>
              <w:rPr>
                <w:sz w:val="24"/>
              </w:rPr>
            </w:pPr>
            <w:r>
              <w:rPr>
                <w:rFonts w:hint="eastAsia"/>
                <w:sz w:val="24"/>
              </w:rPr>
              <w:t>2、危险废物</w:t>
            </w:r>
          </w:p>
          <w:p w14:paraId="1F2D4307">
            <w:pPr>
              <w:spacing w:line="360" w:lineRule="auto"/>
              <w:ind w:firstLine="480" w:firstLineChars="200"/>
              <w:rPr>
                <w:sz w:val="24"/>
              </w:rPr>
            </w:pPr>
            <w:r>
              <w:rPr>
                <w:rFonts w:hint="eastAsia"/>
                <w:sz w:val="24"/>
              </w:rPr>
              <w:t>（1）</w:t>
            </w:r>
            <w:r>
              <w:rPr>
                <w:sz w:val="24"/>
              </w:rPr>
              <w:t>废润滑油</w:t>
            </w:r>
          </w:p>
          <w:p w14:paraId="279367AC">
            <w:pPr>
              <w:pStyle w:val="74"/>
              <w:spacing w:line="360" w:lineRule="auto"/>
              <w:ind w:firstLine="480"/>
              <w:rPr>
                <w:rFonts w:ascii="Times New Roman" w:hAnsi="Times New Roman"/>
                <w:szCs w:val="24"/>
              </w:rPr>
            </w:pPr>
            <w:r>
              <w:rPr>
                <w:rFonts w:ascii="Times New Roman" w:hAnsi="Times New Roman"/>
              </w:rPr>
              <w:t>项目废润滑油产生量约0.</w:t>
            </w:r>
            <w:r>
              <w:rPr>
                <w:rFonts w:hint="eastAsia" w:ascii="Times New Roman" w:hAnsi="Times New Roman"/>
              </w:rPr>
              <w:t>2</w:t>
            </w:r>
            <w:r>
              <w:rPr>
                <w:rFonts w:ascii="Times New Roman" w:hAnsi="Times New Roman"/>
              </w:rPr>
              <w:t>t，危险废物代码为900-214-08，危废特性为T，I。废润滑油采用专用容器收集，暂存于井场撬装式危废贮存点内，定期交</w:t>
            </w:r>
            <w:r>
              <w:rPr>
                <w:rFonts w:hint="eastAsia" w:ascii="Times New Roman" w:hAnsi="Times New Roman"/>
              </w:rPr>
              <w:t>有资质单位</w:t>
            </w:r>
            <w:r>
              <w:rPr>
                <w:rFonts w:ascii="Times New Roman" w:hAnsi="Times New Roman"/>
              </w:rPr>
              <w:t>拉运处置</w:t>
            </w:r>
            <w:r>
              <w:rPr>
                <w:rFonts w:ascii="Times New Roman" w:hAnsi="Times New Roman"/>
                <w:szCs w:val="24"/>
              </w:rPr>
              <w:t>。</w:t>
            </w:r>
          </w:p>
          <w:p w14:paraId="7285AB6E">
            <w:pPr>
              <w:pStyle w:val="221"/>
              <w:spacing w:line="360" w:lineRule="auto"/>
              <w:ind w:firstLine="480"/>
              <w:rPr>
                <w:rFonts w:ascii="Times New Roman" w:hAnsi="Times New Roman"/>
                <w:szCs w:val="24"/>
                <w:lang w:val="en-US"/>
              </w:rPr>
            </w:pPr>
            <w:r>
              <w:rPr>
                <w:rFonts w:hint="eastAsia" w:ascii="Times New Roman" w:hAnsi="Times New Roman"/>
                <w:bCs/>
                <w:szCs w:val="24"/>
                <w:lang w:val="en-US"/>
              </w:rPr>
              <w:t>（2）</w:t>
            </w:r>
            <w:r>
              <w:rPr>
                <w:rFonts w:ascii="Times New Roman" w:hAnsi="Times New Roman"/>
                <w:szCs w:val="24"/>
              </w:rPr>
              <w:t>落地油、废防渗材料</w:t>
            </w:r>
          </w:p>
          <w:p w14:paraId="065E79B8">
            <w:pPr>
              <w:pStyle w:val="221"/>
              <w:spacing w:line="360" w:lineRule="auto"/>
              <w:ind w:firstLine="480"/>
              <w:rPr>
                <w:rFonts w:ascii="Times New Roman" w:hAnsi="Times New Roman"/>
                <w:bCs/>
                <w:szCs w:val="24"/>
                <w:lang w:val="en-US"/>
              </w:rPr>
            </w:pPr>
            <w:r>
              <w:rPr>
                <w:rFonts w:ascii="Times New Roman" w:hAnsi="Times New Roman"/>
              </w:rPr>
              <w:t>施工过程中储罐阀门、法兰等渗漏或施工操作不当会产生少量落地油，油类物质滴至地面后，根据污染深度，铲至未被污染土层深度；同时防渗膜将有效收集产生的落地油。施工过程中及施工结束后，在场地清理过程中会产生少量废防渗材料。</w:t>
            </w:r>
            <w:r>
              <w:rPr>
                <w:rFonts w:ascii="Times New Roman" w:hAnsi="Times New Roman"/>
                <w:szCs w:val="24"/>
              </w:rPr>
              <w:t>落地油、废防渗材料</w:t>
            </w:r>
            <w:r>
              <w:rPr>
                <w:rFonts w:ascii="Times New Roman" w:hAnsi="Times New Roman"/>
              </w:rPr>
              <w:t>暂存于井场撬装式危废贮存点内，定期交</w:t>
            </w:r>
            <w:r>
              <w:rPr>
                <w:rFonts w:hint="eastAsia" w:ascii="Times New Roman" w:hAnsi="Times New Roman"/>
              </w:rPr>
              <w:t>有资质单位</w:t>
            </w:r>
            <w:r>
              <w:rPr>
                <w:rFonts w:ascii="Times New Roman" w:hAnsi="Times New Roman"/>
              </w:rPr>
              <w:t>拉运处置</w:t>
            </w:r>
            <w:r>
              <w:t>。</w:t>
            </w:r>
          </w:p>
          <w:p w14:paraId="51B5C25A">
            <w:pPr>
              <w:snapToGrid w:val="0"/>
              <w:spacing w:line="360" w:lineRule="auto"/>
              <w:ind w:right="113" w:firstLine="480" w:firstLineChars="200"/>
              <w:rPr>
                <w:sz w:val="24"/>
              </w:rPr>
            </w:pPr>
            <w:r>
              <w:rPr>
                <w:rFonts w:hint="eastAsia"/>
                <w:sz w:val="24"/>
              </w:rPr>
              <w:t>（3）危险废物防治措施</w:t>
            </w:r>
          </w:p>
          <w:p w14:paraId="79A462DA">
            <w:pPr>
              <w:snapToGrid w:val="0"/>
              <w:spacing w:line="360" w:lineRule="auto"/>
              <w:ind w:right="113" w:firstLine="480" w:firstLineChars="200"/>
              <w:rPr>
                <w:sz w:val="24"/>
              </w:rPr>
            </w:pPr>
            <w:r>
              <w:rPr>
                <w:rFonts w:hint="eastAsia" w:ascii="宋体" w:hAnsi="宋体" w:cs="宋体"/>
                <w:sz w:val="24"/>
              </w:rPr>
              <w:t>①</w:t>
            </w:r>
            <w:r>
              <w:rPr>
                <w:sz w:val="24"/>
              </w:rPr>
              <w:t>危险废物管理措施</w:t>
            </w:r>
          </w:p>
          <w:p w14:paraId="6B661CC3">
            <w:pPr>
              <w:adjustRightInd w:val="0"/>
              <w:spacing w:line="360" w:lineRule="auto"/>
              <w:ind w:firstLine="480" w:firstLineChars="200"/>
              <w:textAlignment w:val="baseline"/>
              <w:rPr>
                <w:kern w:val="0"/>
                <w:sz w:val="24"/>
              </w:rPr>
            </w:pPr>
            <w:r>
              <w:rPr>
                <w:kern w:val="0"/>
                <w:sz w:val="24"/>
              </w:rPr>
              <w:t>a严格按照国家《危险废物贮存污染控制标准》（GB18597-2023）、</w:t>
            </w:r>
            <w:r>
              <w:rPr>
                <w:sz w:val="24"/>
              </w:rPr>
              <w:t>《危险废物收集、运输、贮存技术规范》（HJ2025-2012）</w:t>
            </w:r>
            <w:r>
              <w:rPr>
                <w:kern w:val="0"/>
                <w:sz w:val="24"/>
              </w:rPr>
              <w:t>和危险废物管理的有关规定，严禁将危险废物随意丢弃，严禁将危险废物混入一般工业固体废物和生活垃圾中。</w:t>
            </w:r>
          </w:p>
          <w:p w14:paraId="112C39BF">
            <w:pPr>
              <w:adjustRightInd w:val="0"/>
              <w:spacing w:line="360" w:lineRule="auto"/>
              <w:ind w:firstLine="480" w:firstLineChars="200"/>
              <w:textAlignment w:val="baseline"/>
              <w:rPr>
                <w:kern w:val="0"/>
                <w:sz w:val="24"/>
              </w:rPr>
            </w:pPr>
            <w:r>
              <w:rPr>
                <w:kern w:val="0"/>
                <w:sz w:val="24"/>
              </w:rPr>
              <w:t>b《中华人民共和国固体废物污染环境防治法》规定，禁止将危险废物提供或委托给无经营许可证的单位从事收集、贮存、处置的经营活动。在生产经营活动中产生危险废物的企业、事业单位和个人（简称危险废物产生者），负有防止和治理危险废物污染的责任和法律法规规定的其他责任。危险废物产生者应当采取清洁生产工艺，减少危险废物的产生。对所产生的危险废物应当采取综合利用或无害化处理措施，并建立危险废物污染防治的管理制度。危险废物产生者应当将危险废物转移到取得许可证的单位或场所，进行统一贮存、利用、处理和处置。贮存、利用、处理、处置危险废物的设施和场所，必须按规定设置统一的识别标志。</w:t>
            </w:r>
          </w:p>
          <w:p w14:paraId="1FCFCF62">
            <w:pPr>
              <w:snapToGrid w:val="0"/>
              <w:spacing w:line="360" w:lineRule="auto"/>
              <w:ind w:right="113" w:firstLine="480" w:firstLineChars="200"/>
              <w:rPr>
                <w:sz w:val="24"/>
              </w:rPr>
            </w:pPr>
            <w:r>
              <w:rPr>
                <w:sz w:val="24"/>
              </w:rPr>
              <w:t>c危废贮存点严格按《危险废物收集、运输、贮存技术规范》（HJ2025-2012）和</w:t>
            </w:r>
            <w:r>
              <w:rPr>
                <w:kern w:val="0"/>
                <w:sz w:val="24"/>
              </w:rPr>
              <w:t>《危险废物贮存污染控制标准》（GB18597-2023）</w:t>
            </w:r>
            <w:r>
              <w:rPr>
                <w:sz w:val="24"/>
              </w:rPr>
              <w:t>要求设置。</w:t>
            </w:r>
          </w:p>
          <w:p w14:paraId="4D964714">
            <w:pPr>
              <w:snapToGrid w:val="0"/>
              <w:spacing w:line="360" w:lineRule="auto"/>
              <w:ind w:right="113" w:firstLine="480" w:firstLineChars="200"/>
              <w:rPr>
                <w:sz w:val="24"/>
              </w:rPr>
            </w:pPr>
            <w:r>
              <w:rPr>
                <w:kern w:val="0"/>
                <w:sz w:val="24"/>
              </w:rPr>
              <w:t>项目</w:t>
            </w:r>
            <w:r>
              <w:rPr>
                <w:sz w:val="24"/>
              </w:rPr>
              <w:t>危废贮存点设置撬装式临时贮存设施，面积10m</w:t>
            </w:r>
            <w:r>
              <w:rPr>
                <w:sz w:val="24"/>
                <w:vertAlign w:val="superscript"/>
              </w:rPr>
              <w:t>2</w:t>
            </w:r>
            <w:r>
              <w:rPr>
                <w:sz w:val="24"/>
              </w:rPr>
              <w:t>。危险废物贮存点</w:t>
            </w:r>
            <w:r>
              <w:rPr>
                <w:bCs/>
                <w:kern w:val="0"/>
                <w:sz w:val="24"/>
              </w:rPr>
              <w:t>四周设20cm高围堰，围堰内</w:t>
            </w:r>
            <w:r>
              <w:rPr>
                <w:sz w:val="24"/>
              </w:rPr>
              <w:t>利用2mm厚高密度聚乙烯防渗膜双层作为底层，渗透系数小于10</w:t>
            </w:r>
            <w:r>
              <w:rPr>
                <w:sz w:val="24"/>
                <w:vertAlign w:val="superscript"/>
              </w:rPr>
              <w:t>-10</w:t>
            </w:r>
            <w:r>
              <w:rPr>
                <w:sz w:val="24"/>
              </w:rPr>
              <w:t>cm/s。贮存设施内部铺设双层2mm厚高密度聚乙烯防渗膜，地面与裙脚采取表面防渗措施，并设置专用容器；内部设隔板、托盘和围堰。撬装式</w:t>
            </w:r>
            <w:r>
              <w:rPr>
                <w:kern w:val="0"/>
                <w:sz w:val="24"/>
              </w:rPr>
              <w:t>危废贮存点用于贮存落地油、废润滑油等，危险废物均采用桶（罐）装，贮存过程中挥发量少，不会对环境空气产生明显影响。禁明火，配防爆设备，消防器材就近可用。</w:t>
            </w:r>
          </w:p>
          <w:p w14:paraId="7E8B7708">
            <w:pPr>
              <w:spacing w:line="360" w:lineRule="auto"/>
              <w:ind w:firstLine="480"/>
              <w:rPr>
                <w:kern w:val="0"/>
                <w:sz w:val="24"/>
              </w:rPr>
            </w:pPr>
            <w:r>
              <w:rPr>
                <w:kern w:val="0"/>
                <w:sz w:val="24"/>
              </w:rPr>
              <w:t>严格落实防风、防晒、防雨、防漏、防渗、防腐以及其他环境污染防治措施，根据危险废物的类别、数量、形态、物理化学性质和污染防治等要求设置必要的贮存分区，避免不相容的危险废物接触、混合。危险废物放入符合标准的罐（桶）内，按要求设置危险废物贮存分区标志和危险废物标签等危险废物识别标志，包括废物名称、废物类别、废物代码、危险特性、主要成分、废物重量等内容，并做好收集、利用、贮存和转运中的二次污染防治。贮存点应及时清运贮存的危险废物，交</w:t>
            </w:r>
            <w:r>
              <w:rPr>
                <w:rFonts w:hint="eastAsia"/>
                <w:kern w:val="0"/>
                <w:sz w:val="24"/>
              </w:rPr>
              <w:t>有资质单位</w:t>
            </w:r>
            <w:r>
              <w:rPr>
                <w:kern w:val="0"/>
                <w:sz w:val="24"/>
              </w:rPr>
              <w:t>统一处理并实行联单制管理，实时贮存量不超过3吨，处理率达到100%，符合环保相关要求。</w:t>
            </w:r>
          </w:p>
          <w:p w14:paraId="4D0764B6">
            <w:pPr>
              <w:spacing w:line="360" w:lineRule="auto"/>
              <w:ind w:firstLine="480"/>
              <w:rPr>
                <w:sz w:val="24"/>
              </w:rPr>
            </w:pPr>
            <w:r>
              <w:rPr>
                <w:kern w:val="0"/>
                <w:sz w:val="24"/>
              </w:rPr>
              <w:t>撬装式危废贮存点设立危险废物警示标志，做好危废情况的记录，记录上须注明危险废物的名称、来源、数量、特性等内容。由专人定期检查危险废物的贮存状况，及时清理贮存设施地面，更换破损泄漏的危险废物贮存容器和包装物，保证堆存危险废物的防雨、防风、防扬尘等设施功能完好</w:t>
            </w:r>
            <w:r>
              <w:rPr>
                <w:sz w:val="24"/>
              </w:rPr>
              <w:t>。</w:t>
            </w:r>
          </w:p>
          <w:p w14:paraId="28068C18">
            <w:pPr>
              <w:snapToGrid w:val="0"/>
              <w:spacing w:line="360" w:lineRule="auto"/>
              <w:ind w:right="113" w:firstLine="480" w:firstLineChars="200"/>
              <w:rPr>
                <w:sz w:val="24"/>
              </w:rPr>
            </w:pPr>
            <w:r>
              <w:rPr>
                <w:sz w:val="24"/>
              </w:rPr>
              <w:t>d</w:t>
            </w:r>
            <w:r>
              <w:rPr>
                <w:kern w:val="0"/>
                <w:sz w:val="24"/>
              </w:rPr>
              <w:t>公司应向环保部门申报危险废物的种类、数量、成分特征、排放方式，并提供污染防治设施和废物主要去向等资料。在危险废物收集、运输之前，危险废物产生者应当根据危险废物的性质、形态，选择安全的包装方式，并向承运者和接收者提供安全防护要求的说明。强化职工的安全环保意识。</w:t>
            </w:r>
          </w:p>
          <w:p w14:paraId="7435EF9B">
            <w:pPr>
              <w:spacing w:line="360" w:lineRule="auto"/>
              <w:ind w:firstLine="480"/>
              <w:rPr>
                <w:sz w:val="24"/>
              </w:rPr>
            </w:pPr>
            <w:r>
              <w:rPr>
                <w:rFonts w:hint="eastAsia" w:ascii="宋体" w:hAnsi="宋体" w:cs="宋体"/>
                <w:sz w:val="24"/>
              </w:rPr>
              <w:t>②</w:t>
            </w:r>
            <w:r>
              <w:rPr>
                <w:sz w:val="24"/>
              </w:rPr>
              <w:t>运输过程管理措施</w:t>
            </w:r>
          </w:p>
          <w:p w14:paraId="30236A8D">
            <w:pPr>
              <w:spacing w:line="360" w:lineRule="auto"/>
              <w:ind w:firstLine="480"/>
              <w:rPr>
                <w:sz w:val="24"/>
              </w:rPr>
            </w:pPr>
            <w:r>
              <w:rPr>
                <w:sz w:val="24"/>
              </w:rPr>
              <w:t>项目产生的危险废物收集后交</w:t>
            </w:r>
            <w:r>
              <w:rPr>
                <w:rFonts w:hint="eastAsia"/>
                <w:kern w:val="0"/>
                <w:sz w:val="24"/>
              </w:rPr>
              <w:t>有资质单位拉运</w:t>
            </w:r>
            <w:r>
              <w:rPr>
                <w:sz w:val="24"/>
              </w:rPr>
              <w:t>处置。危险废物运输过程中全部采用密闭容器储存，运输路线尽量选取不经过办公区等人员密集区，转运结束后及时对转运路线进行检查和清理，确保无危险废物散落或泄漏在转运路线上。</w:t>
            </w:r>
          </w:p>
          <w:p w14:paraId="6829DAFA">
            <w:pPr>
              <w:spacing w:line="360" w:lineRule="auto"/>
              <w:ind w:firstLine="480"/>
              <w:rPr>
                <w:sz w:val="24"/>
              </w:rPr>
            </w:pPr>
            <w:r>
              <w:rPr>
                <w:sz w:val="24"/>
              </w:rPr>
              <w:t>危险废物的运输应采取危险废物转移联单制度，保证运输安全，防止非法转移和非法处置，保证危险废物的安全监控，防止危险废物污染事故的发生。所有装满运走的容器或贮罐都应</w:t>
            </w:r>
            <w:r>
              <w:rPr>
                <w:rFonts w:hint="eastAsia"/>
                <w:sz w:val="24"/>
              </w:rPr>
              <w:t>标</w:t>
            </w:r>
            <w:r>
              <w:rPr>
                <w:sz w:val="24"/>
              </w:rPr>
              <w:t>明内盛物的类别与危害说明，以及数量和装进日期，设置危险废物的识别标志。</w:t>
            </w:r>
          </w:p>
          <w:p w14:paraId="16A6BCD9">
            <w:pPr>
              <w:spacing w:line="360" w:lineRule="auto"/>
              <w:ind w:firstLine="480"/>
              <w:rPr>
                <w:sz w:val="24"/>
              </w:rPr>
            </w:pPr>
            <w:r>
              <w:rPr>
                <w:sz w:val="24"/>
              </w:rPr>
              <w:t>撬装式危废</w:t>
            </w:r>
            <w:r>
              <w:rPr>
                <w:rFonts w:hint="eastAsia"/>
                <w:sz w:val="24"/>
              </w:rPr>
              <w:t>贮存点</w:t>
            </w:r>
            <w:r>
              <w:rPr>
                <w:sz w:val="24"/>
              </w:rPr>
              <w:t>地面采取防腐防渗措施，运输过程中加强环境管理严格遵守转移联单制度，不会对环境产生不利影响。</w:t>
            </w:r>
          </w:p>
          <w:p w14:paraId="227D1741">
            <w:pPr>
              <w:spacing w:line="360" w:lineRule="auto"/>
              <w:ind w:firstLine="480"/>
              <w:rPr>
                <w:sz w:val="24"/>
              </w:rPr>
            </w:pPr>
            <w:r>
              <w:rPr>
                <w:rFonts w:hint="eastAsia" w:ascii="宋体" w:hAnsi="宋体"/>
                <w:sz w:val="24"/>
              </w:rPr>
              <w:t>③</w:t>
            </w:r>
            <w:r>
              <w:rPr>
                <w:sz w:val="24"/>
              </w:rPr>
              <w:t>委托利用或者处置</w:t>
            </w:r>
            <w:r>
              <w:rPr>
                <w:rFonts w:hint="eastAsia"/>
                <w:sz w:val="24"/>
              </w:rPr>
              <w:t>措施</w:t>
            </w:r>
          </w:p>
          <w:p w14:paraId="645009AD">
            <w:pPr>
              <w:spacing w:line="360" w:lineRule="auto"/>
              <w:ind w:firstLine="480"/>
              <w:rPr>
                <w:sz w:val="24"/>
              </w:rPr>
            </w:pPr>
            <w:r>
              <w:rPr>
                <w:sz w:val="24"/>
              </w:rPr>
              <w:t>项目危险废物委托</w:t>
            </w:r>
            <w:r>
              <w:rPr>
                <w:rFonts w:hint="eastAsia"/>
                <w:sz w:val="24"/>
              </w:rPr>
              <w:t>有资质单位拉运处置</w:t>
            </w:r>
            <w:r>
              <w:rPr>
                <w:sz w:val="24"/>
              </w:rPr>
              <w:t>。</w:t>
            </w:r>
            <w:r>
              <w:rPr>
                <w:rFonts w:hint="eastAsia"/>
                <w:sz w:val="24"/>
              </w:rPr>
              <w:t>建设单位应与有资质单位签订危废处置合同，其经营范围涵盖了项目危废产生种类且有足够能力处置产生的危废，措施可行</w:t>
            </w:r>
            <w:r>
              <w:rPr>
                <w:sz w:val="24"/>
              </w:rPr>
              <w:t>。</w:t>
            </w:r>
          </w:p>
          <w:p w14:paraId="083EFD39">
            <w:pPr>
              <w:spacing w:line="360" w:lineRule="auto"/>
              <w:ind w:firstLine="480"/>
              <w:rPr>
                <w:sz w:val="24"/>
              </w:rPr>
            </w:pPr>
            <w:r>
              <w:rPr>
                <w:rFonts w:hint="eastAsia" w:ascii="宋体" w:hAnsi="宋体"/>
                <w:sz w:val="24"/>
              </w:rPr>
              <w:t>④</w:t>
            </w:r>
            <w:r>
              <w:rPr>
                <w:sz w:val="24"/>
              </w:rPr>
              <w:t>其他措施</w:t>
            </w:r>
          </w:p>
          <w:p w14:paraId="31E406A7">
            <w:pPr>
              <w:spacing w:line="360" w:lineRule="auto"/>
              <w:ind w:firstLine="480"/>
              <w:rPr>
                <w:sz w:val="24"/>
              </w:rPr>
            </w:pPr>
            <w:r>
              <w:rPr>
                <w:sz w:val="24"/>
              </w:rPr>
              <w:t>在收集、运输、贮存危险废物过程中，如发生泄漏事故时，应马上启动危险废物应急处置预案；收集、贮存、运输危险废物的场所、设施、设备和容器、包装物或其他物品转作他用时，必须经过消除污染的处理，并经环境保护检测部门检测，达到无害化标准，未达到标准的严禁转作他用。</w:t>
            </w:r>
          </w:p>
          <w:p w14:paraId="13953FAB">
            <w:pPr>
              <w:snapToGrid w:val="0"/>
              <w:spacing w:line="360" w:lineRule="auto"/>
              <w:ind w:right="113" w:firstLine="480" w:firstLineChars="200"/>
              <w:rPr>
                <w:sz w:val="24"/>
              </w:rPr>
            </w:pPr>
            <w:r>
              <w:rPr>
                <w:sz w:val="24"/>
              </w:rPr>
              <w:t>综上，项目产生的固体废物</w:t>
            </w:r>
            <w:r>
              <w:rPr>
                <w:rFonts w:hint="eastAsia"/>
                <w:sz w:val="24"/>
              </w:rPr>
              <w:t>均采取了合理、有效的防治措施</w:t>
            </w:r>
            <w:r>
              <w:rPr>
                <w:sz w:val="24"/>
              </w:rPr>
              <w:t>，</w:t>
            </w:r>
            <w:r>
              <w:rPr>
                <w:rFonts w:hint="eastAsia"/>
                <w:sz w:val="24"/>
              </w:rPr>
              <w:t>对周围环境影响较小</w:t>
            </w:r>
            <w:r>
              <w:rPr>
                <w:sz w:val="24"/>
              </w:rPr>
              <w:t>。</w:t>
            </w:r>
          </w:p>
          <w:p w14:paraId="75DB0FFA">
            <w:pPr>
              <w:spacing w:line="360" w:lineRule="auto"/>
              <w:ind w:firstLine="482" w:firstLineChars="200"/>
              <w:rPr>
                <w:b/>
                <w:sz w:val="24"/>
                <w:szCs w:val="32"/>
              </w:rPr>
            </w:pPr>
            <w:r>
              <w:rPr>
                <w:rFonts w:hint="eastAsia"/>
                <w:b/>
                <w:sz w:val="24"/>
                <w:szCs w:val="32"/>
              </w:rPr>
              <w:t>五、施工期地下水、土壤环境保护措施</w:t>
            </w:r>
          </w:p>
          <w:p w14:paraId="38AFCD84">
            <w:pPr>
              <w:pStyle w:val="74"/>
              <w:spacing w:line="360" w:lineRule="auto"/>
              <w:ind w:firstLine="480"/>
              <w:rPr>
                <w:rFonts w:ascii="Times New Roman" w:hAnsi="Times New Roman"/>
              </w:rPr>
            </w:pPr>
            <w:r>
              <w:rPr>
                <w:rFonts w:hint="eastAsia" w:ascii="Times New Roman" w:hAnsi="Times New Roman"/>
              </w:rPr>
              <w:t>为防止污染地下水、土壤环境，按照“源头控制、分区防治、污染监控、应急响应”相结合的原则，从污染物的产生、入渗、扩散、应急响应进行控制。具体措施如下：</w:t>
            </w:r>
          </w:p>
          <w:p w14:paraId="34565AA1">
            <w:pPr>
              <w:pStyle w:val="74"/>
              <w:spacing w:line="360" w:lineRule="auto"/>
              <w:ind w:firstLine="480"/>
              <w:rPr>
                <w:rFonts w:ascii="Times New Roman" w:hAnsi="Times New Roman"/>
              </w:rPr>
            </w:pPr>
            <w:r>
              <w:rPr>
                <w:rFonts w:hint="eastAsia" w:ascii="Times New Roman" w:hAnsi="Times New Roman"/>
              </w:rPr>
              <w:t>（1）污染源控制措施</w:t>
            </w:r>
          </w:p>
          <w:p w14:paraId="06B64CE0">
            <w:pPr>
              <w:pStyle w:val="74"/>
              <w:spacing w:line="360" w:lineRule="auto"/>
              <w:ind w:firstLine="480"/>
              <w:rPr>
                <w:rFonts w:ascii="Times New Roman" w:hAnsi="Times New Roman"/>
              </w:rPr>
            </w:pPr>
            <w:r>
              <w:rPr>
                <w:rFonts w:hint="eastAsia" w:ascii="Times New Roman" w:hAnsi="Times New Roman"/>
              </w:rPr>
              <w:t>源头控制主要包括实施清洁生产及各类废物循环利用，减少污染物的排放量；在工艺、设备、污水储存及处理构筑物采取相应措施，防止和降低污染物跑、冒、滴、漏，将污染物泄漏的环境风险事故降到最低限度。</w:t>
            </w:r>
          </w:p>
          <w:p w14:paraId="575277B0">
            <w:pPr>
              <w:pStyle w:val="74"/>
              <w:spacing w:line="360" w:lineRule="auto"/>
              <w:ind w:firstLine="480"/>
              <w:rPr>
                <w:rFonts w:ascii="Times New Roman" w:hAnsi="Times New Roman"/>
              </w:rPr>
            </w:pPr>
            <w:r>
              <w:rPr>
                <w:rFonts w:hint="eastAsia" w:ascii="Times New Roman" w:hAnsi="Times New Roman"/>
              </w:rPr>
              <w:t>项目提出以下控制措施：</w:t>
            </w:r>
          </w:p>
          <w:p w14:paraId="5EE27701">
            <w:pPr>
              <w:pStyle w:val="74"/>
              <w:spacing w:line="360" w:lineRule="auto"/>
              <w:ind w:firstLine="480"/>
              <w:rPr>
                <w:rFonts w:ascii="Times New Roman" w:hAnsi="Times New Roman"/>
              </w:rPr>
            </w:pPr>
            <w:r>
              <w:rPr>
                <w:rFonts w:hint="eastAsia" w:ascii="Times New Roman" w:hAnsi="Times New Roman"/>
              </w:rPr>
              <w:t>1）</w:t>
            </w:r>
            <w:r>
              <w:rPr>
                <w:rFonts w:ascii="Times New Roman" w:hAnsi="Times New Roman"/>
              </w:rPr>
              <w:t>在施工前充分研究地质设计资料等，优化钻井施工工艺、钻井泥浆体系等，对钻井过程中可能发生的钻井泥浆漏失的情况，采用强钻方式快速钻穿漏失层达到固井层位。选用合理钻井泥浆密度，实现近平衡压力钻井，降低钻井泥浆环空压耗，降低钻井泥浆激动压力，从而降低井筒中钻井泥浆动压力，减小钻井泥浆漏失量。</w:t>
            </w:r>
          </w:p>
          <w:p w14:paraId="5FF4AD3C">
            <w:pPr>
              <w:pStyle w:val="74"/>
              <w:spacing w:line="360" w:lineRule="auto"/>
              <w:ind w:firstLine="480"/>
              <w:rPr>
                <w:rFonts w:ascii="Times New Roman" w:hAnsi="Times New Roman"/>
              </w:rPr>
            </w:pPr>
            <w:r>
              <w:rPr>
                <w:rFonts w:hint="eastAsia" w:ascii="Times New Roman" w:hAnsi="Times New Roman"/>
              </w:rPr>
              <w:t>2）</w:t>
            </w:r>
            <w:r>
              <w:rPr>
                <w:rFonts w:ascii="Times New Roman" w:hAnsi="Times New Roman"/>
              </w:rPr>
              <w:t>钻井、过程中加强监控，防止钻井泥浆的扩散污染等。</w:t>
            </w:r>
          </w:p>
          <w:p w14:paraId="22A73D27">
            <w:pPr>
              <w:pStyle w:val="74"/>
              <w:spacing w:line="360" w:lineRule="auto"/>
              <w:ind w:firstLine="480"/>
              <w:rPr>
                <w:rFonts w:ascii="Times New Roman" w:hAnsi="Times New Roman"/>
              </w:rPr>
            </w:pPr>
            <w:r>
              <w:rPr>
                <w:rFonts w:hint="eastAsia" w:ascii="Times New Roman" w:hAnsi="Times New Roman"/>
              </w:rPr>
              <w:t>3）</w:t>
            </w:r>
            <w:r>
              <w:rPr>
                <w:rFonts w:ascii="Times New Roman" w:hAnsi="Times New Roman"/>
              </w:rPr>
              <w:t>钻进过程中保持平衡操作，并对钻井</w:t>
            </w:r>
            <w:r>
              <w:rPr>
                <w:rFonts w:hint="eastAsia" w:ascii="Times New Roman" w:hAnsi="Times New Roman"/>
              </w:rPr>
              <w:t>泥浆</w:t>
            </w:r>
            <w:r>
              <w:rPr>
                <w:rFonts w:ascii="Times New Roman" w:hAnsi="Times New Roman"/>
              </w:rPr>
              <w:t>进行实时监控。采用无毒的钻井</w:t>
            </w:r>
            <w:r>
              <w:rPr>
                <w:rFonts w:hint="eastAsia" w:ascii="Times New Roman" w:hAnsi="Times New Roman"/>
              </w:rPr>
              <w:t>泥浆</w:t>
            </w:r>
            <w:r>
              <w:rPr>
                <w:rFonts w:ascii="Times New Roman" w:hAnsi="Times New Roman"/>
              </w:rPr>
              <w:t>，配备足够量、高效的堵漏剂等，一旦发现漏失，立即采取堵漏措施，减少漏失量。堵漏剂的选取应考虑清洁、无毒、对人体无害，环境污染轻的种类。</w:t>
            </w:r>
          </w:p>
          <w:p w14:paraId="765B8BD9">
            <w:pPr>
              <w:pStyle w:val="74"/>
              <w:spacing w:line="360" w:lineRule="auto"/>
              <w:ind w:firstLine="480"/>
              <w:rPr>
                <w:rFonts w:ascii="Times New Roman" w:hAnsi="Times New Roman"/>
              </w:rPr>
            </w:pPr>
            <w:r>
              <w:rPr>
                <w:rFonts w:hint="eastAsia" w:ascii="Times New Roman" w:hAnsi="Times New Roman"/>
              </w:rPr>
              <w:t>4）</w:t>
            </w:r>
            <w:r>
              <w:rPr>
                <w:rFonts w:ascii="Times New Roman" w:hAnsi="Times New Roman"/>
              </w:rPr>
              <w:t>每次钻井结束后的固井作业可有效封隔地层与套管之间的环空，</w:t>
            </w:r>
            <w:r>
              <w:rPr>
                <w:rFonts w:hint="eastAsia" w:ascii="Times New Roman" w:hAnsi="Times New Roman"/>
              </w:rPr>
              <w:t>防止</w:t>
            </w:r>
            <w:r>
              <w:rPr>
                <w:rFonts w:ascii="Times New Roman" w:hAnsi="Times New Roman"/>
              </w:rPr>
              <w:t>污染地下水。固井作业应提高固井质量，可有效防止因为井漏事故造成的地下水环境污染。</w:t>
            </w:r>
          </w:p>
          <w:p w14:paraId="315387AD">
            <w:pPr>
              <w:pStyle w:val="74"/>
              <w:spacing w:line="360" w:lineRule="auto"/>
              <w:ind w:firstLine="480"/>
              <w:rPr>
                <w:rFonts w:ascii="Times New Roman" w:hAnsi="Times New Roman"/>
              </w:rPr>
            </w:pPr>
            <w:r>
              <w:rPr>
                <w:rFonts w:hint="eastAsia" w:ascii="Times New Roman" w:hAnsi="Times New Roman"/>
              </w:rPr>
              <w:t>5）</w:t>
            </w:r>
            <w:r>
              <w:rPr>
                <w:rFonts w:ascii="Times New Roman" w:hAnsi="Times New Roman"/>
              </w:rPr>
              <w:t>在钻井完井过程中严格控制新鲜水用量，实行清污分流，减少污水产生量。</w:t>
            </w:r>
          </w:p>
          <w:p w14:paraId="1A0B49DA">
            <w:pPr>
              <w:pStyle w:val="74"/>
              <w:spacing w:line="360" w:lineRule="auto"/>
              <w:ind w:firstLine="480"/>
              <w:rPr>
                <w:rFonts w:ascii="Times New Roman" w:hAnsi="Times New Roman"/>
              </w:rPr>
            </w:pPr>
            <w:r>
              <w:rPr>
                <w:rFonts w:hint="eastAsia" w:ascii="Times New Roman" w:hAnsi="Times New Roman"/>
              </w:rPr>
              <w:t>6）</w:t>
            </w:r>
            <w:r>
              <w:rPr>
                <w:rFonts w:ascii="Times New Roman" w:hAnsi="Times New Roman"/>
              </w:rPr>
              <w:t>作业用材料集中放置在防渗漏地面，防止对地下水的污染。</w:t>
            </w:r>
          </w:p>
          <w:p w14:paraId="79291D6B">
            <w:pPr>
              <w:pStyle w:val="74"/>
              <w:spacing w:line="360" w:lineRule="auto"/>
              <w:ind w:firstLine="480"/>
              <w:rPr>
                <w:rFonts w:ascii="Times New Roman" w:hAnsi="Times New Roman"/>
              </w:rPr>
            </w:pPr>
            <w:r>
              <w:rPr>
                <w:rFonts w:hint="eastAsia" w:ascii="Times New Roman" w:hAnsi="Times New Roman"/>
              </w:rPr>
              <w:t>7）</w:t>
            </w:r>
            <w:r>
              <w:rPr>
                <w:rFonts w:ascii="Times New Roman" w:hAnsi="Times New Roman"/>
              </w:rPr>
              <w:t>钻井过程中应加强废水管理，防止出现废水渗漏、外溢等事故；钻井过程中产生的废水进入废弃泥浆、钻井岩屑中，</w:t>
            </w:r>
            <w:r>
              <w:rPr>
                <w:rFonts w:hint="eastAsia" w:ascii="Times New Roman" w:hAnsi="Times New Roman"/>
              </w:rPr>
              <w:t>收集至可移动废水罐，定期拉运至内蒙古众宁环保科技有限公司油气田废弃物集中处理厂处理</w:t>
            </w:r>
            <w:r>
              <w:rPr>
                <w:rFonts w:ascii="Times New Roman" w:hAnsi="Times New Roman"/>
              </w:rPr>
              <w:t>。</w:t>
            </w:r>
          </w:p>
          <w:p w14:paraId="72D39C9B">
            <w:pPr>
              <w:pStyle w:val="74"/>
              <w:spacing w:line="360" w:lineRule="auto"/>
              <w:ind w:firstLine="480"/>
              <w:rPr>
                <w:rFonts w:ascii="Times New Roman" w:hAnsi="Times New Roman"/>
              </w:rPr>
            </w:pPr>
            <w:r>
              <w:rPr>
                <w:rFonts w:hint="eastAsia" w:ascii="Times New Roman" w:hAnsi="Times New Roman"/>
              </w:rPr>
              <w:t>8）</w:t>
            </w:r>
            <w:r>
              <w:rPr>
                <w:rFonts w:ascii="Times New Roman" w:hAnsi="Times New Roman"/>
              </w:rPr>
              <w:t>根据探井勘探项目的实际生产情况，保证钻孔固井质量是保护地下水的有效措施，钻井过程中使用双层套管，表层套管和油层套管固井水泥均返至井口处，确保安全封闭此深度内的潜水层和承压水层，同时封固地表疏松地层，为井口控制和后续完井采用预应力固井创造条件；钻井过程中的固井措施，一方面加固井壁，同时也有分隔地层的作用，使各个不相</w:t>
            </w:r>
            <w:r>
              <w:rPr>
                <w:rFonts w:hint="eastAsia" w:ascii="Times New Roman" w:hAnsi="Times New Roman"/>
              </w:rPr>
              <w:t>连</w:t>
            </w:r>
            <w:r>
              <w:rPr>
                <w:rFonts w:ascii="Times New Roman" w:hAnsi="Times New Roman"/>
              </w:rPr>
              <w:t>通的地层分隔开来，保持其原有的循环运移道路。</w:t>
            </w:r>
          </w:p>
          <w:p w14:paraId="05A1F82B">
            <w:pPr>
              <w:spacing w:line="360" w:lineRule="auto"/>
              <w:ind w:firstLine="470" w:firstLineChars="196"/>
              <w:rPr>
                <w:sz w:val="24"/>
              </w:rPr>
            </w:pPr>
            <w:r>
              <w:rPr>
                <w:sz w:val="24"/>
              </w:rPr>
              <w:t>在钻井施工过程中根据地层地质结构及含水层位的不同，下入不同深度的套管</w:t>
            </w:r>
            <w:r>
              <w:rPr>
                <w:rFonts w:hint="eastAsia"/>
                <w:sz w:val="24"/>
                <w:szCs w:val="32"/>
              </w:rPr>
              <w:t>，表层套管下至500m左右并注入水泥封固</w:t>
            </w:r>
            <w:r>
              <w:rPr>
                <w:sz w:val="24"/>
              </w:rPr>
              <w:t>，确保</w:t>
            </w:r>
            <w:r>
              <w:rPr>
                <w:rFonts w:hint="eastAsia"/>
                <w:sz w:val="24"/>
              </w:rPr>
              <w:t>套管</w:t>
            </w:r>
            <w:r>
              <w:rPr>
                <w:sz w:val="24"/>
              </w:rPr>
              <w:t>能完全封隔含水层。而且，钻井施工过程中，不只是有表层套管</w:t>
            </w:r>
            <w:r>
              <w:rPr>
                <w:rFonts w:hint="eastAsia"/>
                <w:sz w:val="24"/>
              </w:rPr>
              <w:t>，</w:t>
            </w:r>
            <w:r>
              <w:rPr>
                <w:sz w:val="24"/>
              </w:rPr>
              <w:t>二开后还会下入相应尺寸的套管，每层套管和井壁之间会用水泥封固，防止地下水被钻井泥浆污染。</w:t>
            </w:r>
          </w:p>
          <w:p w14:paraId="56B0816C">
            <w:pPr>
              <w:pStyle w:val="74"/>
              <w:spacing w:line="360" w:lineRule="auto"/>
              <w:ind w:firstLine="480"/>
              <w:rPr>
                <w:rFonts w:ascii="Times New Roman" w:hAnsi="Times New Roman"/>
              </w:rPr>
            </w:pPr>
            <w:r>
              <w:rPr>
                <w:rFonts w:hint="eastAsia" w:ascii="Times New Roman" w:hAnsi="Times New Roman"/>
              </w:rPr>
              <w:t>9）</w:t>
            </w:r>
            <w:r>
              <w:rPr>
                <w:rFonts w:ascii="Times New Roman" w:hAnsi="Times New Roman"/>
              </w:rPr>
              <w:t>加强油料的管理和控制，特别应加强和完善废油的控制措施。加强废弃泥浆、钻井岩屑及其他固体废弃物收集、运输及暂存、处置等过程的环境管理。</w:t>
            </w:r>
          </w:p>
          <w:p w14:paraId="3FED7451">
            <w:pPr>
              <w:pStyle w:val="74"/>
              <w:spacing w:line="360" w:lineRule="auto"/>
              <w:ind w:firstLine="480"/>
              <w:rPr>
                <w:rFonts w:ascii="Times New Roman" w:hAnsi="Times New Roman"/>
              </w:rPr>
            </w:pPr>
            <w:r>
              <w:rPr>
                <w:rFonts w:hint="eastAsia" w:ascii="Times New Roman" w:hAnsi="Times New Roman"/>
              </w:rPr>
              <w:t>10）</w:t>
            </w:r>
            <w:r>
              <w:rPr>
                <w:rFonts w:ascii="Times New Roman" w:hAnsi="Times New Roman"/>
              </w:rPr>
              <w:t>钻井</w:t>
            </w:r>
            <w:r>
              <w:rPr>
                <w:rFonts w:hint="eastAsia" w:ascii="Times New Roman" w:hAnsi="Times New Roman"/>
              </w:rPr>
              <w:t>泥浆</w:t>
            </w:r>
            <w:r>
              <w:rPr>
                <w:rFonts w:ascii="Times New Roman" w:hAnsi="Times New Roman"/>
              </w:rPr>
              <w:t>等应做到循环利用。采取节水措施，减少耗水量。鼓励采用先进的工艺、设备。</w:t>
            </w:r>
          </w:p>
          <w:p w14:paraId="2DDF0C35">
            <w:pPr>
              <w:pStyle w:val="74"/>
              <w:spacing w:line="360" w:lineRule="auto"/>
              <w:ind w:firstLine="480"/>
              <w:rPr>
                <w:rFonts w:ascii="Times New Roman" w:hAnsi="Times New Roman"/>
              </w:rPr>
            </w:pPr>
            <w:r>
              <w:rPr>
                <w:rFonts w:hint="eastAsia" w:ascii="Times New Roman" w:hAnsi="Times New Roman"/>
              </w:rPr>
              <w:t>11）在钻井泥浆入口、出口安装流量测量仪，实时监测钻井泥浆流量变化情况。若发现钻井泥浆出口流量小于入口流量，则判断为井筒渗漏，依据地层特征和渗漏速度，确定井漏具体层位，及时向钻井泥浆中加入堵漏材料并调整钻井泥浆性能，同时配备水泥浆（适用各种漏失通道的需要。对于大裂缝或溶洞等引起的严重井漏、破碎性地层引起的诱导性井漏，首先考虑水泥浆堵漏），确保及时堵漏成功。</w:t>
            </w:r>
          </w:p>
          <w:p w14:paraId="68776AF0">
            <w:pPr>
              <w:pStyle w:val="74"/>
              <w:spacing w:line="360" w:lineRule="auto"/>
              <w:ind w:firstLine="480"/>
              <w:rPr>
                <w:rFonts w:ascii="Times New Roman" w:hAnsi="Times New Roman"/>
                <w:szCs w:val="24"/>
              </w:rPr>
            </w:pPr>
            <w:r>
              <w:rPr>
                <w:rFonts w:hint="eastAsia" w:ascii="Times New Roman" w:hAnsi="Times New Roman"/>
                <w:szCs w:val="24"/>
              </w:rPr>
              <w:t>12）井场分区铺设高密度聚乙烯防渗膜，非正常工况产生的落地油，根据污染深度，铲至未被污染土层深度，暂存于撬装式危废贮存点，交有资质单位拉运处置。</w:t>
            </w:r>
          </w:p>
          <w:p w14:paraId="6649E2CA">
            <w:pPr>
              <w:pStyle w:val="74"/>
              <w:spacing w:line="360" w:lineRule="auto"/>
              <w:ind w:firstLine="480"/>
              <w:rPr>
                <w:rFonts w:ascii="Times New Roman" w:hAnsi="Times New Roman"/>
                <w:szCs w:val="24"/>
              </w:rPr>
            </w:pPr>
            <w:r>
              <w:rPr>
                <w:rFonts w:ascii="Times New Roman" w:hAnsi="Times New Roman"/>
                <w:szCs w:val="24"/>
              </w:rPr>
              <w:t>（2）防渗控制措施</w:t>
            </w:r>
          </w:p>
          <w:p w14:paraId="19817D77">
            <w:pPr>
              <w:pStyle w:val="74"/>
              <w:spacing w:line="360" w:lineRule="auto"/>
              <w:ind w:firstLine="480"/>
              <w:rPr>
                <w:rFonts w:ascii="Times New Roman" w:hAnsi="Times New Roman"/>
              </w:rPr>
            </w:pPr>
            <w:r>
              <w:rPr>
                <w:rFonts w:ascii="Times New Roman" w:hAnsi="Times New Roman"/>
              </w:rPr>
              <w:t>为防止污染地下水、土壤环境，针对</w:t>
            </w:r>
            <w:r>
              <w:rPr>
                <w:rFonts w:hint="eastAsia" w:ascii="Times New Roman" w:hAnsi="Times New Roman"/>
              </w:rPr>
              <w:t>施工</w:t>
            </w:r>
            <w:r>
              <w:rPr>
                <w:rFonts w:ascii="Times New Roman" w:hAnsi="Times New Roman"/>
              </w:rPr>
              <w:t>期间工程特点，参照《环境影响评价技术导则地下水环境》</w:t>
            </w:r>
            <w:r>
              <w:rPr>
                <w:rFonts w:hint="eastAsia" w:ascii="Times New Roman" w:hAnsi="Times New Roman"/>
              </w:rPr>
              <w:t>（</w:t>
            </w:r>
            <w:r>
              <w:rPr>
                <w:rFonts w:ascii="Times New Roman" w:hAnsi="Times New Roman"/>
              </w:rPr>
              <w:t>HJ610-2016</w:t>
            </w:r>
            <w:r>
              <w:rPr>
                <w:rFonts w:hint="eastAsia" w:ascii="Times New Roman" w:hAnsi="Times New Roman"/>
              </w:rPr>
              <w:t>）</w:t>
            </w:r>
            <w:r>
              <w:rPr>
                <w:rFonts w:ascii="Times New Roman" w:hAnsi="Times New Roman"/>
              </w:rPr>
              <w:t>和《石油化工工程防渗技术规范》</w:t>
            </w:r>
            <w:r>
              <w:rPr>
                <w:rFonts w:hint="eastAsia" w:ascii="Times New Roman" w:hAnsi="Times New Roman"/>
              </w:rPr>
              <w:t>（</w:t>
            </w:r>
            <w:r>
              <w:rPr>
                <w:rFonts w:ascii="Times New Roman" w:hAnsi="Times New Roman"/>
              </w:rPr>
              <w:t>GB/T50934-2013</w:t>
            </w:r>
            <w:r>
              <w:rPr>
                <w:rFonts w:hint="eastAsia" w:ascii="Times New Roman" w:hAnsi="Times New Roman"/>
              </w:rPr>
              <w:t>）</w:t>
            </w:r>
            <w:r>
              <w:rPr>
                <w:rFonts w:ascii="Times New Roman" w:hAnsi="Times New Roman"/>
              </w:rPr>
              <w:t>的相关要求，将井场进行分区防渗，主要分为重点防渗区、一般防渗区和简单防渗区。</w:t>
            </w:r>
          </w:p>
          <w:p w14:paraId="28D1F914">
            <w:pPr>
              <w:pStyle w:val="74"/>
              <w:spacing w:line="360" w:lineRule="auto"/>
              <w:ind w:firstLine="480"/>
              <w:rPr>
                <w:rFonts w:ascii="Times New Roman" w:hAnsi="Times New Roman"/>
                <w:bCs/>
                <w:szCs w:val="24"/>
              </w:rPr>
            </w:pPr>
            <w:r>
              <w:rPr>
                <w:rFonts w:hint="eastAsia" w:ascii="Times New Roman" w:hAnsi="Times New Roman"/>
                <w:bCs/>
                <w:szCs w:val="24"/>
              </w:rPr>
              <w:t>1）</w:t>
            </w:r>
            <w:r>
              <w:rPr>
                <w:rFonts w:ascii="Times New Roman" w:hAnsi="Times New Roman"/>
                <w:bCs/>
                <w:szCs w:val="24"/>
              </w:rPr>
              <w:t>重点防渗区</w:t>
            </w:r>
          </w:p>
          <w:p w14:paraId="12028849">
            <w:pPr>
              <w:pStyle w:val="74"/>
              <w:spacing w:line="360" w:lineRule="auto"/>
              <w:ind w:firstLine="480"/>
              <w:rPr>
                <w:rFonts w:ascii="Times New Roman" w:hAnsi="Times New Roman"/>
                <w:bCs/>
                <w:szCs w:val="24"/>
              </w:rPr>
            </w:pPr>
            <w:r>
              <w:t>钻井平台、泥浆不落地循环系统装置区、柴油罐区</w:t>
            </w:r>
            <w:r>
              <w:rPr>
                <w:rFonts w:hint="eastAsia"/>
              </w:rPr>
              <w:t>、撬装式危废贮存点、储液罐</w:t>
            </w:r>
            <w:r>
              <w:t>等为重点防渗区</w:t>
            </w:r>
            <w:r>
              <w:rPr>
                <w:rFonts w:hint="eastAsia"/>
              </w:rPr>
              <w:t>。</w:t>
            </w:r>
            <w:r>
              <w:rPr>
                <w:rFonts w:ascii="Times New Roman" w:hAnsi="Times New Roman"/>
              </w:rPr>
              <w:t>重点防渗区四周加设高度为20cm的围堰，铺设双层2mm厚高密度聚乙烯防渗膜（覆盖围堰并外延0.5m以上），等效黏土防渗层Mb≥6.0m，K≤1×10</w:t>
            </w:r>
            <w:r>
              <w:rPr>
                <w:rFonts w:ascii="Times New Roman" w:hAnsi="Times New Roman"/>
                <w:vertAlign w:val="superscript"/>
              </w:rPr>
              <w:t>-</w:t>
            </w:r>
            <w:r>
              <w:rPr>
                <w:rFonts w:hint="eastAsia" w:ascii="Times New Roman" w:hAnsi="Times New Roman"/>
                <w:vertAlign w:val="superscript"/>
              </w:rPr>
              <w:t>7</w:t>
            </w:r>
            <w:r>
              <w:rPr>
                <w:rFonts w:ascii="Times New Roman" w:hAnsi="Times New Roman"/>
              </w:rPr>
              <w:t>cm/s</w:t>
            </w:r>
            <w:r>
              <w:rPr>
                <w:rFonts w:ascii="Times New Roman" w:hAnsi="Times New Roman"/>
                <w:szCs w:val="24"/>
              </w:rPr>
              <w:t>。</w:t>
            </w:r>
          </w:p>
          <w:p w14:paraId="3889D933">
            <w:pPr>
              <w:pStyle w:val="74"/>
              <w:spacing w:line="360" w:lineRule="auto"/>
              <w:ind w:firstLine="480"/>
              <w:rPr>
                <w:rFonts w:ascii="Times New Roman" w:hAnsi="Times New Roman"/>
                <w:bCs/>
                <w:szCs w:val="24"/>
              </w:rPr>
            </w:pPr>
            <w:r>
              <w:rPr>
                <w:rFonts w:hint="eastAsia" w:ascii="Times New Roman" w:hAnsi="Times New Roman"/>
                <w:bCs/>
                <w:szCs w:val="24"/>
              </w:rPr>
              <w:t>2）</w:t>
            </w:r>
            <w:r>
              <w:rPr>
                <w:rFonts w:ascii="Times New Roman" w:hAnsi="Times New Roman"/>
                <w:bCs/>
                <w:szCs w:val="24"/>
              </w:rPr>
              <w:t>一般防渗区</w:t>
            </w:r>
          </w:p>
          <w:p w14:paraId="69100947">
            <w:pPr>
              <w:pStyle w:val="74"/>
              <w:spacing w:line="360" w:lineRule="auto"/>
              <w:ind w:firstLine="480"/>
              <w:rPr>
                <w:rFonts w:ascii="Times New Roman" w:hAnsi="Times New Roman"/>
                <w:szCs w:val="24"/>
              </w:rPr>
            </w:pPr>
            <w:r>
              <w:rPr>
                <w:rFonts w:ascii="Times New Roman" w:hAnsi="Times New Roman"/>
                <w:szCs w:val="24"/>
              </w:rPr>
              <w:t>原材料堆存区、可移动废水罐、移动环保厕所等为一般防渗区。原材料堆存区、可移动废水罐等四周加设高度为20cm的围堰，铺设双层1.5mm厚高密度聚乙烯防渗膜（覆盖围堰并外延0.5m以上），移动环保厕所为一体化结构，整体防渗密封，等效黏土防渗层Mb≥1.5m，K≤1×10</w:t>
            </w:r>
            <w:r>
              <w:rPr>
                <w:rFonts w:ascii="Times New Roman" w:hAnsi="Times New Roman"/>
                <w:szCs w:val="24"/>
                <w:vertAlign w:val="superscript"/>
              </w:rPr>
              <w:t>-7</w:t>
            </w:r>
            <w:r>
              <w:rPr>
                <w:rFonts w:ascii="Times New Roman" w:hAnsi="Times New Roman"/>
                <w:szCs w:val="24"/>
              </w:rPr>
              <w:t>cm/s。</w:t>
            </w:r>
          </w:p>
          <w:p w14:paraId="52EDA2C7">
            <w:pPr>
              <w:pStyle w:val="74"/>
              <w:spacing w:line="360" w:lineRule="auto"/>
              <w:ind w:firstLine="480"/>
              <w:rPr>
                <w:rFonts w:ascii="Times New Roman" w:hAnsi="Times New Roman"/>
                <w:bCs/>
                <w:szCs w:val="24"/>
              </w:rPr>
            </w:pPr>
            <w:r>
              <w:rPr>
                <w:rFonts w:hint="eastAsia" w:ascii="Times New Roman" w:hAnsi="Times New Roman"/>
                <w:bCs/>
                <w:szCs w:val="24"/>
              </w:rPr>
              <w:t>3）</w:t>
            </w:r>
            <w:r>
              <w:rPr>
                <w:rFonts w:ascii="Times New Roman" w:hAnsi="Times New Roman"/>
                <w:bCs/>
                <w:szCs w:val="24"/>
              </w:rPr>
              <w:t>简易防渗区</w:t>
            </w:r>
          </w:p>
          <w:p w14:paraId="3B46AAFF">
            <w:pPr>
              <w:pStyle w:val="74"/>
              <w:spacing w:line="360" w:lineRule="auto"/>
              <w:ind w:firstLine="480"/>
              <w:rPr>
                <w:rFonts w:ascii="Times New Roman" w:hAnsi="Times New Roman"/>
                <w:szCs w:val="24"/>
              </w:rPr>
            </w:pPr>
            <w:r>
              <w:rPr>
                <w:rFonts w:ascii="Times New Roman" w:hAnsi="Times New Roman"/>
                <w:szCs w:val="24"/>
              </w:rPr>
              <w:t>办公室、值班室、机房等采用</w:t>
            </w:r>
            <w:r>
              <w:rPr>
                <w:rFonts w:hint="eastAsia" w:ascii="Times New Roman" w:hAnsi="Times New Roman"/>
                <w:szCs w:val="24"/>
              </w:rPr>
              <w:t>压实</w:t>
            </w:r>
            <w:r>
              <w:rPr>
                <w:rFonts w:ascii="Times New Roman" w:hAnsi="Times New Roman"/>
                <w:szCs w:val="24"/>
              </w:rPr>
              <w:t>方式进行防渗。</w:t>
            </w:r>
          </w:p>
          <w:p w14:paraId="30C3F879">
            <w:pPr>
              <w:pStyle w:val="74"/>
              <w:spacing w:line="360" w:lineRule="auto"/>
              <w:ind w:firstLine="480"/>
              <w:rPr>
                <w:rFonts w:ascii="Times New Roman" w:hAnsi="Times New Roman"/>
                <w:szCs w:val="24"/>
              </w:rPr>
            </w:pPr>
            <w:r>
              <w:rPr>
                <w:rFonts w:hint="eastAsia" w:ascii="Times New Roman" w:hAnsi="Times New Roman"/>
                <w:szCs w:val="24"/>
              </w:rPr>
              <w:t>项目</w:t>
            </w:r>
            <w:r>
              <w:rPr>
                <w:rFonts w:ascii="Times New Roman" w:hAnsi="Times New Roman"/>
                <w:szCs w:val="24"/>
              </w:rPr>
              <w:t>所选用的防渗材料近年来在中国石油多家油田公司广泛应用，采用优质原材料生产，可广泛应用于废料场、酸碱及含油废水的污水处理池、危险固体废物处理与处置场、石化储油罐防渗、化学反应池的防渗，防酸碱腐蚀，具有良好的抗老化性能、抗撕裂性能，强度纵横向拉力、抗穿刺性、环保性能指标均达到国家标准，耐高温和耐低温性能突出，适用温度范围-70℃~80℃。采用其铺设的防渗层可以满足1.0×10</w:t>
            </w:r>
            <w:r>
              <w:rPr>
                <w:rFonts w:ascii="Times New Roman" w:hAnsi="Times New Roman"/>
                <w:szCs w:val="24"/>
                <w:vertAlign w:val="superscript"/>
              </w:rPr>
              <w:t>-10</w:t>
            </w:r>
            <w:r>
              <w:rPr>
                <w:rFonts w:ascii="Times New Roman" w:hAnsi="Times New Roman"/>
                <w:szCs w:val="24"/>
              </w:rPr>
              <w:t>cm/s的防渗性能，能够有效防止污染物下渗，避免对地下水环境的影响。</w:t>
            </w:r>
          </w:p>
          <w:p w14:paraId="1DAF5AD9">
            <w:pPr>
              <w:spacing w:line="360" w:lineRule="auto"/>
              <w:ind w:firstLine="482" w:firstLineChars="200"/>
              <w:rPr>
                <w:b/>
                <w:sz w:val="24"/>
                <w:szCs w:val="32"/>
              </w:rPr>
            </w:pPr>
            <w:r>
              <w:rPr>
                <w:rFonts w:hint="eastAsia"/>
                <w:b/>
                <w:sz w:val="24"/>
                <w:szCs w:val="32"/>
              </w:rPr>
              <w:t>六</w:t>
            </w:r>
            <w:r>
              <w:rPr>
                <w:b/>
                <w:sz w:val="24"/>
                <w:szCs w:val="32"/>
              </w:rPr>
              <w:t>、生态保护措施</w:t>
            </w:r>
          </w:p>
          <w:p w14:paraId="230CA12F">
            <w:pPr>
              <w:spacing w:line="360" w:lineRule="auto"/>
              <w:ind w:firstLine="480" w:firstLineChars="200"/>
              <w:rPr>
                <w:sz w:val="24"/>
                <w:szCs w:val="32"/>
              </w:rPr>
            </w:pPr>
            <w:r>
              <w:rPr>
                <w:rFonts w:hint="eastAsia"/>
                <w:sz w:val="24"/>
                <w:szCs w:val="32"/>
              </w:rPr>
              <w:t>项目勘探结束后及时进行临时设施占地的清理和恢复工作，所有垃圾、固废按照环评要求清理，对受到施工车辆、机械破坏的其他地方给予及时的修整，将所有临时占地进行清理和平整。</w:t>
            </w:r>
          </w:p>
          <w:p w14:paraId="7FB247E4">
            <w:pPr>
              <w:spacing w:line="360" w:lineRule="auto"/>
              <w:ind w:firstLine="480" w:firstLineChars="200"/>
              <w:rPr>
                <w:sz w:val="24"/>
                <w:szCs w:val="32"/>
              </w:rPr>
            </w:pPr>
            <w:r>
              <w:rPr>
                <w:sz w:val="24"/>
                <w:szCs w:val="32"/>
              </w:rPr>
              <w:t>项目所在区域由于油田</w:t>
            </w:r>
            <w:r>
              <w:rPr>
                <w:rFonts w:hint="eastAsia"/>
                <w:sz w:val="24"/>
                <w:szCs w:val="32"/>
              </w:rPr>
              <w:t>勘探工作</w:t>
            </w:r>
            <w:r>
              <w:rPr>
                <w:sz w:val="24"/>
                <w:szCs w:val="32"/>
              </w:rPr>
              <w:t>的干扰将出现自发的退化演替，一般要3</w:t>
            </w:r>
            <w:r>
              <w:rPr>
                <w:rFonts w:hint="eastAsia"/>
                <w:sz w:val="24"/>
                <w:szCs w:val="32"/>
              </w:rPr>
              <w:t>~</w:t>
            </w:r>
            <w:r>
              <w:rPr>
                <w:sz w:val="24"/>
                <w:szCs w:val="32"/>
              </w:rPr>
              <w:t>4年以后才可恢复到</w:t>
            </w:r>
            <w:r>
              <w:rPr>
                <w:rFonts w:hint="eastAsia"/>
                <w:sz w:val="24"/>
                <w:szCs w:val="32"/>
              </w:rPr>
              <w:t>勘探</w:t>
            </w:r>
            <w:r>
              <w:rPr>
                <w:sz w:val="24"/>
                <w:szCs w:val="32"/>
              </w:rPr>
              <w:t>前的情况，应采取以下生态保护与恢复措施：</w:t>
            </w:r>
          </w:p>
          <w:p w14:paraId="5FD48E98">
            <w:pPr>
              <w:spacing w:line="360" w:lineRule="auto"/>
              <w:ind w:firstLine="470" w:firstLineChars="196"/>
              <w:outlineLvl w:val="0"/>
              <w:rPr>
                <w:sz w:val="24"/>
              </w:rPr>
            </w:pPr>
            <w:bookmarkStart w:id="19" w:name="_Toc214007558"/>
            <w:bookmarkStart w:id="20" w:name="_Toc103325988"/>
            <w:r>
              <w:rPr>
                <w:rFonts w:hint="eastAsia"/>
                <w:sz w:val="24"/>
              </w:rPr>
              <w:t>1、</w:t>
            </w:r>
            <w:r>
              <w:rPr>
                <w:sz w:val="24"/>
              </w:rPr>
              <w:t>植被保护措施</w:t>
            </w:r>
          </w:p>
          <w:p w14:paraId="37E5AA04">
            <w:pPr>
              <w:spacing w:line="360" w:lineRule="auto"/>
              <w:ind w:firstLine="480" w:firstLineChars="200"/>
              <w:rPr>
                <w:sz w:val="24"/>
              </w:rPr>
            </w:pPr>
            <w:r>
              <w:rPr>
                <w:sz w:val="24"/>
              </w:rPr>
              <w:t>植物保护的一般原则为：首先应尽量保存施工区的熟化土，对于临时用地占用部分的表层土予以收集保存，施工结束后及时清理、松土、覆盖收集的表层土，选择当地适宜植物及时复垦。针对项目区域内植物资源分布的特点，提出如下保护措施：</w:t>
            </w:r>
          </w:p>
          <w:p w14:paraId="079069D4">
            <w:pPr>
              <w:spacing w:line="360" w:lineRule="auto"/>
              <w:ind w:firstLine="480" w:firstLineChars="200"/>
              <w:rPr>
                <w:sz w:val="24"/>
              </w:rPr>
            </w:pPr>
            <w:r>
              <w:rPr>
                <w:rFonts w:hint="eastAsia"/>
                <w:sz w:val="24"/>
              </w:rPr>
              <w:t>（1）项目勘探施工作业等应避开荒漠草原植被生长季（如春季返青期、秋季种子成熟期）及动物繁殖期。</w:t>
            </w:r>
          </w:p>
          <w:p w14:paraId="04B20786">
            <w:pPr>
              <w:spacing w:line="360" w:lineRule="auto"/>
              <w:ind w:firstLine="480" w:firstLineChars="200"/>
              <w:rPr>
                <w:sz w:val="24"/>
              </w:rPr>
            </w:pPr>
            <w:r>
              <w:rPr>
                <w:rFonts w:hint="eastAsia"/>
                <w:sz w:val="24"/>
              </w:rPr>
              <w:t>（2）剥离施工区表层土壤（富含种子库和有机质），单独存放并覆盖密目网，用于后期生态恢复。</w:t>
            </w:r>
          </w:p>
          <w:p w14:paraId="4BF6A889">
            <w:pPr>
              <w:spacing w:line="360" w:lineRule="auto"/>
              <w:ind w:firstLine="480" w:firstLineChars="200"/>
              <w:rPr>
                <w:sz w:val="24"/>
              </w:rPr>
            </w:pPr>
            <w:r>
              <w:rPr>
                <w:sz w:val="24"/>
              </w:rPr>
              <w:t>（</w:t>
            </w:r>
            <w:r>
              <w:rPr>
                <w:rFonts w:hint="eastAsia"/>
                <w:sz w:val="24"/>
              </w:rPr>
              <w:t>3</w:t>
            </w:r>
            <w:r>
              <w:rPr>
                <w:sz w:val="24"/>
              </w:rPr>
              <w:t>）项目占地范围内包含梭梭、白刺重要物种。施工前首先采取避让措施，无法避让时对于占地范围内具备移栽条件、长势较好的梭梭、白刺进行移植或异地补种，确保保护植物生物量不减少。移植或补种保护地点应选择生态条件相似、人为干扰少的区域，移栽时建议带原土移栽，时间段应避开花果期，同时注意后期维护直至完全成活。</w:t>
            </w:r>
          </w:p>
          <w:p w14:paraId="2FF5F683">
            <w:pPr>
              <w:spacing w:line="360" w:lineRule="auto"/>
              <w:ind w:firstLine="480" w:firstLineChars="200"/>
              <w:rPr>
                <w:sz w:val="24"/>
              </w:rPr>
            </w:pPr>
            <w:r>
              <w:rPr>
                <w:sz w:val="24"/>
              </w:rPr>
              <w:t>（</w:t>
            </w:r>
            <w:r>
              <w:rPr>
                <w:rFonts w:hint="eastAsia"/>
                <w:sz w:val="24"/>
              </w:rPr>
              <w:t>4</w:t>
            </w:r>
            <w:r>
              <w:rPr>
                <w:sz w:val="24"/>
              </w:rPr>
              <w:t>）施工作业场内的临时建筑尽可能采用成品或简易拼装方式，尽量减轻对土壤及植被的破坏。尽量减少施工人员及施工机械对作业场外地的破坏；严格规定施工车辆的行驶便道，防止施工车辆在有植被的地段任意行驶。</w:t>
            </w:r>
          </w:p>
          <w:p w14:paraId="2CE777EE">
            <w:pPr>
              <w:spacing w:line="360" w:lineRule="auto"/>
              <w:ind w:firstLine="480" w:firstLineChars="200"/>
              <w:rPr>
                <w:sz w:val="24"/>
              </w:rPr>
            </w:pPr>
            <w:r>
              <w:rPr>
                <w:sz w:val="24"/>
              </w:rPr>
              <w:t>（</w:t>
            </w:r>
            <w:r>
              <w:rPr>
                <w:rFonts w:hint="eastAsia"/>
                <w:sz w:val="24"/>
              </w:rPr>
              <w:t>5</w:t>
            </w:r>
            <w:r>
              <w:rPr>
                <w:sz w:val="24"/>
              </w:rPr>
              <w:t>）施工作业区域不得随意扩大范围和破坏周围，工程结束后，立即对临时用地进行植被恢复。植被恢复具体措施如下：</w:t>
            </w:r>
          </w:p>
          <w:p w14:paraId="4BC15A7A">
            <w:pPr>
              <w:pStyle w:val="171"/>
              <w:spacing w:line="360" w:lineRule="auto"/>
              <w:ind w:firstLine="480" w:firstLineChars="200"/>
              <w:jc w:val="both"/>
              <w:rPr>
                <w:rFonts w:ascii="Times New Roman" w:hAnsi="Times New Roman"/>
                <w:color w:val="auto"/>
              </w:rPr>
            </w:pPr>
            <w:r>
              <w:rPr>
                <w:rFonts w:ascii="Times New Roman" w:hAnsi="Times New Roman"/>
                <w:color w:val="auto"/>
              </w:rPr>
              <w:t>草种选择是临时占用草原植被恢复成败的关键因素之一，植被物种类选择应根据植被恢复的目标和当地气候、土壤、地形等自然条件，选择适应能力强、抗旱、抗贫瘠的植物种，如选择具有固氮能力强，根系发达，耐瘠薄，播种栽种容易等特征的植物。根据项目所在区域条件情况及原有植被状况，选择梭梭、白刺等植物种进行播种。</w:t>
            </w:r>
          </w:p>
          <w:p w14:paraId="3EC7A706">
            <w:pPr>
              <w:pStyle w:val="171"/>
              <w:spacing w:line="360" w:lineRule="auto"/>
              <w:ind w:firstLine="480" w:firstLineChars="200"/>
              <w:jc w:val="both"/>
              <w:rPr>
                <w:rFonts w:ascii="Times New Roman" w:hAnsi="Times New Roman"/>
                <w:color w:val="auto"/>
              </w:rPr>
            </w:pPr>
            <w:r>
              <w:rPr>
                <w:rFonts w:ascii="Times New Roman" w:hAnsi="Times New Roman"/>
                <w:color w:val="auto"/>
              </w:rPr>
              <w:t>项目临时用地范围内采用混播方式种植</w:t>
            </w:r>
            <w:r>
              <w:rPr>
                <w:rFonts w:hint="eastAsia" w:ascii="Times New Roman" w:hAnsi="Times New Roman"/>
                <w:color w:val="auto"/>
              </w:rPr>
              <w:t>，</w:t>
            </w:r>
            <w:r>
              <w:rPr>
                <w:rFonts w:ascii="Times New Roman" w:hAnsi="Times New Roman"/>
                <w:color w:val="auto"/>
              </w:rPr>
              <w:t>播期应安排在雨季前后播种，若雨季提前可六月下旬开始播种，雨季推迟则七月中旬开始播种，过迟对植被越冬保苗不利。对植被稀疏的地方应在第二年雨季来临前完成补种作业</w:t>
            </w:r>
            <w:r>
              <w:rPr>
                <w:rFonts w:hint="eastAsia"/>
                <w:color w:val="auto"/>
              </w:rPr>
              <w:t>，</w:t>
            </w:r>
            <w:r>
              <w:rPr>
                <w:rFonts w:ascii="Times New Roman" w:hAnsi="Times New Roman"/>
                <w:color w:val="auto"/>
              </w:rPr>
              <w:t>刚补种幼苗柔弱，根系浅，应加强管理。</w:t>
            </w:r>
          </w:p>
          <w:p w14:paraId="180F1E91">
            <w:pPr>
              <w:spacing w:line="360" w:lineRule="auto"/>
              <w:ind w:firstLine="480" w:firstLineChars="200"/>
              <w:rPr>
                <w:sz w:val="24"/>
              </w:rPr>
            </w:pPr>
            <w:r>
              <w:rPr>
                <w:sz w:val="24"/>
              </w:rPr>
              <w:t>（</w:t>
            </w:r>
            <w:r>
              <w:rPr>
                <w:rFonts w:hint="eastAsia"/>
                <w:sz w:val="24"/>
              </w:rPr>
              <w:t>6</w:t>
            </w:r>
            <w:r>
              <w:rPr>
                <w:sz w:val="24"/>
              </w:rPr>
              <w:t>）</w:t>
            </w:r>
            <w:r>
              <w:rPr>
                <w:rFonts w:hint="eastAsia"/>
                <w:sz w:val="24"/>
              </w:rPr>
              <w:t>加强施工人员的环保意识，不随意破坏草地；推行划区轮牧、禁牧期制度，避免过度放牧干扰恢复区</w:t>
            </w:r>
            <w:r>
              <w:rPr>
                <w:sz w:val="24"/>
              </w:rPr>
              <w:t>。</w:t>
            </w:r>
          </w:p>
          <w:p w14:paraId="01A1581F">
            <w:pPr>
              <w:spacing w:line="360" w:lineRule="auto"/>
              <w:ind w:firstLine="480" w:firstLineChars="200"/>
              <w:rPr>
                <w:sz w:val="24"/>
              </w:rPr>
            </w:pPr>
            <w:r>
              <w:rPr>
                <w:rFonts w:hint="eastAsia"/>
                <w:sz w:val="24"/>
              </w:rPr>
              <w:t>2、野生</w:t>
            </w:r>
            <w:r>
              <w:rPr>
                <w:sz w:val="24"/>
              </w:rPr>
              <w:t>动物保护措施</w:t>
            </w:r>
          </w:p>
          <w:p w14:paraId="5789CE0A">
            <w:pPr>
              <w:spacing w:line="360" w:lineRule="auto"/>
              <w:ind w:firstLine="480" w:firstLineChars="200"/>
              <w:rPr>
                <w:sz w:val="24"/>
              </w:rPr>
            </w:pPr>
            <w:r>
              <w:rPr>
                <w:sz w:val="24"/>
              </w:rPr>
              <w:t>项目对野生动物的影响主要为施工过程占用其生境、施工活动对其栖息和活动造成干扰影响，采取的保护措施如下：</w:t>
            </w:r>
          </w:p>
          <w:p w14:paraId="5BC79A91">
            <w:pPr>
              <w:spacing w:line="360" w:lineRule="auto"/>
              <w:ind w:firstLine="480" w:firstLineChars="200"/>
              <w:rPr>
                <w:sz w:val="24"/>
              </w:rPr>
            </w:pPr>
            <w:r>
              <w:rPr>
                <w:sz w:val="24"/>
              </w:rPr>
              <w:t>（1）合理布置施工场地，减少工程占地和对植被的破坏，从而间接保护动物栖息地；合理安排施工时序，避开动物的关键繁殖期、育雏期、越冬期；</w:t>
            </w:r>
          </w:p>
          <w:p w14:paraId="448EC2FF">
            <w:pPr>
              <w:spacing w:line="360" w:lineRule="auto"/>
              <w:ind w:firstLine="480" w:firstLineChars="200"/>
              <w:rPr>
                <w:sz w:val="24"/>
              </w:rPr>
            </w:pPr>
            <w:r>
              <w:rPr>
                <w:sz w:val="24"/>
              </w:rPr>
              <w:t>（2）在施工前，对施工区域的动物进行温和、无害的驱赶，如通过人工发出声响、播放天敌叫声等方式，引导其安全迁移至邻近适宜生境；</w:t>
            </w:r>
          </w:p>
          <w:p w14:paraId="50685A84">
            <w:pPr>
              <w:spacing w:line="360" w:lineRule="auto"/>
              <w:ind w:firstLine="480" w:firstLineChars="200"/>
              <w:rPr>
                <w:sz w:val="24"/>
              </w:rPr>
            </w:pPr>
            <w:r>
              <w:rPr>
                <w:sz w:val="24"/>
              </w:rPr>
              <w:t>（3）施工场界设置围栏，明确施工边界，严禁人员和设备越界施工；</w:t>
            </w:r>
          </w:p>
          <w:p w14:paraId="27C93459">
            <w:pPr>
              <w:spacing w:line="360" w:lineRule="auto"/>
              <w:ind w:firstLine="480" w:firstLineChars="200"/>
              <w:rPr>
                <w:sz w:val="24"/>
              </w:rPr>
            </w:pPr>
            <w:r>
              <w:rPr>
                <w:sz w:val="24"/>
              </w:rPr>
              <w:t>（4）合理设计夜间施工照明，避免灯光直射动物栖息地，减少对夜行性动物的干扰；</w:t>
            </w:r>
          </w:p>
          <w:p w14:paraId="0534489F">
            <w:pPr>
              <w:spacing w:line="360" w:lineRule="auto"/>
              <w:ind w:firstLine="480" w:firstLineChars="200"/>
              <w:rPr>
                <w:sz w:val="24"/>
              </w:rPr>
            </w:pPr>
            <w:r>
              <w:rPr>
                <w:sz w:val="24"/>
              </w:rPr>
              <w:t>（5）施工单位应对施工人员开展增强野生动物保护意识的宣传工作，杜绝施工人员猎捕施工场地附近的鸟类、鼠类等；</w:t>
            </w:r>
          </w:p>
          <w:p w14:paraId="5B3C1B1E">
            <w:pPr>
              <w:spacing w:line="360" w:lineRule="auto"/>
              <w:ind w:firstLine="480" w:firstLineChars="200"/>
              <w:rPr>
                <w:sz w:val="24"/>
              </w:rPr>
            </w:pPr>
            <w:r>
              <w:rPr>
                <w:sz w:val="24"/>
              </w:rPr>
              <w:t>（6）在施工场地设置警示牌，提醒施工人员保护野生动物。</w:t>
            </w:r>
          </w:p>
          <w:p w14:paraId="22064CE9">
            <w:pPr>
              <w:spacing w:line="360" w:lineRule="auto"/>
              <w:ind w:firstLine="480" w:firstLineChars="200"/>
              <w:rPr>
                <w:sz w:val="24"/>
              </w:rPr>
            </w:pPr>
            <w:r>
              <w:rPr>
                <w:sz w:val="24"/>
              </w:rPr>
              <w:t>（7）施工结束后，立即对临时用地进行生态修复，种植本地乡土植物，恢复植被群落，逐步恢复其生态功能。</w:t>
            </w:r>
          </w:p>
          <w:p w14:paraId="18DF7A81">
            <w:pPr>
              <w:spacing w:line="360" w:lineRule="auto"/>
              <w:ind w:firstLine="470" w:firstLineChars="196"/>
              <w:outlineLvl w:val="0"/>
              <w:rPr>
                <w:sz w:val="24"/>
              </w:rPr>
            </w:pPr>
            <w:r>
              <w:rPr>
                <w:rFonts w:hint="eastAsia"/>
                <w:sz w:val="24"/>
              </w:rPr>
              <w:t>3、</w:t>
            </w:r>
            <w:r>
              <w:rPr>
                <w:sz w:val="24"/>
              </w:rPr>
              <w:t>土地利用保护措施</w:t>
            </w:r>
            <w:bookmarkEnd w:id="19"/>
            <w:bookmarkEnd w:id="20"/>
          </w:p>
          <w:p w14:paraId="7867D918">
            <w:pPr>
              <w:spacing w:line="360" w:lineRule="auto"/>
              <w:ind w:firstLine="480" w:firstLineChars="200"/>
              <w:rPr>
                <w:sz w:val="24"/>
              </w:rPr>
            </w:pPr>
            <w:r>
              <w:rPr>
                <w:sz w:val="24"/>
              </w:rPr>
              <w:t>（1）对临时用地合理规划，严格控制施工作业区范围，以减少土壤扰动和地表植被破坏，减少裸地和土方暴露面积。</w:t>
            </w:r>
          </w:p>
          <w:p w14:paraId="64C07CAF">
            <w:pPr>
              <w:spacing w:line="360" w:lineRule="auto"/>
              <w:ind w:firstLine="480" w:firstLineChars="200"/>
              <w:rPr>
                <w:sz w:val="24"/>
              </w:rPr>
            </w:pPr>
            <w:r>
              <w:rPr>
                <w:sz w:val="24"/>
              </w:rPr>
              <w:t>（2）施工过程中产生的废弃泥浆、岩屑</w:t>
            </w:r>
            <w:r>
              <w:rPr>
                <w:sz w:val="24"/>
                <w:szCs w:val="21"/>
              </w:rPr>
              <w:t>收集至泥浆不落地循环系统装置旁的可移动废水罐临时贮存，定期</w:t>
            </w:r>
            <w:r>
              <w:rPr>
                <w:sz w:val="24"/>
              </w:rPr>
              <w:t>拉运至</w:t>
            </w:r>
            <w:r>
              <w:rPr>
                <w:rFonts w:hint="eastAsia"/>
                <w:sz w:val="24"/>
              </w:rPr>
              <w:t>内蒙古众宁环保科技有限公司油气田废弃物集中处理厂处理</w:t>
            </w:r>
            <w:r>
              <w:rPr>
                <w:sz w:val="24"/>
              </w:rPr>
              <w:t>，不得随意堆放、丢弃，以减少对土壤的影响。</w:t>
            </w:r>
          </w:p>
          <w:p w14:paraId="5C6C59D8">
            <w:pPr>
              <w:spacing w:line="360" w:lineRule="auto"/>
              <w:ind w:firstLine="480" w:firstLineChars="200"/>
              <w:rPr>
                <w:sz w:val="24"/>
              </w:rPr>
            </w:pPr>
            <w:r>
              <w:rPr>
                <w:sz w:val="24"/>
              </w:rPr>
              <w:t>（3）加强对非正常工况下落地油的回收、处理，井场采取分区防渗措施并设置临时围堰。</w:t>
            </w:r>
          </w:p>
          <w:p w14:paraId="26BD0C6A">
            <w:pPr>
              <w:spacing w:line="360" w:lineRule="auto"/>
              <w:ind w:firstLine="480" w:firstLineChars="200"/>
              <w:rPr>
                <w:sz w:val="24"/>
              </w:rPr>
            </w:pPr>
            <w:r>
              <w:rPr>
                <w:sz w:val="24"/>
              </w:rPr>
              <w:t>（4）勘探施工前将表层土壤剥离，在井场临时用地范围内设置表土堆存区。为了防止水力与风力的侵蚀，用</w:t>
            </w:r>
            <w:r>
              <w:rPr>
                <w:rFonts w:hint="eastAsia"/>
                <w:sz w:val="24"/>
              </w:rPr>
              <w:t>密目网</w:t>
            </w:r>
            <w:r>
              <w:rPr>
                <w:sz w:val="24"/>
              </w:rPr>
              <w:t>遮盖。施工结束后将剥离的表层土壤铺在最上层，尽可能降低对土壤养分的影响，最快使土壤得以恢复，同时减少水土流失。</w:t>
            </w:r>
          </w:p>
          <w:p w14:paraId="07887F8A">
            <w:pPr>
              <w:spacing w:line="360" w:lineRule="auto"/>
              <w:ind w:firstLine="470" w:firstLineChars="196"/>
              <w:outlineLvl w:val="0"/>
              <w:rPr>
                <w:sz w:val="24"/>
              </w:rPr>
            </w:pPr>
            <w:r>
              <w:rPr>
                <w:sz w:val="24"/>
              </w:rPr>
              <w:t>（5）现场施工作业机械应严格管理，划定活动范围，不得在道路、井场以外的地方行驶和作业，保持征地区域以外的植被不被破坏。</w:t>
            </w:r>
            <w:bookmarkStart w:id="21" w:name="_Toc103325991"/>
            <w:bookmarkStart w:id="22" w:name="_Toc214007559"/>
            <w:bookmarkStart w:id="23" w:name="_Toc103325989"/>
            <w:bookmarkStart w:id="24" w:name="_Toc214007562"/>
          </w:p>
          <w:p w14:paraId="40844ADC">
            <w:pPr>
              <w:spacing w:line="360" w:lineRule="auto"/>
              <w:ind w:firstLine="470" w:firstLineChars="196"/>
              <w:outlineLvl w:val="0"/>
              <w:rPr>
                <w:sz w:val="24"/>
              </w:rPr>
            </w:pPr>
            <w:r>
              <w:rPr>
                <w:sz w:val="24"/>
              </w:rPr>
              <w:t>（</w:t>
            </w:r>
            <w:r>
              <w:rPr>
                <w:rFonts w:hint="eastAsia"/>
                <w:sz w:val="24"/>
              </w:rPr>
              <w:t>6</w:t>
            </w:r>
            <w:r>
              <w:rPr>
                <w:sz w:val="24"/>
              </w:rPr>
              <w:t>）</w:t>
            </w:r>
            <w:r>
              <w:rPr>
                <w:rFonts w:hint="eastAsia"/>
                <w:sz w:val="24"/>
              </w:rPr>
              <w:t>施工作业利用原有乡村道路，沿已有车辙行驶，杜绝车辆乱碾乱压的情况发生，不随意开设便道。</w:t>
            </w:r>
          </w:p>
          <w:bookmarkEnd w:id="21"/>
          <w:bookmarkEnd w:id="22"/>
          <w:bookmarkEnd w:id="23"/>
          <w:bookmarkEnd w:id="24"/>
          <w:p w14:paraId="2F8C4CD2">
            <w:pPr>
              <w:spacing w:line="360" w:lineRule="auto"/>
              <w:ind w:firstLine="480" w:firstLineChars="200"/>
              <w:rPr>
                <w:sz w:val="24"/>
              </w:rPr>
            </w:pPr>
            <w:bookmarkStart w:id="25" w:name="_Toc103325992"/>
            <w:bookmarkStart w:id="26" w:name="_Toc214007563"/>
            <w:r>
              <w:rPr>
                <w:rFonts w:hint="eastAsia"/>
                <w:sz w:val="24"/>
              </w:rPr>
              <w:t>4、水土流失防治措施</w:t>
            </w:r>
          </w:p>
          <w:p w14:paraId="6474EA4D">
            <w:pPr>
              <w:spacing w:line="360" w:lineRule="auto"/>
              <w:ind w:firstLine="480" w:firstLineChars="200"/>
              <w:rPr>
                <w:bCs/>
                <w:sz w:val="24"/>
              </w:rPr>
            </w:pPr>
            <w:r>
              <w:rPr>
                <w:rFonts w:hint="eastAsia"/>
                <w:bCs/>
                <w:sz w:val="24"/>
              </w:rPr>
              <w:t>（1）合理安排施工流程，缩短施工时间；严格控制和合理规划占地范围，减少对地表的扰动。</w:t>
            </w:r>
          </w:p>
          <w:p w14:paraId="4CC6310D">
            <w:pPr>
              <w:spacing w:line="360" w:lineRule="auto"/>
              <w:ind w:firstLine="480" w:firstLineChars="200"/>
              <w:rPr>
                <w:sz w:val="24"/>
              </w:rPr>
            </w:pPr>
            <w:r>
              <w:rPr>
                <w:rFonts w:hint="eastAsia"/>
                <w:bCs/>
                <w:sz w:val="24"/>
              </w:rPr>
              <w:t>（2）</w:t>
            </w:r>
            <w:r>
              <w:rPr>
                <w:rFonts w:hint="eastAsia"/>
                <w:sz w:val="24"/>
              </w:rPr>
              <w:t>施工前对表层土进行剥离并集中堆放于井场内的表土堆存区，表土堆存区采用密目网遮盖；大风季节应停止表土剥离等相关工作。</w:t>
            </w:r>
          </w:p>
          <w:p w14:paraId="4B3EB4C0">
            <w:pPr>
              <w:spacing w:line="360" w:lineRule="auto"/>
              <w:ind w:firstLine="480" w:firstLineChars="200"/>
              <w:rPr>
                <w:sz w:val="24"/>
              </w:rPr>
            </w:pPr>
            <w:r>
              <w:rPr>
                <w:rFonts w:hint="eastAsia"/>
                <w:sz w:val="24"/>
              </w:rPr>
              <w:t>（3）施工井场采取压实方式处理并定期洒水抑尘，定期检查井场周围水土流失情况。</w:t>
            </w:r>
          </w:p>
          <w:p w14:paraId="6FE5DA4F">
            <w:pPr>
              <w:spacing w:line="360" w:lineRule="auto"/>
              <w:ind w:firstLine="470" w:firstLineChars="196"/>
              <w:outlineLvl w:val="0"/>
              <w:rPr>
                <w:sz w:val="24"/>
              </w:rPr>
            </w:pPr>
            <w:r>
              <w:rPr>
                <w:sz w:val="24"/>
              </w:rPr>
              <w:t>（4）对施工人员进行防沙治沙培训教育，使施工人员知法、懂法、守法，自觉保护林草植被，自觉履行防治义务。</w:t>
            </w:r>
          </w:p>
          <w:p w14:paraId="027B3FA0">
            <w:pPr>
              <w:spacing w:line="360" w:lineRule="auto"/>
              <w:ind w:firstLine="470" w:firstLineChars="196"/>
              <w:outlineLvl w:val="0"/>
              <w:rPr>
                <w:sz w:val="24"/>
              </w:rPr>
            </w:pPr>
            <w:r>
              <w:rPr>
                <w:sz w:val="24"/>
              </w:rPr>
              <w:t>（5）生态修复前拆除施工设施设备等，确保无土壤及地下水环境污染遗留问题、废弃物均得到妥善处置。</w:t>
            </w:r>
          </w:p>
          <w:p w14:paraId="0F1BF431">
            <w:pPr>
              <w:spacing w:line="360" w:lineRule="auto"/>
              <w:ind w:firstLine="480" w:firstLineChars="200"/>
              <w:rPr>
                <w:sz w:val="24"/>
              </w:rPr>
            </w:pPr>
            <w:r>
              <w:rPr>
                <w:sz w:val="24"/>
              </w:rPr>
              <w:t>（6）</w:t>
            </w:r>
            <w:r>
              <w:rPr>
                <w:rFonts w:hint="eastAsia"/>
                <w:sz w:val="24"/>
              </w:rPr>
              <w:t>施工结束后按照复垦方案，对临时用地进行清理平整，</w:t>
            </w:r>
            <w:r>
              <w:rPr>
                <w:sz w:val="24"/>
              </w:rPr>
              <w:t>选择适应当地气候和土壤条件，适应性强、应用效能高的优良草品种进行植被恢复</w:t>
            </w:r>
            <w:r>
              <w:rPr>
                <w:rFonts w:hint="eastAsia"/>
                <w:sz w:val="24"/>
              </w:rPr>
              <w:t>。</w:t>
            </w:r>
            <w:r>
              <w:rPr>
                <w:sz w:val="24"/>
              </w:rPr>
              <w:t>加强巡护，定期开展后期监管，提高植被成活率，适时开展土壤施肥、培肥等土壤改良及补植、补播等措施，保证土壤肥力和植被覆盖度，确保区域生态环境质量不降低。</w:t>
            </w:r>
          </w:p>
          <w:p w14:paraId="50714D81">
            <w:pPr>
              <w:spacing w:line="360" w:lineRule="auto"/>
              <w:ind w:firstLine="470" w:firstLineChars="196"/>
              <w:outlineLvl w:val="0"/>
              <w:rPr>
                <w:sz w:val="24"/>
              </w:rPr>
            </w:pPr>
            <w:r>
              <w:rPr>
                <w:rFonts w:hint="eastAsia"/>
                <w:sz w:val="24"/>
              </w:rPr>
              <w:t>项目采取合理、有效的防治措施，可减少施工期水土流失量，</w:t>
            </w:r>
            <w:r>
              <w:rPr>
                <w:rFonts w:hint="eastAsia"/>
                <w:bCs/>
                <w:sz w:val="24"/>
              </w:rPr>
              <w:t>对水土流失重点治理区产生的影响较小。</w:t>
            </w:r>
          </w:p>
          <w:p w14:paraId="0AB1E18E">
            <w:pPr>
              <w:spacing w:line="360" w:lineRule="auto"/>
              <w:ind w:firstLine="470" w:firstLineChars="196"/>
              <w:outlineLvl w:val="0"/>
              <w:rPr>
                <w:sz w:val="24"/>
              </w:rPr>
            </w:pPr>
            <w:r>
              <w:rPr>
                <w:rFonts w:hint="eastAsia"/>
                <w:sz w:val="24"/>
              </w:rPr>
              <w:t>5、其他措施</w:t>
            </w:r>
          </w:p>
          <w:p w14:paraId="7882307F">
            <w:pPr>
              <w:spacing w:line="360" w:lineRule="auto"/>
              <w:ind w:firstLine="470" w:firstLineChars="196"/>
              <w:outlineLvl w:val="0"/>
              <w:rPr>
                <w:sz w:val="24"/>
              </w:rPr>
            </w:pPr>
            <w:r>
              <w:rPr>
                <w:rFonts w:hint="eastAsia"/>
                <w:sz w:val="24"/>
              </w:rPr>
              <w:t>（1）加强施工期环境管理，强化施工人员环保意识，规范施工行为。确保落实环评及环境保护主管部门提出的各项环保措施，并按要求定期向相关主管部门汇报和反馈工程环境保护的阶段性成果，对施工期的环境保护达标情况、生态保护措施落实情况和环保设施建设及运行情况实施全过程的记录、监督和管理。</w:t>
            </w:r>
          </w:p>
          <w:p w14:paraId="509924FF">
            <w:pPr>
              <w:spacing w:line="360" w:lineRule="auto"/>
              <w:ind w:firstLine="470" w:firstLineChars="196"/>
              <w:outlineLvl w:val="0"/>
              <w:rPr>
                <w:sz w:val="24"/>
              </w:rPr>
            </w:pPr>
            <w:r>
              <w:rPr>
                <w:rFonts w:hint="eastAsia"/>
                <w:sz w:val="24"/>
              </w:rPr>
              <w:t>（2）严格遵守操作规程，合理安排施工进度，提高项目施工效率，缩短施工时间，以减少裸地暴露时间。</w:t>
            </w:r>
          </w:p>
          <w:p w14:paraId="790CF077">
            <w:pPr>
              <w:spacing w:line="360" w:lineRule="auto"/>
              <w:ind w:firstLine="470" w:firstLineChars="196"/>
              <w:outlineLvl w:val="0"/>
              <w:rPr>
                <w:sz w:val="24"/>
              </w:rPr>
            </w:pPr>
            <w:r>
              <w:rPr>
                <w:rFonts w:hint="eastAsia"/>
                <w:sz w:val="24"/>
              </w:rPr>
              <w:t>6、生态恢复计划</w:t>
            </w:r>
            <w:bookmarkEnd w:id="25"/>
            <w:bookmarkEnd w:id="26"/>
          </w:p>
          <w:p w14:paraId="2C352792">
            <w:pPr>
              <w:spacing w:line="360" w:lineRule="auto"/>
              <w:ind w:firstLine="480" w:firstLineChars="200"/>
              <w:rPr>
                <w:sz w:val="24"/>
                <w:highlight w:val="yellow"/>
              </w:rPr>
            </w:pPr>
            <w:r>
              <w:rPr>
                <w:rFonts w:hint="eastAsia"/>
                <w:sz w:val="24"/>
              </w:rPr>
              <w:t>项目为临时用地，生物损失补偿措施为货币补偿和及时复垦。</w:t>
            </w:r>
            <w:r>
              <w:rPr>
                <w:sz w:val="24"/>
              </w:rPr>
              <w:t>土地复垦对象为施工破坏的土地，</w:t>
            </w:r>
            <w:r>
              <w:rPr>
                <w:rFonts w:hint="eastAsia"/>
                <w:sz w:val="24"/>
              </w:rPr>
              <w:t>若永久封井土地复垦面积为9983m</w:t>
            </w:r>
            <w:r>
              <w:rPr>
                <w:rFonts w:hint="eastAsia"/>
                <w:sz w:val="24"/>
                <w:vertAlign w:val="superscript"/>
              </w:rPr>
              <w:t>2</w:t>
            </w:r>
            <w:r>
              <w:rPr>
                <w:rFonts w:hint="eastAsia"/>
                <w:sz w:val="24"/>
              </w:rPr>
              <w:t>，若转产能井，则保留试油井场（井场面积约3500m</w:t>
            </w:r>
            <w:r>
              <w:rPr>
                <w:rFonts w:hint="eastAsia"/>
                <w:sz w:val="24"/>
                <w:vertAlign w:val="superscript"/>
              </w:rPr>
              <w:t>2</w:t>
            </w:r>
            <w:r>
              <w:rPr>
                <w:rFonts w:hint="eastAsia"/>
                <w:sz w:val="24"/>
              </w:rPr>
              <w:t>），则土地复垦面积为6483m</w:t>
            </w:r>
            <w:r>
              <w:rPr>
                <w:rFonts w:hint="eastAsia"/>
                <w:sz w:val="24"/>
                <w:vertAlign w:val="superscript"/>
              </w:rPr>
              <w:t>2</w:t>
            </w:r>
            <w:r>
              <w:rPr>
                <w:sz w:val="24"/>
              </w:rPr>
              <w:t>。</w:t>
            </w:r>
          </w:p>
          <w:p w14:paraId="7AC01347">
            <w:pPr>
              <w:autoSpaceDE w:val="0"/>
              <w:autoSpaceDN w:val="0"/>
              <w:adjustRightInd w:val="0"/>
              <w:ind w:firstLine="482" w:firstLineChars="200"/>
              <w:jc w:val="center"/>
              <w:rPr>
                <w:b/>
                <w:kern w:val="0"/>
                <w:sz w:val="24"/>
                <w:szCs w:val="21"/>
              </w:rPr>
            </w:pPr>
            <w:r>
              <w:rPr>
                <w:b/>
                <w:kern w:val="0"/>
                <w:sz w:val="24"/>
                <w:szCs w:val="21"/>
              </w:rPr>
              <w:t>表5-</w:t>
            </w:r>
            <w:r>
              <w:rPr>
                <w:rFonts w:hint="eastAsia"/>
                <w:b/>
                <w:kern w:val="0"/>
                <w:sz w:val="24"/>
                <w:szCs w:val="21"/>
              </w:rPr>
              <w:t>1 项目</w:t>
            </w:r>
            <w:r>
              <w:rPr>
                <w:b/>
                <w:kern w:val="0"/>
                <w:sz w:val="24"/>
                <w:szCs w:val="21"/>
              </w:rPr>
              <w:t>生态恢复计划一览表</w:t>
            </w:r>
          </w:p>
          <w:tbl>
            <w:tblPr>
              <w:tblStyle w:val="30"/>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257"/>
              <w:gridCol w:w="1559"/>
              <w:gridCol w:w="1560"/>
              <w:gridCol w:w="1418"/>
              <w:gridCol w:w="2410"/>
            </w:tblGrid>
            <w:tr w14:paraId="4560B12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6" w:type="pct"/>
                  <w:tcMar>
                    <w:left w:w="0" w:type="dxa"/>
                    <w:right w:w="0" w:type="dxa"/>
                  </w:tcMar>
                  <w:vAlign w:val="center"/>
                </w:tcPr>
                <w:p w14:paraId="0125D506">
                  <w:pPr>
                    <w:jc w:val="center"/>
                    <w:rPr>
                      <w:szCs w:val="21"/>
                    </w:rPr>
                  </w:pPr>
                  <w:r>
                    <w:rPr>
                      <w:szCs w:val="21"/>
                    </w:rPr>
                    <w:t>环境现状</w:t>
                  </w:r>
                </w:p>
              </w:tc>
              <w:tc>
                <w:tcPr>
                  <w:tcW w:w="950" w:type="pct"/>
                  <w:tcMar>
                    <w:left w:w="0" w:type="dxa"/>
                    <w:right w:w="0" w:type="dxa"/>
                  </w:tcMar>
                  <w:vAlign w:val="center"/>
                </w:tcPr>
                <w:p w14:paraId="14F7A1AF">
                  <w:pPr>
                    <w:jc w:val="center"/>
                    <w:rPr>
                      <w:szCs w:val="21"/>
                    </w:rPr>
                  </w:pPr>
                  <w:r>
                    <w:rPr>
                      <w:szCs w:val="21"/>
                    </w:rPr>
                    <w:t>生态措施</w:t>
                  </w:r>
                </w:p>
              </w:tc>
              <w:tc>
                <w:tcPr>
                  <w:tcW w:w="951" w:type="pct"/>
                  <w:tcMar>
                    <w:left w:w="0" w:type="dxa"/>
                    <w:right w:w="0" w:type="dxa"/>
                  </w:tcMar>
                  <w:vAlign w:val="center"/>
                </w:tcPr>
                <w:p w14:paraId="5940E540">
                  <w:pPr>
                    <w:jc w:val="center"/>
                    <w:rPr>
                      <w:szCs w:val="21"/>
                    </w:rPr>
                  </w:pPr>
                  <w:r>
                    <w:rPr>
                      <w:szCs w:val="21"/>
                    </w:rPr>
                    <w:t>恢复物种</w:t>
                  </w:r>
                </w:p>
              </w:tc>
              <w:tc>
                <w:tcPr>
                  <w:tcW w:w="864" w:type="pct"/>
                  <w:tcMar>
                    <w:left w:w="0" w:type="dxa"/>
                    <w:right w:w="0" w:type="dxa"/>
                  </w:tcMar>
                  <w:vAlign w:val="center"/>
                </w:tcPr>
                <w:p w14:paraId="4662CB67">
                  <w:pPr>
                    <w:jc w:val="center"/>
                    <w:rPr>
                      <w:szCs w:val="21"/>
                    </w:rPr>
                  </w:pPr>
                  <w:r>
                    <w:rPr>
                      <w:szCs w:val="21"/>
                    </w:rPr>
                    <w:t>恢复效果</w:t>
                  </w:r>
                </w:p>
              </w:tc>
              <w:tc>
                <w:tcPr>
                  <w:tcW w:w="1469" w:type="pct"/>
                  <w:tcMar>
                    <w:left w:w="0" w:type="dxa"/>
                    <w:right w:w="0" w:type="dxa"/>
                  </w:tcMar>
                  <w:vAlign w:val="center"/>
                </w:tcPr>
                <w:p w14:paraId="0A1EDBB6">
                  <w:pPr>
                    <w:jc w:val="center"/>
                    <w:rPr>
                      <w:szCs w:val="21"/>
                    </w:rPr>
                  </w:pPr>
                  <w:r>
                    <w:rPr>
                      <w:szCs w:val="21"/>
                    </w:rPr>
                    <w:t>恢复时间</w:t>
                  </w:r>
                </w:p>
              </w:tc>
            </w:tr>
            <w:tr w14:paraId="29320F1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92" w:hRule="atLeast"/>
                <w:jc w:val="center"/>
              </w:trPr>
              <w:tc>
                <w:tcPr>
                  <w:tcW w:w="766" w:type="pct"/>
                  <w:tcMar>
                    <w:left w:w="0" w:type="dxa"/>
                    <w:right w:w="0" w:type="dxa"/>
                  </w:tcMar>
                  <w:vAlign w:val="center"/>
                </w:tcPr>
                <w:p w14:paraId="0DB507C3">
                  <w:pPr>
                    <w:jc w:val="center"/>
                    <w:rPr>
                      <w:szCs w:val="21"/>
                    </w:rPr>
                  </w:pPr>
                  <w:r>
                    <w:rPr>
                      <w:rFonts w:hint="eastAsia"/>
                      <w:szCs w:val="21"/>
                    </w:rPr>
                    <w:t>天然牧草地</w:t>
                  </w:r>
                  <w:r>
                    <w:rPr>
                      <w:szCs w:val="21"/>
                    </w:rPr>
                    <w:t>、其他草地</w:t>
                  </w:r>
                </w:p>
              </w:tc>
              <w:tc>
                <w:tcPr>
                  <w:tcW w:w="950" w:type="pct"/>
                  <w:tcMar>
                    <w:left w:w="0" w:type="dxa"/>
                    <w:right w:w="0" w:type="dxa"/>
                  </w:tcMar>
                  <w:vAlign w:val="center"/>
                </w:tcPr>
                <w:p w14:paraId="53722E1C">
                  <w:pPr>
                    <w:jc w:val="center"/>
                    <w:rPr>
                      <w:szCs w:val="21"/>
                    </w:rPr>
                  </w:pPr>
                  <w:r>
                    <w:rPr>
                      <w:szCs w:val="21"/>
                    </w:rPr>
                    <w:t>覆土、平整、</w:t>
                  </w:r>
                  <w:r>
                    <w:rPr>
                      <w:rFonts w:hint="eastAsia"/>
                      <w:szCs w:val="21"/>
                    </w:rPr>
                    <w:t>播种草籽，减少表土裸露面积</w:t>
                  </w:r>
                </w:p>
              </w:tc>
              <w:tc>
                <w:tcPr>
                  <w:tcW w:w="951" w:type="pct"/>
                  <w:tcMar>
                    <w:left w:w="0" w:type="dxa"/>
                    <w:right w:w="0" w:type="dxa"/>
                  </w:tcMar>
                  <w:vAlign w:val="center"/>
                </w:tcPr>
                <w:p w14:paraId="76F799B7">
                  <w:pPr>
                    <w:jc w:val="center"/>
                    <w:rPr>
                      <w:szCs w:val="21"/>
                    </w:rPr>
                  </w:pPr>
                  <w:r>
                    <w:rPr>
                      <w:rFonts w:hint="eastAsia"/>
                      <w:szCs w:val="21"/>
                    </w:rPr>
                    <w:t>播种的草种为具有较强抗旱能力的当地物种</w:t>
                  </w:r>
                </w:p>
              </w:tc>
              <w:tc>
                <w:tcPr>
                  <w:tcW w:w="864" w:type="pct"/>
                  <w:tcMar>
                    <w:left w:w="0" w:type="dxa"/>
                    <w:right w:w="0" w:type="dxa"/>
                  </w:tcMar>
                  <w:vAlign w:val="center"/>
                </w:tcPr>
                <w:p w14:paraId="4F0F18B0">
                  <w:pPr>
                    <w:jc w:val="left"/>
                    <w:rPr>
                      <w:szCs w:val="21"/>
                    </w:rPr>
                  </w:pPr>
                  <w:r>
                    <w:rPr>
                      <w:szCs w:val="21"/>
                    </w:rPr>
                    <w:t>恢复临时占地原生态功能，土地复垦率100%</w:t>
                  </w:r>
                </w:p>
              </w:tc>
              <w:tc>
                <w:tcPr>
                  <w:tcW w:w="1469" w:type="pct"/>
                  <w:tcMar>
                    <w:left w:w="0" w:type="dxa"/>
                    <w:right w:w="0" w:type="dxa"/>
                  </w:tcMar>
                  <w:vAlign w:val="center"/>
                </w:tcPr>
                <w:p w14:paraId="290E247C">
                  <w:pPr>
                    <w:jc w:val="center"/>
                    <w:rPr>
                      <w:szCs w:val="21"/>
                    </w:rPr>
                  </w:pPr>
                  <w:r>
                    <w:rPr>
                      <w:rFonts w:hint="eastAsia"/>
                      <w:szCs w:val="21"/>
                    </w:rPr>
                    <w:t>勘探结束后及时复垦，在临时用地使用期满后1年内完成复垦并申请验收</w:t>
                  </w:r>
                </w:p>
              </w:tc>
            </w:tr>
          </w:tbl>
          <w:p w14:paraId="75929E7C">
            <w:pPr>
              <w:spacing w:line="360" w:lineRule="auto"/>
              <w:ind w:firstLine="482" w:firstLineChars="200"/>
              <w:rPr>
                <w:sz w:val="24"/>
                <w:szCs w:val="32"/>
              </w:rPr>
            </w:pPr>
            <w:r>
              <w:rPr>
                <w:rFonts w:hint="eastAsia"/>
                <w:b/>
                <w:sz w:val="24"/>
                <w:szCs w:val="32"/>
              </w:rPr>
              <w:t>七</w:t>
            </w:r>
            <w:r>
              <w:rPr>
                <w:b/>
                <w:sz w:val="24"/>
                <w:szCs w:val="32"/>
              </w:rPr>
              <w:t>、事故风险分析</w:t>
            </w:r>
          </w:p>
          <w:p w14:paraId="47388D66">
            <w:pPr>
              <w:spacing w:line="360" w:lineRule="auto"/>
              <w:ind w:firstLine="480" w:firstLineChars="200"/>
              <w:rPr>
                <w:bCs/>
                <w:sz w:val="24"/>
                <w:szCs w:val="32"/>
              </w:rPr>
            </w:pPr>
            <w:r>
              <w:rPr>
                <w:rFonts w:hint="eastAsia"/>
                <w:bCs/>
                <w:sz w:val="24"/>
                <w:szCs w:val="32"/>
              </w:rPr>
              <w:t>1、</w:t>
            </w:r>
            <w:r>
              <w:rPr>
                <w:bCs/>
                <w:sz w:val="24"/>
                <w:szCs w:val="32"/>
              </w:rPr>
              <w:t>大气环境风险防范措施</w:t>
            </w:r>
          </w:p>
          <w:p w14:paraId="364BA512">
            <w:pPr>
              <w:spacing w:line="360" w:lineRule="auto"/>
              <w:ind w:firstLine="480" w:firstLineChars="200"/>
              <w:rPr>
                <w:sz w:val="24"/>
                <w:szCs w:val="32"/>
              </w:rPr>
            </w:pPr>
            <w:r>
              <w:rPr>
                <w:sz w:val="24"/>
                <w:szCs w:val="32"/>
              </w:rPr>
              <w:t>（1）钻探工程井控措施</w:t>
            </w:r>
          </w:p>
          <w:p w14:paraId="4A9B701D">
            <w:pPr>
              <w:spacing w:line="360" w:lineRule="auto"/>
              <w:ind w:firstLine="480" w:firstLineChars="200"/>
              <w:rPr>
                <w:sz w:val="24"/>
                <w:szCs w:val="32"/>
              </w:rPr>
            </w:pPr>
            <w:r>
              <w:rPr>
                <w:rFonts w:hint="eastAsia"/>
                <w:sz w:val="24"/>
                <w:szCs w:val="32"/>
              </w:rPr>
              <w:t>施工</w:t>
            </w:r>
            <w:r>
              <w:rPr>
                <w:sz w:val="24"/>
                <w:szCs w:val="32"/>
              </w:rPr>
              <w:t>过程中严格按照《石油天然气工业健康、安全与环境管理体系》</w:t>
            </w:r>
            <w:r>
              <w:rPr>
                <w:rFonts w:hint="eastAsia"/>
                <w:sz w:val="24"/>
                <w:szCs w:val="32"/>
              </w:rPr>
              <w:t>（</w:t>
            </w:r>
            <w:r>
              <w:rPr>
                <w:sz w:val="24"/>
                <w:szCs w:val="32"/>
              </w:rPr>
              <w:t>SY/T6276-2014</w:t>
            </w:r>
            <w:r>
              <w:rPr>
                <w:rFonts w:hint="eastAsia"/>
                <w:sz w:val="24"/>
                <w:szCs w:val="32"/>
              </w:rPr>
              <w:t>）</w:t>
            </w:r>
            <w:r>
              <w:rPr>
                <w:sz w:val="24"/>
                <w:szCs w:val="32"/>
              </w:rPr>
              <w:t>、《石油天然气钻井作业健康、安全与环境管理导则》</w:t>
            </w:r>
            <w:r>
              <w:rPr>
                <w:rFonts w:hint="eastAsia"/>
                <w:sz w:val="24"/>
              </w:rPr>
              <w:t>（</w:t>
            </w:r>
            <w:r>
              <w:rPr>
                <w:sz w:val="24"/>
              </w:rPr>
              <w:t>Q/SY1053-2010</w:t>
            </w:r>
            <w:r>
              <w:rPr>
                <w:rFonts w:hint="eastAsia"/>
                <w:sz w:val="24"/>
              </w:rPr>
              <w:t>）</w:t>
            </w:r>
            <w:r>
              <w:rPr>
                <w:rFonts w:hint="eastAsia"/>
                <w:sz w:val="24"/>
                <w:szCs w:val="32"/>
              </w:rPr>
              <w:t>、</w:t>
            </w:r>
            <w:r>
              <w:rPr>
                <w:sz w:val="24"/>
                <w:szCs w:val="32"/>
              </w:rPr>
              <w:t>《</w:t>
            </w:r>
            <w:r>
              <w:rPr>
                <w:rFonts w:hint="eastAsia"/>
                <w:sz w:val="24"/>
                <w:szCs w:val="32"/>
              </w:rPr>
              <w:t>石油天然气钻井井控技术规范</w:t>
            </w:r>
            <w:r>
              <w:rPr>
                <w:sz w:val="24"/>
                <w:szCs w:val="32"/>
              </w:rPr>
              <w:t>》（GB/T31033-2014）、《</w:t>
            </w:r>
            <w:r>
              <w:rPr>
                <w:rFonts w:hint="eastAsia"/>
                <w:sz w:val="24"/>
                <w:szCs w:val="32"/>
              </w:rPr>
              <w:t>硫化氢环境钻井场所作业安全规范</w:t>
            </w:r>
            <w:r>
              <w:rPr>
                <w:sz w:val="24"/>
                <w:szCs w:val="32"/>
              </w:rPr>
              <w:t>》（SY/T5087-20</w:t>
            </w:r>
            <w:r>
              <w:rPr>
                <w:rFonts w:hint="eastAsia"/>
                <w:sz w:val="24"/>
                <w:szCs w:val="32"/>
              </w:rPr>
              <w:t>17</w:t>
            </w:r>
            <w:r>
              <w:rPr>
                <w:sz w:val="24"/>
                <w:szCs w:val="32"/>
              </w:rPr>
              <w:t>）等行业相关规范和《钻井设计》的要求进行工程控制，在工艺设备硬件上防止井喷事故。</w:t>
            </w:r>
          </w:p>
          <w:p w14:paraId="7C23E6A0">
            <w:pPr>
              <w:spacing w:line="360" w:lineRule="auto"/>
              <w:ind w:firstLine="480" w:firstLineChars="200"/>
              <w:rPr>
                <w:sz w:val="24"/>
                <w:szCs w:val="32"/>
              </w:rPr>
            </w:pPr>
            <w:r>
              <w:rPr>
                <w:rFonts w:hint="eastAsia"/>
                <w:sz w:val="24"/>
                <w:szCs w:val="32"/>
              </w:rPr>
              <w:t>主要有以下几方面：</w:t>
            </w:r>
          </w:p>
          <w:p w14:paraId="5EB9D868">
            <w:pPr>
              <w:spacing w:line="360" w:lineRule="auto"/>
              <w:ind w:firstLine="480" w:firstLineChars="200"/>
              <w:rPr>
                <w:sz w:val="24"/>
                <w:szCs w:val="32"/>
              </w:rPr>
            </w:pPr>
            <w:r>
              <w:rPr>
                <w:rFonts w:hint="eastAsia"/>
                <w:sz w:val="24"/>
                <w:szCs w:val="32"/>
              </w:rPr>
              <w:t>1）井喷风险井控防范措施</w:t>
            </w:r>
          </w:p>
          <w:p w14:paraId="575B2B94">
            <w:pPr>
              <w:spacing w:line="360" w:lineRule="auto"/>
              <w:ind w:firstLine="480" w:firstLineChars="200"/>
              <w:rPr>
                <w:sz w:val="24"/>
                <w:szCs w:val="32"/>
              </w:rPr>
            </w:pPr>
            <w:r>
              <w:rPr>
                <w:rFonts w:hint="eastAsia"/>
                <w:sz w:val="24"/>
                <w:szCs w:val="32"/>
              </w:rPr>
              <w:t>利用防喷装置控制井口压力来预防井喷。</w:t>
            </w:r>
          </w:p>
          <w:p w14:paraId="15153213">
            <w:pPr>
              <w:spacing w:line="360" w:lineRule="auto"/>
              <w:ind w:firstLine="480" w:firstLineChars="200"/>
              <w:rPr>
                <w:sz w:val="24"/>
                <w:szCs w:val="32"/>
              </w:rPr>
            </w:pPr>
            <w:r>
              <w:rPr>
                <w:rFonts w:hint="eastAsia"/>
                <w:sz w:val="24"/>
                <w:szCs w:val="32"/>
              </w:rPr>
              <w:t>当出现井涌现象时，可临时关闭防喷器，争取时间循环钻井泥浆，消除气侵，或调配高密度钻井泥浆压井，预防井喷。</w:t>
            </w:r>
          </w:p>
          <w:p w14:paraId="159759A9">
            <w:pPr>
              <w:spacing w:line="360" w:lineRule="auto"/>
              <w:ind w:firstLine="480" w:firstLineChars="200"/>
              <w:rPr>
                <w:sz w:val="24"/>
                <w:szCs w:val="32"/>
              </w:rPr>
            </w:pPr>
            <w:r>
              <w:rPr>
                <w:rFonts w:hint="eastAsia"/>
                <w:sz w:val="24"/>
                <w:szCs w:val="32"/>
              </w:rPr>
              <w:t>当用高密度钻井泥浆压井仍然不能阻止井喷时，需要继续关闭防喷气器，同时打开和防喷器相连的排液管，外排油气，以降低井口承受压力，进一步用高密度钻井泥浆压井，此时可以防止井喷失控。</w:t>
            </w:r>
          </w:p>
          <w:p w14:paraId="78A57FF4">
            <w:pPr>
              <w:spacing w:line="360" w:lineRule="auto"/>
              <w:ind w:firstLine="480" w:firstLineChars="200"/>
              <w:rPr>
                <w:sz w:val="24"/>
                <w:szCs w:val="32"/>
              </w:rPr>
            </w:pPr>
            <w:r>
              <w:rPr>
                <w:rFonts w:hint="eastAsia"/>
                <w:sz w:val="24"/>
                <w:szCs w:val="32"/>
              </w:rPr>
              <w:t>2）固井作业井喷防范措施</w:t>
            </w:r>
          </w:p>
          <w:p w14:paraId="37A61C31">
            <w:pPr>
              <w:spacing w:line="360" w:lineRule="auto"/>
              <w:ind w:firstLine="480" w:firstLineChars="200"/>
              <w:rPr>
                <w:sz w:val="24"/>
                <w:szCs w:val="32"/>
              </w:rPr>
            </w:pPr>
            <w:r>
              <w:rPr>
                <w:rFonts w:hint="eastAsia"/>
                <w:sz w:val="24"/>
                <w:szCs w:val="32"/>
              </w:rPr>
              <w:t>通井期间应处理好钻井泥浆性能，符合固井设计要求，坚持平衡压力固井，确保钻井泥浆和水泥浆液柱压力压稳油、水层。</w:t>
            </w:r>
          </w:p>
          <w:p w14:paraId="4574CF4B">
            <w:pPr>
              <w:spacing w:line="360" w:lineRule="auto"/>
              <w:ind w:firstLine="480" w:firstLineChars="200"/>
              <w:rPr>
                <w:sz w:val="24"/>
                <w:szCs w:val="32"/>
              </w:rPr>
            </w:pPr>
            <w:r>
              <w:rPr>
                <w:rFonts w:hint="eastAsia"/>
                <w:sz w:val="24"/>
                <w:szCs w:val="32"/>
              </w:rPr>
              <w:t>下套管前检查好井控系统，更换半封防喷器芯子，与套管尺寸一致，并按井控规定试压合格；下尾管作业前准备好防喷单根。</w:t>
            </w:r>
          </w:p>
          <w:p w14:paraId="6CED84A9">
            <w:pPr>
              <w:spacing w:line="360" w:lineRule="auto"/>
              <w:ind w:firstLine="480" w:firstLineChars="200"/>
              <w:rPr>
                <w:sz w:val="24"/>
                <w:szCs w:val="32"/>
              </w:rPr>
            </w:pPr>
            <w:r>
              <w:rPr>
                <w:rFonts w:hint="eastAsia"/>
                <w:sz w:val="24"/>
                <w:szCs w:val="32"/>
              </w:rPr>
              <w:t>下套管前，应换装与套管尺寸相同的半封闸板。固井全过程应保持井内压力平衡，防止固井作业中因井漏、候凝期间因水泥浆失重造成井内压力平衡被破坏而导致的井喷。</w:t>
            </w:r>
          </w:p>
          <w:p w14:paraId="332304B8">
            <w:pPr>
              <w:spacing w:line="360" w:lineRule="auto"/>
              <w:ind w:firstLine="480" w:firstLineChars="200"/>
              <w:rPr>
                <w:sz w:val="24"/>
                <w:szCs w:val="32"/>
              </w:rPr>
            </w:pPr>
            <w:r>
              <w:rPr>
                <w:rFonts w:hint="eastAsia"/>
                <w:sz w:val="24"/>
                <w:szCs w:val="32"/>
              </w:rPr>
              <w:t>下套管过程中，应专人负责观察钻井泥浆出口、钻井泥浆循环罐液面变化情况，如有异常，要及时按程序汇报与处理。</w:t>
            </w:r>
          </w:p>
          <w:p w14:paraId="1740DD18">
            <w:pPr>
              <w:spacing w:line="360" w:lineRule="auto"/>
              <w:ind w:firstLine="480" w:firstLineChars="200"/>
              <w:rPr>
                <w:sz w:val="24"/>
                <w:szCs w:val="32"/>
              </w:rPr>
            </w:pPr>
            <w:r>
              <w:rPr>
                <w:rFonts w:hint="eastAsia"/>
                <w:sz w:val="24"/>
                <w:szCs w:val="32"/>
              </w:rPr>
              <w:t>在确定国内固井水泥生产厂家后，对生产厂家的制造工艺和质量控制进行审核，确定制造商的水泥的批次规模和产量，对合格批次水泥从制造到使用点进行全程跟踪。另外，对多产层等关键的井段采用进口水泥，确保更稳定的质量和可预测的性能。</w:t>
            </w:r>
          </w:p>
          <w:p w14:paraId="2A9E84CD">
            <w:pPr>
              <w:spacing w:line="360" w:lineRule="auto"/>
              <w:ind w:firstLine="480" w:firstLineChars="200"/>
              <w:rPr>
                <w:sz w:val="24"/>
                <w:szCs w:val="32"/>
              </w:rPr>
            </w:pPr>
            <w:r>
              <w:rPr>
                <w:rFonts w:hint="eastAsia"/>
                <w:sz w:val="24"/>
                <w:szCs w:val="32"/>
              </w:rPr>
              <w:t>尾管悬挂器与尾管顶部封隔器结合使用，以确保尾管的固井质量和防止产层气体上窜。</w:t>
            </w:r>
          </w:p>
          <w:p w14:paraId="6ABB5229">
            <w:pPr>
              <w:spacing w:line="360" w:lineRule="auto"/>
              <w:ind w:firstLine="480" w:firstLineChars="200"/>
              <w:rPr>
                <w:sz w:val="24"/>
                <w:szCs w:val="32"/>
              </w:rPr>
            </w:pPr>
            <w:r>
              <w:rPr>
                <w:rFonts w:hint="eastAsia"/>
                <w:sz w:val="24"/>
                <w:szCs w:val="32"/>
              </w:rPr>
              <w:t>3）测井过程井喷风险防范</w:t>
            </w:r>
          </w:p>
          <w:p w14:paraId="48BFDEF9">
            <w:pPr>
              <w:spacing w:line="360" w:lineRule="auto"/>
              <w:ind w:firstLine="480" w:firstLineChars="200"/>
              <w:rPr>
                <w:sz w:val="24"/>
                <w:szCs w:val="32"/>
              </w:rPr>
            </w:pPr>
            <w:r>
              <w:rPr>
                <w:rFonts w:hint="eastAsia"/>
                <w:sz w:val="24"/>
                <w:szCs w:val="32"/>
              </w:rPr>
              <w:t>测井作业人员充分了解钻井防喷器顶部法兰连接规范。</w:t>
            </w:r>
          </w:p>
          <w:p w14:paraId="3D39E973">
            <w:pPr>
              <w:spacing w:line="360" w:lineRule="auto"/>
              <w:ind w:firstLine="480" w:firstLineChars="200"/>
              <w:rPr>
                <w:sz w:val="24"/>
                <w:szCs w:val="32"/>
              </w:rPr>
            </w:pPr>
            <w:r>
              <w:rPr>
                <w:rFonts w:hint="eastAsia"/>
                <w:sz w:val="24"/>
                <w:szCs w:val="32"/>
              </w:rPr>
              <w:t>电缆防喷管底部法兰与钻井防喷器顶部法兰连接密封可靠；防喷管中应配备测井仪器的防落装置；电缆防喷装置满足井口控压要求并试压。</w:t>
            </w:r>
          </w:p>
          <w:p w14:paraId="531B6986">
            <w:pPr>
              <w:spacing w:line="360" w:lineRule="auto"/>
              <w:ind w:firstLine="480" w:firstLineChars="200"/>
              <w:rPr>
                <w:sz w:val="24"/>
                <w:szCs w:val="32"/>
              </w:rPr>
            </w:pPr>
            <w:r>
              <w:rPr>
                <w:rFonts w:hint="eastAsia"/>
                <w:sz w:val="24"/>
                <w:szCs w:val="32"/>
              </w:rPr>
              <w:t>电测时发生溢流应尽快起出井内电缆；如果条件不允许，则立即剪断电缆，按空井溢流关井操作程序关井，不允许用关闭环形防喷器的方法继续起电缆。若是钻具传输测井，则剪断电缆按起下钻中发生溢流进行处理。</w:t>
            </w:r>
          </w:p>
          <w:p w14:paraId="679F522C">
            <w:pPr>
              <w:spacing w:line="360" w:lineRule="auto"/>
              <w:ind w:firstLine="480" w:firstLineChars="200"/>
              <w:rPr>
                <w:sz w:val="24"/>
                <w:szCs w:val="32"/>
              </w:rPr>
            </w:pPr>
            <w:r>
              <w:rPr>
                <w:rFonts w:hint="eastAsia"/>
                <w:sz w:val="24"/>
                <w:szCs w:val="32"/>
              </w:rPr>
              <w:t>4）防火、防爆措施</w:t>
            </w:r>
          </w:p>
          <w:p w14:paraId="5133637A">
            <w:pPr>
              <w:spacing w:line="360" w:lineRule="auto"/>
              <w:ind w:firstLine="480" w:firstLineChars="200"/>
              <w:rPr>
                <w:sz w:val="24"/>
                <w:szCs w:val="32"/>
              </w:rPr>
            </w:pPr>
            <w:r>
              <w:rPr>
                <w:rFonts w:hint="eastAsia"/>
                <w:sz w:val="24"/>
                <w:szCs w:val="32"/>
              </w:rPr>
              <w:t>严格动火作业管理，实施完善的动火作业许可制度。彻底清除动火区域及周边的可燃物，配备合格的灭火器材并由专人监护。</w:t>
            </w:r>
          </w:p>
          <w:p w14:paraId="743771B5">
            <w:pPr>
              <w:spacing w:line="360" w:lineRule="auto"/>
              <w:ind w:firstLine="480" w:firstLineChars="200"/>
              <w:rPr>
                <w:sz w:val="24"/>
                <w:szCs w:val="32"/>
              </w:rPr>
            </w:pPr>
            <w:r>
              <w:rPr>
                <w:sz w:val="24"/>
                <w:szCs w:val="32"/>
              </w:rPr>
              <w:t>柴油罐、发电房等摆放按</w:t>
            </w:r>
            <w:r>
              <w:rPr>
                <w:rFonts w:hint="eastAsia"/>
                <w:sz w:val="24"/>
                <w:szCs w:val="32"/>
              </w:rPr>
              <w:t>《石油天然气钻井、开发、储运防火防爆安全生产技术规程》（</w:t>
            </w:r>
            <w:r>
              <w:rPr>
                <w:sz w:val="24"/>
                <w:szCs w:val="32"/>
              </w:rPr>
              <w:t>SY/T5225</w:t>
            </w:r>
            <w:r>
              <w:rPr>
                <w:rFonts w:hint="eastAsia"/>
                <w:sz w:val="24"/>
                <w:szCs w:val="32"/>
              </w:rPr>
              <w:t>-2019）</w:t>
            </w:r>
            <w:r>
              <w:rPr>
                <w:sz w:val="24"/>
                <w:szCs w:val="32"/>
              </w:rPr>
              <w:t>中的相应规定执行。井场电器设备、照明器具及输电线路的安装应符合</w:t>
            </w:r>
            <w:r>
              <w:rPr>
                <w:rFonts w:hint="eastAsia"/>
                <w:sz w:val="24"/>
                <w:szCs w:val="32"/>
              </w:rPr>
              <w:t>技术规程</w:t>
            </w:r>
            <w:r>
              <w:rPr>
                <w:sz w:val="24"/>
                <w:szCs w:val="32"/>
              </w:rPr>
              <w:t>中的相应规定。柴油机排气管应无破漏和积炭，并有冷却灭火装置。</w:t>
            </w:r>
            <w:r>
              <w:rPr>
                <w:rFonts w:hint="eastAsia"/>
                <w:sz w:val="24"/>
                <w:szCs w:val="32"/>
              </w:rPr>
              <w:t>定期检查和维护所有设备（尤其是柴油机、发电机、钻井泥浆泵、液压系统），防止油料泄漏、电气短路、过热或机械摩擦火花。</w:t>
            </w:r>
          </w:p>
          <w:p w14:paraId="024B8380">
            <w:pPr>
              <w:spacing w:line="360" w:lineRule="auto"/>
              <w:ind w:firstLine="480" w:firstLineChars="200"/>
              <w:rPr>
                <w:sz w:val="24"/>
                <w:szCs w:val="32"/>
              </w:rPr>
            </w:pPr>
            <w:r>
              <w:rPr>
                <w:rFonts w:hint="eastAsia"/>
                <w:sz w:val="24"/>
                <w:szCs w:val="32"/>
              </w:rPr>
              <w:t>在关键区域（井口、钻台、钻井泥浆循环罐区、发电房、司钻房、油罐区等）安装可靠的可燃气体探测器、有毒气体探测器等。探测器信号应接入中央控制室（司钻房）并设置声光报警。定期测试和维护探测系统，确保其有效性。</w:t>
            </w:r>
          </w:p>
          <w:p w14:paraId="75868AF4">
            <w:pPr>
              <w:spacing w:line="360" w:lineRule="auto"/>
              <w:ind w:firstLine="480" w:firstLineChars="200"/>
              <w:rPr>
                <w:sz w:val="24"/>
                <w:szCs w:val="32"/>
              </w:rPr>
            </w:pPr>
            <w:r>
              <w:rPr>
                <w:rFonts w:hint="eastAsia"/>
                <w:sz w:val="24"/>
                <w:szCs w:val="32"/>
              </w:rPr>
              <w:t>健全应急预案，制定详细、针对性强、可操作的火灾专项应急预案和现场应急处置方案。涵盖不同类型火灾（井口、设备、生活区、油罐等）的处置流程。明确应急组织架构、职责分工、报警程序、疏散路线、集合点、关键应急操作。在关键位置（井口、钻台、钻井泥浆循环罐区、发电房、生活区、油罐区等）配备足够数量和合适类型的灭火器，并定期检查维护。现场人员必须接受消防安全意识、火灾风险识别、灭火器使用、应急疏散、报警程序等培训。</w:t>
            </w:r>
          </w:p>
          <w:p w14:paraId="3DA5AF28">
            <w:pPr>
              <w:spacing w:line="360" w:lineRule="auto"/>
              <w:ind w:firstLine="480" w:firstLineChars="200"/>
              <w:rPr>
                <w:sz w:val="24"/>
                <w:szCs w:val="32"/>
              </w:rPr>
            </w:pPr>
            <w:r>
              <w:rPr>
                <w:rFonts w:hint="eastAsia"/>
                <w:sz w:val="24"/>
                <w:szCs w:val="32"/>
              </w:rPr>
              <w:t>任何人发现火情立即大声报警并启动应急程序。首要任务是确保所有人员安全、快速撤离到安全集合点，清点人数，确认是否有人员受困。非必要人员远离火场。在确保自身安全的前提下，受过培训的人员使用就近灭火器材尝试扑灭初期小火。若火势无法控制，立即撤退。在安全评估可行的前提下，迅速执行关井程序，切断燃料源是控制火势的根本。</w:t>
            </w:r>
          </w:p>
          <w:p w14:paraId="367DBA3B">
            <w:pPr>
              <w:spacing w:line="360" w:lineRule="auto"/>
              <w:ind w:firstLine="480" w:firstLineChars="200"/>
              <w:rPr>
                <w:sz w:val="24"/>
                <w:szCs w:val="32"/>
              </w:rPr>
            </w:pPr>
            <w:r>
              <w:rPr>
                <w:rFonts w:hint="eastAsia"/>
                <w:sz w:val="24"/>
                <w:szCs w:val="32"/>
              </w:rPr>
              <w:t>消防队到达后，在统一指挥下进行专业灭火（冷却、灭火、控制蔓延）。对于井喷大火，通常需要专业井控公司和消防公司采用特殊技术（如水枪冷却、清障、切割、重新引火、压井等）</w:t>
            </w:r>
            <w:r>
              <w:rPr>
                <w:sz w:val="24"/>
                <w:szCs w:val="32"/>
              </w:rPr>
              <w:t>。</w:t>
            </w:r>
          </w:p>
          <w:p w14:paraId="793B81FE">
            <w:pPr>
              <w:spacing w:line="360" w:lineRule="auto"/>
              <w:ind w:firstLine="480" w:firstLineChars="200"/>
              <w:rPr>
                <w:sz w:val="24"/>
                <w:szCs w:val="32"/>
              </w:rPr>
            </w:pPr>
            <w:r>
              <w:rPr>
                <w:rFonts w:hint="eastAsia"/>
                <w:sz w:val="24"/>
                <w:szCs w:val="32"/>
              </w:rPr>
              <w:t>5）防</w:t>
            </w:r>
            <w:r>
              <w:rPr>
                <w:sz w:val="24"/>
                <w:szCs w:val="32"/>
              </w:rPr>
              <w:t>H</w:t>
            </w:r>
            <w:r>
              <w:rPr>
                <w:sz w:val="24"/>
                <w:szCs w:val="32"/>
                <w:vertAlign w:val="subscript"/>
              </w:rPr>
              <w:t>2</w:t>
            </w:r>
            <w:r>
              <w:rPr>
                <w:sz w:val="24"/>
                <w:szCs w:val="32"/>
              </w:rPr>
              <w:t>S</w:t>
            </w:r>
            <w:r>
              <w:rPr>
                <w:rFonts w:hint="eastAsia"/>
                <w:sz w:val="24"/>
                <w:szCs w:val="32"/>
              </w:rPr>
              <w:t>措施</w:t>
            </w:r>
          </w:p>
          <w:p w14:paraId="1BECB5C4">
            <w:pPr>
              <w:spacing w:line="360" w:lineRule="auto"/>
              <w:ind w:firstLine="480" w:firstLineChars="200"/>
              <w:rPr>
                <w:sz w:val="24"/>
                <w:szCs w:val="32"/>
              </w:rPr>
            </w:pPr>
            <w:r>
              <w:rPr>
                <w:sz w:val="24"/>
                <w:szCs w:val="32"/>
              </w:rPr>
              <w:t>虽然本工程所在区域所钻井相同层位未发现H</w:t>
            </w:r>
            <w:r>
              <w:rPr>
                <w:sz w:val="24"/>
                <w:szCs w:val="32"/>
                <w:vertAlign w:val="subscript"/>
              </w:rPr>
              <w:t>2</w:t>
            </w:r>
            <w:r>
              <w:rPr>
                <w:sz w:val="24"/>
                <w:szCs w:val="32"/>
              </w:rPr>
              <w:t>S等有毒有害气体，但考虑到本工程所穿地层H</w:t>
            </w:r>
            <w:r>
              <w:rPr>
                <w:sz w:val="24"/>
                <w:szCs w:val="32"/>
                <w:vertAlign w:val="subscript"/>
              </w:rPr>
              <w:t>2</w:t>
            </w:r>
            <w:r>
              <w:rPr>
                <w:sz w:val="24"/>
                <w:szCs w:val="32"/>
              </w:rPr>
              <w:t>S含量的不确定性，项目仍参照执行</w:t>
            </w:r>
            <w:r>
              <w:rPr>
                <w:rFonts w:hint="eastAsia"/>
                <w:sz w:val="24"/>
                <w:szCs w:val="32"/>
              </w:rPr>
              <w:t>《硫化氢环境钻井场所作业安全规范》（SY/T5087-2017）</w:t>
            </w:r>
            <w:r>
              <w:rPr>
                <w:sz w:val="24"/>
                <w:szCs w:val="32"/>
              </w:rPr>
              <w:t>行业规范中规定的防H</w:t>
            </w:r>
            <w:r>
              <w:rPr>
                <w:sz w:val="24"/>
                <w:szCs w:val="32"/>
                <w:vertAlign w:val="subscript"/>
              </w:rPr>
              <w:t>2</w:t>
            </w:r>
            <w:r>
              <w:rPr>
                <w:sz w:val="24"/>
                <w:szCs w:val="32"/>
              </w:rPr>
              <w:t>S措施：在井架上、井场盛行风入口处等地应设置风向标，一旦发生紧急情况，作业人员可向上风方向疏散。钻台上下、振动筛、循环罐等气体易聚积的场所设置固定式气体报警装置</w:t>
            </w:r>
            <w:r>
              <w:rPr>
                <w:rFonts w:hint="eastAsia"/>
                <w:sz w:val="24"/>
                <w:szCs w:val="32"/>
              </w:rPr>
              <w:t>，并</w:t>
            </w:r>
            <w:r>
              <w:rPr>
                <w:sz w:val="24"/>
                <w:szCs w:val="32"/>
              </w:rPr>
              <w:t>按规定配备</w:t>
            </w:r>
            <w:r>
              <w:rPr>
                <w:rFonts w:hint="eastAsia"/>
                <w:sz w:val="24"/>
                <w:szCs w:val="32"/>
              </w:rPr>
              <w:t>便携式</w:t>
            </w:r>
            <w:r>
              <w:rPr>
                <w:sz w:val="24"/>
                <w:szCs w:val="32"/>
              </w:rPr>
              <w:t>有毒有害气体检测仪和防护器具，做到人人会使用、会维护、会检查，同时安装防爆排风扇以驱散工作场所弥漫的有害、可燃气体。</w:t>
            </w:r>
          </w:p>
          <w:p w14:paraId="732466F7">
            <w:pPr>
              <w:spacing w:line="360" w:lineRule="auto"/>
              <w:ind w:firstLine="480" w:firstLineChars="200"/>
              <w:rPr>
                <w:sz w:val="24"/>
                <w:szCs w:val="32"/>
              </w:rPr>
            </w:pPr>
            <w:r>
              <w:rPr>
                <w:sz w:val="24"/>
                <w:szCs w:val="32"/>
              </w:rPr>
              <w:t>（2）原油泄漏事故防治措施</w:t>
            </w:r>
          </w:p>
          <w:p w14:paraId="00E3EBB7">
            <w:pPr>
              <w:spacing w:line="360" w:lineRule="auto"/>
              <w:ind w:firstLine="480" w:firstLineChars="200"/>
              <w:rPr>
                <w:sz w:val="24"/>
              </w:rPr>
            </w:pPr>
            <w:r>
              <w:rPr>
                <w:sz w:val="24"/>
              </w:rPr>
              <w:t>项目储</w:t>
            </w:r>
            <w:r>
              <w:rPr>
                <w:rFonts w:hint="eastAsia"/>
                <w:sz w:val="24"/>
              </w:rPr>
              <w:t>液</w:t>
            </w:r>
            <w:r>
              <w:rPr>
                <w:sz w:val="24"/>
              </w:rPr>
              <w:t>罐区设置</w:t>
            </w:r>
            <w:r>
              <w:rPr>
                <w:rFonts w:hint="eastAsia"/>
                <w:sz w:val="24"/>
              </w:rPr>
              <w:t>20cm高</w:t>
            </w:r>
            <w:r>
              <w:rPr>
                <w:sz w:val="24"/>
              </w:rPr>
              <w:t>围堰，围堰内铺设防渗膜，可以有效收集储</w:t>
            </w:r>
            <w:r>
              <w:rPr>
                <w:rFonts w:hint="eastAsia"/>
                <w:sz w:val="24"/>
              </w:rPr>
              <w:t>液</w:t>
            </w:r>
            <w:r>
              <w:rPr>
                <w:sz w:val="24"/>
              </w:rPr>
              <w:t>罐</w:t>
            </w:r>
            <w:r>
              <w:rPr>
                <w:rFonts w:hint="eastAsia"/>
                <w:sz w:val="24"/>
              </w:rPr>
              <w:t>泄漏</w:t>
            </w:r>
            <w:r>
              <w:rPr>
                <w:sz w:val="24"/>
              </w:rPr>
              <w:t>原油。</w:t>
            </w:r>
          </w:p>
          <w:p w14:paraId="61EE7AD1">
            <w:pPr>
              <w:spacing w:line="360" w:lineRule="auto"/>
              <w:ind w:firstLine="480" w:firstLineChars="200"/>
              <w:rPr>
                <w:sz w:val="24"/>
                <w:szCs w:val="32"/>
              </w:rPr>
            </w:pPr>
            <w:r>
              <w:rPr>
                <w:sz w:val="24"/>
                <w:szCs w:val="32"/>
              </w:rPr>
              <w:t>（3）试油过程原油输送管线防控措施</w:t>
            </w:r>
          </w:p>
          <w:p w14:paraId="3CC3DB4E">
            <w:pPr>
              <w:spacing w:line="360" w:lineRule="auto"/>
              <w:ind w:firstLine="480" w:firstLineChars="200"/>
              <w:rPr>
                <w:sz w:val="24"/>
                <w:szCs w:val="32"/>
              </w:rPr>
            </w:pPr>
            <w:r>
              <w:rPr>
                <w:rFonts w:hint="eastAsia"/>
                <w:sz w:val="24"/>
                <w:szCs w:val="32"/>
              </w:rPr>
              <w:t>管线敷设前，应加强对管材和焊接质量的检查，严禁使用不合格产品。对焊接质量严格检验，防止焊接缺陷造成泄漏事故的发生。</w:t>
            </w:r>
          </w:p>
          <w:p w14:paraId="0041293E">
            <w:pPr>
              <w:spacing w:line="360" w:lineRule="auto"/>
              <w:ind w:firstLine="480" w:firstLineChars="200"/>
              <w:rPr>
                <w:sz w:val="24"/>
                <w:szCs w:val="32"/>
              </w:rPr>
            </w:pPr>
            <w:r>
              <w:rPr>
                <w:rFonts w:hint="eastAsia"/>
                <w:sz w:val="24"/>
                <w:szCs w:val="32"/>
              </w:rPr>
              <w:t>输油管线下方铺设防油防渗膜，一旦管线泄漏可有效收集泄漏的原油，并定期检查管道防渗膜是否完整，在发生泄漏事故时能够及时处理；</w:t>
            </w:r>
          </w:p>
          <w:p w14:paraId="1D993F69">
            <w:pPr>
              <w:spacing w:line="360" w:lineRule="auto"/>
              <w:ind w:firstLine="480" w:firstLineChars="200"/>
              <w:rPr>
                <w:sz w:val="24"/>
                <w:szCs w:val="32"/>
              </w:rPr>
            </w:pPr>
            <w:r>
              <w:rPr>
                <w:rFonts w:hint="eastAsia"/>
                <w:sz w:val="24"/>
                <w:szCs w:val="32"/>
              </w:rPr>
              <w:t>若发生泄漏：在管道发生断裂、漏油事故时，按顺序停泵或关井。抢修队根据现场情况及时抢修，做好安全防范工作，把损失控制在最小范围内。</w:t>
            </w:r>
          </w:p>
          <w:p w14:paraId="3A6824E6">
            <w:pPr>
              <w:spacing w:line="360" w:lineRule="auto"/>
              <w:ind w:firstLine="480" w:firstLineChars="200"/>
              <w:rPr>
                <w:sz w:val="24"/>
                <w:szCs w:val="32"/>
              </w:rPr>
            </w:pPr>
            <w:r>
              <w:rPr>
                <w:sz w:val="24"/>
                <w:szCs w:val="32"/>
              </w:rPr>
              <w:t>收泄漏原油：将防渗</w:t>
            </w:r>
            <w:r>
              <w:rPr>
                <w:rFonts w:hint="eastAsia"/>
                <w:sz w:val="24"/>
                <w:szCs w:val="32"/>
              </w:rPr>
              <w:t>膜</w:t>
            </w:r>
            <w:r>
              <w:rPr>
                <w:sz w:val="24"/>
                <w:szCs w:val="32"/>
              </w:rPr>
              <w:t>收集的泄漏原油回收，若泄漏扩大，防渗</w:t>
            </w:r>
            <w:r>
              <w:rPr>
                <w:rFonts w:hint="eastAsia"/>
                <w:sz w:val="24"/>
                <w:szCs w:val="32"/>
              </w:rPr>
              <w:t>膜</w:t>
            </w:r>
            <w:r>
              <w:rPr>
                <w:sz w:val="24"/>
                <w:szCs w:val="32"/>
              </w:rPr>
              <w:t>不能完全收集泄漏原油，首先限制地表污染的扩大。油受重力和地形的控制，会流向低洼地带，应尽量防止泄漏石油移动。在现场挖土安装集油装置，利用防爆型油泵或隔膜泵将泄漏的油品抽入桶内或槽车内进行收集回收，同时交通运输组调集足够数量的油罐车到达现场。</w:t>
            </w:r>
            <w:r>
              <w:rPr>
                <w:sz w:val="24"/>
              </w:rPr>
              <w:t>造成的污染建设单位应根据《污染地块土壤环境管理办法（试行）》（中华人民共和国环境保护部令第42号）确定责任权属，对污染地块开展环境调查与风险评估，根据风险评估报告开展相应工作。</w:t>
            </w:r>
          </w:p>
          <w:p w14:paraId="56ECB642">
            <w:pPr>
              <w:spacing w:line="360" w:lineRule="auto"/>
              <w:ind w:firstLine="480" w:firstLineChars="200"/>
              <w:rPr>
                <w:sz w:val="24"/>
                <w:szCs w:val="32"/>
              </w:rPr>
            </w:pPr>
            <w:r>
              <w:rPr>
                <w:sz w:val="24"/>
                <w:szCs w:val="32"/>
              </w:rPr>
              <w:t>（4）柴油储罐环境风险防范措施</w:t>
            </w:r>
          </w:p>
          <w:p w14:paraId="248FC9A8">
            <w:pPr>
              <w:adjustRightInd w:val="0"/>
              <w:spacing w:line="360" w:lineRule="auto"/>
              <w:ind w:firstLine="480" w:firstLineChars="200"/>
              <w:rPr>
                <w:sz w:val="24"/>
              </w:rPr>
            </w:pPr>
            <w:r>
              <w:rPr>
                <w:sz w:val="24"/>
              </w:rPr>
              <w:t>泄漏防范措施：柴油罐区设置防渗膜，并设置</w:t>
            </w:r>
            <w:r>
              <w:rPr>
                <w:rFonts w:hint="eastAsia"/>
                <w:sz w:val="24"/>
              </w:rPr>
              <w:t>20cm高</w:t>
            </w:r>
            <w:r>
              <w:rPr>
                <w:sz w:val="24"/>
              </w:rPr>
              <w:t>围堰，有效收集柴油罐泄漏液体。</w:t>
            </w:r>
          </w:p>
          <w:p w14:paraId="7E9CE9DA">
            <w:pPr>
              <w:adjustRightInd w:val="0"/>
              <w:spacing w:line="360" w:lineRule="auto"/>
              <w:ind w:firstLine="480" w:firstLineChars="200"/>
              <w:rPr>
                <w:sz w:val="24"/>
              </w:rPr>
            </w:pPr>
            <w:r>
              <w:rPr>
                <w:rFonts w:hint="eastAsia"/>
                <w:sz w:val="24"/>
              </w:rPr>
              <w:t>燃料管理：根据各种油品性能加以安全控制；采用通风等方法，去除油品蒸汽；加强检测，将油品蒸汽控制在爆炸下限之内。</w:t>
            </w:r>
          </w:p>
          <w:p w14:paraId="7F3BB8BB">
            <w:pPr>
              <w:adjustRightInd w:val="0"/>
              <w:spacing w:line="360" w:lineRule="auto"/>
              <w:ind w:firstLine="480" w:firstLineChars="200"/>
              <w:rPr>
                <w:sz w:val="24"/>
              </w:rPr>
            </w:pPr>
            <w:r>
              <w:rPr>
                <w:rFonts w:hint="eastAsia"/>
                <w:sz w:val="24"/>
              </w:rPr>
              <w:t>火源管理：防止摩擦、撞击等机械引火源；控制高温物体着火源，化学及电器着火源。</w:t>
            </w:r>
          </w:p>
          <w:p w14:paraId="476EC24F">
            <w:pPr>
              <w:adjustRightInd w:val="0"/>
              <w:spacing w:line="360" w:lineRule="auto"/>
              <w:ind w:firstLine="480" w:firstLineChars="200"/>
              <w:rPr>
                <w:sz w:val="24"/>
              </w:rPr>
            </w:pPr>
            <w:r>
              <w:rPr>
                <w:rFonts w:hint="eastAsia"/>
                <w:sz w:val="24"/>
              </w:rPr>
              <w:t>储油设备安全管理：根据国家相关规定，对设备进行分级；根据分级要求确定检查频率并记录保存；建立完善的消防系统。</w:t>
            </w:r>
          </w:p>
          <w:p w14:paraId="24208DCC">
            <w:pPr>
              <w:adjustRightInd w:val="0"/>
              <w:spacing w:line="360" w:lineRule="auto"/>
              <w:ind w:firstLine="480" w:firstLineChars="200"/>
              <w:rPr>
                <w:sz w:val="24"/>
              </w:rPr>
            </w:pPr>
            <w:r>
              <w:rPr>
                <w:rFonts w:hint="eastAsia"/>
                <w:sz w:val="24"/>
              </w:rPr>
              <w:t>防爆：油罐顶设安全膜等防爆装置；防爆检测和报警系统。</w:t>
            </w:r>
          </w:p>
          <w:p w14:paraId="75C88A0B">
            <w:pPr>
              <w:adjustRightInd w:val="0"/>
              <w:spacing w:line="360" w:lineRule="auto"/>
              <w:ind w:firstLine="480" w:firstLineChars="200"/>
              <w:rPr>
                <w:sz w:val="24"/>
              </w:rPr>
            </w:pPr>
            <w:r>
              <w:rPr>
                <w:rFonts w:hint="eastAsia"/>
                <w:sz w:val="24"/>
              </w:rPr>
              <w:t>抗静电：油罐设备接地要良好，要设永久性接地装置，油罐内禁止安装金属突出物；作业人员要穿戴抗静工作服和导电性能好的工作鞋等。</w:t>
            </w:r>
          </w:p>
          <w:p w14:paraId="3D5E447D">
            <w:pPr>
              <w:adjustRightInd w:val="0"/>
              <w:spacing w:line="360" w:lineRule="auto"/>
              <w:ind w:firstLine="480" w:firstLineChars="200"/>
              <w:rPr>
                <w:sz w:val="24"/>
              </w:rPr>
            </w:pPr>
            <w:r>
              <w:rPr>
                <w:rFonts w:hint="eastAsia"/>
                <w:sz w:val="24"/>
              </w:rPr>
              <w:t>另外，柴油储罐设置在井场主导风向下风向，与井口的距离不得小于50m。在井架上、井场路口等处设置风向标，以便发生事故时人员能迅速向上风向疏散。</w:t>
            </w:r>
          </w:p>
          <w:p w14:paraId="3B0A71AB">
            <w:pPr>
              <w:spacing w:line="360" w:lineRule="auto"/>
              <w:ind w:firstLine="480" w:firstLineChars="200"/>
              <w:rPr>
                <w:bCs/>
                <w:sz w:val="24"/>
                <w:szCs w:val="32"/>
              </w:rPr>
            </w:pPr>
            <w:r>
              <w:rPr>
                <w:rFonts w:hint="eastAsia"/>
                <w:bCs/>
                <w:sz w:val="24"/>
                <w:szCs w:val="32"/>
              </w:rPr>
              <w:t>2、</w:t>
            </w:r>
            <w:r>
              <w:rPr>
                <w:bCs/>
                <w:sz w:val="24"/>
                <w:szCs w:val="32"/>
              </w:rPr>
              <w:t>地下水环境风险防范</w:t>
            </w:r>
          </w:p>
          <w:p w14:paraId="50AC8160">
            <w:pPr>
              <w:spacing w:line="360" w:lineRule="auto"/>
              <w:ind w:firstLine="480" w:firstLineChars="200"/>
              <w:rPr>
                <w:sz w:val="24"/>
                <w:szCs w:val="32"/>
              </w:rPr>
            </w:pPr>
            <w:r>
              <w:rPr>
                <w:sz w:val="24"/>
                <w:szCs w:val="32"/>
              </w:rPr>
              <w:t>（1）井漏防范措施</w:t>
            </w:r>
          </w:p>
          <w:p w14:paraId="060CA1CC">
            <w:pPr>
              <w:spacing w:line="360" w:lineRule="auto"/>
              <w:ind w:firstLine="480" w:firstLineChars="200"/>
              <w:rPr>
                <w:sz w:val="24"/>
                <w:szCs w:val="32"/>
              </w:rPr>
            </w:pPr>
            <w:r>
              <w:rPr>
                <w:rFonts w:hint="eastAsia"/>
                <w:sz w:val="24"/>
                <w:szCs w:val="32"/>
              </w:rPr>
              <w:t>在施工过程中对井漏应坚持预防为主的原则，主要包括避开复杂地质环境、选用和维持较低的井筒内钻井介质压力、提高地层承压能力等防范措施：</w:t>
            </w:r>
          </w:p>
          <w:p w14:paraId="0A4153B8">
            <w:pPr>
              <w:spacing w:line="360" w:lineRule="auto"/>
              <w:ind w:firstLine="480" w:firstLineChars="200"/>
              <w:rPr>
                <w:sz w:val="24"/>
                <w:szCs w:val="32"/>
              </w:rPr>
            </w:pPr>
            <w:r>
              <w:rPr>
                <w:rFonts w:hint="eastAsia"/>
                <w:sz w:val="24"/>
                <w:szCs w:val="32"/>
              </w:rPr>
              <w:t>1）</w:t>
            </w:r>
            <w:r>
              <w:rPr>
                <w:sz w:val="24"/>
                <w:szCs w:val="32"/>
              </w:rPr>
              <w:t>在保证钻井泥浆能携带钻屑的前提下，尽可能降低钻井泥浆粘度，提高泥饼质量，防止因井壁泥饼较厚起环空间隙较小，导致环空压耗增大。</w:t>
            </w:r>
          </w:p>
          <w:p w14:paraId="029AAEE5">
            <w:pPr>
              <w:spacing w:line="360" w:lineRule="auto"/>
              <w:ind w:firstLine="480" w:firstLineChars="200"/>
              <w:rPr>
                <w:sz w:val="24"/>
                <w:szCs w:val="32"/>
              </w:rPr>
            </w:pPr>
            <w:r>
              <w:rPr>
                <w:rFonts w:hint="eastAsia"/>
                <w:sz w:val="24"/>
                <w:szCs w:val="32"/>
              </w:rPr>
              <w:t>2）</w:t>
            </w:r>
            <w:r>
              <w:rPr>
                <w:sz w:val="24"/>
                <w:szCs w:val="32"/>
              </w:rPr>
              <w:t>在钻井过程中，应严格按照正确的程序操作进行钻井，禁止违规操作，并及时下套管封固井身。</w:t>
            </w:r>
          </w:p>
          <w:p w14:paraId="0FD046E9">
            <w:pPr>
              <w:spacing w:line="360" w:lineRule="auto"/>
              <w:ind w:firstLine="480" w:firstLineChars="200"/>
              <w:rPr>
                <w:sz w:val="24"/>
                <w:szCs w:val="32"/>
              </w:rPr>
            </w:pPr>
            <w:r>
              <w:rPr>
                <w:sz w:val="24"/>
                <w:szCs w:val="32"/>
              </w:rPr>
              <w:t>（2）地下水防止串层措施</w:t>
            </w:r>
          </w:p>
          <w:p w14:paraId="348E458A">
            <w:pPr>
              <w:spacing w:line="360" w:lineRule="auto"/>
              <w:ind w:firstLine="480" w:firstLineChars="200"/>
              <w:rPr>
                <w:sz w:val="24"/>
                <w:szCs w:val="32"/>
              </w:rPr>
            </w:pPr>
            <w:r>
              <w:rPr>
                <w:rFonts w:hint="eastAsia"/>
                <w:sz w:val="24"/>
                <w:szCs w:val="32"/>
              </w:rPr>
              <w:t>1）钻井过程中使用双层套管，表层套管和油层套管固井水泥均返至井口处，确保安全封闭此深度内的潜水层和承压水层，同时封固地表疏松地层，为井口控制和后续完井采用预应力固井创造条件。</w:t>
            </w:r>
          </w:p>
          <w:p w14:paraId="267C76B2">
            <w:pPr>
              <w:spacing w:line="360" w:lineRule="auto"/>
              <w:ind w:firstLine="480" w:firstLineChars="200"/>
              <w:rPr>
                <w:sz w:val="24"/>
                <w:szCs w:val="32"/>
              </w:rPr>
            </w:pPr>
            <w:r>
              <w:rPr>
                <w:rFonts w:hint="eastAsia"/>
                <w:sz w:val="24"/>
                <w:szCs w:val="32"/>
              </w:rPr>
              <w:t>2）钻井过程中的固井措施，一方面加固井壁，同时也有分隔地层的作用，使各个不相联通的地层分隔开来，保持其原有的循环运移道路。</w:t>
            </w:r>
          </w:p>
          <w:p w14:paraId="3B68043B">
            <w:pPr>
              <w:spacing w:line="360" w:lineRule="auto"/>
              <w:ind w:firstLine="480" w:firstLineChars="200"/>
              <w:rPr>
                <w:sz w:val="24"/>
                <w:szCs w:val="32"/>
              </w:rPr>
            </w:pPr>
            <w:r>
              <w:rPr>
                <w:rFonts w:hint="eastAsia"/>
                <w:sz w:val="24"/>
                <w:szCs w:val="32"/>
              </w:rPr>
              <w:t>3在钻井施工过程中根据地层地质结构及含水层位的不同，采取下不同深度的套管，表层套管下至500m左右并注入水泥封固，确保套管能完全封隔含水层。而且，钻井施工过程中，不只是有表层套管，还会下技术套管、生产套管等，并且每层套管和井壁之间会用水泥封固，防止地下水串层。</w:t>
            </w:r>
          </w:p>
          <w:p w14:paraId="6D785F66">
            <w:pPr>
              <w:spacing w:line="360" w:lineRule="auto"/>
              <w:ind w:firstLine="480" w:firstLineChars="200"/>
              <w:rPr>
                <w:sz w:val="24"/>
                <w:szCs w:val="32"/>
              </w:rPr>
            </w:pPr>
            <w:r>
              <w:rPr>
                <w:sz w:val="24"/>
                <w:szCs w:val="32"/>
              </w:rPr>
              <w:t>（3）分区防渗措施</w:t>
            </w:r>
          </w:p>
          <w:p w14:paraId="57BE07EC">
            <w:pPr>
              <w:spacing w:line="360" w:lineRule="auto"/>
              <w:ind w:firstLine="480" w:firstLineChars="200"/>
              <w:rPr>
                <w:sz w:val="24"/>
                <w:szCs w:val="32"/>
              </w:rPr>
            </w:pPr>
            <w:r>
              <w:rPr>
                <w:rFonts w:hint="eastAsia"/>
                <w:sz w:val="24"/>
                <w:szCs w:val="32"/>
              </w:rPr>
              <w:t>在钻井过程中应当严格按照钻井程序进行。在钻进过程中和钻井泥浆的使用过程中做好监督管理，做好工作人员的教育培训，保证钻井泥浆的正常使用。</w:t>
            </w:r>
          </w:p>
          <w:p w14:paraId="260CD28D">
            <w:pPr>
              <w:spacing w:line="360" w:lineRule="auto"/>
              <w:ind w:firstLine="480" w:firstLineChars="200"/>
              <w:rPr>
                <w:sz w:val="24"/>
                <w:szCs w:val="32"/>
              </w:rPr>
            </w:pPr>
            <w:r>
              <w:rPr>
                <w:rFonts w:hint="eastAsia"/>
                <w:sz w:val="24"/>
                <w:szCs w:val="32"/>
              </w:rPr>
              <w:t>对钻井平台、泥浆不落地循环系统装置区、柴油罐区、原材料堆存区、撬装式危废贮存点周围的地面做好分区防渗措施，从而避免钻井泥浆泄漏、柴油泄漏、废润滑油泄漏带来的风险。在钻井施工时，制定出正常、异常或紧急状态下的操作手册和维修手册，并对操作、维修人员进行培训，持证上岗，避免因严重操作失误而造成的事故。</w:t>
            </w:r>
          </w:p>
          <w:p w14:paraId="606E72CC">
            <w:pPr>
              <w:spacing w:line="360" w:lineRule="auto"/>
              <w:ind w:firstLine="480" w:firstLineChars="200"/>
              <w:rPr>
                <w:sz w:val="24"/>
                <w:szCs w:val="32"/>
              </w:rPr>
            </w:pPr>
            <w:r>
              <w:rPr>
                <w:rFonts w:hint="eastAsia"/>
                <w:sz w:val="24"/>
                <w:szCs w:val="32"/>
              </w:rPr>
              <w:t>3、地表水环境风险防范措施</w:t>
            </w:r>
          </w:p>
          <w:p w14:paraId="227292CA">
            <w:pPr>
              <w:spacing w:line="360" w:lineRule="auto"/>
              <w:ind w:firstLine="480" w:firstLineChars="200"/>
              <w:rPr>
                <w:sz w:val="24"/>
                <w:szCs w:val="32"/>
              </w:rPr>
            </w:pPr>
            <w:r>
              <w:rPr>
                <w:rFonts w:hint="eastAsia"/>
                <w:sz w:val="24"/>
                <w:szCs w:val="32"/>
              </w:rPr>
              <w:t>项目周围近距离无地表水敏感目标，不会对地表水体产生不利影响。</w:t>
            </w:r>
          </w:p>
          <w:p w14:paraId="155245F8">
            <w:pPr>
              <w:spacing w:line="360" w:lineRule="auto"/>
              <w:ind w:firstLine="480" w:firstLineChars="200"/>
              <w:rPr>
                <w:sz w:val="24"/>
                <w:szCs w:val="32"/>
              </w:rPr>
            </w:pPr>
            <w:r>
              <w:rPr>
                <w:rFonts w:hint="eastAsia"/>
                <w:sz w:val="24"/>
                <w:szCs w:val="32"/>
              </w:rPr>
              <w:t>4、其他防范措施</w:t>
            </w:r>
          </w:p>
          <w:p w14:paraId="1CD2E9D5">
            <w:pPr>
              <w:spacing w:line="360" w:lineRule="auto"/>
              <w:ind w:firstLine="480" w:firstLineChars="200"/>
              <w:rPr>
                <w:sz w:val="24"/>
                <w:szCs w:val="32"/>
              </w:rPr>
            </w:pPr>
            <w:r>
              <w:rPr>
                <w:rFonts w:hint="eastAsia"/>
                <w:sz w:val="24"/>
                <w:szCs w:val="32"/>
              </w:rPr>
              <w:t>在事故状态下，由可移动废水收集罐（</w:t>
            </w:r>
            <w:r>
              <w:rPr>
                <w:sz w:val="24"/>
                <w:szCs w:val="32"/>
              </w:rPr>
              <w:t>3×30m</w:t>
            </w:r>
            <w:r>
              <w:rPr>
                <w:sz w:val="24"/>
                <w:szCs w:val="32"/>
                <w:vertAlign w:val="superscript"/>
              </w:rPr>
              <w:t>3</w:t>
            </w:r>
            <w:r>
              <w:rPr>
                <w:rFonts w:hint="eastAsia"/>
                <w:sz w:val="24"/>
                <w:szCs w:val="32"/>
              </w:rPr>
              <w:t>）以及循环罐（6</w:t>
            </w:r>
            <w:r>
              <w:rPr>
                <w:sz w:val="24"/>
                <w:szCs w:val="32"/>
              </w:rPr>
              <w:t>×</w:t>
            </w:r>
            <w:r>
              <w:rPr>
                <w:rFonts w:hint="eastAsia"/>
                <w:sz w:val="24"/>
                <w:szCs w:val="32"/>
              </w:rPr>
              <w:t>4</w:t>
            </w:r>
            <w:r>
              <w:rPr>
                <w:sz w:val="24"/>
                <w:szCs w:val="32"/>
              </w:rPr>
              <w:t>0m</w:t>
            </w:r>
            <w:r>
              <w:rPr>
                <w:sz w:val="24"/>
                <w:szCs w:val="32"/>
                <w:vertAlign w:val="superscript"/>
              </w:rPr>
              <w:t>3</w:t>
            </w:r>
            <w:r>
              <w:rPr>
                <w:rFonts w:hint="eastAsia"/>
                <w:sz w:val="24"/>
                <w:szCs w:val="32"/>
              </w:rPr>
              <w:t>）组成应急储存设施，以满足事故状态下收集泄漏物料、污染消防水和污染雨水的需要。</w:t>
            </w:r>
          </w:p>
          <w:p w14:paraId="4AAA4172">
            <w:pPr>
              <w:spacing w:line="360" w:lineRule="auto"/>
              <w:ind w:firstLine="480" w:firstLineChars="200"/>
              <w:rPr>
                <w:sz w:val="24"/>
                <w:szCs w:val="32"/>
              </w:rPr>
            </w:pPr>
            <w:r>
              <w:rPr>
                <w:rFonts w:hint="eastAsia"/>
                <w:sz w:val="24"/>
                <w:szCs w:val="32"/>
              </w:rPr>
              <w:t>5、分析结论</w:t>
            </w:r>
          </w:p>
          <w:p w14:paraId="08A9830D">
            <w:pPr>
              <w:spacing w:line="360" w:lineRule="auto"/>
              <w:ind w:firstLine="480" w:firstLineChars="200"/>
              <w:rPr>
                <w:sz w:val="24"/>
                <w:szCs w:val="32"/>
              </w:rPr>
            </w:pPr>
            <w:r>
              <w:rPr>
                <w:rFonts w:hint="eastAsia"/>
                <w:sz w:val="24"/>
                <w:szCs w:val="32"/>
              </w:rPr>
              <w:t>勘探井建设过程环境风险事故中，影响范围较广的风险事故主要为井喷及井喷引起的火灾、爆炸等。在认真落实工程采用的安全环境措施及评价所提出的措施和对策后，工程事故对周围影响处于可接受水平。</w:t>
            </w:r>
          </w:p>
          <w:p w14:paraId="5A7A5622">
            <w:pPr>
              <w:spacing w:line="360" w:lineRule="auto"/>
              <w:ind w:firstLine="480" w:firstLineChars="200"/>
              <w:rPr>
                <w:sz w:val="24"/>
                <w:szCs w:val="32"/>
              </w:rPr>
            </w:pPr>
            <w:r>
              <w:rPr>
                <w:rFonts w:hint="eastAsia"/>
                <w:sz w:val="24"/>
                <w:szCs w:val="32"/>
              </w:rPr>
              <w:t>6</w:t>
            </w:r>
            <w:r>
              <w:rPr>
                <w:sz w:val="24"/>
                <w:szCs w:val="32"/>
              </w:rPr>
              <w:t>、应急计划</w:t>
            </w:r>
          </w:p>
          <w:p w14:paraId="034C9FB2">
            <w:pPr>
              <w:spacing w:line="360" w:lineRule="auto"/>
              <w:ind w:firstLine="480" w:firstLineChars="200"/>
              <w:rPr>
                <w:sz w:val="24"/>
                <w:szCs w:val="32"/>
              </w:rPr>
            </w:pPr>
            <w:r>
              <w:rPr>
                <w:rFonts w:hint="eastAsia"/>
                <w:sz w:val="24"/>
                <w:szCs w:val="32"/>
              </w:rPr>
              <w:t>油井勘探在工程施工过程中，应针对项目的特点，以及建设、运营过程中可能发生的事故风险，结合当地的自然条件、环境状况、地理位置，以及依托条件，制定相应的事故现场处置应急方案，特别是对于环境保护目标等敏感区，确保在突发事故发生后，能及时采取应急处理措施，减少风险事故造成的损失。应急预案应包括以下主要内容：</w:t>
            </w:r>
          </w:p>
          <w:p w14:paraId="32DD3EC2">
            <w:pPr>
              <w:spacing w:line="360" w:lineRule="auto"/>
              <w:ind w:firstLine="480" w:firstLineChars="200"/>
              <w:rPr>
                <w:sz w:val="24"/>
                <w:szCs w:val="32"/>
              </w:rPr>
            </w:pPr>
            <w:r>
              <w:rPr>
                <w:sz w:val="24"/>
                <w:szCs w:val="32"/>
              </w:rPr>
              <w:t>（1）总则</w:t>
            </w:r>
          </w:p>
          <w:p w14:paraId="0625EB77">
            <w:pPr>
              <w:spacing w:line="360" w:lineRule="auto"/>
              <w:ind w:firstLine="480" w:firstLineChars="200"/>
              <w:rPr>
                <w:sz w:val="24"/>
                <w:szCs w:val="32"/>
              </w:rPr>
            </w:pPr>
            <w:r>
              <w:rPr>
                <w:sz w:val="24"/>
                <w:szCs w:val="32"/>
              </w:rPr>
              <w:t>应急组织要坚持</w:t>
            </w:r>
            <w:r>
              <w:rPr>
                <w:rFonts w:hint="eastAsia"/>
                <w:sz w:val="24"/>
                <w:szCs w:val="32"/>
              </w:rPr>
              <w:t>“</w:t>
            </w:r>
            <w:r>
              <w:rPr>
                <w:sz w:val="24"/>
                <w:szCs w:val="32"/>
              </w:rPr>
              <w:t>主动预防、积极抢救</w:t>
            </w:r>
            <w:r>
              <w:rPr>
                <w:rFonts w:hint="eastAsia"/>
                <w:sz w:val="24"/>
                <w:szCs w:val="32"/>
              </w:rPr>
              <w:t>”</w:t>
            </w:r>
            <w:r>
              <w:rPr>
                <w:sz w:val="24"/>
                <w:szCs w:val="32"/>
              </w:rPr>
              <w:t>的原则，应能够处理火灾、爆炸、泄漏等突发事故，快速的反应和正确的处理措施是处理突发事故和灾害的关键。</w:t>
            </w:r>
          </w:p>
          <w:p w14:paraId="7ADE50A5">
            <w:pPr>
              <w:spacing w:line="360" w:lineRule="auto"/>
              <w:ind w:firstLine="480" w:firstLineChars="200"/>
              <w:rPr>
                <w:sz w:val="24"/>
                <w:szCs w:val="32"/>
              </w:rPr>
            </w:pPr>
            <w:r>
              <w:rPr>
                <w:sz w:val="24"/>
                <w:szCs w:val="32"/>
              </w:rPr>
              <w:t>（2）处理原则</w:t>
            </w:r>
          </w:p>
          <w:p w14:paraId="3E98FF4C">
            <w:pPr>
              <w:spacing w:line="360" w:lineRule="auto"/>
              <w:ind w:firstLine="480" w:firstLineChars="200"/>
              <w:rPr>
                <w:sz w:val="24"/>
                <w:szCs w:val="32"/>
              </w:rPr>
            </w:pPr>
            <w:r>
              <w:rPr>
                <w:sz w:val="24"/>
                <w:szCs w:val="32"/>
              </w:rPr>
              <w:t>事故发生后事故处理的基本程序和要求。</w:t>
            </w:r>
          </w:p>
          <w:p w14:paraId="79FE16C0">
            <w:pPr>
              <w:spacing w:line="360" w:lineRule="auto"/>
              <w:ind w:firstLine="480" w:firstLineChars="200"/>
              <w:rPr>
                <w:sz w:val="24"/>
                <w:szCs w:val="32"/>
              </w:rPr>
            </w:pPr>
            <w:r>
              <w:rPr>
                <w:sz w:val="24"/>
                <w:szCs w:val="32"/>
              </w:rPr>
              <w:t>（3）应急计划区</w:t>
            </w:r>
          </w:p>
          <w:p w14:paraId="3B08F533">
            <w:pPr>
              <w:spacing w:line="360" w:lineRule="auto"/>
              <w:ind w:firstLine="480" w:firstLineChars="200"/>
              <w:rPr>
                <w:sz w:val="24"/>
                <w:szCs w:val="32"/>
              </w:rPr>
            </w:pPr>
            <w:r>
              <w:rPr>
                <w:sz w:val="24"/>
                <w:szCs w:val="32"/>
              </w:rPr>
              <w:t>危险目标：</w:t>
            </w:r>
            <w:r>
              <w:rPr>
                <w:rFonts w:hint="eastAsia"/>
                <w:sz w:val="24"/>
                <w:szCs w:val="32"/>
              </w:rPr>
              <w:t>井场</w:t>
            </w:r>
            <w:r>
              <w:rPr>
                <w:sz w:val="24"/>
                <w:szCs w:val="32"/>
              </w:rPr>
              <w:t>井口、储</w:t>
            </w:r>
            <w:r>
              <w:rPr>
                <w:rFonts w:hint="eastAsia"/>
                <w:sz w:val="24"/>
                <w:szCs w:val="32"/>
              </w:rPr>
              <w:t>液</w:t>
            </w:r>
            <w:r>
              <w:rPr>
                <w:sz w:val="24"/>
                <w:szCs w:val="32"/>
              </w:rPr>
              <w:t>罐、输油管线。</w:t>
            </w:r>
          </w:p>
          <w:p w14:paraId="39F7BF1B">
            <w:pPr>
              <w:spacing w:line="360" w:lineRule="auto"/>
              <w:ind w:firstLine="480" w:firstLineChars="200"/>
              <w:rPr>
                <w:sz w:val="24"/>
                <w:szCs w:val="32"/>
              </w:rPr>
            </w:pPr>
            <w:r>
              <w:rPr>
                <w:sz w:val="24"/>
                <w:szCs w:val="32"/>
              </w:rPr>
              <w:t>（4）预案分级响应条件</w:t>
            </w:r>
          </w:p>
          <w:p w14:paraId="20AB85B0">
            <w:pPr>
              <w:spacing w:line="360" w:lineRule="auto"/>
              <w:ind w:firstLine="480" w:firstLineChars="200"/>
              <w:rPr>
                <w:sz w:val="24"/>
                <w:szCs w:val="32"/>
              </w:rPr>
            </w:pPr>
            <w:r>
              <w:rPr>
                <w:sz w:val="24"/>
                <w:szCs w:val="32"/>
              </w:rPr>
              <w:t>根据事故发生的规模以及对环境造成的污染程度，规定预案的级别及分级响应程序。</w:t>
            </w:r>
          </w:p>
          <w:p w14:paraId="6C2DF9AE">
            <w:pPr>
              <w:spacing w:line="360" w:lineRule="auto"/>
              <w:ind w:firstLine="480" w:firstLineChars="200"/>
              <w:rPr>
                <w:sz w:val="24"/>
                <w:szCs w:val="32"/>
              </w:rPr>
            </w:pPr>
            <w:r>
              <w:rPr>
                <w:sz w:val="24"/>
                <w:szCs w:val="32"/>
              </w:rPr>
              <w:t>（5）应急救援保障</w:t>
            </w:r>
          </w:p>
          <w:p w14:paraId="174C9456">
            <w:pPr>
              <w:spacing w:line="360" w:lineRule="auto"/>
              <w:ind w:firstLine="480" w:firstLineChars="200"/>
              <w:rPr>
                <w:sz w:val="24"/>
                <w:szCs w:val="32"/>
              </w:rPr>
            </w:pPr>
            <w:r>
              <w:rPr>
                <w:rFonts w:hint="eastAsia"/>
                <w:sz w:val="24"/>
                <w:szCs w:val="32"/>
              </w:rPr>
              <w:t>项目勘探过程中，在井场、储罐等区域配备一定数量的应急设施、设备与器材，同时配备相应的应急监测设备。</w:t>
            </w:r>
          </w:p>
          <w:p w14:paraId="23928934">
            <w:pPr>
              <w:autoSpaceDE w:val="0"/>
              <w:autoSpaceDN w:val="0"/>
              <w:adjustRightInd w:val="0"/>
              <w:jc w:val="center"/>
              <w:rPr>
                <w:b/>
                <w:kern w:val="0"/>
                <w:sz w:val="24"/>
              </w:rPr>
            </w:pPr>
            <w:r>
              <w:rPr>
                <w:b/>
                <w:kern w:val="0"/>
                <w:sz w:val="24"/>
              </w:rPr>
              <w:t>表</w:t>
            </w:r>
            <w:r>
              <w:rPr>
                <w:rFonts w:hint="eastAsia"/>
                <w:b/>
                <w:kern w:val="0"/>
                <w:sz w:val="24"/>
              </w:rPr>
              <w:t>5</w:t>
            </w:r>
            <w:r>
              <w:rPr>
                <w:b/>
                <w:kern w:val="0"/>
                <w:sz w:val="24"/>
              </w:rPr>
              <w:t>-</w:t>
            </w:r>
            <w:r>
              <w:rPr>
                <w:rFonts w:hint="eastAsia"/>
                <w:b/>
                <w:kern w:val="0"/>
                <w:sz w:val="24"/>
              </w:rPr>
              <w:t>2 应急</w:t>
            </w:r>
            <w:r>
              <w:rPr>
                <w:b/>
                <w:kern w:val="0"/>
                <w:sz w:val="24"/>
              </w:rPr>
              <w:t>物资一览表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829"/>
              <w:gridCol w:w="2126"/>
              <w:gridCol w:w="1134"/>
              <w:gridCol w:w="1419"/>
            </w:tblGrid>
            <w:tr w14:paraId="71CF5F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070CF95F">
                  <w:pPr>
                    <w:tabs>
                      <w:tab w:val="left" w:pos="377"/>
                    </w:tabs>
                    <w:adjustRightInd w:val="0"/>
                    <w:jc w:val="center"/>
                    <w:rPr>
                      <w:szCs w:val="21"/>
                    </w:rPr>
                  </w:pPr>
                  <w:r>
                    <w:rPr>
                      <w:szCs w:val="21"/>
                    </w:rPr>
                    <w:t>序号</w:t>
                  </w:r>
                </w:p>
              </w:tc>
              <w:tc>
                <w:tcPr>
                  <w:tcW w:w="1724" w:type="pct"/>
                  <w:tcBorders>
                    <w:left w:val="single" w:color="auto" w:sz="4" w:space="0"/>
                  </w:tcBorders>
                  <w:tcMar>
                    <w:top w:w="0" w:type="dxa"/>
                    <w:left w:w="28" w:type="dxa"/>
                    <w:bottom w:w="0" w:type="dxa"/>
                    <w:right w:w="28" w:type="dxa"/>
                  </w:tcMar>
                  <w:vAlign w:val="center"/>
                </w:tcPr>
                <w:p w14:paraId="07E4116F">
                  <w:pPr>
                    <w:tabs>
                      <w:tab w:val="left" w:pos="377"/>
                    </w:tabs>
                    <w:adjustRightInd w:val="0"/>
                    <w:jc w:val="center"/>
                    <w:rPr>
                      <w:szCs w:val="21"/>
                    </w:rPr>
                  </w:pPr>
                  <w:r>
                    <w:rPr>
                      <w:szCs w:val="21"/>
                    </w:rPr>
                    <w:t>名称</w:t>
                  </w:r>
                </w:p>
              </w:tc>
              <w:tc>
                <w:tcPr>
                  <w:tcW w:w="1296" w:type="pct"/>
                  <w:tcMar>
                    <w:top w:w="0" w:type="dxa"/>
                    <w:left w:w="28" w:type="dxa"/>
                    <w:bottom w:w="0" w:type="dxa"/>
                    <w:right w:w="28" w:type="dxa"/>
                  </w:tcMar>
                  <w:vAlign w:val="center"/>
                </w:tcPr>
                <w:p w14:paraId="56402E9B">
                  <w:pPr>
                    <w:tabs>
                      <w:tab w:val="left" w:pos="377"/>
                    </w:tabs>
                    <w:adjustRightInd w:val="0"/>
                    <w:jc w:val="center"/>
                    <w:rPr>
                      <w:szCs w:val="21"/>
                    </w:rPr>
                  </w:pPr>
                  <w:r>
                    <w:rPr>
                      <w:szCs w:val="21"/>
                    </w:rPr>
                    <w:t>配备地点</w:t>
                  </w:r>
                </w:p>
              </w:tc>
              <w:tc>
                <w:tcPr>
                  <w:tcW w:w="691" w:type="pct"/>
                  <w:tcBorders>
                    <w:right w:val="single" w:color="auto" w:sz="4" w:space="0"/>
                  </w:tcBorders>
                  <w:tcMar>
                    <w:top w:w="0" w:type="dxa"/>
                    <w:left w:w="28" w:type="dxa"/>
                    <w:bottom w:w="0" w:type="dxa"/>
                    <w:right w:w="28" w:type="dxa"/>
                  </w:tcMar>
                  <w:vAlign w:val="center"/>
                </w:tcPr>
                <w:p w14:paraId="764D30CE">
                  <w:pPr>
                    <w:tabs>
                      <w:tab w:val="left" w:pos="377"/>
                    </w:tabs>
                    <w:adjustRightInd w:val="0"/>
                    <w:jc w:val="center"/>
                    <w:rPr>
                      <w:szCs w:val="21"/>
                    </w:rPr>
                  </w:pPr>
                  <w:r>
                    <w:rPr>
                      <w:szCs w:val="21"/>
                    </w:rPr>
                    <w:t>种类</w:t>
                  </w:r>
                </w:p>
              </w:tc>
              <w:tc>
                <w:tcPr>
                  <w:tcW w:w="865" w:type="pct"/>
                  <w:tcBorders>
                    <w:left w:val="single" w:color="auto" w:sz="4" w:space="0"/>
                  </w:tcBorders>
                  <w:tcMar>
                    <w:left w:w="28" w:type="dxa"/>
                    <w:right w:w="28" w:type="dxa"/>
                  </w:tcMar>
                  <w:vAlign w:val="center"/>
                </w:tcPr>
                <w:p w14:paraId="4DEBC4A2">
                  <w:pPr>
                    <w:tabs>
                      <w:tab w:val="left" w:pos="377"/>
                    </w:tabs>
                    <w:adjustRightInd w:val="0"/>
                    <w:jc w:val="center"/>
                    <w:rPr>
                      <w:szCs w:val="21"/>
                    </w:rPr>
                  </w:pPr>
                  <w:r>
                    <w:rPr>
                      <w:szCs w:val="21"/>
                    </w:rPr>
                    <w:t>保管人</w:t>
                  </w:r>
                </w:p>
              </w:tc>
            </w:tr>
            <w:tr w14:paraId="2E152D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5D677608">
                  <w:pPr>
                    <w:tabs>
                      <w:tab w:val="left" w:pos="377"/>
                    </w:tabs>
                    <w:adjustRightInd w:val="0"/>
                    <w:jc w:val="center"/>
                    <w:rPr>
                      <w:szCs w:val="21"/>
                    </w:rPr>
                  </w:pPr>
                  <w:r>
                    <w:rPr>
                      <w:rFonts w:hint="eastAsia"/>
                      <w:szCs w:val="21"/>
                    </w:rPr>
                    <w:t>1</w:t>
                  </w:r>
                </w:p>
              </w:tc>
              <w:tc>
                <w:tcPr>
                  <w:tcW w:w="1724" w:type="pct"/>
                  <w:tcBorders>
                    <w:left w:val="single" w:color="auto" w:sz="4" w:space="0"/>
                  </w:tcBorders>
                  <w:tcMar>
                    <w:top w:w="0" w:type="dxa"/>
                    <w:left w:w="28" w:type="dxa"/>
                    <w:bottom w:w="0" w:type="dxa"/>
                    <w:right w:w="28" w:type="dxa"/>
                  </w:tcMar>
                  <w:vAlign w:val="center"/>
                </w:tcPr>
                <w:p w14:paraId="3DFD560A">
                  <w:pPr>
                    <w:tabs>
                      <w:tab w:val="left" w:pos="377"/>
                    </w:tabs>
                    <w:adjustRightInd w:val="0"/>
                    <w:jc w:val="center"/>
                    <w:rPr>
                      <w:szCs w:val="21"/>
                    </w:rPr>
                  </w:pPr>
                  <w:r>
                    <w:rPr>
                      <w:rFonts w:hint="eastAsia"/>
                      <w:szCs w:val="21"/>
                    </w:rPr>
                    <w:t>35kg干粉</w:t>
                  </w:r>
                  <w:r>
                    <w:rPr>
                      <w:szCs w:val="21"/>
                    </w:rPr>
                    <w:t>灭火器</w:t>
                  </w:r>
                </w:p>
              </w:tc>
              <w:tc>
                <w:tcPr>
                  <w:tcW w:w="1296" w:type="pct"/>
                  <w:tcMar>
                    <w:top w:w="0" w:type="dxa"/>
                    <w:left w:w="28" w:type="dxa"/>
                    <w:bottom w:w="0" w:type="dxa"/>
                    <w:right w:w="28" w:type="dxa"/>
                  </w:tcMar>
                  <w:vAlign w:val="center"/>
                </w:tcPr>
                <w:p w14:paraId="7636F40B">
                  <w:pPr>
                    <w:tabs>
                      <w:tab w:val="left" w:pos="377"/>
                    </w:tabs>
                    <w:adjustRightInd w:val="0"/>
                    <w:jc w:val="center"/>
                    <w:rPr>
                      <w:szCs w:val="21"/>
                    </w:rPr>
                  </w:pPr>
                  <w:r>
                    <w:rPr>
                      <w:szCs w:val="21"/>
                    </w:rPr>
                    <w:t>井场</w:t>
                  </w:r>
                  <w:r>
                    <w:rPr>
                      <w:rFonts w:hint="eastAsia"/>
                      <w:szCs w:val="21"/>
                    </w:rPr>
                    <w:t>、</w:t>
                  </w:r>
                  <w:r>
                    <w:rPr>
                      <w:szCs w:val="21"/>
                    </w:rPr>
                    <w:t>储罐区</w:t>
                  </w:r>
                </w:p>
              </w:tc>
              <w:tc>
                <w:tcPr>
                  <w:tcW w:w="691" w:type="pct"/>
                  <w:tcBorders>
                    <w:right w:val="single" w:color="auto" w:sz="4" w:space="0"/>
                  </w:tcBorders>
                  <w:tcMar>
                    <w:top w:w="0" w:type="dxa"/>
                    <w:left w:w="28" w:type="dxa"/>
                    <w:bottom w:w="0" w:type="dxa"/>
                    <w:right w:w="28" w:type="dxa"/>
                  </w:tcMar>
                  <w:vAlign w:val="center"/>
                </w:tcPr>
                <w:p w14:paraId="510D8166">
                  <w:pPr>
                    <w:tabs>
                      <w:tab w:val="left" w:pos="377"/>
                    </w:tabs>
                    <w:adjustRightInd w:val="0"/>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3A8DF307">
                  <w:pPr>
                    <w:tabs>
                      <w:tab w:val="left" w:pos="377"/>
                    </w:tabs>
                    <w:adjustRightInd w:val="0"/>
                    <w:jc w:val="center"/>
                    <w:rPr>
                      <w:szCs w:val="21"/>
                    </w:rPr>
                  </w:pPr>
                  <w:r>
                    <w:rPr>
                      <w:szCs w:val="21"/>
                    </w:rPr>
                    <w:t>钻井队副队长</w:t>
                  </w:r>
                </w:p>
              </w:tc>
            </w:tr>
            <w:tr w14:paraId="772DE4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5C87643A">
                  <w:pPr>
                    <w:tabs>
                      <w:tab w:val="left" w:pos="377"/>
                    </w:tabs>
                    <w:adjustRightInd w:val="0"/>
                    <w:jc w:val="center"/>
                    <w:rPr>
                      <w:szCs w:val="21"/>
                    </w:rPr>
                  </w:pPr>
                  <w:r>
                    <w:rPr>
                      <w:rFonts w:hint="eastAsia"/>
                      <w:szCs w:val="21"/>
                    </w:rPr>
                    <w:t>2</w:t>
                  </w:r>
                </w:p>
              </w:tc>
              <w:tc>
                <w:tcPr>
                  <w:tcW w:w="1724" w:type="pct"/>
                  <w:tcBorders>
                    <w:left w:val="single" w:color="auto" w:sz="4" w:space="0"/>
                  </w:tcBorders>
                  <w:tcMar>
                    <w:top w:w="0" w:type="dxa"/>
                    <w:left w:w="28" w:type="dxa"/>
                    <w:bottom w:w="0" w:type="dxa"/>
                    <w:right w:w="28" w:type="dxa"/>
                  </w:tcMar>
                  <w:vAlign w:val="center"/>
                </w:tcPr>
                <w:p w14:paraId="32923C57">
                  <w:pPr>
                    <w:tabs>
                      <w:tab w:val="left" w:pos="377"/>
                    </w:tabs>
                    <w:adjustRightInd w:val="0"/>
                    <w:jc w:val="center"/>
                    <w:rPr>
                      <w:szCs w:val="21"/>
                    </w:rPr>
                  </w:pPr>
                  <w:r>
                    <w:rPr>
                      <w:rFonts w:hint="eastAsia"/>
                      <w:szCs w:val="21"/>
                    </w:rPr>
                    <w:t>8kg干粉</w:t>
                  </w:r>
                  <w:r>
                    <w:rPr>
                      <w:szCs w:val="21"/>
                    </w:rPr>
                    <w:t>灭火器</w:t>
                  </w:r>
                </w:p>
              </w:tc>
              <w:tc>
                <w:tcPr>
                  <w:tcW w:w="1296" w:type="pct"/>
                  <w:tcMar>
                    <w:top w:w="0" w:type="dxa"/>
                    <w:left w:w="28" w:type="dxa"/>
                    <w:bottom w:w="0" w:type="dxa"/>
                    <w:right w:w="28" w:type="dxa"/>
                  </w:tcMar>
                  <w:vAlign w:val="center"/>
                </w:tcPr>
                <w:p w14:paraId="6C75FFF9">
                  <w:pPr>
                    <w:tabs>
                      <w:tab w:val="left" w:pos="377"/>
                    </w:tabs>
                    <w:adjustRightInd w:val="0"/>
                    <w:jc w:val="center"/>
                    <w:rPr>
                      <w:szCs w:val="21"/>
                    </w:rPr>
                  </w:pPr>
                  <w:r>
                    <w:rPr>
                      <w:szCs w:val="21"/>
                    </w:rPr>
                    <w:t>井场</w:t>
                  </w:r>
                  <w:r>
                    <w:rPr>
                      <w:rFonts w:hint="eastAsia"/>
                      <w:szCs w:val="21"/>
                    </w:rPr>
                    <w:t>、机房等</w:t>
                  </w:r>
                </w:p>
              </w:tc>
              <w:tc>
                <w:tcPr>
                  <w:tcW w:w="691" w:type="pct"/>
                  <w:tcBorders>
                    <w:right w:val="single" w:color="auto" w:sz="4" w:space="0"/>
                  </w:tcBorders>
                  <w:tcMar>
                    <w:top w:w="0" w:type="dxa"/>
                    <w:left w:w="28" w:type="dxa"/>
                    <w:bottom w:w="0" w:type="dxa"/>
                    <w:right w:w="28" w:type="dxa"/>
                  </w:tcMar>
                  <w:vAlign w:val="center"/>
                </w:tcPr>
                <w:p w14:paraId="0D70401C">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3FD5C95B">
                  <w:pPr>
                    <w:tabs>
                      <w:tab w:val="left" w:pos="377"/>
                    </w:tabs>
                    <w:adjustRightInd w:val="0"/>
                    <w:jc w:val="center"/>
                    <w:rPr>
                      <w:szCs w:val="21"/>
                    </w:rPr>
                  </w:pPr>
                  <w:r>
                    <w:rPr>
                      <w:szCs w:val="21"/>
                    </w:rPr>
                    <w:t>钻井队副队长</w:t>
                  </w:r>
                </w:p>
              </w:tc>
            </w:tr>
            <w:tr w14:paraId="2057A5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572B81A9">
                  <w:pPr>
                    <w:tabs>
                      <w:tab w:val="left" w:pos="377"/>
                    </w:tabs>
                    <w:adjustRightInd w:val="0"/>
                    <w:jc w:val="center"/>
                    <w:rPr>
                      <w:szCs w:val="21"/>
                    </w:rPr>
                  </w:pPr>
                  <w:r>
                    <w:rPr>
                      <w:rFonts w:hint="eastAsia"/>
                      <w:szCs w:val="21"/>
                    </w:rPr>
                    <w:t>3</w:t>
                  </w:r>
                </w:p>
              </w:tc>
              <w:tc>
                <w:tcPr>
                  <w:tcW w:w="1724" w:type="pct"/>
                  <w:tcBorders>
                    <w:left w:val="single" w:color="auto" w:sz="4" w:space="0"/>
                  </w:tcBorders>
                  <w:tcMar>
                    <w:top w:w="0" w:type="dxa"/>
                    <w:left w:w="28" w:type="dxa"/>
                    <w:bottom w:w="0" w:type="dxa"/>
                    <w:right w:w="28" w:type="dxa"/>
                  </w:tcMar>
                  <w:vAlign w:val="center"/>
                </w:tcPr>
                <w:p w14:paraId="191D8A5F">
                  <w:pPr>
                    <w:tabs>
                      <w:tab w:val="left" w:pos="377"/>
                    </w:tabs>
                    <w:adjustRightInd w:val="0"/>
                    <w:jc w:val="center"/>
                    <w:rPr>
                      <w:szCs w:val="21"/>
                    </w:rPr>
                  </w:pPr>
                  <w:r>
                    <w:rPr>
                      <w:rFonts w:hint="eastAsia"/>
                      <w:szCs w:val="21"/>
                    </w:rPr>
                    <w:t>5kgCO</w:t>
                  </w:r>
                  <w:r>
                    <w:rPr>
                      <w:rFonts w:hint="eastAsia"/>
                      <w:szCs w:val="21"/>
                      <w:vertAlign w:val="subscript"/>
                    </w:rPr>
                    <w:t>2</w:t>
                  </w:r>
                  <w:r>
                    <w:rPr>
                      <w:rFonts w:hint="eastAsia"/>
                      <w:szCs w:val="21"/>
                    </w:rPr>
                    <w:t>灭火器</w:t>
                  </w:r>
                </w:p>
              </w:tc>
              <w:tc>
                <w:tcPr>
                  <w:tcW w:w="1296" w:type="pct"/>
                  <w:tcMar>
                    <w:top w:w="0" w:type="dxa"/>
                    <w:left w:w="28" w:type="dxa"/>
                    <w:bottom w:w="0" w:type="dxa"/>
                    <w:right w:w="28" w:type="dxa"/>
                  </w:tcMar>
                  <w:vAlign w:val="center"/>
                </w:tcPr>
                <w:p w14:paraId="486C2DDB">
                  <w:pPr>
                    <w:tabs>
                      <w:tab w:val="left" w:pos="377"/>
                    </w:tabs>
                    <w:adjustRightInd w:val="0"/>
                    <w:jc w:val="center"/>
                    <w:rPr>
                      <w:szCs w:val="21"/>
                    </w:rPr>
                  </w:pPr>
                  <w:r>
                    <w:rPr>
                      <w:szCs w:val="21"/>
                    </w:rPr>
                    <w:t>机房</w:t>
                  </w:r>
                  <w:r>
                    <w:rPr>
                      <w:rFonts w:hint="eastAsia"/>
                      <w:szCs w:val="21"/>
                    </w:rPr>
                    <w:t>、配电房</w:t>
                  </w:r>
                </w:p>
              </w:tc>
              <w:tc>
                <w:tcPr>
                  <w:tcW w:w="691" w:type="pct"/>
                  <w:tcBorders>
                    <w:right w:val="single" w:color="auto" w:sz="4" w:space="0"/>
                  </w:tcBorders>
                  <w:tcMar>
                    <w:top w:w="0" w:type="dxa"/>
                    <w:left w:w="28" w:type="dxa"/>
                    <w:bottom w:w="0" w:type="dxa"/>
                    <w:right w:w="28" w:type="dxa"/>
                  </w:tcMar>
                  <w:vAlign w:val="center"/>
                </w:tcPr>
                <w:p w14:paraId="269766B8">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28D5F5BF">
                  <w:pPr>
                    <w:tabs>
                      <w:tab w:val="left" w:pos="377"/>
                    </w:tabs>
                    <w:adjustRightInd w:val="0"/>
                    <w:jc w:val="center"/>
                    <w:rPr>
                      <w:szCs w:val="21"/>
                    </w:rPr>
                  </w:pPr>
                  <w:r>
                    <w:rPr>
                      <w:szCs w:val="21"/>
                    </w:rPr>
                    <w:t>钻井队副队长</w:t>
                  </w:r>
                </w:p>
              </w:tc>
            </w:tr>
            <w:tr w14:paraId="5D09FA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7117F50E">
                  <w:pPr>
                    <w:tabs>
                      <w:tab w:val="left" w:pos="377"/>
                    </w:tabs>
                    <w:adjustRightInd w:val="0"/>
                    <w:jc w:val="center"/>
                    <w:rPr>
                      <w:szCs w:val="21"/>
                    </w:rPr>
                  </w:pPr>
                  <w:r>
                    <w:rPr>
                      <w:rFonts w:hint="eastAsia"/>
                      <w:szCs w:val="21"/>
                    </w:rPr>
                    <w:t>4</w:t>
                  </w:r>
                </w:p>
              </w:tc>
              <w:tc>
                <w:tcPr>
                  <w:tcW w:w="1724" w:type="pct"/>
                  <w:tcBorders>
                    <w:left w:val="single" w:color="auto" w:sz="4" w:space="0"/>
                  </w:tcBorders>
                  <w:tcMar>
                    <w:top w:w="0" w:type="dxa"/>
                    <w:left w:w="28" w:type="dxa"/>
                    <w:bottom w:w="0" w:type="dxa"/>
                    <w:right w:w="28" w:type="dxa"/>
                  </w:tcMar>
                  <w:vAlign w:val="center"/>
                </w:tcPr>
                <w:p w14:paraId="625BF2CB">
                  <w:pPr>
                    <w:tabs>
                      <w:tab w:val="left" w:pos="377"/>
                    </w:tabs>
                    <w:adjustRightInd w:val="0"/>
                    <w:jc w:val="center"/>
                    <w:rPr>
                      <w:szCs w:val="21"/>
                    </w:rPr>
                  </w:pPr>
                  <w:r>
                    <w:rPr>
                      <w:rFonts w:hint="eastAsia"/>
                      <w:szCs w:val="21"/>
                    </w:rPr>
                    <w:t>7kgCO</w:t>
                  </w:r>
                  <w:r>
                    <w:rPr>
                      <w:rFonts w:hint="eastAsia"/>
                      <w:szCs w:val="21"/>
                      <w:vertAlign w:val="subscript"/>
                    </w:rPr>
                    <w:t>2</w:t>
                  </w:r>
                  <w:r>
                    <w:rPr>
                      <w:rFonts w:hint="eastAsia"/>
                      <w:szCs w:val="21"/>
                    </w:rPr>
                    <w:t>灭火器</w:t>
                  </w:r>
                </w:p>
              </w:tc>
              <w:tc>
                <w:tcPr>
                  <w:tcW w:w="1296" w:type="pct"/>
                  <w:tcMar>
                    <w:top w:w="0" w:type="dxa"/>
                    <w:left w:w="28" w:type="dxa"/>
                    <w:bottom w:w="0" w:type="dxa"/>
                    <w:right w:w="28" w:type="dxa"/>
                  </w:tcMar>
                  <w:vAlign w:val="center"/>
                </w:tcPr>
                <w:p w14:paraId="43D68D3A">
                  <w:pPr>
                    <w:tabs>
                      <w:tab w:val="left" w:pos="377"/>
                    </w:tabs>
                    <w:adjustRightInd w:val="0"/>
                    <w:jc w:val="center"/>
                    <w:rPr>
                      <w:szCs w:val="21"/>
                    </w:rPr>
                  </w:pPr>
                  <w:r>
                    <w:rPr>
                      <w:szCs w:val="21"/>
                    </w:rPr>
                    <w:t>发电房</w:t>
                  </w:r>
                </w:p>
              </w:tc>
              <w:tc>
                <w:tcPr>
                  <w:tcW w:w="691" w:type="pct"/>
                  <w:tcBorders>
                    <w:right w:val="single" w:color="auto" w:sz="4" w:space="0"/>
                  </w:tcBorders>
                  <w:tcMar>
                    <w:top w:w="0" w:type="dxa"/>
                    <w:left w:w="28" w:type="dxa"/>
                    <w:bottom w:w="0" w:type="dxa"/>
                    <w:right w:w="28" w:type="dxa"/>
                  </w:tcMar>
                  <w:vAlign w:val="center"/>
                </w:tcPr>
                <w:p w14:paraId="6F18531B">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1783CD9B">
                  <w:pPr>
                    <w:tabs>
                      <w:tab w:val="left" w:pos="377"/>
                    </w:tabs>
                    <w:adjustRightInd w:val="0"/>
                    <w:jc w:val="center"/>
                    <w:rPr>
                      <w:szCs w:val="21"/>
                    </w:rPr>
                  </w:pPr>
                  <w:r>
                    <w:rPr>
                      <w:szCs w:val="21"/>
                    </w:rPr>
                    <w:t>钻井队副队长</w:t>
                  </w:r>
                </w:p>
              </w:tc>
            </w:tr>
            <w:tr w14:paraId="213D89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7F60A04E">
                  <w:pPr>
                    <w:tabs>
                      <w:tab w:val="left" w:pos="377"/>
                    </w:tabs>
                    <w:adjustRightInd w:val="0"/>
                    <w:jc w:val="center"/>
                    <w:rPr>
                      <w:szCs w:val="21"/>
                    </w:rPr>
                  </w:pPr>
                  <w:r>
                    <w:rPr>
                      <w:rFonts w:hint="eastAsia"/>
                      <w:szCs w:val="21"/>
                    </w:rPr>
                    <w:t>5</w:t>
                  </w:r>
                </w:p>
              </w:tc>
              <w:tc>
                <w:tcPr>
                  <w:tcW w:w="1724" w:type="pct"/>
                  <w:tcBorders>
                    <w:left w:val="single" w:color="auto" w:sz="4" w:space="0"/>
                  </w:tcBorders>
                  <w:tcMar>
                    <w:top w:w="0" w:type="dxa"/>
                    <w:left w:w="28" w:type="dxa"/>
                    <w:bottom w:w="0" w:type="dxa"/>
                    <w:right w:w="28" w:type="dxa"/>
                  </w:tcMar>
                  <w:vAlign w:val="center"/>
                </w:tcPr>
                <w:p w14:paraId="37015CD8">
                  <w:pPr>
                    <w:tabs>
                      <w:tab w:val="left" w:pos="377"/>
                    </w:tabs>
                    <w:adjustRightInd w:val="0"/>
                    <w:jc w:val="center"/>
                    <w:rPr>
                      <w:szCs w:val="21"/>
                    </w:rPr>
                  </w:pPr>
                  <w:r>
                    <w:rPr>
                      <w:rFonts w:hint="eastAsia"/>
                      <w:szCs w:val="21"/>
                    </w:rPr>
                    <w:t>消防斧</w:t>
                  </w:r>
                </w:p>
              </w:tc>
              <w:tc>
                <w:tcPr>
                  <w:tcW w:w="1296" w:type="pct"/>
                  <w:tcMar>
                    <w:top w:w="0" w:type="dxa"/>
                    <w:left w:w="28" w:type="dxa"/>
                    <w:bottom w:w="0" w:type="dxa"/>
                    <w:right w:w="28" w:type="dxa"/>
                  </w:tcMar>
                  <w:vAlign w:val="center"/>
                </w:tcPr>
                <w:p w14:paraId="1685A0B1">
                  <w:pPr>
                    <w:tabs>
                      <w:tab w:val="left" w:pos="377"/>
                    </w:tabs>
                    <w:adjustRightInd w:val="0"/>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434C2A49">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7CB29230">
                  <w:pPr>
                    <w:tabs>
                      <w:tab w:val="left" w:pos="377"/>
                    </w:tabs>
                    <w:adjustRightInd w:val="0"/>
                    <w:jc w:val="center"/>
                    <w:rPr>
                      <w:szCs w:val="21"/>
                    </w:rPr>
                  </w:pPr>
                  <w:r>
                    <w:rPr>
                      <w:szCs w:val="21"/>
                    </w:rPr>
                    <w:t>钻井队副队长</w:t>
                  </w:r>
                </w:p>
              </w:tc>
            </w:tr>
            <w:tr w14:paraId="16F742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6DCEFD1B">
                  <w:pPr>
                    <w:tabs>
                      <w:tab w:val="left" w:pos="377"/>
                    </w:tabs>
                    <w:adjustRightInd w:val="0"/>
                    <w:jc w:val="center"/>
                    <w:rPr>
                      <w:szCs w:val="21"/>
                    </w:rPr>
                  </w:pPr>
                  <w:r>
                    <w:rPr>
                      <w:rFonts w:hint="eastAsia"/>
                      <w:szCs w:val="21"/>
                    </w:rPr>
                    <w:t>6</w:t>
                  </w:r>
                </w:p>
              </w:tc>
              <w:tc>
                <w:tcPr>
                  <w:tcW w:w="1724" w:type="pct"/>
                  <w:tcBorders>
                    <w:left w:val="single" w:color="auto" w:sz="4" w:space="0"/>
                  </w:tcBorders>
                  <w:tcMar>
                    <w:top w:w="0" w:type="dxa"/>
                    <w:left w:w="28" w:type="dxa"/>
                    <w:bottom w:w="0" w:type="dxa"/>
                    <w:right w:w="28" w:type="dxa"/>
                  </w:tcMar>
                  <w:vAlign w:val="center"/>
                </w:tcPr>
                <w:p w14:paraId="5F6F53A6">
                  <w:pPr>
                    <w:tabs>
                      <w:tab w:val="left" w:pos="377"/>
                    </w:tabs>
                    <w:adjustRightInd w:val="0"/>
                    <w:jc w:val="center"/>
                    <w:rPr>
                      <w:szCs w:val="21"/>
                    </w:rPr>
                  </w:pPr>
                  <w:r>
                    <w:rPr>
                      <w:rFonts w:hint="eastAsia"/>
                      <w:szCs w:val="21"/>
                    </w:rPr>
                    <w:t>消防钩</w:t>
                  </w:r>
                </w:p>
              </w:tc>
              <w:tc>
                <w:tcPr>
                  <w:tcW w:w="1296" w:type="pct"/>
                  <w:tcMar>
                    <w:top w:w="0" w:type="dxa"/>
                    <w:left w:w="28" w:type="dxa"/>
                    <w:bottom w:w="0" w:type="dxa"/>
                    <w:right w:w="28" w:type="dxa"/>
                  </w:tcMar>
                  <w:vAlign w:val="center"/>
                </w:tcPr>
                <w:p w14:paraId="4F6CF521">
                  <w:pPr>
                    <w:tabs>
                      <w:tab w:val="left" w:pos="377"/>
                    </w:tabs>
                    <w:adjustRightInd w:val="0"/>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136DE6C5">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66A0CC90">
                  <w:pPr>
                    <w:tabs>
                      <w:tab w:val="left" w:pos="377"/>
                    </w:tabs>
                    <w:adjustRightInd w:val="0"/>
                    <w:jc w:val="center"/>
                    <w:rPr>
                      <w:szCs w:val="21"/>
                    </w:rPr>
                  </w:pPr>
                  <w:r>
                    <w:rPr>
                      <w:szCs w:val="21"/>
                    </w:rPr>
                    <w:t>钻井队副队长</w:t>
                  </w:r>
                </w:p>
              </w:tc>
            </w:tr>
            <w:tr w14:paraId="12AF9F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655ADECB">
                  <w:pPr>
                    <w:tabs>
                      <w:tab w:val="left" w:pos="377"/>
                    </w:tabs>
                    <w:adjustRightInd w:val="0"/>
                    <w:jc w:val="center"/>
                    <w:rPr>
                      <w:szCs w:val="21"/>
                    </w:rPr>
                  </w:pPr>
                  <w:r>
                    <w:rPr>
                      <w:rFonts w:hint="eastAsia"/>
                      <w:szCs w:val="21"/>
                    </w:rPr>
                    <w:t>7</w:t>
                  </w:r>
                </w:p>
              </w:tc>
              <w:tc>
                <w:tcPr>
                  <w:tcW w:w="1724" w:type="pct"/>
                  <w:tcBorders>
                    <w:left w:val="single" w:color="auto" w:sz="4" w:space="0"/>
                  </w:tcBorders>
                  <w:tcMar>
                    <w:top w:w="0" w:type="dxa"/>
                    <w:left w:w="28" w:type="dxa"/>
                    <w:bottom w:w="0" w:type="dxa"/>
                    <w:right w:w="28" w:type="dxa"/>
                  </w:tcMar>
                  <w:vAlign w:val="center"/>
                </w:tcPr>
                <w:p w14:paraId="1448A067">
                  <w:pPr>
                    <w:tabs>
                      <w:tab w:val="left" w:pos="377"/>
                    </w:tabs>
                    <w:adjustRightInd w:val="0"/>
                    <w:jc w:val="center"/>
                    <w:rPr>
                      <w:szCs w:val="21"/>
                    </w:rPr>
                  </w:pPr>
                  <w:r>
                    <w:rPr>
                      <w:rFonts w:hint="eastAsia"/>
                      <w:szCs w:val="21"/>
                    </w:rPr>
                    <w:t>消防锹</w:t>
                  </w:r>
                </w:p>
              </w:tc>
              <w:tc>
                <w:tcPr>
                  <w:tcW w:w="1296" w:type="pct"/>
                  <w:tcMar>
                    <w:top w:w="0" w:type="dxa"/>
                    <w:left w:w="28" w:type="dxa"/>
                    <w:bottom w:w="0" w:type="dxa"/>
                    <w:right w:w="28" w:type="dxa"/>
                  </w:tcMar>
                  <w:vAlign w:val="center"/>
                </w:tcPr>
                <w:p w14:paraId="2F45920C">
                  <w:pPr>
                    <w:tabs>
                      <w:tab w:val="left" w:pos="377"/>
                    </w:tabs>
                    <w:adjustRightInd w:val="0"/>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10378CF9">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1656CCAD">
                  <w:pPr>
                    <w:tabs>
                      <w:tab w:val="left" w:pos="377"/>
                    </w:tabs>
                    <w:adjustRightInd w:val="0"/>
                    <w:jc w:val="center"/>
                    <w:rPr>
                      <w:szCs w:val="21"/>
                    </w:rPr>
                  </w:pPr>
                  <w:r>
                    <w:rPr>
                      <w:szCs w:val="21"/>
                    </w:rPr>
                    <w:t>钻井队副队长</w:t>
                  </w:r>
                </w:p>
              </w:tc>
            </w:tr>
            <w:tr w14:paraId="6F670B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2A7A2B7A">
                  <w:pPr>
                    <w:tabs>
                      <w:tab w:val="left" w:pos="377"/>
                    </w:tabs>
                    <w:adjustRightInd w:val="0"/>
                    <w:jc w:val="center"/>
                    <w:rPr>
                      <w:szCs w:val="21"/>
                    </w:rPr>
                  </w:pPr>
                  <w:r>
                    <w:rPr>
                      <w:rFonts w:hint="eastAsia"/>
                      <w:szCs w:val="21"/>
                    </w:rPr>
                    <w:t>8</w:t>
                  </w:r>
                </w:p>
              </w:tc>
              <w:tc>
                <w:tcPr>
                  <w:tcW w:w="1724" w:type="pct"/>
                  <w:tcBorders>
                    <w:left w:val="single" w:color="auto" w:sz="4" w:space="0"/>
                  </w:tcBorders>
                  <w:tcMar>
                    <w:top w:w="0" w:type="dxa"/>
                    <w:left w:w="28" w:type="dxa"/>
                    <w:bottom w:w="0" w:type="dxa"/>
                    <w:right w:w="28" w:type="dxa"/>
                  </w:tcMar>
                  <w:vAlign w:val="center"/>
                </w:tcPr>
                <w:p w14:paraId="705FA3B0">
                  <w:pPr>
                    <w:tabs>
                      <w:tab w:val="left" w:pos="377"/>
                    </w:tabs>
                    <w:adjustRightInd w:val="0"/>
                    <w:jc w:val="center"/>
                    <w:rPr>
                      <w:szCs w:val="21"/>
                    </w:rPr>
                  </w:pPr>
                  <w:r>
                    <w:rPr>
                      <w:rFonts w:hint="eastAsia"/>
                      <w:szCs w:val="21"/>
                    </w:rPr>
                    <w:t>消防桶</w:t>
                  </w:r>
                </w:p>
              </w:tc>
              <w:tc>
                <w:tcPr>
                  <w:tcW w:w="1296" w:type="pct"/>
                  <w:tcMar>
                    <w:top w:w="0" w:type="dxa"/>
                    <w:left w:w="28" w:type="dxa"/>
                    <w:bottom w:w="0" w:type="dxa"/>
                    <w:right w:w="28" w:type="dxa"/>
                  </w:tcMar>
                  <w:vAlign w:val="center"/>
                </w:tcPr>
                <w:p w14:paraId="5BAF2A2C">
                  <w:pPr>
                    <w:tabs>
                      <w:tab w:val="left" w:pos="377"/>
                    </w:tabs>
                    <w:adjustRightInd w:val="0"/>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7B562D6C">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30EB3E41">
                  <w:pPr>
                    <w:tabs>
                      <w:tab w:val="left" w:pos="377"/>
                    </w:tabs>
                    <w:adjustRightInd w:val="0"/>
                    <w:jc w:val="center"/>
                    <w:rPr>
                      <w:szCs w:val="21"/>
                    </w:rPr>
                  </w:pPr>
                  <w:r>
                    <w:rPr>
                      <w:szCs w:val="21"/>
                    </w:rPr>
                    <w:t>钻井队副队长</w:t>
                  </w:r>
                </w:p>
              </w:tc>
            </w:tr>
            <w:tr w14:paraId="6460C6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0D5E4641">
                  <w:pPr>
                    <w:tabs>
                      <w:tab w:val="left" w:pos="377"/>
                    </w:tabs>
                    <w:adjustRightInd w:val="0"/>
                    <w:jc w:val="center"/>
                    <w:rPr>
                      <w:szCs w:val="21"/>
                    </w:rPr>
                  </w:pPr>
                  <w:r>
                    <w:rPr>
                      <w:rFonts w:hint="eastAsia"/>
                      <w:szCs w:val="21"/>
                    </w:rPr>
                    <w:t>9</w:t>
                  </w:r>
                </w:p>
              </w:tc>
              <w:tc>
                <w:tcPr>
                  <w:tcW w:w="1724" w:type="pct"/>
                  <w:tcBorders>
                    <w:left w:val="single" w:color="auto" w:sz="4" w:space="0"/>
                  </w:tcBorders>
                  <w:tcMar>
                    <w:top w:w="0" w:type="dxa"/>
                    <w:left w:w="28" w:type="dxa"/>
                    <w:bottom w:w="0" w:type="dxa"/>
                    <w:right w:w="28" w:type="dxa"/>
                  </w:tcMar>
                  <w:vAlign w:val="center"/>
                </w:tcPr>
                <w:p w14:paraId="214E3563">
                  <w:pPr>
                    <w:tabs>
                      <w:tab w:val="left" w:pos="377"/>
                    </w:tabs>
                    <w:adjustRightInd w:val="0"/>
                    <w:jc w:val="center"/>
                    <w:rPr>
                      <w:szCs w:val="21"/>
                    </w:rPr>
                  </w:pPr>
                  <w:r>
                    <w:rPr>
                      <w:rFonts w:hint="eastAsia"/>
                      <w:szCs w:val="21"/>
                    </w:rPr>
                    <w:t>消防毡</w:t>
                  </w:r>
                </w:p>
              </w:tc>
              <w:tc>
                <w:tcPr>
                  <w:tcW w:w="1296" w:type="pct"/>
                  <w:tcMar>
                    <w:top w:w="0" w:type="dxa"/>
                    <w:left w:w="28" w:type="dxa"/>
                    <w:bottom w:w="0" w:type="dxa"/>
                    <w:right w:w="28" w:type="dxa"/>
                  </w:tcMar>
                  <w:vAlign w:val="center"/>
                </w:tcPr>
                <w:p w14:paraId="20B7452E">
                  <w:pPr>
                    <w:tabs>
                      <w:tab w:val="left" w:pos="377"/>
                    </w:tabs>
                    <w:adjustRightInd w:val="0"/>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7EFB93BE">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1F8E6118">
                  <w:pPr>
                    <w:tabs>
                      <w:tab w:val="left" w:pos="377"/>
                    </w:tabs>
                    <w:adjustRightInd w:val="0"/>
                    <w:jc w:val="center"/>
                    <w:rPr>
                      <w:szCs w:val="21"/>
                    </w:rPr>
                  </w:pPr>
                  <w:r>
                    <w:rPr>
                      <w:szCs w:val="21"/>
                    </w:rPr>
                    <w:t>钻井队副队长</w:t>
                  </w:r>
                </w:p>
              </w:tc>
            </w:tr>
            <w:tr w14:paraId="101070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6A547B0D">
                  <w:pPr>
                    <w:tabs>
                      <w:tab w:val="left" w:pos="377"/>
                    </w:tabs>
                    <w:adjustRightInd w:val="0"/>
                    <w:jc w:val="center"/>
                    <w:rPr>
                      <w:szCs w:val="21"/>
                    </w:rPr>
                  </w:pPr>
                  <w:r>
                    <w:rPr>
                      <w:rFonts w:hint="eastAsia"/>
                      <w:szCs w:val="21"/>
                    </w:rPr>
                    <w:t>10</w:t>
                  </w:r>
                </w:p>
              </w:tc>
              <w:tc>
                <w:tcPr>
                  <w:tcW w:w="1724" w:type="pct"/>
                  <w:tcBorders>
                    <w:left w:val="single" w:color="auto" w:sz="4" w:space="0"/>
                  </w:tcBorders>
                  <w:tcMar>
                    <w:top w:w="0" w:type="dxa"/>
                    <w:left w:w="28" w:type="dxa"/>
                    <w:bottom w:w="0" w:type="dxa"/>
                    <w:right w:w="28" w:type="dxa"/>
                  </w:tcMar>
                  <w:vAlign w:val="center"/>
                </w:tcPr>
                <w:p w14:paraId="27181226">
                  <w:pPr>
                    <w:tabs>
                      <w:tab w:val="left" w:pos="377"/>
                    </w:tabs>
                    <w:adjustRightInd w:val="0"/>
                    <w:jc w:val="center"/>
                    <w:rPr>
                      <w:szCs w:val="21"/>
                    </w:rPr>
                  </w:pPr>
                  <w:r>
                    <w:rPr>
                      <w:rFonts w:hint="eastAsia"/>
                      <w:szCs w:val="21"/>
                    </w:rPr>
                    <w:t>消防砂</w:t>
                  </w:r>
                </w:p>
              </w:tc>
              <w:tc>
                <w:tcPr>
                  <w:tcW w:w="1296" w:type="pct"/>
                  <w:tcMar>
                    <w:top w:w="0" w:type="dxa"/>
                    <w:left w:w="28" w:type="dxa"/>
                    <w:bottom w:w="0" w:type="dxa"/>
                    <w:right w:w="28" w:type="dxa"/>
                  </w:tcMar>
                  <w:vAlign w:val="center"/>
                </w:tcPr>
                <w:p w14:paraId="081A31A0">
                  <w:pPr>
                    <w:tabs>
                      <w:tab w:val="left" w:pos="377"/>
                    </w:tabs>
                    <w:adjustRightInd w:val="0"/>
                    <w:jc w:val="center"/>
                    <w:rPr>
                      <w:szCs w:val="21"/>
                    </w:rPr>
                  </w:pPr>
                  <w:r>
                    <w:rPr>
                      <w:rFonts w:hint="eastAsia"/>
                      <w:szCs w:val="21"/>
                    </w:rPr>
                    <w:t>油罐</w:t>
                  </w:r>
                  <w:r>
                    <w:rPr>
                      <w:szCs w:val="21"/>
                    </w:rPr>
                    <w:t>区</w:t>
                  </w:r>
                </w:p>
              </w:tc>
              <w:tc>
                <w:tcPr>
                  <w:tcW w:w="691" w:type="pct"/>
                  <w:tcBorders>
                    <w:right w:val="single" w:color="auto" w:sz="4" w:space="0"/>
                  </w:tcBorders>
                  <w:tcMar>
                    <w:top w:w="0" w:type="dxa"/>
                    <w:left w:w="28" w:type="dxa"/>
                    <w:bottom w:w="0" w:type="dxa"/>
                    <w:right w:w="28" w:type="dxa"/>
                  </w:tcMar>
                  <w:vAlign w:val="center"/>
                </w:tcPr>
                <w:p w14:paraId="5A7ACC8A">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5E99BFDA">
                  <w:pPr>
                    <w:tabs>
                      <w:tab w:val="left" w:pos="377"/>
                    </w:tabs>
                    <w:adjustRightInd w:val="0"/>
                    <w:jc w:val="center"/>
                    <w:rPr>
                      <w:szCs w:val="21"/>
                    </w:rPr>
                  </w:pPr>
                  <w:r>
                    <w:rPr>
                      <w:szCs w:val="21"/>
                    </w:rPr>
                    <w:t>钻井队副队长</w:t>
                  </w:r>
                </w:p>
              </w:tc>
            </w:tr>
            <w:tr w14:paraId="0729DD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1B310F89">
                  <w:pPr>
                    <w:tabs>
                      <w:tab w:val="left" w:pos="377"/>
                    </w:tabs>
                    <w:adjustRightInd w:val="0"/>
                    <w:jc w:val="center"/>
                    <w:rPr>
                      <w:szCs w:val="21"/>
                    </w:rPr>
                  </w:pPr>
                  <w:r>
                    <w:rPr>
                      <w:rFonts w:hint="eastAsia"/>
                      <w:szCs w:val="21"/>
                    </w:rPr>
                    <w:t>11</w:t>
                  </w:r>
                </w:p>
              </w:tc>
              <w:tc>
                <w:tcPr>
                  <w:tcW w:w="1724" w:type="pct"/>
                  <w:tcBorders>
                    <w:left w:val="single" w:color="auto" w:sz="4" w:space="0"/>
                  </w:tcBorders>
                  <w:tcMar>
                    <w:top w:w="0" w:type="dxa"/>
                    <w:left w:w="28" w:type="dxa"/>
                    <w:bottom w:w="0" w:type="dxa"/>
                    <w:right w:w="28" w:type="dxa"/>
                  </w:tcMar>
                  <w:vAlign w:val="center"/>
                </w:tcPr>
                <w:p w14:paraId="583D7E4E">
                  <w:pPr>
                    <w:jc w:val="center"/>
                    <w:rPr>
                      <w:szCs w:val="21"/>
                    </w:rPr>
                  </w:pPr>
                  <w:r>
                    <w:rPr>
                      <w:szCs w:val="21"/>
                    </w:rPr>
                    <w:t>移动消防泵</w:t>
                  </w:r>
                </w:p>
              </w:tc>
              <w:tc>
                <w:tcPr>
                  <w:tcW w:w="1296" w:type="pct"/>
                  <w:tcMar>
                    <w:top w:w="0" w:type="dxa"/>
                    <w:left w:w="28" w:type="dxa"/>
                    <w:bottom w:w="0" w:type="dxa"/>
                    <w:right w:w="28" w:type="dxa"/>
                  </w:tcMar>
                  <w:vAlign w:val="center"/>
                </w:tcPr>
                <w:p w14:paraId="75D56A82">
                  <w:pPr>
                    <w:tabs>
                      <w:tab w:val="left" w:pos="377"/>
                    </w:tabs>
                    <w:adjustRightInd w:val="0"/>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2D37F6B5">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5C22C992">
                  <w:pPr>
                    <w:tabs>
                      <w:tab w:val="left" w:pos="377"/>
                    </w:tabs>
                    <w:adjustRightInd w:val="0"/>
                    <w:jc w:val="center"/>
                    <w:rPr>
                      <w:szCs w:val="21"/>
                    </w:rPr>
                  </w:pPr>
                  <w:r>
                    <w:rPr>
                      <w:szCs w:val="21"/>
                    </w:rPr>
                    <w:t>钻井队副队长</w:t>
                  </w:r>
                </w:p>
              </w:tc>
            </w:tr>
            <w:tr w14:paraId="0999B0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09DB1042">
                  <w:pPr>
                    <w:jc w:val="center"/>
                    <w:rPr>
                      <w:szCs w:val="21"/>
                    </w:rPr>
                  </w:pPr>
                  <w:r>
                    <w:rPr>
                      <w:rFonts w:hint="eastAsia"/>
                      <w:szCs w:val="21"/>
                    </w:rPr>
                    <w:t>12</w:t>
                  </w:r>
                </w:p>
              </w:tc>
              <w:tc>
                <w:tcPr>
                  <w:tcW w:w="1724" w:type="pct"/>
                  <w:tcBorders>
                    <w:left w:val="single" w:color="auto" w:sz="4" w:space="0"/>
                  </w:tcBorders>
                  <w:tcMar>
                    <w:top w:w="0" w:type="dxa"/>
                    <w:left w:w="28" w:type="dxa"/>
                    <w:bottom w:w="0" w:type="dxa"/>
                    <w:right w:w="28" w:type="dxa"/>
                  </w:tcMar>
                  <w:vAlign w:val="center"/>
                </w:tcPr>
                <w:p w14:paraId="58D25299">
                  <w:pPr>
                    <w:jc w:val="center"/>
                    <w:rPr>
                      <w:szCs w:val="21"/>
                    </w:rPr>
                  </w:pPr>
                  <w:r>
                    <w:rPr>
                      <w:szCs w:val="21"/>
                    </w:rPr>
                    <w:t>消防水龙带</w:t>
                  </w:r>
                </w:p>
              </w:tc>
              <w:tc>
                <w:tcPr>
                  <w:tcW w:w="1296" w:type="pct"/>
                  <w:tcMar>
                    <w:top w:w="0" w:type="dxa"/>
                    <w:left w:w="28" w:type="dxa"/>
                    <w:bottom w:w="0" w:type="dxa"/>
                    <w:right w:w="28" w:type="dxa"/>
                  </w:tcMar>
                  <w:vAlign w:val="center"/>
                </w:tcPr>
                <w:p w14:paraId="2F267C66">
                  <w:pPr>
                    <w:tabs>
                      <w:tab w:val="left" w:pos="377"/>
                    </w:tabs>
                    <w:adjustRightInd w:val="0"/>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0F478DC3">
                  <w:pPr>
                    <w:jc w:val="center"/>
                    <w:rPr>
                      <w:szCs w:val="21"/>
                    </w:rPr>
                  </w:pPr>
                  <w:r>
                    <w:rPr>
                      <w:szCs w:val="21"/>
                    </w:rPr>
                    <w:t>消防器材</w:t>
                  </w:r>
                </w:p>
              </w:tc>
              <w:tc>
                <w:tcPr>
                  <w:tcW w:w="865" w:type="pct"/>
                  <w:tcBorders>
                    <w:left w:val="single" w:color="auto" w:sz="4" w:space="0"/>
                  </w:tcBorders>
                  <w:tcMar>
                    <w:left w:w="28" w:type="dxa"/>
                    <w:right w:w="28" w:type="dxa"/>
                  </w:tcMar>
                  <w:vAlign w:val="center"/>
                </w:tcPr>
                <w:p w14:paraId="35CA8116">
                  <w:pPr>
                    <w:jc w:val="center"/>
                    <w:rPr>
                      <w:szCs w:val="21"/>
                    </w:rPr>
                  </w:pPr>
                  <w:r>
                    <w:rPr>
                      <w:szCs w:val="21"/>
                    </w:rPr>
                    <w:t>钻井队副队长</w:t>
                  </w:r>
                </w:p>
              </w:tc>
            </w:tr>
            <w:tr w14:paraId="7176AE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5B934DB8">
                  <w:pPr>
                    <w:jc w:val="center"/>
                    <w:rPr>
                      <w:szCs w:val="21"/>
                    </w:rPr>
                  </w:pPr>
                  <w:r>
                    <w:rPr>
                      <w:rFonts w:hint="eastAsia"/>
                      <w:szCs w:val="21"/>
                    </w:rPr>
                    <w:t>13</w:t>
                  </w:r>
                </w:p>
              </w:tc>
              <w:tc>
                <w:tcPr>
                  <w:tcW w:w="1724" w:type="pct"/>
                  <w:tcBorders>
                    <w:left w:val="single" w:color="auto" w:sz="4" w:space="0"/>
                    <w:right w:val="single" w:color="auto" w:sz="4" w:space="0"/>
                  </w:tcBorders>
                  <w:tcMar>
                    <w:left w:w="28" w:type="dxa"/>
                    <w:right w:w="28" w:type="dxa"/>
                  </w:tcMar>
                  <w:vAlign w:val="center"/>
                </w:tcPr>
                <w:p w14:paraId="6B5C7EEE">
                  <w:pPr>
                    <w:jc w:val="center"/>
                    <w:rPr>
                      <w:szCs w:val="21"/>
                    </w:rPr>
                  </w:pPr>
                  <w:r>
                    <w:rPr>
                      <w:szCs w:val="21"/>
                    </w:rPr>
                    <w:t>正压式空气呼吸器</w:t>
                  </w:r>
                </w:p>
              </w:tc>
              <w:tc>
                <w:tcPr>
                  <w:tcW w:w="1296" w:type="pct"/>
                  <w:tcBorders>
                    <w:left w:val="single" w:color="auto" w:sz="4" w:space="0"/>
                  </w:tcBorders>
                  <w:tcMar>
                    <w:top w:w="0" w:type="dxa"/>
                    <w:left w:w="28" w:type="dxa"/>
                    <w:bottom w:w="0" w:type="dxa"/>
                    <w:right w:w="28" w:type="dxa"/>
                  </w:tcMar>
                  <w:vAlign w:val="center"/>
                </w:tcPr>
                <w:p w14:paraId="73D5E8FA">
                  <w:pPr>
                    <w:tabs>
                      <w:tab w:val="left" w:pos="377"/>
                    </w:tabs>
                    <w:adjustRightInd w:val="0"/>
                    <w:jc w:val="center"/>
                    <w:rPr>
                      <w:szCs w:val="21"/>
                    </w:rPr>
                  </w:pPr>
                  <w:r>
                    <w:rPr>
                      <w:szCs w:val="21"/>
                    </w:rPr>
                    <w:t>钻台</w:t>
                  </w:r>
                  <w:r>
                    <w:rPr>
                      <w:rFonts w:hint="eastAsia"/>
                      <w:szCs w:val="21"/>
                    </w:rPr>
                    <w:t>、</w:t>
                  </w:r>
                  <w:r>
                    <w:rPr>
                      <w:szCs w:val="21"/>
                    </w:rPr>
                    <w:t>值班房</w:t>
                  </w:r>
                </w:p>
              </w:tc>
              <w:tc>
                <w:tcPr>
                  <w:tcW w:w="691" w:type="pct"/>
                  <w:tcBorders>
                    <w:right w:val="single" w:color="auto" w:sz="4" w:space="0"/>
                  </w:tcBorders>
                  <w:tcMar>
                    <w:top w:w="0" w:type="dxa"/>
                    <w:left w:w="28" w:type="dxa"/>
                    <w:bottom w:w="0" w:type="dxa"/>
                    <w:right w:w="28" w:type="dxa"/>
                  </w:tcMar>
                  <w:vAlign w:val="center"/>
                </w:tcPr>
                <w:p w14:paraId="3E325F4C">
                  <w:pPr>
                    <w:tabs>
                      <w:tab w:val="left" w:pos="377"/>
                    </w:tabs>
                    <w:adjustRightInd w:val="0"/>
                    <w:jc w:val="center"/>
                    <w:rPr>
                      <w:szCs w:val="21"/>
                    </w:rPr>
                  </w:pPr>
                  <w:r>
                    <w:rPr>
                      <w:szCs w:val="21"/>
                    </w:rPr>
                    <w:t>安全防护</w:t>
                  </w:r>
                </w:p>
              </w:tc>
              <w:tc>
                <w:tcPr>
                  <w:tcW w:w="865" w:type="pct"/>
                  <w:tcBorders>
                    <w:left w:val="single" w:color="auto" w:sz="4" w:space="0"/>
                  </w:tcBorders>
                  <w:tcMar>
                    <w:left w:w="28" w:type="dxa"/>
                    <w:right w:w="28" w:type="dxa"/>
                  </w:tcMar>
                  <w:vAlign w:val="center"/>
                </w:tcPr>
                <w:p w14:paraId="47B4252C">
                  <w:pPr>
                    <w:tabs>
                      <w:tab w:val="left" w:pos="377"/>
                    </w:tabs>
                    <w:adjustRightInd w:val="0"/>
                    <w:jc w:val="center"/>
                    <w:rPr>
                      <w:szCs w:val="21"/>
                    </w:rPr>
                  </w:pPr>
                  <w:r>
                    <w:rPr>
                      <w:szCs w:val="21"/>
                    </w:rPr>
                    <w:t>钻井队副队长</w:t>
                  </w:r>
                </w:p>
              </w:tc>
            </w:tr>
            <w:tr w14:paraId="278CB5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341C584A">
                  <w:pPr>
                    <w:jc w:val="center"/>
                    <w:rPr>
                      <w:szCs w:val="21"/>
                    </w:rPr>
                  </w:pPr>
                  <w:r>
                    <w:rPr>
                      <w:rFonts w:hint="eastAsia"/>
                      <w:szCs w:val="21"/>
                    </w:rPr>
                    <w:t>14</w:t>
                  </w:r>
                </w:p>
              </w:tc>
              <w:tc>
                <w:tcPr>
                  <w:tcW w:w="1724" w:type="pct"/>
                  <w:tcBorders>
                    <w:left w:val="single" w:color="auto" w:sz="4" w:space="0"/>
                    <w:right w:val="single" w:color="auto" w:sz="4" w:space="0"/>
                  </w:tcBorders>
                  <w:tcMar>
                    <w:left w:w="28" w:type="dxa"/>
                    <w:right w:w="28" w:type="dxa"/>
                  </w:tcMar>
                  <w:vAlign w:val="center"/>
                </w:tcPr>
                <w:p w14:paraId="74D86305">
                  <w:pPr>
                    <w:jc w:val="center"/>
                    <w:rPr>
                      <w:szCs w:val="21"/>
                    </w:rPr>
                  </w:pPr>
                  <w:r>
                    <w:rPr>
                      <w:szCs w:val="21"/>
                    </w:rPr>
                    <w:t>防爆轴流风机</w:t>
                  </w:r>
                </w:p>
              </w:tc>
              <w:tc>
                <w:tcPr>
                  <w:tcW w:w="1296" w:type="pct"/>
                  <w:tcBorders>
                    <w:left w:val="single" w:color="auto" w:sz="4" w:space="0"/>
                  </w:tcBorders>
                  <w:tcMar>
                    <w:top w:w="0" w:type="dxa"/>
                    <w:left w:w="28" w:type="dxa"/>
                    <w:bottom w:w="0" w:type="dxa"/>
                    <w:right w:w="28" w:type="dxa"/>
                  </w:tcMar>
                  <w:vAlign w:val="center"/>
                </w:tcPr>
                <w:p w14:paraId="07CB271E">
                  <w:pPr>
                    <w:jc w:val="center"/>
                    <w:rPr>
                      <w:szCs w:val="21"/>
                    </w:rPr>
                  </w:pPr>
                  <w:r>
                    <w:rPr>
                      <w:rFonts w:hint="eastAsia"/>
                      <w:szCs w:val="21"/>
                    </w:rPr>
                    <w:t>钻台、值班房</w:t>
                  </w:r>
                </w:p>
              </w:tc>
              <w:tc>
                <w:tcPr>
                  <w:tcW w:w="691" w:type="pct"/>
                  <w:tcBorders>
                    <w:right w:val="single" w:color="auto" w:sz="4" w:space="0"/>
                  </w:tcBorders>
                  <w:tcMar>
                    <w:top w:w="0" w:type="dxa"/>
                    <w:left w:w="28" w:type="dxa"/>
                    <w:bottom w:w="0" w:type="dxa"/>
                    <w:right w:w="28" w:type="dxa"/>
                  </w:tcMar>
                  <w:vAlign w:val="center"/>
                </w:tcPr>
                <w:p w14:paraId="5C457E3C">
                  <w:pPr>
                    <w:jc w:val="center"/>
                    <w:rPr>
                      <w:szCs w:val="21"/>
                    </w:rPr>
                  </w:pPr>
                  <w:r>
                    <w:rPr>
                      <w:szCs w:val="21"/>
                    </w:rPr>
                    <w:t>安全防护</w:t>
                  </w:r>
                </w:p>
              </w:tc>
              <w:tc>
                <w:tcPr>
                  <w:tcW w:w="865" w:type="pct"/>
                  <w:tcBorders>
                    <w:left w:val="single" w:color="auto" w:sz="4" w:space="0"/>
                  </w:tcBorders>
                  <w:tcMar>
                    <w:left w:w="28" w:type="dxa"/>
                    <w:right w:w="28" w:type="dxa"/>
                  </w:tcMar>
                  <w:vAlign w:val="center"/>
                </w:tcPr>
                <w:p w14:paraId="2AD0E05D">
                  <w:pPr>
                    <w:jc w:val="center"/>
                    <w:rPr>
                      <w:szCs w:val="21"/>
                    </w:rPr>
                  </w:pPr>
                  <w:r>
                    <w:rPr>
                      <w:szCs w:val="21"/>
                    </w:rPr>
                    <w:t>钻井队副队长</w:t>
                  </w:r>
                </w:p>
              </w:tc>
            </w:tr>
            <w:tr w14:paraId="42A666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3D2347D8">
                  <w:pPr>
                    <w:jc w:val="center"/>
                    <w:rPr>
                      <w:szCs w:val="21"/>
                    </w:rPr>
                  </w:pPr>
                  <w:r>
                    <w:rPr>
                      <w:rFonts w:hint="eastAsia"/>
                      <w:szCs w:val="21"/>
                    </w:rPr>
                    <w:t>15</w:t>
                  </w:r>
                </w:p>
              </w:tc>
              <w:tc>
                <w:tcPr>
                  <w:tcW w:w="1724" w:type="pct"/>
                  <w:tcBorders>
                    <w:left w:val="single" w:color="auto" w:sz="4" w:space="0"/>
                    <w:right w:val="single" w:color="auto" w:sz="4" w:space="0"/>
                  </w:tcBorders>
                  <w:tcMar>
                    <w:left w:w="28" w:type="dxa"/>
                    <w:right w:w="28" w:type="dxa"/>
                  </w:tcMar>
                  <w:vAlign w:val="center"/>
                </w:tcPr>
                <w:p w14:paraId="65784832">
                  <w:pPr>
                    <w:jc w:val="center"/>
                    <w:rPr>
                      <w:szCs w:val="21"/>
                    </w:rPr>
                  </w:pPr>
                  <w:r>
                    <w:rPr>
                      <w:szCs w:val="21"/>
                    </w:rPr>
                    <w:t>便携式</w:t>
                  </w:r>
                  <w:r>
                    <w:rPr>
                      <w:rFonts w:hint="eastAsia"/>
                      <w:szCs w:val="21"/>
                    </w:rPr>
                    <w:t>有毒有害</w:t>
                  </w:r>
                  <w:r>
                    <w:rPr>
                      <w:szCs w:val="21"/>
                    </w:rPr>
                    <w:t>气体检测仪</w:t>
                  </w:r>
                </w:p>
              </w:tc>
              <w:tc>
                <w:tcPr>
                  <w:tcW w:w="1296" w:type="pct"/>
                  <w:tcBorders>
                    <w:left w:val="single" w:color="auto" w:sz="4" w:space="0"/>
                  </w:tcBorders>
                  <w:tcMar>
                    <w:top w:w="0" w:type="dxa"/>
                    <w:left w:w="28" w:type="dxa"/>
                    <w:bottom w:w="0" w:type="dxa"/>
                    <w:right w:w="28" w:type="dxa"/>
                  </w:tcMar>
                  <w:vAlign w:val="center"/>
                </w:tcPr>
                <w:p w14:paraId="3F4BD162">
                  <w:pPr>
                    <w:jc w:val="center"/>
                    <w:rPr>
                      <w:szCs w:val="21"/>
                    </w:rPr>
                  </w:pPr>
                  <w:r>
                    <w:rPr>
                      <w:rFonts w:hint="eastAsia"/>
                      <w:szCs w:val="21"/>
                    </w:rPr>
                    <w:t>钻台、</w:t>
                  </w:r>
                  <w:r>
                    <w:rPr>
                      <w:szCs w:val="21"/>
                    </w:rPr>
                    <w:t>值班房</w:t>
                  </w:r>
                </w:p>
              </w:tc>
              <w:tc>
                <w:tcPr>
                  <w:tcW w:w="691" w:type="pct"/>
                  <w:tcBorders>
                    <w:right w:val="single" w:color="auto" w:sz="4" w:space="0"/>
                  </w:tcBorders>
                  <w:tcMar>
                    <w:top w:w="0" w:type="dxa"/>
                    <w:left w:w="28" w:type="dxa"/>
                    <w:bottom w:w="0" w:type="dxa"/>
                    <w:right w:w="28" w:type="dxa"/>
                  </w:tcMar>
                  <w:vAlign w:val="center"/>
                </w:tcPr>
                <w:p w14:paraId="1E683538">
                  <w:pPr>
                    <w:jc w:val="center"/>
                    <w:rPr>
                      <w:szCs w:val="21"/>
                    </w:rPr>
                  </w:pPr>
                  <w:r>
                    <w:rPr>
                      <w:szCs w:val="21"/>
                    </w:rPr>
                    <w:t>检测器材</w:t>
                  </w:r>
                </w:p>
              </w:tc>
              <w:tc>
                <w:tcPr>
                  <w:tcW w:w="865" w:type="pct"/>
                  <w:tcBorders>
                    <w:left w:val="single" w:color="auto" w:sz="4" w:space="0"/>
                  </w:tcBorders>
                  <w:tcMar>
                    <w:left w:w="28" w:type="dxa"/>
                    <w:right w:w="28" w:type="dxa"/>
                  </w:tcMar>
                  <w:vAlign w:val="center"/>
                </w:tcPr>
                <w:p w14:paraId="40AB1451">
                  <w:pPr>
                    <w:jc w:val="center"/>
                    <w:rPr>
                      <w:szCs w:val="21"/>
                    </w:rPr>
                  </w:pPr>
                  <w:r>
                    <w:rPr>
                      <w:szCs w:val="21"/>
                    </w:rPr>
                    <w:t>钻井队副队长</w:t>
                  </w:r>
                </w:p>
              </w:tc>
            </w:tr>
            <w:tr w14:paraId="0E6406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76EDFE65">
                  <w:pPr>
                    <w:jc w:val="center"/>
                    <w:rPr>
                      <w:szCs w:val="21"/>
                    </w:rPr>
                  </w:pPr>
                  <w:r>
                    <w:rPr>
                      <w:rFonts w:hint="eastAsia"/>
                      <w:szCs w:val="21"/>
                    </w:rPr>
                    <w:t>16</w:t>
                  </w:r>
                </w:p>
              </w:tc>
              <w:tc>
                <w:tcPr>
                  <w:tcW w:w="1724" w:type="pct"/>
                  <w:tcBorders>
                    <w:left w:val="single" w:color="auto" w:sz="4" w:space="0"/>
                    <w:right w:val="single" w:color="auto" w:sz="4" w:space="0"/>
                  </w:tcBorders>
                  <w:tcMar>
                    <w:left w:w="28" w:type="dxa"/>
                    <w:right w:w="28" w:type="dxa"/>
                  </w:tcMar>
                  <w:vAlign w:val="center"/>
                </w:tcPr>
                <w:p w14:paraId="105D2A1A">
                  <w:pPr>
                    <w:jc w:val="center"/>
                    <w:rPr>
                      <w:szCs w:val="21"/>
                    </w:rPr>
                  </w:pPr>
                  <w:r>
                    <w:rPr>
                      <w:szCs w:val="21"/>
                    </w:rPr>
                    <w:t>固定式</w:t>
                  </w:r>
                  <w:r>
                    <w:rPr>
                      <w:rFonts w:hint="eastAsia"/>
                      <w:szCs w:val="21"/>
                    </w:rPr>
                    <w:t>有毒有害</w:t>
                  </w:r>
                  <w:r>
                    <w:rPr>
                      <w:szCs w:val="21"/>
                    </w:rPr>
                    <w:t>气体检测仪</w:t>
                  </w:r>
                </w:p>
              </w:tc>
              <w:tc>
                <w:tcPr>
                  <w:tcW w:w="1296" w:type="pct"/>
                  <w:tcBorders>
                    <w:left w:val="single" w:color="auto" w:sz="4" w:space="0"/>
                  </w:tcBorders>
                  <w:tcMar>
                    <w:top w:w="0" w:type="dxa"/>
                    <w:left w:w="28" w:type="dxa"/>
                    <w:bottom w:w="0" w:type="dxa"/>
                    <w:right w:w="28" w:type="dxa"/>
                  </w:tcMar>
                  <w:vAlign w:val="center"/>
                </w:tcPr>
                <w:p w14:paraId="762F590E">
                  <w:pPr>
                    <w:jc w:val="center"/>
                    <w:rPr>
                      <w:szCs w:val="21"/>
                    </w:rPr>
                  </w:pPr>
                  <w:r>
                    <w:rPr>
                      <w:rFonts w:hint="eastAsia"/>
                      <w:szCs w:val="21"/>
                    </w:rPr>
                    <w:t>钻台、</w:t>
                  </w:r>
                  <w:r>
                    <w:rPr>
                      <w:szCs w:val="21"/>
                    </w:rPr>
                    <w:t>值班房</w:t>
                  </w:r>
                  <w:r>
                    <w:rPr>
                      <w:rFonts w:hint="eastAsia"/>
                      <w:szCs w:val="21"/>
                    </w:rPr>
                    <w:t>、</w:t>
                  </w:r>
                  <w:r>
                    <w:rPr>
                      <w:szCs w:val="21"/>
                    </w:rPr>
                    <w:t>储罐区</w:t>
                  </w:r>
                </w:p>
              </w:tc>
              <w:tc>
                <w:tcPr>
                  <w:tcW w:w="691" w:type="pct"/>
                  <w:tcBorders>
                    <w:right w:val="single" w:color="auto" w:sz="4" w:space="0"/>
                  </w:tcBorders>
                  <w:tcMar>
                    <w:top w:w="0" w:type="dxa"/>
                    <w:left w:w="28" w:type="dxa"/>
                    <w:bottom w:w="0" w:type="dxa"/>
                    <w:right w:w="28" w:type="dxa"/>
                  </w:tcMar>
                  <w:vAlign w:val="center"/>
                </w:tcPr>
                <w:p w14:paraId="3B963447">
                  <w:pPr>
                    <w:jc w:val="center"/>
                    <w:rPr>
                      <w:szCs w:val="21"/>
                    </w:rPr>
                  </w:pPr>
                  <w:r>
                    <w:rPr>
                      <w:szCs w:val="21"/>
                    </w:rPr>
                    <w:t>检测器材</w:t>
                  </w:r>
                </w:p>
              </w:tc>
              <w:tc>
                <w:tcPr>
                  <w:tcW w:w="865" w:type="pct"/>
                  <w:tcBorders>
                    <w:left w:val="single" w:color="auto" w:sz="4" w:space="0"/>
                  </w:tcBorders>
                  <w:tcMar>
                    <w:left w:w="28" w:type="dxa"/>
                    <w:right w:w="28" w:type="dxa"/>
                  </w:tcMar>
                  <w:vAlign w:val="center"/>
                </w:tcPr>
                <w:p w14:paraId="7AE2CFB6">
                  <w:pPr>
                    <w:jc w:val="center"/>
                    <w:rPr>
                      <w:szCs w:val="21"/>
                    </w:rPr>
                  </w:pPr>
                  <w:r>
                    <w:rPr>
                      <w:szCs w:val="21"/>
                    </w:rPr>
                    <w:t>钻井队副队长</w:t>
                  </w:r>
                </w:p>
              </w:tc>
            </w:tr>
            <w:tr w14:paraId="1862B3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6E4D70ED">
                  <w:pPr>
                    <w:jc w:val="center"/>
                    <w:rPr>
                      <w:szCs w:val="21"/>
                    </w:rPr>
                  </w:pPr>
                  <w:r>
                    <w:rPr>
                      <w:rFonts w:hint="eastAsia"/>
                      <w:szCs w:val="21"/>
                    </w:rPr>
                    <w:t>17</w:t>
                  </w:r>
                </w:p>
              </w:tc>
              <w:tc>
                <w:tcPr>
                  <w:tcW w:w="1724" w:type="pct"/>
                  <w:tcBorders>
                    <w:left w:val="single" w:color="auto" w:sz="4" w:space="0"/>
                    <w:right w:val="single" w:color="auto" w:sz="4" w:space="0"/>
                  </w:tcBorders>
                  <w:tcMar>
                    <w:left w:w="28" w:type="dxa"/>
                    <w:right w:w="28" w:type="dxa"/>
                  </w:tcMar>
                  <w:vAlign w:val="center"/>
                </w:tcPr>
                <w:p w14:paraId="05FF0B2D">
                  <w:pPr>
                    <w:jc w:val="center"/>
                    <w:rPr>
                      <w:szCs w:val="21"/>
                    </w:rPr>
                  </w:pPr>
                  <w:r>
                    <w:rPr>
                      <w:szCs w:val="21"/>
                    </w:rPr>
                    <w:t>警戒带</w:t>
                  </w:r>
                </w:p>
              </w:tc>
              <w:tc>
                <w:tcPr>
                  <w:tcW w:w="1296" w:type="pct"/>
                  <w:tcBorders>
                    <w:left w:val="single" w:color="auto" w:sz="4" w:space="0"/>
                  </w:tcBorders>
                  <w:tcMar>
                    <w:top w:w="0" w:type="dxa"/>
                    <w:left w:w="28" w:type="dxa"/>
                    <w:bottom w:w="0" w:type="dxa"/>
                    <w:right w:w="28" w:type="dxa"/>
                  </w:tcMar>
                  <w:vAlign w:val="center"/>
                </w:tcPr>
                <w:p w14:paraId="65339099">
                  <w:pPr>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30CD22CA">
                  <w:pPr>
                    <w:jc w:val="center"/>
                    <w:rPr>
                      <w:szCs w:val="21"/>
                    </w:rPr>
                  </w:pPr>
                  <w:r>
                    <w:rPr>
                      <w:szCs w:val="21"/>
                    </w:rPr>
                    <w:t>警戒器材</w:t>
                  </w:r>
                </w:p>
              </w:tc>
              <w:tc>
                <w:tcPr>
                  <w:tcW w:w="865" w:type="pct"/>
                  <w:tcBorders>
                    <w:left w:val="single" w:color="auto" w:sz="4" w:space="0"/>
                  </w:tcBorders>
                  <w:tcMar>
                    <w:left w:w="28" w:type="dxa"/>
                    <w:right w:w="28" w:type="dxa"/>
                  </w:tcMar>
                  <w:vAlign w:val="center"/>
                </w:tcPr>
                <w:p w14:paraId="728DDD8F">
                  <w:pPr>
                    <w:jc w:val="center"/>
                    <w:rPr>
                      <w:szCs w:val="21"/>
                    </w:rPr>
                  </w:pPr>
                  <w:r>
                    <w:rPr>
                      <w:szCs w:val="21"/>
                    </w:rPr>
                    <w:t>钻井队副队长</w:t>
                  </w:r>
                </w:p>
              </w:tc>
            </w:tr>
            <w:tr w14:paraId="5C7109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24" w:type="pct"/>
                  <w:tcBorders>
                    <w:right w:val="single" w:color="auto" w:sz="4" w:space="0"/>
                  </w:tcBorders>
                  <w:tcMar>
                    <w:top w:w="0" w:type="dxa"/>
                    <w:left w:w="28" w:type="dxa"/>
                    <w:bottom w:w="0" w:type="dxa"/>
                    <w:right w:w="28" w:type="dxa"/>
                  </w:tcMar>
                  <w:vAlign w:val="center"/>
                </w:tcPr>
                <w:p w14:paraId="2F4F4559">
                  <w:pPr>
                    <w:jc w:val="center"/>
                    <w:rPr>
                      <w:szCs w:val="21"/>
                    </w:rPr>
                  </w:pPr>
                  <w:r>
                    <w:rPr>
                      <w:rFonts w:hint="eastAsia"/>
                      <w:szCs w:val="21"/>
                    </w:rPr>
                    <w:t>18</w:t>
                  </w:r>
                </w:p>
              </w:tc>
              <w:tc>
                <w:tcPr>
                  <w:tcW w:w="1724" w:type="pct"/>
                  <w:tcBorders>
                    <w:left w:val="single" w:color="auto" w:sz="4" w:space="0"/>
                    <w:right w:val="single" w:color="auto" w:sz="4" w:space="0"/>
                  </w:tcBorders>
                  <w:tcMar>
                    <w:left w:w="28" w:type="dxa"/>
                    <w:right w:w="28" w:type="dxa"/>
                  </w:tcMar>
                  <w:vAlign w:val="center"/>
                </w:tcPr>
                <w:p w14:paraId="25F49128">
                  <w:pPr>
                    <w:jc w:val="center"/>
                    <w:rPr>
                      <w:szCs w:val="21"/>
                    </w:rPr>
                  </w:pPr>
                  <w:r>
                    <w:rPr>
                      <w:szCs w:val="21"/>
                    </w:rPr>
                    <w:t>警示灯</w:t>
                  </w:r>
                </w:p>
              </w:tc>
              <w:tc>
                <w:tcPr>
                  <w:tcW w:w="1296" w:type="pct"/>
                  <w:tcBorders>
                    <w:left w:val="single" w:color="auto" w:sz="4" w:space="0"/>
                  </w:tcBorders>
                  <w:tcMar>
                    <w:top w:w="0" w:type="dxa"/>
                    <w:left w:w="28" w:type="dxa"/>
                    <w:bottom w:w="0" w:type="dxa"/>
                    <w:right w:w="28" w:type="dxa"/>
                  </w:tcMar>
                  <w:vAlign w:val="center"/>
                </w:tcPr>
                <w:p w14:paraId="7FDF3D59">
                  <w:pPr>
                    <w:jc w:val="center"/>
                    <w:rPr>
                      <w:szCs w:val="21"/>
                    </w:rPr>
                  </w:pPr>
                  <w:r>
                    <w:rPr>
                      <w:szCs w:val="21"/>
                    </w:rPr>
                    <w:t>消防房</w:t>
                  </w:r>
                </w:p>
              </w:tc>
              <w:tc>
                <w:tcPr>
                  <w:tcW w:w="691" w:type="pct"/>
                  <w:tcBorders>
                    <w:right w:val="single" w:color="auto" w:sz="4" w:space="0"/>
                  </w:tcBorders>
                  <w:tcMar>
                    <w:top w:w="0" w:type="dxa"/>
                    <w:left w:w="28" w:type="dxa"/>
                    <w:bottom w:w="0" w:type="dxa"/>
                    <w:right w:w="28" w:type="dxa"/>
                  </w:tcMar>
                  <w:vAlign w:val="center"/>
                </w:tcPr>
                <w:p w14:paraId="132C5812">
                  <w:pPr>
                    <w:jc w:val="center"/>
                    <w:rPr>
                      <w:szCs w:val="21"/>
                    </w:rPr>
                  </w:pPr>
                  <w:r>
                    <w:rPr>
                      <w:szCs w:val="21"/>
                    </w:rPr>
                    <w:t>警戒器材</w:t>
                  </w:r>
                </w:p>
              </w:tc>
              <w:tc>
                <w:tcPr>
                  <w:tcW w:w="865" w:type="pct"/>
                  <w:tcBorders>
                    <w:left w:val="single" w:color="auto" w:sz="4" w:space="0"/>
                  </w:tcBorders>
                  <w:tcMar>
                    <w:left w:w="28" w:type="dxa"/>
                    <w:right w:w="28" w:type="dxa"/>
                  </w:tcMar>
                  <w:vAlign w:val="center"/>
                </w:tcPr>
                <w:p w14:paraId="2E16AC80">
                  <w:pPr>
                    <w:jc w:val="center"/>
                    <w:rPr>
                      <w:szCs w:val="21"/>
                    </w:rPr>
                  </w:pPr>
                  <w:r>
                    <w:rPr>
                      <w:szCs w:val="21"/>
                    </w:rPr>
                    <w:t>钻井队副队长</w:t>
                  </w:r>
                </w:p>
              </w:tc>
            </w:tr>
          </w:tbl>
          <w:p w14:paraId="133E3299">
            <w:pPr>
              <w:spacing w:line="360" w:lineRule="auto"/>
              <w:ind w:firstLine="480" w:firstLineChars="200"/>
              <w:rPr>
                <w:sz w:val="24"/>
                <w:szCs w:val="32"/>
              </w:rPr>
            </w:pPr>
            <w:r>
              <w:rPr>
                <w:sz w:val="24"/>
                <w:szCs w:val="32"/>
              </w:rPr>
              <w:t>（6）报警、通讯联络方式</w:t>
            </w:r>
          </w:p>
          <w:p w14:paraId="21D0245C">
            <w:pPr>
              <w:spacing w:line="360" w:lineRule="auto"/>
              <w:ind w:firstLine="480" w:firstLineChars="200"/>
              <w:rPr>
                <w:sz w:val="24"/>
                <w:szCs w:val="32"/>
              </w:rPr>
            </w:pPr>
            <w:r>
              <w:rPr>
                <w:sz w:val="24"/>
                <w:szCs w:val="32"/>
              </w:rPr>
              <w:t>规定应急状态下的</w:t>
            </w:r>
            <w:r>
              <w:rPr>
                <w:rFonts w:hint="eastAsia"/>
                <w:sz w:val="24"/>
                <w:szCs w:val="32"/>
              </w:rPr>
              <w:t>报警通信</w:t>
            </w:r>
            <w:r>
              <w:rPr>
                <w:sz w:val="24"/>
                <w:szCs w:val="32"/>
              </w:rPr>
              <w:t>方式、通知方式和交通保障、管制。</w:t>
            </w:r>
          </w:p>
          <w:p w14:paraId="7FC8C6DD">
            <w:pPr>
              <w:spacing w:line="360" w:lineRule="auto"/>
              <w:ind w:firstLine="480" w:firstLineChars="200"/>
              <w:rPr>
                <w:sz w:val="24"/>
                <w:szCs w:val="32"/>
              </w:rPr>
            </w:pPr>
            <w:r>
              <w:rPr>
                <w:sz w:val="24"/>
                <w:szCs w:val="32"/>
              </w:rPr>
              <w:t>（7）应急措施</w:t>
            </w:r>
          </w:p>
          <w:p w14:paraId="395B31F3">
            <w:pPr>
              <w:spacing w:line="360" w:lineRule="auto"/>
              <w:ind w:firstLine="480" w:firstLineChars="200"/>
              <w:rPr>
                <w:sz w:val="24"/>
                <w:szCs w:val="32"/>
              </w:rPr>
            </w:pPr>
            <w:r>
              <w:rPr>
                <w:sz w:val="24"/>
                <w:szCs w:val="32"/>
              </w:rPr>
              <w:t>1）事故现场抢险抢救及降低事故危险程度的措施</w:t>
            </w:r>
          </w:p>
          <w:p w14:paraId="03D8FA74">
            <w:pPr>
              <w:spacing w:line="360" w:lineRule="auto"/>
              <w:ind w:firstLine="480" w:firstLineChars="200"/>
              <w:rPr>
                <w:sz w:val="24"/>
                <w:szCs w:val="32"/>
              </w:rPr>
            </w:pPr>
            <w:r>
              <w:rPr>
                <w:rFonts w:hint="eastAsia"/>
                <w:sz w:val="24"/>
                <w:szCs w:val="32"/>
              </w:rPr>
              <w:t>工程抢险、抢救是预防事故扩大的一个重要环节，如果发现及时、抢救及时，有可能避免一场火灾、爆炸事故，为此，在发现事故隐患时一定要控制好事态的发展，如果事态变大，无法抢救时，应立即进行人员疏散。抢救时一定要做好防护措施，抢险方案，保证抢险人员安全和正确抢险，在抢险中一定要抽调出有生产经验、懂流程、安全意识强、有责任心的人进行监护，配合抢险，同时对外及时联系，保证安全抢险。</w:t>
            </w:r>
          </w:p>
          <w:p w14:paraId="6FC5CD1C">
            <w:pPr>
              <w:spacing w:line="360" w:lineRule="auto"/>
              <w:ind w:firstLine="480" w:firstLineChars="200"/>
              <w:rPr>
                <w:sz w:val="24"/>
                <w:szCs w:val="32"/>
              </w:rPr>
            </w:pPr>
            <w:r>
              <w:rPr>
                <w:rFonts w:hint="eastAsia"/>
                <w:sz w:val="24"/>
                <w:szCs w:val="32"/>
              </w:rPr>
              <w:t>——当发生火情、原油泄漏，应迅速查清发生的部位，着火物质、火源、泄漏油品，及时做好防护措施，关闭阀门、切断物料，有效控制事故扩大，利用周围消防设施进行处理。</w:t>
            </w:r>
          </w:p>
          <w:p w14:paraId="28A365F5">
            <w:pPr>
              <w:spacing w:line="360" w:lineRule="auto"/>
              <w:ind w:firstLine="480" w:firstLineChars="200"/>
              <w:rPr>
                <w:sz w:val="24"/>
                <w:szCs w:val="32"/>
              </w:rPr>
            </w:pPr>
            <w:r>
              <w:rPr>
                <w:rFonts w:hint="eastAsia"/>
                <w:sz w:val="24"/>
                <w:szCs w:val="32"/>
              </w:rPr>
              <w:t>——带有压力的设备泄漏、着火，并且物料不断喷出，应迅速关闭阀门，组织员工处理。</w:t>
            </w:r>
          </w:p>
          <w:p w14:paraId="04DD1091">
            <w:pPr>
              <w:spacing w:line="360" w:lineRule="auto"/>
              <w:ind w:firstLine="480" w:firstLineChars="200"/>
              <w:rPr>
                <w:sz w:val="24"/>
                <w:szCs w:val="32"/>
              </w:rPr>
            </w:pPr>
            <w:r>
              <w:rPr>
                <w:rFonts w:hint="eastAsia"/>
                <w:sz w:val="24"/>
                <w:szCs w:val="32"/>
              </w:rPr>
              <w:t>——根据火势大小、油品泄漏量多少及设备损坏程度，按事故预案果断正确处理，这样可减少损失。</w:t>
            </w:r>
          </w:p>
          <w:p w14:paraId="04D9C1E4">
            <w:pPr>
              <w:spacing w:line="360" w:lineRule="auto"/>
              <w:ind w:firstLine="480" w:firstLineChars="200"/>
              <w:rPr>
                <w:sz w:val="24"/>
                <w:szCs w:val="32"/>
              </w:rPr>
            </w:pPr>
            <w:r>
              <w:rPr>
                <w:rFonts w:hint="eastAsia"/>
                <w:sz w:val="24"/>
                <w:szCs w:val="32"/>
              </w:rPr>
              <w:t>——</w:t>
            </w:r>
            <w:r>
              <w:rPr>
                <w:sz w:val="24"/>
                <w:szCs w:val="32"/>
              </w:rPr>
              <w:t>发生火灾及严重事故时，除应立即组织人员积极处理外，同时应立即拨打火警119及120联系医院及时赶到现场，进行补救和抢救，当班人员应正常引导消防车和救护车准确的进入现场。</w:t>
            </w:r>
          </w:p>
          <w:p w14:paraId="7C19F2A1">
            <w:pPr>
              <w:spacing w:line="360" w:lineRule="auto"/>
              <w:ind w:firstLine="480" w:firstLineChars="200"/>
              <w:rPr>
                <w:sz w:val="24"/>
                <w:szCs w:val="32"/>
              </w:rPr>
            </w:pPr>
            <w:r>
              <w:rPr>
                <w:rFonts w:hint="eastAsia"/>
                <w:sz w:val="24"/>
                <w:szCs w:val="32"/>
              </w:rPr>
              <w:t>——发生火灾、爆炸、人员中毒事故后，当班班长组织好人员，一面汇报有关领导和有关单位，一面协助消防队和医院人员进行灭火和人员救护，同时组织好人员进行工艺处理，若火势很大，为防止火势蔓延，控制火势用装置内的消防设施及灭火器材扑救，同时对周围其他设备、设施进行保护。</w:t>
            </w:r>
          </w:p>
          <w:p w14:paraId="0571FEA2">
            <w:pPr>
              <w:spacing w:line="360" w:lineRule="auto"/>
              <w:ind w:firstLine="480" w:firstLineChars="200"/>
              <w:rPr>
                <w:sz w:val="24"/>
                <w:szCs w:val="32"/>
              </w:rPr>
            </w:pPr>
            <w:r>
              <w:rPr>
                <w:rFonts w:hint="eastAsia"/>
                <w:sz w:val="24"/>
                <w:szCs w:val="32"/>
              </w:rPr>
              <w:t>2）应急环境监测与评估</w:t>
            </w:r>
          </w:p>
          <w:p w14:paraId="7F845F56">
            <w:pPr>
              <w:spacing w:line="360" w:lineRule="auto"/>
              <w:ind w:firstLine="480" w:firstLineChars="200"/>
              <w:rPr>
                <w:sz w:val="24"/>
                <w:szCs w:val="32"/>
              </w:rPr>
            </w:pPr>
            <w:r>
              <w:rPr>
                <w:rFonts w:hint="eastAsia"/>
                <w:sz w:val="24"/>
                <w:szCs w:val="32"/>
              </w:rPr>
              <w:t>事态监测与评估在应急决策中起着重要作用。消防和抢险、应急人员的安全、公众的就地保护措施或疏散、实物和水源的使用、污染物的围堵收容和清除、人群的返回等，都取决于对事故性质、事态发展的准确监测和评估。可能的监测活动包括：事故规模及影响边界，气象条件，对食物、饮用水、卫生以及水体、土壤、植物等的污染，可能的二次反应有害物，爆炸危险性和受损建筑垮塌危险性以及污染物质的滞留区等。</w:t>
            </w:r>
          </w:p>
          <w:p w14:paraId="5D702F00">
            <w:pPr>
              <w:spacing w:line="360" w:lineRule="auto"/>
              <w:ind w:firstLine="480" w:firstLineChars="200"/>
              <w:rPr>
                <w:sz w:val="24"/>
                <w:szCs w:val="32"/>
              </w:rPr>
            </w:pPr>
            <w:r>
              <w:rPr>
                <w:rFonts w:hint="eastAsia"/>
                <w:sz w:val="24"/>
                <w:szCs w:val="32"/>
              </w:rPr>
              <w:t>项目事故发生后，应急指挥领导小组应迅速组织委托有资质单位对事故现场以及周围环境进行连续不间断监测，对事故的性质、参数以及各类污染物质的扩散程度进行评估，为指挥部门提供决策依据。</w:t>
            </w:r>
          </w:p>
          <w:p w14:paraId="51F57464">
            <w:pPr>
              <w:autoSpaceDE w:val="0"/>
              <w:autoSpaceDN w:val="0"/>
              <w:adjustRightInd w:val="0"/>
              <w:jc w:val="center"/>
              <w:rPr>
                <w:b/>
                <w:kern w:val="0"/>
                <w:sz w:val="24"/>
              </w:rPr>
            </w:pPr>
            <w:r>
              <w:rPr>
                <w:b/>
                <w:kern w:val="0"/>
                <w:sz w:val="24"/>
              </w:rPr>
              <w:t>表</w:t>
            </w:r>
            <w:r>
              <w:rPr>
                <w:rFonts w:hint="eastAsia"/>
                <w:b/>
                <w:kern w:val="0"/>
                <w:sz w:val="24"/>
              </w:rPr>
              <w:t>5</w:t>
            </w:r>
            <w:r>
              <w:rPr>
                <w:b/>
                <w:kern w:val="0"/>
                <w:sz w:val="24"/>
              </w:rPr>
              <w:t>-</w:t>
            </w:r>
            <w:r>
              <w:rPr>
                <w:rFonts w:hint="eastAsia"/>
                <w:b/>
                <w:kern w:val="0"/>
                <w:sz w:val="24"/>
              </w:rPr>
              <w:t>3</w:t>
            </w:r>
            <w:r>
              <w:rPr>
                <w:b/>
                <w:kern w:val="0"/>
                <w:sz w:val="24"/>
              </w:rPr>
              <w:t xml:space="preserve"> 风险事故情况下环境应急监测方案一览表</w:t>
            </w:r>
          </w:p>
          <w:tbl>
            <w:tblPr>
              <w:tblStyle w:val="3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03"/>
              <w:gridCol w:w="2553"/>
              <w:gridCol w:w="1560"/>
              <w:gridCol w:w="1844"/>
              <w:gridCol w:w="1244"/>
            </w:tblGrid>
            <w:tr w14:paraId="0A22BD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1" w:type="pct"/>
                  <w:tcMar>
                    <w:left w:w="0" w:type="dxa"/>
                    <w:right w:w="0" w:type="dxa"/>
                  </w:tcMar>
                  <w:vAlign w:val="center"/>
                </w:tcPr>
                <w:p w14:paraId="0C40C608">
                  <w:pPr>
                    <w:tabs>
                      <w:tab w:val="left" w:pos="377"/>
                    </w:tabs>
                    <w:adjustRightInd w:val="0"/>
                    <w:jc w:val="center"/>
                    <w:rPr>
                      <w:szCs w:val="21"/>
                    </w:rPr>
                  </w:pPr>
                  <w:r>
                    <w:rPr>
                      <w:szCs w:val="21"/>
                    </w:rPr>
                    <w:t>项目</w:t>
                  </w:r>
                </w:p>
              </w:tc>
              <w:tc>
                <w:tcPr>
                  <w:tcW w:w="1556" w:type="pct"/>
                  <w:tcMar>
                    <w:left w:w="0" w:type="dxa"/>
                    <w:right w:w="0" w:type="dxa"/>
                  </w:tcMar>
                  <w:vAlign w:val="center"/>
                </w:tcPr>
                <w:p w14:paraId="7E94CF19">
                  <w:pPr>
                    <w:tabs>
                      <w:tab w:val="left" w:pos="377"/>
                    </w:tabs>
                    <w:adjustRightInd w:val="0"/>
                    <w:jc w:val="center"/>
                    <w:rPr>
                      <w:szCs w:val="21"/>
                    </w:rPr>
                  </w:pPr>
                  <w:r>
                    <w:rPr>
                      <w:szCs w:val="21"/>
                    </w:rPr>
                    <w:t>监测位置</w:t>
                  </w:r>
                </w:p>
              </w:tc>
              <w:tc>
                <w:tcPr>
                  <w:tcW w:w="951" w:type="pct"/>
                  <w:vAlign w:val="center"/>
                </w:tcPr>
                <w:p w14:paraId="0ECDD274">
                  <w:pPr>
                    <w:tabs>
                      <w:tab w:val="left" w:pos="377"/>
                    </w:tabs>
                    <w:adjustRightInd w:val="0"/>
                    <w:jc w:val="center"/>
                    <w:rPr>
                      <w:szCs w:val="21"/>
                    </w:rPr>
                  </w:pPr>
                  <w:r>
                    <w:rPr>
                      <w:szCs w:val="21"/>
                    </w:rPr>
                    <w:t>监测因子</w:t>
                  </w:r>
                </w:p>
              </w:tc>
              <w:tc>
                <w:tcPr>
                  <w:tcW w:w="1124" w:type="pct"/>
                  <w:tcMar>
                    <w:left w:w="0" w:type="dxa"/>
                    <w:right w:w="0" w:type="dxa"/>
                  </w:tcMar>
                  <w:vAlign w:val="center"/>
                </w:tcPr>
                <w:p w14:paraId="67F34BDB">
                  <w:pPr>
                    <w:tabs>
                      <w:tab w:val="left" w:pos="377"/>
                    </w:tabs>
                    <w:adjustRightInd w:val="0"/>
                    <w:jc w:val="center"/>
                    <w:rPr>
                      <w:szCs w:val="21"/>
                    </w:rPr>
                  </w:pPr>
                  <w:r>
                    <w:rPr>
                      <w:szCs w:val="21"/>
                    </w:rPr>
                    <w:t>监测频率</w:t>
                  </w:r>
                </w:p>
              </w:tc>
              <w:tc>
                <w:tcPr>
                  <w:tcW w:w="759" w:type="pct"/>
                  <w:tcMar>
                    <w:left w:w="0" w:type="dxa"/>
                    <w:right w:w="0" w:type="dxa"/>
                  </w:tcMar>
                  <w:vAlign w:val="center"/>
                </w:tcPr>
                <w:p w14:paraId="47E85DF7">
                  <w:pPr>
                    <w:tabs>
                      <w:tab w:val="left" w:pos="377"/>
                    </w:tabs>
                    <w:adjustRightInd w:val="0"/>
                    <w:jc w:val="center"/>
                    <w:rPr>
                      <w:szCs w:val="21"/>
                    </w:rPr>
                  </w:pPr>
                  <w:r>
                    <w:rPr>
                      <w:szCs w:val="21"/>
                    </w:rPr>
                    <w:t>备注</w:t>
                  </w:r>
                </w:p>
              </w:tc>
            </w:tr>
            <w:tr w14:paraId="39345F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1" w:type="pct"/>
                  <w:vMerge w:val="restart"/>
                  <w:tcMar>
                    <w:left w:w="0" w:type="dxa"/>
                    <w:right w:w="0" w:type="dxa"/>
                  </w:tcMar>
                  <w:vAlign w:val="center"/>
                </w:tcPr>
                <w:p w14:paraId="7BEEB8C5">
                  <w:pPr>
                    <w:tabs>
                      <w:tab w:val="left" w:pos="377"/>
                    </w:tabs>
                    <w:adjustRightInd w:val="0"/>
                    <w:jc w:val="center"/>
                    <w:rPr>
                      <w:szCs w:val="21"/>
                    </w:rPr>
                  </w:pPr>
                  <w:r>
                    <w:rPr>
                      <w:rFonts w:hint="eastAsia"/>
                      <w:szCs w:val="21"/>
                    </w:rPr>
                    <w:t>环境</w:t>
                  </w:r>
                  <w:r>
                    <w:rPr>
                      <w:szCs w:val="21"/>
                    </w:rPr>
                    <w:t>空气</w:t>
                  </w:r>
                </w:p>
              </w:tc>
              <w:tc>
                <w:tcPr>
                  <w:tcW w:w="1556" w:type="pct"/>
                  <w:tcMar>
                    <w:left w:w="0" w:type="dxa"/>
                    <w:right w:w="0" w:type="dxa"/>
                  </w:tcMar>
                  <w:vAlign w:val="center"/>
                </w:tcPr>
                <w:p w14:paraId="542B722C">
                  <w:pPr>
                    <w:tabs>
                      <w:tab w:val="left" w:pos="377"/>
                    </w:tabs>
                    <w:adjustRightInd w:val="0"/>
                    <w:jc w:val="center"/>
                    <w:rPr>
                      <w:szCs w:val="21"/>
                    </w:rPr>
                  </w:pPr>
                  <w:r>
                    <w:rPr>
                      <w:szCs w:val="21"/>
                    </w:rPr>
                    <w:t>井场</w:t>
                  </w:r>
                  <w:r>
                    <w:rPr>
                      <w:rFonts w:hint="eastAsia"/>
                      <w:szCs w:val="21"/>
                    </w:rPr>
                    <w:t>场</w:t>
                  </w:r>
                  <w:r>
                    <w:rPr>
                      <w:szCs w:val="21"/>
                    </w:rPr>
                    <w:t>界</w:t>
                  </w:r>
                </w:p>
              </w:tc>
              <w:tc>
                <w:tcPr>
                  <w:tcW w:w="951" w:type="pct"/>
                  <w:vMerge w:val="restart"/>
                  <w:tcMar>
                    <w:top w:w="0" w:type="dxa"/>
                    <w:left w:w="0" w:type="dxa"/>
                    <w:bottom w:w="0" w:type="dxa"/>
                    <w:right w:w="0" w:type="dxa"/>
                  </w:tcMar>
                  <w:vAlign w:val="center"/>
                </w:tcPr>
                <w:p w14:paraId="00A51DD6">
                  <w:pPr>
                    <w:tabs>
                      <w:tab w:val="left" w:pos="377"/>
                    </w:tabs>
                    <w:adjustRightInd w:val="0"/>
                    <w:jc w:val="center"/>
                    <w:rPr>
                      <w:szCs w:val="21"/>
                    </w:rPr>
                  </w:pPr>
                  <w:r>
                    <w:rPr>
                      <w:szCs w:val="21"/>
                    </w:rPr>
                    <w:t>非甲烷总烃、NO</w:t>
                  </w:r>
                  <w:r>
                    <w:rPr>
                      <w:szCs w:val="21"/>
                      <w:vertAlign w:val="subscript"/>
                    </w:rPr>
                    <w:t>x</w:t>
                  </w:r>
                  <w:r>
                    <w:rPr>
                      <w:szCs w:val="21"/>
                    </w:rPr>
                    <w:t>、CO、SO</w:t>
                  </w:r>
                  <w:r>
                    <w:rPr>
                      <w:szCs w:val="21"/>
                      <w:vertAlign w:val="subscript"/>
                    </w:rPr>
                    <w:t>2</w:t>
                  </w:r>
                </w:p>
              </w:tc>
              <w:tc>
                <w:tcPr>
                  <w:tcW w:w="1124" w:type="pct"/>
                  <w:vMerge w:val="restart"/>
                  <w:tcMar>
                    <w:left w:w="0" w:type="dxa"/>
                    <w:right w:w="0" w:type="dxa"/>
                  </w:tcMar>
                  <w:vAlign w:val="center"/>
                </w:tcPr>
                <w:p w14:paraId="16637FC1">
                  <w:pPr>
                    <w:tabs>
                      <w:tab w:val="left" w:pos="377"/>
                    </w:tabs>
                    <w:adjustRightInd w:val="0"/>
                    <w:jc w:val="center"/>
                    <w:rPr>
                      <w:szCs w:val="21"/>
                    </w:rPr>
                  </w:pPr>
                  <w:r>
                    <w:rPr>
                      <w:szCs w:val="21"/>
                    </w:rPr>
                    <w:t>事故发生及处理过程中进行实时监测，20</w:t>
                  </w:r>
                  <w:r>
                    <w:rPr>
                      <w:rFonts w:hint="eastAsia"/>
                      <w:szCs w:val="21"/>
                    </w:rPr>
                    <w:t>分钟</w:t>
                  </w:r>
                  <w:r>
                    <w:rPr>
                      <w:szCs w:val="21"/>
                    </w:rPr>
                    <w:t>一次，直至应急结束</w:t>
                  </w:r>
                  <w:r>
                    <w:rPr>
                      <w:rFonts w:hint="eastAsia"/>
                      <w:szCs w:val="21"/>
                    </w:rPr>
                    <w:t>。</w:t>
                  </w:r>
                </w:p>
              </w:tc>
              <w:tc>
                <w:tcPr>
                  <w:tcW w:w="759" w:type="pct"/>
                  <w:vMerge w:val="restart"/>
                  <w:tcMar>
                    <w:left w:w="0" w:type="dxa"/>
                    <w:right w:w="0" w:type="dxa"/>
                  </w:tcMar>
                  <w:vAlign w:val="center"/>
                </w:tcPr>
                <w:p w14:paraId="1DB12D50">
                  <w:pPr>
                    <w:tabs>
                      <w:tab w:val="left" w:pos="377"/>
                    </w:tabs>
                    <w:adjustRightInd w:val="0"/>
                    <w:jc w:val="center"/>
                    <w:rPr>
                      <w:szCs w:val="21"/>
                    </w:rPr>
                  </w:pPr>
                  <w:r>
                    <w:rPr>
                      <w:szCs w:val="21"/>
                    </w:rPr>
                    <w:t>根据发生事故的装置确定具体的监测因子</w:t>
                  </w:r>
                  <w:r>
                    <w:rPr>
                      <w:rFonts w:hint="eastAsia"/>
                      <w:szCs w:val="21"/>
                    </w:rPr>
                    <w:t>。</w:t>
                  </w:r>
                </w:p>
              </w:tc>
            </w:tr>
            <w:tr w14:paraId="0E9160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1" w:type="pct"/>
                  <w:vMerge w:val="continue"/>
                  <w:tcMar>
                    <w:left w:w="0" w:type="dxa"/>
                    <w:right w:w="0" w:type="dxa"/>
                  </w:tcMar>
                  <w:vAlign w:val="center"/>
                </w:tcPr>
                <w:p w14:paraId="75A709F3">
                  <w:pPr>
                    <w:jc w:val="left"/>
                    <w:rPr>
                      <w:szCs w:val="21"/>
                    </w:rPr>
                  </w:pPr>
                </w:p>
              </w:tc>
              <w:tc>
                <w:tcPr>
                  <w:tcW w:w="1556" w:type="pct"/>
                  <w:tcMar>
                    <w:left w:w="0" w:type="dxa"/>
                    <w:right w:w="0" w:type="dxa"/>
                  </w:tcMar>
                  <w:vAlign w:val="center"/>
                </w:tcPr>
                <w:p w14:paraId="02FCE6CA">
                  <w:pPr>
                    <w:tabs>
                      <w:tab w:val="left" w:pos="377"/>
                    </w:tabs>
                    <w:adjustRightInd w:val="0"/>
                    <w:jc w:val="center"/>
                    <w:rPr>
                      <w:szCs w:val="21"/>
                    </w:rPr>
                  </w:pPr>
                  <w:r>
                    <w:rPr>
                      <w:szCs w:val="21"/>
                    </w:rPr>
                    <w:t>下风向距离较近的敏感</w:t>
                  </w:r>
                  <w:r>
                    <w:rPr>
                      <w:rFonts w:hint="eastAsia"/>
                      <w:szCs w:val="21"/>
                    </w:rPr>
                    <w:t>目标</w:t>
                  </w:r>
                </w:p>
              </w:tc>
              <w:tc>
                <w:tcPr>
                  <w:tcW w:w="951" w:type="pct"/>
                  <w:vMerge w:val="continue"/>
                  <w:vAlign w:val="center"/>
                </w:tcPr>
                <w:p w14:paraId="5B878438">
                  <w:pPr>
                    <w:jc w:val="left"/>
                    <w:rPr>
                      <w:szCs w:val="21"/>
                    </w:rPr>
                  </w:pPr>
                </w:p>
              </w:tc>
              <w:tc>
                <w:tcPr>
                  <w:tcW w:w="1124" w:type="pct"/>
                  <w:vMerge w:val="continue"/>
                  <w:vAlign w:val="center"/>
                </w:tcPr>
                <w:p w14:paraId="6B376822">
                  <w:pPr>
                    <w:jc w:val="left"/>
                    <w:rPr>
                      <w:szCs w:val="21"/>
                    </w:rPr>
                  </w:pPr>
                </w:p>
              </w:tc>
              <w:tc>
                <w:tcPr>
                  <w:tcW w:w="759" w:type="pct"/>
                  <w:vMerge w:val="continue"/>
                  <w:vAlign w:val="center"/>
                </w:tcPr>
                <w:p w14:paraId="69D90574">
                  <w:pPr>
                    <w:jc w:val="left"/>
                    <w:rPr>
                      <w:szCs w:val="21"/>
                    </w:rPr>
                  </w:pPr>
                </w:p>
              </w:tc>
            </w:tr>
            <w:tr w14:paraId="2BA1AA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1" w:type="pct"/>
                  <w:tcMar>
                    <w:left w:w="0" w:type="dxa"/>
                    <w:right w:w="0" w:type="dxa"/>
                  </w:tcMar>
                  <w:vAlign w:val="center"/>
                </w:tcPr>
                <w:p w14:paraId="6560BC6A">
                  <w:pPr>
                    <w:tabs>
                      <w:tab w:val="left" w:pos="377"/>
                    </w:tabs>
                    <w:adjustRightInd w:val="0"/>
                    <w:jc w:val="center"/>
                    <w:rPr>
                      <w:szCs w:val="21"/>
                    </w:rPr>
                  </w:pPr>
                  <w:r>
                    <w:rPr>
                      <w:szCs w:val="21"/>
                    </w:rPr>
                    <w:t>土壤</w:t>
                  </w:r>
                </w:p>
              </w:tc>
              <w:tc>
                <w:tcPr>
                  <w:tcW w:w="1556" w:type="pct"/>
                  <w:tcMar>
                    <w:left w:w="0" w:type="dxa"/>
                    <w:right w:w="0" w:type="dxa"/>
                  </w:tcMar>
                  <w:vAlign w:val="center"/>
                </w:tcPr>
                <w:p w14:paraId="0EE6A472">
                  <w:pPr>
                    <w:tabs>
                      <w:tab w:val="left" w:pos="377"/>
                    </w:tabs>
                    <w:adjustRightInd w:val="0"/>
                    <w:jc w:val="center"/>
                    <w:rPr>
                      <w:szCs w:val="21"/>
                    </w:rPr>
                  </w:pPr>
                  <w:r>
                    <w:rPr>
                      <w:rFonts w:hint="eastAsia"/>
                      <w:szCs w:val="21"/>
                    </w:rPr>
                    <w:t>柴油</w:t>
                  </w:r>
                  <w:r>
                    <w:rPr>
                      <w:szCs w:val="21"/>
                    </w:rPr>
                    <w:t>罐、储液罐泄漏处附近</w:t>
                  </w:r>
                </w:p>
              </w:tc>
              <w:tc>
                <w:tcPr>
                  <w:tcW w:w="951" w:type="pct"/>
                  <w:vAlign w:val="center"/>
                </w:tcPr>
                <w:p w14:paraId="019A4E1B">
                  <w:pPr>
                    <w:tabs>
                      <w:tab w:val="left" w:pos="377"/>
                    </w:tabs>
                    <w:adjustRightInd w:val="0"/>
                    <w:jc w:val="center"/>
                    <w:rPr>
                      <w:sz w:val="24"/>
                    </w:rPr>
                  </w:pPr>
                  <w:r>
                    <w:rPr>
                      <w:szCs w:val="21"/>
                    </w:rPr>
                    <w:t>石油烃</w:t>
                  </w:r>
                </w:p>
              </w:tc>
              <w:tc>
                <w:tcPr>
                  <w:tcW w:w="1124" w:type="pct"/>
                  <w:vMerge w:val="continue"/>
                  <w:vAlign w:val="center"/>
                </w:tcPr>
                <w:p w14:paraId="65DC8357">
                  <w:pPr>
                    <w:jc w:val="left"/>
                    <w:rPr>
                      <w:szCs w:val="21"/>
                    </w:rPr>
                  </w:pPr>
                </w:p>
              </w:tc>
              <w:tc>
                <w:tcPr>
                  <w:tcW w:w="759" w:type="pct"/>
                  <w:vMerge w:val="continue"/>
                  <w:vAlign w:val="center"/>
                </w:tcPr>
                <w:p w14:paraId="164363A2">
                  <w:pPr>
                    <w:jc w:val="left"/>
                    <w:rPr>
                      <w:szCs w:val="21"/>
                    </w:rPr>
                  </w:pPr>
                </w:p>
              </w:tc>
            </w:tr>
            <w:tr w14:paraId="7824EC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1" w:type="pct"/>
                  <w:tcMar>
                    <w:left w:w="0" w:type="dxa"/>
                    <w:right w:w="0" w:type="dxa"/>
                  </w:tcMar>
                  <w:vAlign w:val="center"/>
                </w:tcPr>
                <w:p w14:paraId="488A5E25">
                  <w:pPr>
                    <w:tabs>
                      <w:tab w:val="left" w:pos="377"/>
                    </w:tabs>
                    <w:adjustRightInd w:val="0"/>
                    <w:jc w:val="center"/>
                    <w:rPr>
                      <w:szCs w:val="21"/>
                    </w:rPr>
                  </w:pPr>
                  <w:r>
                    <w:rPr>
                      <w:rFonts w:hint="eastAsia"/>
                      <w:szCs w:val="21"/>
                    </w:rPr>
                    <w:t>地下水</w:t>
                  </w:r>
                </w:p>
              </w:tc>
              <w:tc>
                <w:tcPr>
                  <w:tcW w:w="1556" w:type="pct"/>
                  <w:tcMar>
                    <w:left w:w="0" w:type="dxa"/>
                    <w:right w:w="0" w:type="dxa"/>
                  </w:tcMar>
                  <w:vAlign w:val="center"/>
                </w:tcPr>
                <w:p w14:paraId="5DEA5FEA">
                  <w:pPr>
                    <w:tabs>
                      <w:tab w:val="left" w:pos="377"/>
                    </w:tabs>
                    <w:adjustRightInd w:val="0"/>
                    <w:jc w:val="center"/>
                    <w:rPr>
                      <w:szCs w:val="21"/>
                    </w:rPr>
                  </w:pPr>
                  <w:r>
                    <w:rPr>
                      <w:rFonts w:hint="eastAsia"/>
                      <w:szCs w:val="21"/>
                    </w:rPr>
                    <w:t>事故点及敏感点地下水</w:t>
                  </w:r>
                </w:p>
              </w:tc>
              <w:tc>
                <w:tcPr>
                  <w:tcW w:w="951" w:type="pct"/>
                  <w:vAlign w:val="center"/>
                </w:tcPr>
                <w:p w14:paraId="08C65311">
                  <w:pPr>
                    <w:tabs>
                      <w:tab w:val="left" w:pos="377"/>
                    </w:tabs>
                    <w:adjustRightInd w:val="0"/>
                    <w:jc w:val="center"/>
                    <w:rPr>
                      <w:szCs w:val="21"/>
                    </w:rPr>
                  </w:pPr>
                  <w:r>
                    <w:rPr>
                      <w:rFonts w:hint="eastAsia"/>
                      <w:szCs w:val="21"/>
                    </w:rPr>
                    <w:t>石油类</w:t>
                  </w:r>
                </w:p>
              </w:tc>
              <w:tc>
                <w:tcPr>
                  <w:tcW w:w="1124" w:type="pct"/>
                  <w:vMerge w:val="continue"/>
                  <w:vAlign w:val="center"/>
                </w:tcPr>
                <w:p w14:paraId="0351DF3E">
                  <w:pPr>
                    <w:jc w:val="left"/>
                    <w:rPr>
                      <w:szCs w:val="21"/>
                    </w:rPr>
                  </w:pPr>
                </w:p>
              </w:tc>
              <w:tc>
                <w:tcPr>
                  <w:tcW w:w="759" w:type="pct"/>
                  <w:vMerge w:val="continue"/>
                  <w:vAlign w:val="center"/>
                </w:tcPr>
                <w:p w14:paraId="474FE99D">
                  <w:pPr>
                    <w:jc w:val="left"/>
                    <w:rPr>
                      <w:szCs w:val="21"/>
                    </w:rPr>
                  </w:pPr>
                </w:p>
              </w:tc>
            </w:tr>
          </w:tbl>
          <w:p w14:paraId="68FA6933">
            <w:pPr>
              <w:spacing w:line="360" w:lineRule="auto"/>
              <w:ind w:firstLine="480" w:firstLineChars="200"/>
              <w:rPr>
                <w:sz w:val="24"/>
                <w:szCs w:val="32"/>
              </w:rPr>
            </w:pPr>
            <w:r>
              <w:rPr>
                <w:sz w:val="24"/>
                <w:szCs w:val="32"/>
              </w:rPr>
              <w:t>（8）应急检测、防护措施、清除泄漏措施和器材</w:t>
            </w:r>
          </w:p>
          <w:p w14:paraId="37880808">
            <w:pPr>
              <w:spacing w:line="360" w:lineRule="auto"/>
              <w:ind w:firstLine="480" w:firstLineChars="200"/>
              <w:rPr>
                <w:sz w:val="24"/>
                <w:szCs w:val="32"/>
              </w:rPr>
            </w:pPr>
            <w:r>
              <w:rPr>
                <w:sz w:val="24"/>
                <w:szCs w:val="32"/>
              </w:rPr>
              <w:t>事故现场、邻近区域、控制防火区域，控制和清除污染措施及相应设备。</w:t>
            </w:r>
          </w:p>
          <w:p w14:paraId="2D60FDA6">
            <w:pPr>
              <w:spacing w:line="360" w:lineRule="auto"/>
              <w:ind w:firstLine="480" w:firstLineChars="200"/>
              <w:rPr>
                <w:sz w:val="24"/>
                <w:szCs w:val="32"/>
              </w:rPr>
            </w:pPr>
            <w:r>
              <w:rPr>
                <w:sz w:val="24"/>
                <w:szCs w:val="32"/>
              </w:rPr>
              <w:t>（9）人员紧急</w:t>
            </w:r>
            <w:r>
              <w:rPr>
                <w:rFonts w:hint="eastAsia"/>
                <w:sz w:val="24"/>
                <w:szCs w:val="32"/>
              </w:rPr>
              <w:t>撤离</w:t>
            </w:r>
            <w:r>
              <w:rPr>
                <w:sz w:val="24"/>
                <w:szCs w:val="32"/>
              </w:rPr>
              <w:t>、疏散，应急剂量控制、</w:t>
            </w:r>
            <w:r>
              <w:rPr>
                <w:rFonts w:hint="eastAsia"/>
                <w:sz w:val="24"/>
                <w:szCs w:val="32"/>
              </w:rPr>
              <w:t>撤离</w:t>
            </w:r>
            <w:r>
              <w:rPr>
                <w:sz w:val="24"/>
                <w:szCs w:val="32"/>
              </w:rPr>
              <w:t>组织计划</w:t>
            </w:r>
          </w:p>
          <w:p w14:paraId="45227386">
            <w:pPr>
              <w:spacing w:line="360" w:lineRule="auto"/>
              <w:ind w:firstLine="480" w:firstLineChars="200"/>
              <w:rPr>
                <w:sz w:val="24"/>
                <w:szCs w:val="32"/>
              </w:rPr>
            </w:pPr>
            <w:r>
              <w:rPr>
                <w:sz w:val="24"/>
                <w:szCs w:val="32"/>
              </w:rPr>
              <w:t>事故现场、邻近区域、受事故影响的区域人员及公众对毒物应急剂量控制规定，</w:t>
            </w:r>
            <w:r>
              <w:rPr>
                <w:rFonts w:hint="eastAsia"/>
                <w:sz w:val="24"/>
                <w:szCs w:val="32"/>
              </w:rPr>
              <w:t>撤离</w:t>
            </w:r>
            <w:r>
              <w:rPr>
                <w:sz w:val="24"/>
                <w:szCs w:val="32"/>
              </w:rPr>
              <w:t>组织计划及救护，医疗救护与公众健康。</w:t>
            </w:r>
            <w:r>
              <w:rPr>
                <w:rFonts w:hint="eastAsia"/>
                <w:sz w:val="24"/>
                <w:szCs w:val="32"/>
              </w:rPr>
              <w:t>发生事故后，首先针对井场临近的四实验场村民进行疏散并撤离，撤离路线根据事发状态下的风向进行撤离并远离事故现场，保证居民不受影响</w:t>
            </w:r>
            <w:r>
              <w:rPr>
                <w:sz w:val="24"/>
                <w:szCs w:val="32"/>
              </w:rPr>
              <w:t>。</w:t>
            </w:r>
          </w:p>
          <w:p w14:paraId="64D5D04F">
            <w:pPr>
              <w:spacing w:line="360" w:lineRule="auto"/>
              <w:ind w:firstLine="480" w:firstLineChars="200"/>
              <w:rPr>
                <w:sz w:val="24"/>
                <w:szCs w:val="32"/>
              </w:rPr>
            </w:pPr>
            <w:r>
              <w:rPr>
                <w:sz w:val="24"/>
                <w:szCs w:val="32"/>
              </w:rPr>
              <w:t>（10）事故应急救援关闭程序与恢复措施</w:t>
            </w:r>
          </w:p>
          <w:p w14:paraId="1CD0B45D">
            <w:pPr>
              <w:spacing w:line="360" w:lineRule="auto"/>
              <w:ind w:firstLine="480" w:firstLineChars="200"/>
              <w:rPr>
                <w:sz w:val="24"/>
                <w:szCs w:val="32"/>
              </w:rPr>
            </w:pPr>
            <w:r>
              <w:rPr>
                <w:rFonts w:hint="eastAsia"/>
                <w:sz w:val="24"/>
                <w:szCs w:val="32"/>
              </w:rPr>
              <w:t>1）规定应急状态终止程序；2）事故现场善后处理，恢复措施；3）邻近区域解除事故警戒及善后恢复措施。</w:t>
            </w:r>
          </w:p>
          <w:p w14:paraId="22442202">
            <w:pPr>
              <w:spacing w:line="360" w:lineRule="auto"/>
              <w:ind w:firstLine="480" w:firstLineChars="200"/>
              <w:rPr>
                <w:sz w:val="24"/>
                <w:szCs w:val="32"/>
              </w:rPr>
            </w:pPr>
            <w:r>
              <w:rPr>
                <w:sz w:val="24"/>
                <w:szCs w:val="32"/>
              </w:rPr>
              <w:t>（11）应急培训计划</w:t>
            </w:r>
          </w:p>
          <w:p w14:paraId="3F17149A">
            <w:pPr>
              <w:spacing w:line="360" w:lineRule="auto"/>
              <w:ind w:firstLine="480" w:firstLineChars="200"/>
              <w:rPr>
                <w:sz w:val="24"/>
                <w:szCs w:val="32"/>
              </w:rPr>
            </w:pPr>
            <w:r>
              <w:rPr>
                <w:sz w:val="24"/>
                <w:szCs w:val="32"/>
              </w:rPr>
              <w:t>应急计划制定后，平时安排人员培训与演练。</w:t>
            </w:r>
          </w:p>
          <w:p w14:paraId="25C183EF">
            <w:pPr>
              <w:spacing w:line="360" w:lineRule="auto"/>
              <w:ind w:firstLine="480" w:firstLineChars="200"/>
              <w:rPr>
                <w:sz w:val="24"/>
                <w:szCs w:val="32"/>
              </w:rPr>
            </w:pPr>
            <w:r>
              <w:rPr>
                <w:sz w:val="24"/>
                <w:szCs w:val="32"/>
              </w:rPr>
              <w:t>（12）公众教育和信息</w:t>
            </w:r>
          </w:p>
          <w:p w14:paraId="37C5EC9E">
            <w:pPr>
              <w:spacing w:line="360" w:lineRule="auto"/>
              <w:ind w:firstLine="480" w:firstLineChars="200"/>
              <w:rPr>
                <w:sz w:val="24"/>
                <w:szCs w:val="32"/>
              </w:rPr>
            </w:pPr>
            <w:r>
              <w:rPr>
                <w:rFonts w:hint="eastAsia"/>
                <w:sz w:val="24"/>
                <w:szCs w:val="32"/>
              </w:rPr>
              <w:t>应定期对井场临近的四实验场村民进行应急安全方面的公众教育、培训和发布有关信息。</w:t>
            </w:r>
          </w:p>
          <w:p w14:paraId="51D8D7E8">
            <w:pPr>
              <w:spacing w:line="360" w:lineRule="auto"/>
              <w:ind w:firstLine="480" w:firstLineChars="200"/>
              <w:rPr>
                <w:sz w:val="24"/>
                <w:szCs w:val="32"/>
              </w:rPr>
            </w:pPr>
            <w:r>
              <w:rPr>
                <w:rFonts w:hint="eastAsia"/>
                <w:sz w:val="24"/>
                <w:szCs w:val="32"/>
              </w:rPr>
              <w:t>应急预案主要内容见下表。</w:t>
            </w:r>
          </w:p>
          <w:p w14:paraId="5C49F6FA">
            <w:pPr>
              <w:autoSpaceDE w:val="0"/>
              <w:autoSpaceDN w:val="0"/>
              <w:adjustRightInd w:val="0"/>
              <w:jc w:val="center"/>
              <w:rPr>
                <w:b/>
                <w:kern w:val="0"/>
                <w:sz w:val="24"/>
              </w:rPr>
            </w:pPr>
            <w:r>
              <w:rPr>
                <w:b/>
                <w:kern w:val="0"/>
                <w:sz w:val="24"/>
              </w:rPr>
              <w:t>表</w:t>
            </w:r>
            <w:r>
              <w:rPr>
                <w:rFonts w:hint="eastAsia"/>
                <w:b/>
                <w:kern w:val="0"/>
                <w:sz w:val="24"/>
              </w:rPr>
              <w:t>5</w:t>
            </w:r>
            <w:r>
              <w:rPr>
                <w:b/>
                <w:kern w:val="0"/>
                <w:sz w:val="24"/>
              </w:rPr>
              <w:t>-</w:t>
            </w:r>
            <w:r>
              <w:rPr>
                <w:rFonts w:hint="eastAsia"/>
                <w:b/>
                <w:kern w:val="0"/>
                <w:sz w:val="24"/>
              </w:rPr>
              <w:t xml:space="preserve">4 </w:t>
            </w:r>
            <w:r>
              <w:rPr>
                <w:b/>
                <w:kern w:val="0"/>
                <w:sz w:val="24"/>
              </w:rPr>
              <w:t>应急预案内容</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3"/>
              <w:gridCol w:w="2177"/>
              <w:gridCol w:w="5294"/>
            </w:tblGrid>
            <w:tr w14:paraId="22F705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7EBFE488">
                  <w:pPr>
                    <w:jc w:val="center"/>
                    <w:textAlignment w:val="center"/>
                    <w:rPr>
                      <w:szCs w:val="21"/>
                    </w:rPr>
                  </w:pPr>
                  <w:r>
                    <w:rPr>
                      <w:szCs w:val="21"/>
                    </w:rPr>
                    <w:t>序号</w:t>
                  </w:r>
                </w:p>
              </w:tc>
              <w:tc>
                <w:tcPr>
                  <w:tcW w:w="1327" w:type="pct"/>
                  <w:vAlign w:val="center"/>
                </w:tcPr>
                <w:p w14:paraId="5D707BD9">
                  <w:pPr>
                    <w:jc w:val="center"/>
                    <w:textAlignment w:val="center"/>
                    <w:rPr>
                      <w:szCs w:val="21"/>
                    </w:rPr>
                  </w:pPr>
                  <w:r>
                    <w:rPr>
                      <w:szCs w:val="21"/>
                    </w:rPr>
                    <w:t>项目</w:t>
                  </w:r>
                </w:p>
              </w:tc>
              <w:tc>
                <w:tcPr>
                  <w:tcW w:w="3226" w:type="pct"/>
                  <w:vAlign w:val="center"/>
                </w:tcPr>
                <w:p w14:paraId="6CC72730">
                  <w:pPr>
                    <w:jc w:val="center"/>
                    <w:textAlignment w:val="center"/>
                    <w:rPr>
                      <w:szCs w:val="21"/>
                    </w:rPr>
                  </w:pPr>
                  <w:r>
                    <w:rPr>
                      <w:szCs w:val="21"/>
                    </w:rPr>
                    <w:t>内容及要求</w:t>
                  </w:r>
                </w:p>
              </w:tc>
            </w:tr>
            <w:tr w14:paraId="10115D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10D71FB5">
                  <w:pPr>
                    <w:jc w:val="center"/>
                    <w:textAlignment w:val="center"/>
                    <w:rPr>
                      <w:szCs w:val="21"/>
                    </w:rPr>
                  </w:pPr>
                  <w:r>
                    <w:rPr>
                      <w:szCs w:val="21"/>
                    </w:rPr>
                    <w:t>1</w:t>
                  </w:r>
                </w:p>
              </w:tc>
              <w:tc>
                <w:tcPr>
                  <w:tcW w:w="1327" w:type="pct"/>
                  <w:vAlign w:val="center"/>
                </w:tcPr>
                <w:p w14:paraId="429C92F8">
                  <w:pPr>
                    <w:jc w:val="center"/>
                    <w:textAlignment w:val="center"/>
                    <w:rPr>
                      <w:szCs w:val="21"/>
                    </w:rPr>
                  </w:pPr>
                  <w:r>
                    <w:rPr>
                      <w:szCs w:val="21"/>
                    </w:rPr>
                    <w:t>应急计划区</w:t>
                  </w:r>
                </w:p>
              </w:tc>
              <w:tc>
                <w:tcPr>
                  <w:tcW w:w="3226" w:type="pct"/>
                  <w:vAlign w:val="center"/>
                </w:tcPr>
                <w:p w14:paraId="0921F8C5">
                  <w:pPr>
                    <w:textAlignment w:val="center"/>
                    <w:rPr>
                      <w:szCs w:val="21"/>
                    </w:rPr>
                  </w:pPr>
                  <w:r>
                    <w:rPr>
                      <w:szCs w:val="21"/>
                    </w:rPr>
                    <w:t>井场井口</w:t>
                  </w:r>
                  <w:r>
                    <w:rPr>
                      <w:rFonts w:hint="eastAsia"/>
                      <w:szCs w:val="21"/>
                    </w:rPr>
                    <w:t>，输</w:t>
                  </w:r>
                  <w:r>
                    <w:rPr>
                      <w:szCs w:val="21"/>
                    </w:rPr>
                    <w:t>油管线，储液罐等。</w:t>
                  </w:r>
                </w:p>
              </w:tc>
            </w:tr>
            <w:tr w14:paraId="720198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447" w:type="pct"/>
                  <w:vAlign w:val="center"/>
                </w:tcPr>
                <w:p w14:paraId="351FB4C6">
                  <w:pPr>
                    <w:jc w:val="center"/>
                    <w:textAlignment w:val="center"/>
                    <w:rPr>
                      <w:szCs w:val="21"/>
                    </w:rPr>
                  </w:pPr>
                  <w:r>
                    <w:rPr>
                      <w:szCs w:val="21"/>
                    </w:rPr>
                    <w:t>2</w:t>
                  </w:r>
                </w:p>
              </w:tc>
              <w:tc>
                <w:tcPr>
                  <w:tcW w:w="1327" w:type="pct"/>
                  <w:vAlign w:val="center"/>
                </w:tcPr>
                <w:p w14:paraId="0805E745">
                  <w:pPr>
                    <w:jc w:val="center"/>
                    <w:textAlignment w:val="center"/>
                    <w:rPr>
                      <w:szCs w:val="21"/>
                    </w:rPr>
                  </w:pPr>
                  <w:r>
                    <w:rPr>
                      <w:szCs w:val="21"/>
                    </w:rPr>
                    <w:t>应急组织机构、人员</w:t>
                  </w:r>
                </w:p>
              </w:tc>
              <w:tc>
                <w:tcPr>
                  <w:tcW w:w="3226" w:type="pct"/>
                  <w:vAlign w:val="center"/>
                </w:tcPr>
                <w:p w14:paraId="3C7B2034">
                  <w:pPr>
                    <w:textAlignment w:val="center"/>
                    <w:rPr>
                      <w:szCs w:val="21"/>
                    </w:rPr>
                  </w:pPr>
                  <w:r>
                    <w:rPr>
                      <w:szCs w:val="21"/>
                    </w:rPr>
                    <w:t>实施三级应急</w:t>
                  </w:r>
                  <w:r>
                    <w:rPr>
                      <w:rFonts w:hint="eastAsia"/>
                      <w:szCs w:val="21"/>
                    </w:rPr>
                    <w:t>组织</w:t>
                  </w:r>
                  <w:r>
                    <w:rPr>
                      <w:szCs w:val="21"/>
                    </w:rPr>
                    <w:t>机构，各级别主要负责人为应急计划、协调第一人，应急人员必须为培训上岗熟练工；区域应急组织结构由当地政府、相关行业专家、卫生安全相关单位组成，并由当地政府进行统一调度。</w:t>
                  </w:r>
                </w:p>
              </w:tc>
            </w:tr>
            <w:tr w14:paraId="304C2F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6F04EACF">
                  <w:pPr>
                    <w:jc w:val="center"/>
                    <w:textAlignment w:val="center"/>
                    <w:rPr>
                      <w:szCs w:val="21"/>
                    </w:rPr>
                  </w:pPr>
                  <w:r>
                    <w:rPr>
                      <w:szCs w:val="21"/>
                    </w:rPr>
                    <w:t>3</w:t>
                  </w:r>
                </w:p>
              </w:tc>
              <w:tc>
                <w:tcPr>
                  <w:tcW w:w="1327" w:type="pct"/>
                  <w:vAlign w:val="center"/>
                </w:tcPr>
                <w:p w14:paraId="2E8E8F1C">
                  <w:pPr>
                    <w:jc w:val="center"/>
                    <w:textAlignment w:val="center"/>
                    <w:rPr>
                      <w:szCs w:val="21"/>
                    </w:rPr>
                  </w:pPr>
                  <w:r>
                    <w:rPr>
                      <w:szCs w:val="21"/>
                    </w:rPr>
                    <w:t>预案分级响应条件</w:t>
                  </w:r>
                </w:p>
              </w:tc>
              <w:tc>
                <w:tcPr>
                  <w:tcW w:w="3226" w:type="pct"/>
                  <w:vAlign w:val="center"/>
                </w:tcPr>
                <w:p w14:paraId="5BE67568">
                  <w:pPr>
                    <w:textAlignment w:val="center"/>
                    <w:rPr>
                      <w:szCs w:val="21"/>
                    </w:rPr>
                  </w:pPr>
                  <w:r>
                    <w:rPr>
                      <w:szCs w:val="21"/>
                    </w:rPr>
                    <w:t>根据事故的严重程度制定相应级别的应急预案，以及适合相应情况的处理措施。</w:t>
                  </w:r>
                </w:p>
              </w:tc>
            </w:tr>
            <w:tr w14:paraId="7F878E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061C584E">
                  <w:pPr>
                    <w:jc w:val="center"/>
                    <w:textAlignment w:val="center"/>
                    <w:rPr>
                      <w:szCs w:val="21"/>
                    </w:rPr>
                  </w:pPr>
                  <w:r>
                    <w:rPr>
                      <w:szCs w:val="21"/>
                    </w:rPr>
                    <w:t>4</w:t>
                  </w:r>
                </w:p>
              </w:tc>
              <w:tc>
                <w:tcPr>
                  <w:tcW w:w="1327" w:type="pct"/>
                  <w:vAlign w:val="center"/>
                </w:tcPr>
                <w:p w14:paraId="3EFA95B5">
                  <w:pPr>
                    <w:jc w:val="center"/>
                    <w:textAlignment w:val="center"/>
                    <w:rPr>
                      <w:szCs w:val="21"/>
                    </w:rPr>
                  </w:pPr>
                  <w:r>
                    <w:rPr>
                      <w:szCs w:val="21"/>
                    </w:rPr>
                    <w:t>应急救援保障</w:t>
                  </w:r>
                </w:p>
              </w:tc>
              <w:tc>
                <w:tcPr>
                  <w:tcW w:w="3226" w:type="pct"/>
                  <w:vAlign w:val="center"/>
                </w:tcPr>
                <w:p w14:paraId="12807274">
                  <w:pPr>
                    <w:textAlignment w:val="center"/>
                    <w:rPr>
                      <w:szCs w:val="21"/>
                    </w:rPr>
                  </w:pPr>
                  <w:r>
                    <w:rPr>
                      <w:szCs w:val="21"/>
                    </w:rPr>
                    <w:t>应急设施，设备与器材等。</w:t>
                  </w:r>
                </w:p>
              </w:tc>
            </w:tr>
            <w:tr w14:paraId="72E09D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18" w:hRule="atLeast"/>
              </w:trPr>
              <w:tc>
                <w:tcPr>
                  <w:tcW w:w="447" w:type="pct"/>
                  <w:vAlign w:val="center"/>
                </w:tcPr>
                <w:p w14:paraId="4640D91C">
                  <w:pPr>
                    <w:jc w:val="center"/>
                    <w:textAlignment w:val="center"/>
                    <w:rPr>
                      <w:szCs w:val="21"/>
                    </w:rPr>
                  </w:pPr>
                  <w:r>
                    <w:rPr>
                      <w:szCs w:val="21"/>
                    </w:rPr>
                    <w:t>5</w:t>
                  </w:r>
                </w:p>
              </w:tc>
              <w:tc>
                <w:tcPr>
                  <w:tcW w:w="1327" w:type="pct"/>
                  <w:vAlign w:val="center"/>
                </w:tcPr>
                <w:p w14:paraId="2F67D98E">
                  <w:pPr>
                    <w:jc w:val="center"/>
                    <w:textAlignment w:val="center"/>
                    <w:rPr>
                      <w:szCs w:val="21"/>
                    </w:rPr>
                  </w:pPr>
                  <w:r>
                    <w:rPr>
                      <w:szCs w:val="21"/>
                    </w:rPr>
                    <w:t>报警、通讯联络方式</w:t>
                  </w:r>
                </w:p>
              </w:tc>
              <w:tc>
                <w:tcPr>
                  <w:tcW w:w="3226" w:type="pct"/>
                  <w:vAlign w:val="center"/>
                </w:tcPr>
                <w:p w14:paraId="7596D856">
                  <w:pPr>
                    <w:textAlignment w:val="center"/>
                    <w:rPr>
                      <w:szCs w:val="21"/>
                    </w:rPr>
                  </w:pPr>
                  <w:r>
                    <w:rPr>
                      <w:szCs w:val="21"/>
                    </w:rPr>
                    <w:t>逐一细化应急状态下各主要负责单位的</w:t>
                  </w:r>
                  <w:r>
                    <w:rPr>
                      <w:rFonts w:hint="eastAsia"/>
                      <w:szCs w:val="21"/>
                    </w:rPr>
                    <w:t>报警通信</w:t>
                  </w:r>
                  <w:r>
                    <w:rPr>
                      <w:szCs w:val="21"/>
                    </w:rPr>
                    <w:t>方式、地点、电话号码以及相关配套的交通保障、管制、消防联络方法，涉及跨区域的还应与相关区域环境保护部门和上级环保部门保持联系，及时通报事故处理情况，以获得区域性支援。</w:t>
                  </w:r>
                </w:p>
              </w:tc>
            </w:tr>
            <w:tr w14:paraId="4D1CBE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79FF11F3">
                  <w:pPr>
                    <w:jc w:val="center"/>
                    <w:textAlignment w:val="center"/>
                    <w:rPr>
                      <w:szCs w:val="21"/>
                    </w:rPr>
                  </w:pPr>
                  <w:r>
                    <w:rPr>
                      <w:szCs w:val="21"/>
                    </w:rPr>
                    <w:t>6</w:t>
                  </w:r>
                </w:p>
              </w:tc>
              <w:tc>
                <w:tcPr>
                  <w:tcW w:w="1327" w:type="pct"/>
                  <w:vAlign w:val="center"/>
                </w:tcPr>
                <w:p w14:paraId="53F0DE26">
                  <w:pPr>
                    <w:jc w:val="center"/>
                    <w:textAlignment w:val="center"/>
                    <w:rPr>
                      <w:szCs w:val="21"/>
                    </w:rPr>
                  </w:pPr>
                  <w:r>
                    <w:rPr>
                      <w:szCs w:val="21"/>
                    </w:rPr>
                    <w:t>应急环境监测、抢险、救援及控制措施</w:t>
                  </w:r>
                </w:p>
              </w:tc>
              <w:tc>
                <w:tcPr>
                  <w:tcW w:w="3226" w:type="pct"/>
                  <w:vAlign w:val="center"/>
                </w:tcPr>
                <w:p w14:paraId="4DDF3D1C">
                  <w:pPr>
                    <w:textAlignment w:val="center"/>
                    <w:rPr>
                      <w:szCs w:val="21"/>
                    </w:rPr>
                  </w:pPr>
                  <w:r>
                    <w:rPr>
                      <w:szCs w:val="21"/>
                    </w:rPr>
                    <w:t>由专业队伍负责对事故现场进行侦查监测，对事故性质、参数与后果进行评估，为指挥部门提供决策依据</w:t>
                  </w:r>
                  <w:r>
                    <w:rPr>
                      <w:rFonts w:hint="eastAsia"/>
                      <w:szCs w:val="21"/>
                    </w:rPr>
                    <w:t>。</w:t>
                  </w:r>
                </w:p>
              </w:tc>
            </w:tr>
            <w:tr w14:paraId="3126A2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24889D15">
                  <w:pPr>
                    <w:jc w:val="center"/>
                    <w:textAlignment w:val="center"/>
                    <w:rPr>
                      <w:szCs w:val="21"/>
                    </w:rPr>
                  </w:pPr>
                  <w:r>
                    <w:rPr>
                      <w:szCs w:val="21"/>
                    </w:rPr>
                    <w:t>7</w:t>
                  </w:r>
                </w:p>
              </w:tc>
              <w:tc>
                <w:tcPr>
                  <w:tcW w:w="1327" w:type="pct"/>
                  <w:tcMar>
                    <w:left w:w="0" w:type="dxa"/>
                    <w:right w:w="0" w:type="dxa"/>
                  </w:tcMar>
                  <w:vAlign w:val="center"/>
                </w:tcPr>
                <w:p w14:paraId="2D9B3D91">
                  <w:pPr>
                    <w:jc w:val="center"/>
                    <w:textAlignment w:val="center"/>
                    <w:rPr>
                      <w:szCs w:val="21"/>
                    </w:rPr>
                  </w:pPr>
                  <w:r>
                    <w:rPr>
                      <w:szCs w:val="21"/>
                    </w:rPr>
                    <w:t>应急检测、防护措施、清除泄漏措施和器材</w:t>
                  </w:r>
                </w:p>
              </w:tc>
              <w:tc>
                <w:tcPr>
                  <w:tcW w:w="3226" w:type="pct"/>
                  <w:vAlign w:val="center"/>
                </w:tcPr>
                <w:p w14:paraId="2FC544B9">
                  <w:pPr>
                    <w:textAlignment w:val="center"/>
                    <w:rPr>
                      <w:szCs w:val="21"/>
                    </w:rPr>
                  </w:pPr>
                  <w:r>
                    <w:rPr>
                      <w:szCs w:val="21"/>
                    </w:rPr>
                    <w:t>事故现场、油井邻近区域、控制防火区域，控制和清除污染措施及相应设备的数量、使用方法、使用人员</w:t>
                  </w:r>
                  <w:r>
                    <w:rPr>
                      <w:rFonts w:hint="eastAsia"/>
                      <w:szCs w:val="21"/>
                    </w:rPr>
                    <w:t>。</w:t>
                  </w:r>
                </w:p>
              </w:tc>
            </w:tr>
            <w:tr w14:paraId="7CF0CE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508237E2">
                  <w:pPr>
                    <w:jc w:val="center"/>
                    <w:textAlignment w:val="center"/>
                    <w:rPr>
                      <w:szCs w:val="21"/>
                    </w:rPr>
                  </w:pPr>
                  <w:r>
                    <w:rPr>
                      <w:szCs w:val="21"/>
                    </w:rPr>
                    <w:t>8</w:t>
                  </w:r>
                </w:p>
              </w:tc>
              <w:tc>
                <w:tcPr>
                  <w:tcW w:w="1327" w:type="pct"/>
                  <w:vAlign w:val="center"/>
                </w:tcPr>
                <w:p w14:paraId="717657BF">
                  <w:pPr>
                    <w:jc w:val="center"/>
                    <w:textAlignment w:val="center"/>
                    <w:rPr>
                      <w:szCs w:val="21"/>
                    </w:rPr>
                  </w:pPr>
                  <w:r>
                    <w:rPr>
                      <w:szCs w:val="21"/>
                    </w:rPr>
                    <w:t>人员紧急撤离、疏散，应急剂量控制、撤离组织计划</w:t>
                  </w:r>
                </w:p>
              </w:tc>
              <w:tc>
                <w:tcPr>
                  <w:tcW w:w="3226" w:type="pct"/>
                  <w:vAlign w:val="center"/>
                </w:tcPr>
                <w:p w14:paraId="0ED3C969">
                  <w:pPr>
                    <w:textAlignment w:val="center"/>
                    <w:rPr>
                      <w:szCs w:val="21"/>
                    </w:rPr>
                  </w:pPr>
                  <w:r>
                    <w:rPr>
                      <w:szCs w:val="21"/>
                    </w:rPr>
                    <w:t>事故现场、油井邻近区、受事故影响的区域人员及公众对毒物应急剂量控制规定，撤离组织计划及救护，医疗救护与公众健康。</w:t>
                  </w:r>
                </w:p>
              </w:tc>
            </w:tr>
            <w:tr w14:paraId="47A5A1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64EC1577">
                  <w:pPr>
                    <w:jc w:val="center"/>
                    <w:textAlignment w:val="center"/>
                    <w:rPr>
                      <w:szCs w:val="21"/>
                    </w:rPr>
                  </w:pPr>
                  <w:r>
                    <w:rPr>
                      <w:szCs w:val="21"/>
                    </w:rPr>
                    <w:t>9</w:t>
                  </w:r>
                </w:p>
              </w:tc>
              <w:tc>
                <w:tcPr>
                  <w:tcW w:w="1327" w:type="pct"/>
                  <w:vAlign w:val="center"/>
                </w:tcPr>
                <w:p w14:paraId="00ECE07F">
                  <w:pPr>
                    <w:jc w:val="center"/>
                    <w:textAlignment w:val="center"/>
                    <w:rPr>
                      <w:szCs w:val="21"/>
                    </w:rPr>
                  </w:pPr>
                  <w:r>
                    <w:rPr>
                      <w:szCs w:val="21"/>
                    </w:rPr>
                    <w:t>事故应急救援关闭程序与恢复措施</w:t>
                  </w:r>
                </w:p>
              </w:tc>
              <w:tc>
                <w:tcPr>
                  <w:tcW w:w="3226" w:type="pct"/>
                  <w:vAlign w:val="center"/>
                </w:tcPr>
                <w:p w14:paraId="61085F3E">
                  <w:pPr>
                    <w:textAlignment w:val="center"/>
                    <w:rPr>
                      <w:szCs w:val="21"/>
                    </w:rPr>
                  </w:pPr>
                  <w:r>
                    <w:rPr>
                      <w:szCs w:val="21"/>
                    </w:rPr>
                    <w:t>规定应急状态终止程序</w:t>
                  </w:r>
                  <w:r>
                    <w:rPr>
                      <w:rFonts w:hint="eastAsia"/>
                      <w:szCs w:val="21"/>
                    </w:rPr>
                    <w:t>；</w:t>
                  </w:r>
                </w:p>
                <w:p w14:paraId="11B1EF53">
                  <w:pPr>
                    <w:textAlignment w:val="center"/>
                    <w:rPr>
                      <w:szCs w:val="21"/>
                    </w:rPr>
                  </w:pPr>
                  <w:r>
                    <w:rPr>
                      <w:szCs w:val="21"/>
                    </w:rPr>
                    <w:t>事故现场</w:t>
                  </w:r>
                  <w:r>
                    <w:rPr>
                      <w:rFonts w:hint="eastAsia"/>
                      <w:szCs w:val="21"/>
                    </w:rPr>
                    <w:t>善后</w:t>
                  </w:r>
                  <w:r>
                    <w:rPr>
                      <w:szCs w:val="21"/>
                    </w:rPr>
                    <w:t>处理，恢复措施</w:t>
                  </w:r>
                  <w:r>
                    <w:rPr>
                      <w:rFonts w:hint="eastAsia"/>
                      <w:szCs w:val="21"/>
                    </w:rPr>
                    <w:t>；</w:t>
                  </w:r>
                </w:p>
                <w:p w14:paraId="3C21939E">
                  <w:pPr>
                    <w:textAlignment w:val="center"/>
                    <w:rPr>
                      <w:szCs w:val="21"/>
                    </w:rPr>
                  </w:pPr>
                  <w:r>
                    <w:rPr>
                      <w:szCs w:val="21"/>
                    </w:rPr>
                    <w:t>邻近区域解除事故警戒及善后恢复措施</w:t>
                  </w:r>
                  <w:r>
                    <w:rPr>
                      <w:rFonts w:hint="eastAsia"/>
                      <w:szCs w:val="21"/>
                    </w:rPr>
                    <w:t>；</w:t>
                  </w:r>
                </w:p>
                <w:p w14:paraId="0177284C">
                  <w:pPr>
                    <w:textAlignment w:val="center"/>
                    <w:rPr>
                      <w:szCs w:val="21"/>
                    </w:rPr>
                  </w:pPr>
                  <w:r>
                    <w:rPr>
                      <w:szCs w:val="21"/>
                    </w:rPr>
                    <w:t>制定有关的环境恢复措施</w:t>
                  </w:r>
                  <w:r>
                    <w:rPr>
                      <w:rFonts w:hint="eastAsia"/>
                      <w:szCs w:val="21"/>
                    </w:rPr>
                    <w:t>；</w:t>
                  </w:r>
                </w:p>
                <w:p w14:paraId="00559344">
                  <w:pPr>
                    <w:textAlignment w:val="center"/>
                    <w:rPr>
                      <w:szCs w:val="21"/>
                    </w:rPr>
                  </w:pPr>
                  <w:r>
                    <w:rPr>
                      <w:szCs w:val="21"/>
                    </w:rPr>
                    <w:t>组织专业人员对事故后的环境变化进行监测，对事故应急措施的环境可行性进行后影响评价</w:t>
                  </w:r>
                  <w:r>
                    <w:rPr>
                      <w:rFonts w:hint="eastAsia"/>
                      <w:szCs w:val="21"/>
                    </w:rPr>
                    <w:t>。</w:t>
                  </w:r>
                </w:p>
              </w:tc>
            </w:tr>
            <w:tr w14:paraId="30F422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1219D70F">
                  <w:pPr>
                    <w:jc w:val="center"/>
                    <w:textAlignment w:val="center"/>
                    <w:rPr>
                      <w:szCs w:val="21"/>
                    </w:rPr>
                  </w:pPr>
                  <w:r>
                    <w:rPr>
                      <w:szCs w:val="21"/>
                    </w:rPr>
                    <w:t>10</w:t>
                  </w:r>
                </w:p>
              </w:tc>
              <w:tc>
                <w:tcPr>
                  <w:tcW w:w="1327" w:type="pct"/>
                  <w:vAlign w:val="center"/>
                </w:tcPr>
                <w:p w14:paraId="0542B405">
                  <w:pPr>
                    <w:jc w:val="center"/>
                    <w:textAlignment w:val="center"/>
                    <w:rPr>
                      <w:szCs w:val="21"/>
                    </w:rPr>
                  </w:pPr>
                  <w:r>
                    <w:rPr>
                      <w:szCs w:val="21"/>
                    </w:rPr>
                    <w:t>应急培训计划</w:t>
                  </w:r>
                </w:p>
              </w:tc>
              <w:tc>
                <w:tcPr>
                  <w:tcW w:w="3226" w:type="pct"/>
                  <w:vAlign w:val="center"/>
                </w:tcPr>
                <w:p w14:paraId="6838D65F">
                  <w:pPr>
                    <w:textAlignment w:val="center"/>
                    <w:rPr>
                      <w:szCs w:val="21"/>
                    </w:rPr>
                  </w:pPr>
                  <w:r>
                    <w:rPr>
                      <w:szCs w:val="21"/>
                    </w:rPr>
                    <w:t>应急计划制定后，平时安排人员培训与演练</w:t>
                  </w:r>
                  <w:r>
                    <w:rPr>
                      <w:rFonts w:hint="eastAsia"/>
                      <w:szCs w:val="21"/>
                    </w:rPr>
                    <w:t>。</w:t>
                  </w:r>
                </w:p>
              </w:tc>
            </w:tr>
            <w:tr w14:paraId="1A605C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447" w:type="pct"/>
                  <w:vAlign w:val="center"/>
                </w:tcPr>
                <w:p w14:paraId="67238BF7">
                  <w:pPr>
                    <w:jc w:val="center"/>
                    <w:textAlignment w:val="center"/>
                    <w:rPr>
                      <w:szCs w:val="21"/>
                    </w:rPr>
                  </w:pPr>
                  <w:r>
                    <w:rPr>
                      <w:szCs w:val="21"/>
                    </w:rPr>
                    <w:t>11</w:t>
                  </w:r>
                </w:p>
              </w:tc>
              <w:tc>
                <w:tcPr>
                  <w:tcW w:w="1327" w:type="pct"/>
                  <w:vAlign w:val="center"/>
                </w:tcPr>
                <w:p w14:paraId="747A31CF">
                  <w:pPr>
                    <w:jc w:val="center"/>
                    <w:textAlignment w:val="center"/>
                    <w:rPr>
                      <w:szCs w:val="21"/>
                    </w:rPr>
                  </w:pPr>
                  <w:r>
                    <w:rPr>
                      <w:szCs w:val="21"/>
                    </w:rPr>
                    <w:t>公众教育和信息</w:t>
                  </w:r>
                </w:p>
              </w:tc>
              <w:tc>
                <w:tcPr>
                  <w:tcW w:w="3226" w:type="pct"/>
                  <w:vAlign w:val="center"/>
                </w:tcPr>
                <w:p w14:paraId="64437EA0">
                  <w:pPr>
                    <w:textAlignment w:val="center"/>
                    <w:rPr>
                      <w:szCs w:val="21"/>
                    </w:rPr>
                  </w:pPr>
                  <w:r>
                    <w:rPr>
                      <w:szCs w:val="21"/>
                    </w:rPr>
                    <w:t>对油井邻近地区开展公众教育、培训和发布有关信息</w:t>
                  </w:r>
                  <w:r>
                    <w:rPr>
                      <w:rFonts w:hint="eastAsia"/>
                      <w:szCs w:val="21"/>
                    </w:rPr>
                    <w:t>。</w:t>
                  </w:r>
                </w:p>
              </w:tc>
            </w:tr>
          </w:tbl>
          <w:p w14:paraId="55A5C2E6">
            <w:pPr>
              <w:spacing w:line="360" w:lineRule="auto"/>
              <w:rPr>
                <w:bCs/>
                <w:spacing w:val="10"/>
                <w:szCs w:val="21"/>
              </w:rPr>
            </w:pPr>
          </w:p>
        </w:tc>
      </w:tr>
      <w:tr w14:paraId="510BA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7" w:hRule="atLeast"/>
          <w:jc w:val="center"/>
        </w:trPr>
        <w:tc>
          <w:tcPr>
            <w:tcW w:w="477" w:type="dxa"/>
            <w:tcMar>
              <w:left w:w="28" w:type="dxa"/>
              <w:right w:w="28" w:type="dxa"/>
            </w:tcMar>
            <w:vAlign w:val="center"/>
          </w:tcPr>
          <w:p w14:paraId="5A2E40A4">
            <w:pPr>
              <w:adjustRightInd w:val="0"/>
              <w:snapToGrid w:val="0"/>
              <w:jc w:val="center"/>
              <w:rPr>
                <w:b/>
                <w:bCs/>
                <w:spacing w:val="10"/>
                <w:sz w:val="24"/>
              </w:rPr>
            </w:pPr>
            <w:r>
              <w:rPr>
                <w:b/>
                <w:bCs/>
                <w:spacing w:val="10"/>
                <w:sz w:val="24"/>
              </w:rPr>
              <w:t>运营期生态环境保护措施</w:t>
            </w:r>
          </w:p>
        </w:tc>
        <w:tc>
          <w:tcPr>
            <w:tcW w:w="8420" w:type="dxa"/>
            <w:vAlign w:val="center"/>
          </w:tcPr>
          <w:p w14:paraId="11A5B445">
            <w:pPr>
              <w:spacing w:line="360" w:lineRule="auto"/>
              <w:ind w:firstLine="480" w:firstLineChars="200"/>
              <w:rPr>
                <w:sz w:val="24"/>
                <w:szCs w:val="32"/>
              </w:rPr>
            </w:pPr>
            <w:r>
              <w:rPr>
                <w:rFonts w:hint="eastAsia"/>
                <w:sz w:val="24"/>
                <w:szCs w:val="32"/>
              </w:rPr>
              <w:t>无运营期</w:t>
            </w:r>
          </w:p>
        </w:tc>
      </w:tr>
      <w:tr w14:paraId="2E56C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77" w:type="dxa"/>
            <w:tcMar>
              <w:left w:w="28" w:type="dxa"/>
              <w:right w:w="28" w:type="dxa"/>
            </w:tcMar>
            <w:vAlign w:val="center"/>
          </w:tcPr>
          <w:p w14:paraId="7DDADADD">
            <w:pPr>
              <w:adjustRightInd w:val="0"/>
              <w:snapToGrid w:val="0"/>
              <w:jc w:val="center"/>
              <w:rPr>
                <w:b/>
                <w:bCs/>
                <w:spacing w:val="10"/>
                <w:sz w:val="24"/>
              </w:rPr>
            </w:pPr>
            <w:r>
              <w:rPr>
                <w:b/>
                <w:bCs/>
                <w:spacing w:val="10"/>
                <w:sz w:val="24"/>
              </w:rPr>
              <w:t>其他</w:t>
            </w:r>
          </w:p>
        </w:tc>
        <w:tc>
          <w:tcPr>
            <w:tcW w:w="8420" w:type="dxa"/>
          </w:tcPr>
          <w:p w14:paraId="68F37CAC">
            <w:pPr>
              <w:spacing w:line="360" w:lineRule="auto"/>
              <w:ind w:firstLine="480" w:firstLineChars="200"/>
              <w:rPr>
                <w:sz w:val="24"/>
                <w:szCs w:val="32"/>
                <w:lang w:val="en-GB"/>
              </w:rPr>
            </w:pPr>
            <w:r>
              <w:rPr>
                <w:sz w:val="24"/>
                <w:szCs w:val="32"/>
                <w:lang w:val="en-GB"/>
              </w:rPr>
              <w:t>项目由中国石油天然气股份有限公司华北油田巴彦勘探开发分公司投资建设，环境管理执行机构为公司质量安全环保科，设有专职的环保专职人员，负责公司的环境保护管理及监督工作。</w:t>
            </w:r>
          </w:p>
          <w:p w14:paraId="755660F9">
            <w:pPr>
              <w:spacing w:line="360" w:lineRule="auto"/>
              <w:ind w:firstLine="480" w:firstLineChars="200"/>
              <w:rPr>
                <w:sz w:val="24"/>
                <w:szCs w:val="32"/>
                <w:lang w:val="en-GB"/>
              </w:rPr>
            </w:pPr>
            <w:r>
              <w:rPr>
                <w:sz w:val="24"/>
                <w:szCs w:val="32"/>
                <w:lang w:val="en-GB"/>
              </w:rPr>
              <w:t>其主要职能是：掌握全公司的环境状况，统计分析污染物排放情况，研究治理对策，组织指导各单位环境监测工作，协调处理有关污染事故和污染纠纷，监督检查项目的</w:t>
            </w:r>
            <w:r>
              <w:rPr>
                <w:rFonts w:hint="eastAsia"/>
                <w:sz w:val="24"/>
                <w:szCs w:val="32"/>
                <w:lang w:val="en-GB"/>
              </w:rPr>
              <w:t>“</w:t>
            </w:r>
            <w:r>
              <w:rPr>
                <w:sz w:val="24"/>
                <w:szCs w:val="32"/>
                <w:lang w:val="en-GB"/>
              </w:rPr>
              <w:t>三同时</w:t>
            </w:r>
            <w:r>
              <w:rPr>
                <w:rFonts w:hint="eastAsia"/>
                <w:sz w:val="24"/>
                <w:szCs w:val="32"/>
                <w:lang w:val="en-GB"/>
              </w:rPr>
              <w:t>”</w:t>
            </w:r>
            <w:r>
              <w:rPr>
                <w:sz w:val="24"/>
                <w:szCs w:val="32"/>
                <w:lang w:val="en-GB"/>
              </w:rPr>
              <w:t>制度执行情况及参与环保设施的竣工验收工作等，已形成一套完整可行的环境管理计划，并起到了既发展生产，又保护环境的作用。</w:t>
            </w:r>
          </w:p>
          <w:p w14:paraId="7EDB15C2">
            <w:pPr>
              <w:spacing w:line="360" w:lineRule="auto"/>
              <w:ind w:firstLine="480" w:firstLineChars="200"/>
              <w:rPr>
                <w:sz w:val="24"/>
                <w:szCs w:val="32"/>
                <w:lang w:val="en-GB"/>
              </w:rPr>
            </w:pPr>
            <w:r>
              <w:rPr>
                <w:sz w:val="24"/>
                <w:szCs w:val="32"/>
                <w:lang w:val="en-GB"/>
              </w:rPr>
              <w:t>1、环境管理依据及执行标准</w:t>
            </w:r>
          </w:p>
          <w:p w14:paraId="50A61B04">
            <w:pPr>
              <w:spacing w:line="360" w:lineRule="auto"/>
              <w:ind w:firstLine="480" w:firstLineChars="200"/>
              <w:rPr>
                <w:sz w:val="24"/>
                <w:szCs w:val="32"/>
                <w:lang w:val="en-GB"/>
              </w:rPr>
            </w:pPr>
            <w:r>
              <w:rPr>
                <w:sz w:val="24"/>
                <w:szCs w:val="32"/>
                <w:lang w:val="en-GB"/>
              </w:rPr>
              <w:t>环境管理依据包括《中华人民共和国环境保护法</w:t>
            </w:r>
            <w:r>
              <w:rPr>
                <w:rFonts w:hint="eastAsia"/>
                <w:sz w:val="24"/>
                <w:szCs w:val="32"/>
                <w:lang w:val="en-GB"/>
              </w:rPr>
              <w:t>》《</w:t>
            </w:r>
            <w:r>
              <w:rPr>
                <w:sz w:val="24"/>
                <w:szCs w:val="32"/>
                <w:lang w:val="en-GB"/>
              </w:rPr>
              <w:t>中华人民共和国土地管理法</w:t>
            </w:r>
            <w:r>
              <w:rPr>
                <w:rFonts w:hint="eastAsia"/>
                <w:sz w:val="24"/>
                <w:szCs w:val="32"/>
                <w:lang w:val="en-GB"/>
              </w:rPr>
              <w:t>》《</w:t>
            </w:r>
            <w:r>
              <w:rPr>
                <w:sz w:val="24"/>
                <w:szCs w:val="32"/>
                <w:lang w:val="en-GB"/>
              </w:rPr>
              <w:t>建设项目环境保护管理条例》、地方政府和各级环保部门颁布的地方</w:t>
            </w:r>
            <w:r>
              <w:rPr>
                <w:rFonts w:hint="eastAsia"/>
                <w:sz w:val="24"/>
                <w:szCs w:val="32"/>
                <w:lang w:val="en-GB"/>
              </w:rPr>
              <w:t>环保</w:t>
            </w:r>
            <w:r>
              <w:rPr>
                <w:sz w:val="24"/>
                <w:szCs w:val="32"/>
                <w:lang w:val="en-GB"/>
              </w:rPr>
              <w:t>法规、公司制定的环境保护管理条例及其它环保法规。</w:t>
            </w:r>
          </w:p>
          <w:p w14:paraId="2E7C1070">
            <w:pPr>
              <w:spacing w:line="360" w:lineRule="auto"/>
              <w:ind w:firstLine="480" w:firstLineChars="200"/>
              <w:rPr>
                <w:sz w:val="24"/>
                <w:szCs w:val="32"/>
                <w:lang w:val="en-GB"/>
              </w:rPr>
            </w:pPr>
            <w:r>
              <w:rPr>
                <w:sz w:val="24"/>
                <w:szCs w:val="32"/>
                <w:lang w:val="en-GB"/>
              </w:rPr>
              <w:t>2、勘探期环境管理</w:t>
            </w:r>
          </w:p>
          <w:p w14:paraId="0B39B1F0">
            <w:pPr>
              <w:spacing w:line="360" w:lineRule="auto"/>
              <w:ind w:firstLine="480" w:firstLineChars="200"/>
              <w:rPr>
                <w:sz w:val="24"/>
                <w:szCs w:val="32"/>
                <w:lang w:val="en-GB"/>
              </w:rPr>
            </w:pPr>
            <w:r>
              <w:rPr>
                <w:sz w:val="24"/>
                <w:szCs w:val="32"/>
                <w:lang w:val="en-GB"/>
              </w:rPr>
              <w:t>（1）建立和实施施工作业队伍的QHSE管理体系。</w:t>
            </w:r>
          </w:p>
          <w:p w14:paraId="65479DA6">
            <w:pPr>
              <w:spacing w:line="360" w:lineRule="auto"/>
              <w:ind w:firstLine="480" w:firstLineChars="200"/>
              <w:rPr>
                <w:sz w:val="24"/>
                <w:szCs w:val="32"/>
                <w:lang w:val="en-GB"/>
              </w:rPr>
            </w:pPr>
            <w:r>
              <w:rPr>
                <w:sz w:val="24"/>
                <w:szCs w:val="32"/>
                <w:lang w:val="en-GB"/>
              </w:rPr>
              <w:t>（2）对</w:t>
            </w:r>
            <w:r>
              <w:rPr>
                <w:rFonts w:hint="eastAsia"/>
                <w:sz w:val="24"/>
                <w:szCs w:val="32"/>
                <w:lang w:val="en-GB"/>
              </w:rPr>
              <w:t>勘探</w:t>
            </w:r>
            <w:r>
              <w:rPr>
                <w:sz w:val="24"/>
                <w:szCs w:val="32"/>
                <w:lang w:val="en-GB"/>
              </w:rPr>
              <w:t>期全过程进行环保措施和环保工程的监督和检查。</w:t>
            </w:r>
          </w:p>
          <w:p w14:paraId="17E6DAD8">
            <w:pPr>
              <w:spacing w:line="360" w:lineRule="auto"/>
              <w:ind w:firstLine="480" w:firstLineChars="200"/>
              <w:rPr>
                <w:sz w:val="24"/>
                <w:szCs w:val="32"/>
                <w:lang w:val="en-GB"/>
              </w:rPr>
            </w:pPr>
            <w:r>
              <w:rPr>
                <w:sz w:val="24"/>
                <w:szCs w:val="32"/>
                <w:lang w:val="en-GB"/>
              </w:rPr>
              <w:t>（3）实行勘探期环境监理制度，将勘探期作业对环境造成的破坏降低到最低限度。</w:t>
            </w:r>
          </w:p>
          <w:p w14:paraId="7B47F01D">
            <w:pPr>
              <w:spacing w:line="360" w:lineRule="auto"/>
              <w:ind w:firstLine="480" w:firstLineChars="200"/>
              <w:rPr>
                <w:sz w:val="24"/>
                <w:szCs w:val="32"/>
                <w:lang w:val="en-GB"/>
              </w:rPr>
            </w:pPr>
            <w:r>
              <w:rPr>
                <w:sz w:val="24"/>
                <w:szCs w:val="32"/>
                <w:lang w:val="en-GB"/>
              </w:rPr>
              <w:t>（4）施工井场生态恢复，主要是对临时占地区域的生态修复。主要表现在临时道路、设备堆压、车辆碾压、施工人员踩踏等，待油气井勘探工程结束全部恢复原有土地类型。</w:t>
            </w:r>
          </w:p>
          <w:p w14:paraId="65A45555">
            <w:pPr>
              <w:spacing w:line="360" w:lineRule="auto"/>
              <w:ind w:firstLine="480" w:firstLineChars="200"/>
              <w:rPr>
                <w:sz w:val="24"/>
                <w:szCs w:val="32"/>
                <w:lang w:val="en-GB"/>
              </w:rPr>
            </w:pPr>
            <w:r>
              <w:rPr>
                <w:rFonts w:hint="eastAsia"/>
                <w:sz w:val="24"/>
                <w:szCs w:val="32"/>
                <w:lang w:val="en-GB"/>
              </w:rPr>
              <w:t>3、环保设施竣工验收</w:t>
            </w:r>
          </w:p>
          <w:p w14:paraId="23B4F846">
            <w:pPr>
              <w:spacing w:line="360" w:lineRule="auto"/>
              <w:ind w:firstLine="480" w:firstLineChars="200"/>
              <w:rPr>
                <w:sz w:val="24"/>
                <w:szCs w:val="32"/>
                <w:lang w:val="en-GB"/>
              </w:rPr>
            </w:pPr>
            <w:r>
              <w:rPr>
                <w:sz w:val="24"/>
                <w:szCs w:val="32"/>
                <w:lang w:val="en-GB"/>
              </w:rPr>
              <w:t>勘探期结束后，建设单位应当按照</w:t>
            </w:r>
            <w:r>
              <w:rPr>
                <w:rFonts w:hint="eastAsia"/>
                <w:sz w:val="24"/>
                <w:szCs w:val="32"/>
                <w:lang w:val="en-GB"/>
              </w:rPr>
              <w:t>《建设项目竣工环境保护验收暂行办法》等有关规定和标准的要求，组织竣工环境保护验收工作。重点调查施工过程中对环境影响报告表所提出的生态环境保护措施和要求的落实情况，调查分析项目勘探过程对生态环境造成的实际影响，是否已采取有效的环境保护预防、减缓和补救措施，并编制竣工环境保护验收报告。</w:t>
            </w:r>
          </w:p>
          <w:p w14:paraId="06C81F19">
            <w:pPr>
              <w:spacing w:line="360" w:lineRule="auto"/>
              <w:ind w:firstLine="480" w:firstLineChars="200"/>
              <w:rPr>
                <w:sz w:val="24"/>
                <w:szCs w:val="32"/>
                <w:lang w:val="en-GB"/>
              </w:rPr>
            </w:pPr>
            <w:r>
              <w:rPr>
                <w:rFonts w:hint="eastAsia"/>
                <w:sz w:val="24"/>
                <w:szCs w:val="32"/>
                <w:lang w:val="en-GB"/>
              </w:rPr>
              <w:t>验收报告</w:t>
            </w:r>
            <w:r>
              <w:rPr>
                <w:sz w:val="24"/>
                <w:szCs w:val="32"/>
                <w:lang w:val="en-GB"/>
              </w:rPr>
              <w:t>内容主要包括</w:t>
            </w:r>
            <w:r>
              <w:rPr>
                <w:rFonts w:hint="eastAsia"/>
                <w:sz w:val="24"/>
                <w:szCs w:val="32"/>
                <w:lang w:val="en-GB"/>
              </w:rPr>
              <w:t>施工期废（污）水、固废等处置情况，环保措施执行情况，</w:t>
            </w:r>
            <w:r>
              <w:rPr>
                <w:sz w:val="24"/>
                <w:szCs w:val="32"/>
                <w:lang w:val="en-GB"/>
              </w:rPr>
              <w:t>生态、植被</w:t>
            </w:r>
            <w:r>
              <w:rPr>
                <w:rFonts w:hint="eastAsia"/>
                <w:sz w:val="24"/>
                <w:szCs w:val="32"/>
                <w:lang w:val="en-GB"/>
              </w:rPr>
              <w:t>等</w:t>
            </w:r>
            <w:r>
              <w:rPr>
                <w:sz w:val="24"/>
                <w:szCs w:val="32"/>
                <w:lang w:val="en-GB"/>
              </w:rPr>
              <w:t>恢复情况，以及解决和落实有关资源的补偿问题</w:t>
            </w:r>
            <w:r>
              <w:rPr>
                <w:rFonts w:hint="eastAsia"/>
                <w:sz w:val="24"/>
                <w:szCs w:val="32"/>
                <w:lang w:val="en-GB"/>
              </w:rPr>
              <w:t>。</w:t>
            </w:r>
            <w:r>
              <w:rPr>
                <w:sz w:val="24"/>
                <w:szCs w:val="32"/>
                <w:lang w:val="en-GB"/>
              </w:rPr>
              <w:t>同时应按要求</w:t>
            </w:r>
            <w:r>
              <w:rPr>
                <w:rFonts w:hint="eastAsia"/>
                <w:sz w:val="24"/>
                <w:szCs w:val="32"/>
                <w:lang w:val="en-GB"/>
              </w:rPr>
              <w:t>公开验收报告相关信息，接受社会监督。</w:t>
            </w:r>
          </w:p>
        </w:tc>
      </w:tr>
      <w:tr w14:paraId="28BD3E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77" w:type="dxa"/>
            <w:tcMar>
              <w:left w:w="28" w:type="dxa"/>
              <w:right w:w="28" w:type="dxa"/>
            </w:tcMar>
            <w:vAlign w:val="center"/>
          </w:tcPr>
          <w:p w14:paraId="56FFAE73">
            <w:pPr>
              <w:adjustRightInd w:val="0"/>
              <w:snapToGrid w:val="0"/>
              <w:jc w:val="center"/>
              <w:rPr>
                <w:bCs/>
                <w:spacing w:val="10"/>
                <w:szCs w:val="21"/>
              </w:rPr>
            </w:pPr>
            <w:r>
              <w:rPr>
                <w:b/>
                <w:bCs/>
                <w:spacing w:val="10"/>
                <w:sz w:val="24"/>
              </w:rPr>
              <w:t>环保投资</w:t>
            </w:r>
          </w:p>
        </w:tc>
        <w:tc>
          <w:tcPr>
            <w:tcW w:w="8420" w:type="dxa"/>
          </w:tcPr>
          <w:p w14:paraId="4552C6E2">
            <w:pPr>
              <w:spacing w:line="360" w:lineRule="auto"/>
              <w:ind w:firstLine="480" w:firstLineChars="200"/>
              <w:rPr>
                <w:sz w:val="24"/>
                <w:szCs w:val="32"/>
              </w:rPr>
            </w:pPr>
            <w:r>
              <w:rPr>
                <w:rFonts w:hint="eastAsia"/>
                <w:sz w:val="24"/>
                <w:szCs w:val="32"/>
              </w:rPr>
              <w:t>项目总投资2800万元，其中环保投资195万元，占总投资的6.96%。各项生态环境保护措施投资估算情况见下表。</w:t>
            </w:r>
          </w:p>
          <w:p w14:paraId="4867D84F">
            <w:pPr>
              <w:autoSpaceDE w:val="0"/>
              <w:autoSpaceDN w:val="0"/>
              <w:adjustRightInd w:val="0"/>
              <w:jc w:val="center"/>
              <w:rPr>
                <w:b/>
                <w:kern w:val="0"/>
                <w:sz w:val="24"/>
              </w:rPr>
            </w:pPr>
            <w:r>
              <w:rPr>
                <w:b/>
                <w:kern w:val="0"/>
                <w:sz w:val="24"/>
              </w:rPr>
              <w:t>表</w:t>
            </w:r>
            <w:r>
              <w:rPr>
                <w:rFonts w:hint="eastAsia"/>
                <w:b/>
                <w:kern w:val="0"/>
                <w:sz w:val="24"/>
              </w:rPr>
              <w:t>5</w:t>
            </w:r>
            <w:r>
              <w:rPr>
                <w:b/>
                <w:kern w:val="0"/>
                <w:sz w:val="24"/>
              </w:rPr>
              <w:t>-</w:t>
            </w:r>
            <w:r>
              <w:rPr>
                <w:rFonts w:hint="eastAsia"/>
                <w:b/>
                <w:kern w:val="0"/>
                <w:sz w:val="24"/>
              </w:rPr>
              <w:t xml:space="preserve">5 </w:t>
            </w:r>
            <w:r>
              <w:rPr>
                <w:b/>
                <w:kern w:val="0"/>
                <w:sz w:val="24"/>
              </w:rPr>
              <w:t>污染防治措施投资估算一览表</w:t>
            </w:r>
          </w:p>
          <w:tbl>
            <w:tblPr>
              <w:tblStyle w:val="30"/>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668"/>
              <w:gridCol w:w="1375"/>
              <w:gridCol w:w="4936"/>
              <w:gridCol w:w="710"/>
            </w:tblGrid>
            <w:tr w14:paraId="534C29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tcMar>
                    <w:left w:w="0" w:type="dxa"/>
                    <w:right w:w="0" w:type="dxa"/>
                  </w:tcMar>
                  <w:vAlign w:val="center"/>
                </w:tcPr>
                <w:p w14:paraId="69087F43">
                  <w:pPr>
                    <w:jc w:val="center"/>
                    <w:textAlignment w:val="center"/>
                    <w:rPr>
                      <w:szCs w:val="21"/>
                    </w:rPr>
                  </w:pPr>
                  <w:r>
                    <w:rPr>
                      <w:szCs w:val="21"/>
                    </w:rPr>
                    <w:t>时段</w:t>
                  </w:r>
                </w:p>
              </w:tc>
              <w:tc>
                <w:tcPr>
                  <w:tcW w:w="407" w:type="pct"/>
                  <w:tcMar>
                    <w:left w:w="0" w:type="dxa"/>
                    <w:right w:w="0" w:type="dxa"/>
                  </w:tcMar>
                  <w:vAlign w:val="center"/>
                </w:tcPr>
                <w:p w14:paraId="6B9C6237">
                  <w:pPr>
                    <w:jc w:val="center"/>
                    <w:textAlignment w:val="center"/>
                    <w:rPr>
                      <w:szCs w:val="21"/>
                    </w:rPr>
                  </w:pPr>
                  <w:r>
                    <w:rPr>
                      <w:szCs w:val="21"/>
                    </w:rPr>
                    <w:t>类型</w:t>
                  </w:r>
                </w:p>
              </w:tc>
              <w:tc>
                <w:tcPr>
                  <w:tcW w:w="838" w:type="pct"/>
                  <w:vAlign w:val="center"/>
                </w:tcPr>
                <w:p w14:paraId="5B7F103F">
                  <w:pPr>
                    <w:jc w:val="center"/>
                    <w:textAlignment w:val="center"/>
                    <w:rPr>
                      <w:szCs w:val="21"/>
                    </w:rPr>
                  </w:pPr>
                  <w:r>
                    <w:rPr>
                      <w:szCs w:val="21"/>
                    </w:rPr>
                    <w:t>项目</w:t>
                  </w:r>
                </w:p>
              </w:tc>
              <w:tc>
                <w:tcPr>
                  <w:tcW w:w="3008" w:type="pct"/>
                  <w:vAlign w:val="center"/>
                </w:tcPr>
                <w:p w14:paraId="605F7C1F">
                  <w:pPr>
                    <w:jc w:val="center"/>
                    <w:textAlignment w:val="center"/>
                    <w:rPr>
                      <w:szCs w:val="21"/>
                    </w:rPr>
                  </w:pPr>
                  <w:r>
                    <w:rPr>
                      <w:rFonts w:hint="eastAsia"/>
                      <w:szCs w:val="21"/>
                    </w:rPr>
                    <w:t>环保</w:t>
                  </w:r>
                  <w:r>
                    <w:rPr>
                      <w:szCs w:val="21"/>
                    </w:rPr>
                    <w:t>措施</w:t>
                  </w:r>
                </w:p>
              </w:tc>
              <w:tc>
                <w:tcPr>
                  <w:tcW w:w="433" w:type="pct"/>
                  <w:vAlign w:val="center"/>
                </w:tcPr>
                <w:p w14:paraId="108244E4">
                  <w:pPr>
                    <w:jc w:val="center"/>
                    <w:textAlignment w:val="center"/>
                    <w:rPr>
                      <w:szCs w:val="21"/>
                    </w:rPr>
                  </w:pPr>
                  <w:r>
                    <w:rPr>
                      <w:szCs w:val="21"/>
                    </w:rPr>
                    <w:t>投资</w:t>
                  </w:r>
                </w:p>
                <w:p w14:paraId="5BB8DDBC">
                  <w:pPr>
                    <w:jc w:val="center"/>
                    <w:textAlignment w:val="center"/>
                    <w:rPr>
                      <w:szCs w:val="21"/>
                    </w:rPr>
                  </w:pPr>
                  <w:r>
                    <w:rPr>
                      <w:szCs w:val="21"/>
                    </w:rPr>
                    <w:t>万元</w:t>
                  </w:r>
                </w:p>
              </w:tc>
            </w:tr>
            <w:tr w14:paraId="606E97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4" w:type="pct"/>
                  <w:vMerge w:val="restart"/>
                  <w:vAlign w:val="center"/>
                </w:tcPr>
                <w:p w14:paraId="478BBE41">
                  <w:pPr>
                    <w:jc w:val="center"/>
                    <w:textAlignment w:val="center"/>
                    <w:rPr>
                      <w:szCs w:val="21"/>
                    </w:rPr>
                  </w:pPr>
                  <w:r>
                    <w:rPr>
                      <w:szCs w:val="21"/>
                    </w:rPr>
                    <w:t>勘探期</w:t>
                  </w:r>
                </w:p>
              </w:tc>
              <w:tc>
                <w:tcPr>
                  <w:tcW w:w="407" w:type="pct"/>
                  <w:vMerge w:val="restart"/>
                  <w:vAlign w:val="center"/>
                </w:tcPr>
                <w:p w14:paraId="2058FCAB">
                  <w:pPr>
                    <w:jc w:val="center"/>
                    <w:textAlignment w:val="center"/>
                    <w:rPr>
                      <w:szCs w:val="21"/>
                    </w:rPr>
                  </w:pPr>
                  <w:r>
                    <w:rPr>
                      <w:szCs w:val="21"/>
                    </w:rPr>
                    <w:t>废气</w:t>
                  </w:r>
                </w:p>
              </w:tc>
              <w:tc>
                <w:tcPr>
                  <w:tcW w:w="838" w:type="pct"/>
                  <w:vAlign w:val="center"/>
                </w:tcPr>
                <w:p w14:paraId="628A2B2A">
                  <w:pPr>
                    <w:jc w:val="center"/>
                    <w:rPr>
                      <w:szCs w:val="21"/>
                    </w:rPr>
                  </w:pPr>
                  <w:r>
                    <w:rPr>
                      <w:szCs w:val="21"/>
                    </w:rPr>
                    <w:t>扬尘</w:t>
                  </w:r>
                </w:p>
              </w:tc>
              <w:tc>
                <w:tcPr>
                  <w:tcW w:w="3008" w:type="pct"/>
                  <w:vAlign w:val="center"/>
                </w:tcPr>
                <w:p w14:paraId="0846858F">
                  <w:pPr>
                    <w:jc w:val="center"/>
                    <w:rPr>
                      <w:szCs w:val="21"/>
                    </w:rPr>
                  </w:pPr>
                  <w:r>
                    <w:rPr>
                      <w:szCs w:val="21"/>
                    </w:rPr>
                    <w:t>泼洒抑尘</w:t>
                  </w:r>
                  <w:r>
                    <w:rPr>
                      <w:rFonts w:hint="eastAsia"/>
                      <w:szCs w:val="21"/>
                    </w:rPr>
                    <w:t>，</w:t>
                  </w:r>
                  <w:r>
                    <w:rPr>
                      <w:szCs w:val="21"/>
                    </w:rPr>
                    <w:t>场界设置围挡</w:t>
                  </w:r>
                  <w:r>
                    <w:rPr>
                      <w:rFonts w:hint="eastAsia"/>
                      <w:szCs w:val="21"/>
                    </w:rPr>
                    <w:t>，原材料堆存区上部设苫布遮盖，表土堆存区上铺密目网等。</w:t>
                  </w:r>
                </w:p>
              </w:tc>
              <w:tc>
                <w:tcPr>
                  <w:tcW w:w="433" w:type="pct"/>
                  <w:vAlign w:val="center"/>
                </w:tcPr>
                <w:p w14:paraId="225E70C0">
                  <w:pPr>
                    <w:jc w:val="center"/>
                    <w:rPr>
                      <w:szCs w:val="21"/>
                    </w:rPr>
                  </w:pPr>
                  <w:r>
                    <w:rPr>
                      <w:rFonts w:hint="eastAsia"/>
                      <w:szCs w:val="21"/>
                    </w:rPr>
                    <w:t>5</w:t>
                  </w:r>
                </w:p>
              </w:tc>
            </w:tr>
            <w:tr w14:paraId="096CBF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4" w:type="pct"/>
                  <w:vMerge w:val="continue"/>
                  <w:vAlign w:val="center"/>
                </w:tcPr>
                <w:p w14:paraId="71572F40">
                  <w:pPr>
                    <w:jc w:val="center"/>
                    <w:textAlignment w:val="center"/>
                    <w:rPr>
                      <w:szCs w:val="21"/>
                    </w:rPr>
                  </w:pPr>
                </w:p>
              </w:tc>
              <w:tc>
                <w:tcPr>
                  <w:tcW w:w="407" w:type="pct"/>
                  <w:vMerge w:val="continue"/>
                  <w:vAlign w:val="center"/>
                </w:tcPr>
                <w:p w14:paraId="00AD5CF8">
                  <w:pPr>
                    <w:jc w:val="center"/>
                    <w:textAlignment w:val="center"/>
                    <w:rPr>
                      <w:szCs w:val="21"/>
                    </w:rPr>
                  </w:pPr>
                </w:p>
              </w:tc>
              <w:tc>
                <w:tcPr>
                  <w:tcW w:w="838" w:type="pct"/>
                  <w:vAlign w:val="center"/>
                </w:tcPr>
                <w:p w14:paraId="3EAB6FAA">
                  <w:pPr>
                    <w:jc w:val="center"/>
                    <w:rPr>
                      <w:szCs w:val="21"/>
                    </w:rPr>
                  </w:pPr>
                  <w:r>
                    <w:rPr>
                      <w:szCs w:val="21"/>
                    </w:rPr>
                    <w:t>柴油发电机组</w:t>
                  </w:r>
                  <w:r>
                    <w:rPr>
                      <w:rFonts w:hint="eastAsia"/>
                      <w:szCs w:val="21"/>
                    </w:rPr>
                    <w:t>尾气</w:t>
                  </w:r>
                </w:p>
              </w:tc>
              <w:tc>
                <w:tcPr>
                  <w:tcW w:w="3008" w:type="pct"/>
                  <w:vAlign w:val="center"/>
                </w:tcPr>
                <w:p w14:paraId="6E449E2D">
                  <w:pPr>
                    <w:jc w:val="center"/>
                    <w:rPr>
                      <w:szCs w:val="21"/>
                    </w:rPr>
                  </w:pPr>
                  <w:r>
                    <w:rPr>
                      <w:rFonts w:hint="eastAsia"/>
                      <w:szCs w:val="21"/>
                    </w:rPr>
                    <w:t>采用先进设备，燃用高标准清洁燃油，定期检修，不超负荷运行。</w:t>
                  </w:r>
                </w:p>
              </w:tc>
              <w:tc>
                <w:tcPr>
                  <w:tcW w:w="433" w:type="pct"/>
                  <w:vAlign w:val="center"/>
                </w:tcPr>
                <w:p w14:paraId="288E1CFF">
                  <w:pPr>
                    <w:jc w:val="center"/>
                    <w:rPr>
                      <w:szCs w:val="21"/>
                    </w:rPr>
                  </w:pPr>
                  <w:r>
                    <w:rPr>
                      <w:rFonts w:hint="eastAsia"/>
                      <w:szCs w:val="21"/>
                    </w:rPr>
                    <w:t>/</w:t>
                  </w:r>
                </w:p>
              </w:tc>
            </w:tr>
            <w:tr w14:paraId="4DE2AA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4" w:type="pct"/>
                  <w:vMerge w:val="continue"/>
                  <w:vAlign w:val="center"/>
                </w:tcPr>
                <w:p w14:paraId="6F07335A">
                  <w:pPr>
                    <w:jc w:val="center"/>
                    <w:textAlignment w:val="center"/>
                    <w:rPr>
                      <w:szCs w:val="21"/>
                    </w:rPr>
                  </w:pPr>
                </w:p>
              </w:tc>
              <w:tc>
                <w:tcPr>
                  <w:tcW w:w="407" w:type="pct"/>
                  <w:vMerge w:val="continue"/>
                  <w:vAlign w:val="center"/>
                </w:tcPr>
                <w:p w14:paraId="5EB87674">
                  <w:pPr>
                    <w:jc w:val="center"/>
                    <w:textAlignment w:val="center"/>
                    <w:rPr>
                      <w:szCs w:val="21"/>
                    </w:rPr>
                  </w:pPr>
                </w:p>
              </w:tc>
              <w:tc>
                <w:tcPr>
                  <w:tcW w:w="838" w:type="pct"/>
                  <w:vAlign w:val="center"/>
                </w:tcPr>
                <w:p w14:paraId="1677D43D">
                  <w:pPr>
                    <w:jc w:val="center"/>
                    <w:rPr>
                      <w:szCs w:val="21"/>
                    </w:rPr>
                  </w:pPr>
                  <w:r>
                    <w:rPr>
                      <w:rFonts w:hint="eastAsia"/>
                      <w:szCs w:val="21"/>
                    </w:rPr>
                    <w:t>柴油罐挥发</w:t>
                  </w:r>
                </w:p>
                <w:p w14:paraId="67003FEA">
                  <w:pPr>
                    <w:jc w:val="center"/>
                    <w:rPr>
                      <w:szCs w:val="21"/>
                    </w:rPr>
                  </w:pPr>
                  <w:r>
                    <w:rPr>
                      <w:rFonts w:hint="eastAsia"/>
                      <w:szCs w:val="21"/>
                    </w:rPr>
                    <w:t>废气</w:t>
                  </w:r>
                </w:p>
              </w:tc>
              <w:tc>
                <w:tcPr>
                  <w:tcW w:w="3008" w:type="pct"/>
                  <w:vAlign w:val="center"/>
                </w:tcPr>
                <w:p w14:paraId="6C6E79D1">
                  <w:pPr>
                    <w:jc w:val="center"/>
                    <w:rPr>
                      <w:bCs/>
                      <w:szCs w:val="21"/>
                    </w:rPr>
                  </w:pPr>
                  <w:r>
                    <w:rPr>
                      <w:rFonts w:hint="eastAsia"/>
                      <w:bCs/>
                      <w:szCs w:val="21"/>
                    </w:rPr>
                    <w:t>采用防腐储罐，采用环密技术防止烃类泄漏及挥发；设置切断系统，对管线、阀门等进行定期的检查。</w:t>
                  </w:r>
                </w:p>
              </w:tc>
              <w:tc>
                <w:tcPr>
                  <w:tcW w:w="433" w:type="pct"/>
                  <w:vAlign w:val="center"/>
                </w:tcPr>
                <w:p w14:paraId="6F8564DA">
                  <w:pPr>
                    <w:jc w:val="center"/>
                    <w:rPr>
                      <w:szCs w:val="21"/>
                    </w:rPr>
                  </w:pPr>
                  <w:r>
                    <w:rPr>
                      <w:rFonts w:hint="eastAsia"/>
                      <w:szCs w:val="21"/>
                    </w:rPr>
                    <w:t>3</w:t>
                  </w:r>
                </w:p>
              </w:tc>
            </w:tr>
            <w:tr w14:paraId="5A9573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14" w:type="pct"/>
                  <w:vMerge w:val="continue"/>
                  <w:vAlign w:val="center"/>
                </w:tcPr>
                <w:p w14:paraId="0C8679DE">
                  <w:pPr>
                    <w:jc w:val="center"/>
                    <w:textAlignment w:val="center"/>
                    <w:rPr>
                      <w:szCs w:val="21"/>
                    </w:rPr>
                  </w:pPr>
                </w:p>
              </w:tc>
              <w:tc>
                <w:tcPr>
                  <w:tcW w:w="407" w:type="pct"/>
                  <w:vMerge w:val="continue"/>
                  <w:vAlign w:val="center"/>
                </w:tcPr>
                <w:p w14:paraId="48C66F2D">
                  <w:pPr>
                    <w:jc w:val="center"/>
                    <w:textAlignment w:val="center"/>
                    <w:rPr>
                      <w:szCs w:val="21"/>
                    </w:rPr>
                  </w:pPr>
                </w:p>
              </w:tc>
              <w:tc>
                <w:tcPr>
                  <w:tcW w:w="838" w:type="pct"/>
                  <w:tcMar>
                    <w:left w:w="0" w:type="dxa"/>
                    <w:right w:w="0" w:type="dxa"/>
                  </w:tcMar>
                  <w:vAlign w:val="center"/>
                </w:tcPr>
                <w:p w14:paraId="283B20E0">
                  <w:pPr>
                    <w:jc w:val="center"/>
                    <w:rPr>
                      <w:szCs w:val="21"/>
                    </w:rPr>
                  </w:pPr>
                  <w:r>
                    <w:rPr>
                      <w:rFonts w:hint="eastAsia"/>
                      <w:szCs w:val="21"/>
                    </w:rPr>
                    <w:t>储液罐</w:t>
                  </w:r>
                  <w:r>
                    <w:rPr>
                      <w:szCs w:val="21"/>
                    </w:rPr>
                    <w:t>挥发</w:t>
                  </w:r>
                </w:p>
                <w:p w14:paraId="2E439196">
                  <w:pPr>
                    <w:jc w:val="center"/>
                    <w:rPr>
                      <w:szCs w:val="21"/>
                    </w:rPr>
                  </w:pPr>
                  <w:r>
                    <w:rPr>
                      <w:szCs w:val="21"/>
                    </w:rPr>
                    <w:t>废气</w:t>
                  </w:r>
                </w:p>
              </w:tc>
              <w:tc>
                <w:tcPr>
                  <w:tcW w:w="3008" w:type="pct"/>
                  <w:vAlign w:val="center"/>
                </w:tcPr>
                <w:p w14:paraId="57C0764A">
                  <w:pPr>
                    <w:jc w:val="center"/>
                    <w:rPr>
                      <w:szCs w:val="21"/>
                    </w:rPr>
                  </w:pPr>
                  <w:r>
                    <w:rPr>
                      <w:bCs/>
                      <w:szCs w:val="21"/>
                    </w:rPr>
                    <w:t>试</w:t>
                  </w:r>
                  <w:r>
                    <w:rPr>
                      <w:rFonts w:hint="eastAsia"/>
                      <w:bCs/>
                      <w:szCs w:val="21"/>
                    </w:rPr>
                    <w:t>油阶段</w:t>
                  </w:r>
                  <w:r>
                    <w:rPr>
                      <w:bCs/>
                      <w:szCs w:val="21"/>
                    </w:rPr>
                    <w:t>采出液通过密闭管线进入储液罐，储液罐采用卧式高架防腐贮罐，采用环密技术</w:t>
                  </w:r>
                  <w:r>
                    <w:rPr>
                      <w:rFonts w:hint="eastAsia"/>
                      <w:bCs/>
                      <w:szCs w:val="21"/>
                    </w:rPr>
                    <w:t>，减少</w:t>
                  </w:r>
                  <w:r>
                    <w:rPr>
                      <w:bCs/>
                      <w:szCs w:val="21"/>
                    </w:rPr>
                    <w:t>烃类废气无组织</w:t>
                  </w:r>
                  <w:r>
                    <w:rPr>
                      <w:rFonts w:hint="eastAsia"/>
                      <w:bCs/>
                      <w:szCs w:val="21"/>
                    </w:rPr>
                    <w:t>挥发</w:t>
                  </w:r>
                  <w:r>
                    <w:rPr>
                      <w:bCs/>
                      <w:szCs w:val="21"/>
                    </w:rPr>
                    <w:t>。储液罐安装装车鹤管，装车采用浸没式</w:t>
                  </w:r>
                  <w:r>
                    <w:rPr>
                      <w:rFonts w:hint="eastAsia"/>
                      <w:bCs/>
                      <w:szCs w:val="21"/>
                    </w:rPr>
                    <w:t>。</w:t>
                  </w:r>
                </w:p>
              </w:tc>
              <w:tc>
                <w:tcPr>
                  <w:tcW w:w="433" w:type="pct"/>
                  <w:vAlign w:val="center"/>
                </w:tcPr>
                <w:p w14:paraId="63658B13">
                  <w:pPr>
                    <w:jc w:val="center"/>
                    <w:rPr>
                      <w:szCs w:val="21"/>
                    </w:rPr>
                  </w:pPr>
                  <w:r>
                    <w:rPr>
                      <w:rFonts w:hint="eastAsia"/>
                      <w:szCs w:val="21"/>
                    </w:rPr>
                    <w:t>6</w:t>
                  </w:r>
                </w:p>
              </w:tc>
            </w:tr>
            <w:tr w14:paraId="421E53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7B0B64B7">
                  <w:pPr>
                    <w:jc w:val="center"/>
                    <w:textAlignment w:val="center"/>
                    <w:rPr>
                      <w:szCs w:val="21"/>
                    </w:rPr>
                  </w:pPr>
                </w:p>
              </w:tc>
              <w:tc>
                <w:tcPr>
                  <w:tcW w:w="407" w:type="pct"/>
                  <w:vMerge w:val="continue"/>
                  <w:vAlign w:val="center"/>
                </w:tcPr>
                <w:p w14:paraId="32034B3D">
                  <w:pPr>
                    <w:jc w:val="center"/>
                    <w:textAlignment w:val="center"/>
                    <w:rPr>
                      <w:szCs w:val="21"/>
                    </w:rPr>
                  </w:pPr>
                </w:p>
              </w:tc>
              <w:tc>
                <w:tcPr>
                  <w:tcW w:w="838" w:type="pct"/>
                  <w:vAlign w:val="center"/>
                </w:tcPr>
                <w:p w14:paraId="4C0329B5">
                  <w:pPr>
                    <w:jc w:val="center"/>
                    <w:rPr>
                      <w:szCs w:val="21"/>
                    </w:rPr>
                  </w:pPr>
                  <w:r>
                    <w:rPr>
                      <w:szCs w:val="21"/>
                    </w:rPr>
                    <w:t>伴生气</w:t>
                  </w:r>
                </w:p>
              </w:tc>
              <w:tc>
                <w:tcPr>
                  <w:tcW w:w="3008" w:type="pct"/>
                  <w:vAlign w:val="center"/>
                </w:tcPr>
                <w:p w14:paraId="5E7E5D03">
                  <w:pPr>
                    <w:jc w:val="center"/>
                    <w:rPr>
                      <w:szCs w:val="21"/>
                    </w:rPr>
                  </w:pPr>
                  <w:r>
                    <w:rPr>
                      <w:rFonts w:hint="eastAsia"/>
                      <w:szCs w:val="21"/>
                    </w:rPr>
                    <w:t>少量伴生气进入放喷装置，</w:t>
                  </w:r>
                  <w:r>
                    <w:rPr>
                      <w:szCs w:val="21"/>
                    </w:rPr>
                    <w:t>火炬燃烧</w:t>
                  </w:r>
                  <w:r>
                    <w:rPr>
                      <w:rFonts w:hint="eastAsia"/>
                      <w:szCs w:val="21"/>
                    </w:rPr>
                    <w:t>。</w:t>
                  </w:r>
                </w:p>
              </w:tc>
              <w:tc>
                <w:tcPr>
                  <w:tcW w:w="433" w:type="pct"/>
                  <w:vAlign w:val="center"/>
                </w:tcPr>
                <w:p w14:paraId="69C1C40D">
                  <w:pPr>
                    <w:jc w:val="center"/>
                    <w:rPr>
                      <w:szCs w:val="21"/>
                    </w:rPr>
                  </w:pPr>
                  <w:r>
                    <w:rPr>
                      <w:rFonts w:hint="eastAsia"/>
                      <w:szCs w:val="21"/>
                    </w:rPr>
                    <w:t>2</w:t>
                  </w:r>
                </w:p>
              </w:tc>
            </w:tr>
            <w:tr w14:paraId="409D70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314" w:type="pct"/>
                  <w:vMerge w:val="continue"/>
                  <w:vAlign w:val="center"/>
                </w:tcPr>
                <w:p w14:paraId="71486983">
                  <w:pPr>
                    <w:jc w:val="center"/>
                    <w:textAlignment w:val="center"/>
                    <w:rPr>
                      <w:szCs w:val="21"/>
                    </w:rPr>
                  </w:pPr>
                </w:p>
              </w:tc>
              <w:tc>
                <w:tcPr>
                  <w:tcW w:w="407" w:type="pct"/>
                  <w:vMerge w:val="restart"/>
                  <w:vAlign w:val="center"/>
                </w:tcPr>
                <w:p w14:paraId="354444CA">
                  <w:pPr>
                    <w:jc w:val="center"/>
                    <w:textAlignment w:val="center"/>
                    <w:rPr>
                      <w:szCs w:val="21"/>
                    </w:rPr>
                  </w:pPr>
                  <w:r>
                    <w:rPr>
                      <w:szCs w:val="21"/>
                    </w:rPr>
                    <w:t>废水</w:t>
                  </w:r>
                </w:p>
              </w:tc>
              <w:tc>
                <w:tcPr>
                  <w:tcW w:w="838" w:type="pct"/>
                  <w:vAlign w:val="center"/>
                </w:tcPr>
                <w:p w14:paraId="5096A3A7">
                  <w:pPr>
                    <w:jc w:val="center"/>
                    <w:textAlignment w:val="center"/>
                    <w:rPr>
                      <w:szCs w:val="21"/>
                    </w:rPr>
                  </w:pPr>
                  <w:r>
                    <w:rPr>
                      <w:rFonts w:hint="eastAsia"/>
                      <w:szCs w:val="21"/>
                    </w:rPr>
                    <w:t>泥浆、钻井岩屑中的废水</w:t>
                  </w:r>
                </w:p>
              </w:tc>
              <w:tc>
                <w:tcPr>
                  <w:tcW w:w="3008" w:type="pct"/>
                  <w:vAlign w:val="center"/>
                </w:tcPr>
                <w:p w14:paraId="1E104243">
                  <w:pPr>
                    <w:jc w:val="center"/>
                    <w:textAlignment w:val="center"/>
                    <w:rPr>
                      <w:szCs w:val="21"/>
                    </w:rPr>
                  </w:pPr>
                  <w:r>
                    <w:rPr>
                      <w:rFonts w:hint="eastAsia"/>
                      <w:bCs/>
                      <w:szCs w:val="21"/>
                    </w:rPr>
                    <w:t>钻井过程中废水随同废弃泥浆、钻井岩屑收集至可移动废水罐，定期拉运至内蒙古众宁环保科技有限公司油气田废弃物集中处理厂处理</w:t>
                  </w:r>
                  <w:r>
                    <w:rPr>
                      <w:bCs/>
                      <w:szCs w:val="21"/>
                    </w:rPr>
                    <w:t>。</w:t>
                  </w:r>
                </w:p>
              </w:tc>
              <w:tc>
                <w:tcPr>
                  <w:tcW w:w="433" w:type="pct"/>
                  <w:vAlign w:val="center"/>
                </w:tcPr>
                <w:p w14:paraId="0C159FEF">
                  <w:pPr>
                    <w:jc w:val="center"/>
                    <w:textAlignment w:val="center"/>
                    <w:rPr>
                      <w:szCs w:val="21"/>
                    </w:rPr>
                  </w:pPr>
                  <w:r>
                    <w:rPr>
                      <w:rFonts w:hint="eastAsia"/>
                      <w:szCs w:val="21"/>
                    </w:rPr>
                    <w:t>/</w:t>
                  </w:r>
                </w:p>
              </w:tc>
            </w:tr>
            <w:tr w14:paraId="4FC53B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13B20C75">
                  <w:pPr>
                    <w:widowControl/>
                    <w:jc w:val="left"/>
                    <w:rPr>
                      <w:szCs w:val="21"/>
                    </w:rPr>
                  </w:pPr>
                </w:p>
              </w:tc>
              <w:tc>
                <w:tcPr>
                  <w:tcW w:w="407" w:type="pct"/>
                  <w:vMerge w:val="continue"/>
                  <w:vAlign w:val="center"/>
                </w:tcPr>
                <w:p w14:paraId="0FC8737D">
                  <w:pPr>
                    <w:widowControl/>
                    <w:jc w:val="left"/>
                    <w:rPr>
                      <w:szCs w:val="21"/>
                    </w:rPr>
                  </w:pPr>
                </w:p>
              </w:tc>
              <w:tc>
                <w:tcPr>
                  <w:tcW w:w="838" w:type="pct"/>
                  <w:vAlign w:val="center"/>
                </w:tcPr>
                <w:p w14:paraId="491D740D">
                  <w:pPr>
                    <w:jc w:val="center"/>
                    <w:textAlignment w:val="center"/>
                    <w:rPr>
                      <w:szCs w:val="21"/>
                    </w:rPr>
                  </w:pPr>
                  <w:r>
                    <w:rPr>
                      <w:rFonts w:hint="eastAsia"/>
                      <w:szCs w:val="21"/>
                    </w:rPr>
                    <w:t>盥洗废水</w:t>
                  </w:r>
                </w:p>
              </w:tc>
              <w:tc>
                <w:tcPr>
                  <w:tcW w:w="3008" w:type="pct"/>
                  <w:vAlign w:val="center"/>
                </w:tcPr>
                <w:p w14:paraId="6F603C98">
                  <w:pPr>
                    <w:jc w:val="center"/>
                    <w:textAlignment w:val="center"/>
                    <w:rPr>
                      <w:szCs w:val="21"/>
                    </w:rPr>
                  </w:pPr>
                  <w:r>
                    <w:rPr>
                      <w:rFonts w:hint="eastAsia"/>
                      <w:szCs w:val="21"/>
                    </w:rPr>
                    <w:t>盥洗废水排入</w:t>
                  </w:r>
                  <w:r>
                    <w:rPr>
                      <w:szCs w:val="21"/>
                    </w:rPr>
                    <w:t>井场设置的</w:t>
                  </w:r>
                  <w:r>
                    <w:rPr>
                      <w:rFonts w:hint="eastAsia"/>
                      <w:szCs w:val="21"/>
                    </w:rPr>
                    <w:t>环保厕所</w:t>
                  </w:r>
                  <w:r>
                    <w:rPr>
                      <w:szCs w:val="21"/>
                    </w:rPr>
                    <w:t>，定期清掏</w:t>
                  </w:r>
                  <w:r>
                    <w:rPr>
                      <w:rFonts w:hint="eastAsia"/>
                      <w:szCs w:val="21"/>
                    </w:rPr>
                    <w:t>。</w:t>
                  </w:r>
                </w:p>
              </w:tc>
              <w:tc>
                <w:tcPr>
                  <w:tcW w:w="433" w:type="pct"/>
                  <w:vAlign w:val="center"/>
                </w:tcPr>
                <w:p w14:paraId="022C3360">
                  <w:pPr>
                    <w:jc w:val="center"/>
                    <w:textAlignment w:val="center"/>
                    <w:rPr>
                      <w:szCs w:val="21"/>
                    </w:rPr>
                  </w:pPr>
                  <w:r>
                    <w:rPr>
                      <w:rFonts w:hint="eastAsia"/>
                      <w:szCs w:val="21"/>
                    </w:rPr>
                    <w:t>3</w:t>
                  </w:r>
                </w:p>
              </w:tc>
            </w:tr>
            <w:tr w14:paraId="5CB54A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1D31B788">
                  <w:pPr>
                    <w:widowControl/>
                    <w:jc w:val="left"/>
                    <w:rPr>
                      <w:szCs w:val="21"/>
                    </w:rPr>
                  </w:pPr>
                </w:p>
              </w:tc>
              <w:tc>
                <w:tcPr>
                  <w:tcW w:w="407" w:type="pct"/>
                  <w:tcMar>
                    <w:left w:w="0" w:type="dxa"/>
                    <w:right w:w="0" w:type="dxa"/>
                  </w:tcMar>
                  <w:vAlign w:val="center"/>
                </w:tcPr>
                <w:p w14:paraId="6553437F">
                  <w:pPr>
                    <w:jc w:val="center"/>
                    <w:textAlignment w:val="center"/>
                    <w:rPr>
                      <w:szCs w:val="21"/>
                    </w:rPr>
                  </w:pPr>
                  <w:r>
                    <w:rPr>
                      <w:szCs w:val="21"/>
                    </w:rPr>
                    <w:t>噪声</w:t>
                  </w:r>
                </w:p>
              </w:tc>
              <w:tc>
                <w:tcPr>
                  <w:tcW w:w="838" w:type="pct"/>
                  <w:vAlign w:val="center"/>
                </w:tcPr>
                <w:p w14:paraId="4A1C928C">
                  <w:pPr>
                    <w:jc w:val="center"/>
                    <w:textAlignment w:val="center"/>
                    <w:rPr>
                      <w:szCs w:val="21"/>
                    </w:rPr>
                  </w:pPr>
                  <w:r>
                    <w:rPr>
                      <w:szCs w:val="21"/>
                    </w:rPr>
                    <w:t>噪声治理</w:t>
                  </w:r>
                </w:p>
              </w:tc>
              <w:tc>
                <w:tcPr>
                  <w:tcW w:w="3008" w:type="pct"/>
                  <w:vAlign w:val="center"/>
                </w:tcPr>
                <w:p w14:paraId="7F467C4A">
                  <w:pPr>
                    <w:jc w:val="center"/>
                    <w:textAlignment w:val="center"/>
                    <w:rPr>
                      <w:szCs w:val="21"/>
                    </w:rPr>
                  </w:pPr>
                  <w:r>
                    <w:rPr>
                      <w:rFonts w:hint="eastAsia"/>
                      <w:szCs w:val="21"/>
                    </w:rPr>
                    <w:t>使用低噪声设备，设置减振基础。</w:t>
                  </w:r>
                </w:p>
              </w:tc>
              <w:tc>
                <w:tcPr>
                  <w:tcW w:w="433" w:type="pct"/>
                  <w:vAlign w:val="center"/>
                </w:tcPr>
                <w:p w14:paraId="087DC888">
                  <w:pPr>
                    <w:jc w:val="center"/>
                    <w:textAlignment w:val="center"/>
                    <w:rPr>
                      <w:szCs w:val="21"/>
                    </w:rPr>
                  </w:pPr>
                  <w:r>
                    <w:rPr>
                      <w:rFonts w:hint="eastAsia"/>
                      <w:szCs w:val="21"/>
                    </w:rPr>
                    <w:t>2</w:t>
                  </w:r>
                </w:p>
              </w:tc>
            </w:tr>
            <w:tr w14:paraId="07B7C9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314" w:type="pct"/>
                  <w:vMerge w:val="continue"/>
                  <w:vAlign w:val="center"/>
                </w:tcPr>
                <w:p w14:paraId="5D1613C2">
                  <w:pPr>
                    <w:widowControl/>
                    <w:jc w:val="left"/>
                    <w:rPr>
                      <w:szCs w:val="21"/>
                    </w:rPr>
                  </w:pPr>
                </w:p>
              </w:tc>
              <w:tc>
                <w:tcPr>
                  <w:tcW w:w="407" w:type="pct"/>
                  <w:vMerge w:val="restart"/>
                  <w:vAlign w:val="center"/>
                </w:tcPr>
                <w:p w14:paraId="1F47321B">
                  <w:pPr>
                    <w:jc w:val="center"/>
                    <w:textAlignment w:val="center"/>
                    <w:rPr>
                      <w:szCs w:val="21"/>
                    </w:rPr>
                  </w:pPr>
                  <w:r>
                    <w:rPr>
                      <w:szCs w:val="21"/>
                    </w:rPr>
                    <w:t>固废</w:t>
                  </w:r>
                </w:p>
              </w:tc>
              <w:tc>
                <w:tcPr>
                  <w:tcW w:w="838" w:type="pct"/>
                  <w:tcMar>
                    <w:left w:w="0" w:type="dxa"/>
                    <w:right w:w="0" w:type="dxa"/>
                  </w:tcMar>
                  <w:vAlign w:val="center"/>
                </w:tcPr>
                <w:p w14:paraId="3686B97A">
                  <w:pPr>
                    <w:jc w:val="center"/>
                    <w:textAlignment w:val="center"/>
                    <w:rPr>
                      <w:szCs w:val="21"/>
                    </w:rPr>
                  </w:pPr>
                  <w:r>
                    <w:rPr>
                      <w:szCs w:val="21"/>
                    </w:rPr>
                    <w:t>废弃泥浆</w:t>
                  </w:r>
                  <w:r>
                    <w:rPr>
                      <w:rFonts w:hint="eastAsia"/>
                      <w:szCs w:val="21"/>
                    </w:rPr>
                    <w:t>、</w:t>
                  </w:r>
                  <w:r>
                    <w:rPr>
                      <w:szCs w:val="21"/>
                    </w:rPr>
                    <w:t>钻井岩屑</w:t>
                  </w:r>
                </w:p>
              </w:tc>
              <w:tc>
                <w:tcPr>
                  <w:tcW w:w="3008" w:type="pct"/>
                  <w:tcMar>
                    <w:left w:w="0" w:type="dxa"/>
                    <w:right w:w="0" w:type="dxa"/>
                  </w:tcMar>
                  <w:vAlign w:val="center"/>
                </w:tcPr>
                <w:p w14:paraId="6BAB03CE">
                  <w:pPr>
                    <w:jc w:val="center"/>
                    <w:textAlignment w:val="center"/>
                    <w:rPr>
                      <w:szCs w:val="21"/>
                    </w:rPr>
                  </w:pPr>
                  <w:r>
                    <w:rPr>
                      <w:rFonts w:hint="eastAsia"/>
                      <w:bCs/>
                      <w:szCs w:val="21"/>
                    </w:rPr>
                    <w:t>含钻井废水的废弃泥浆、钻井岩屑收集可移动废水罐，定期拉运至内蒙古众宁环保科技有限公司油气田废弃物集中处理厂处理。</w:t>
                  </w:r>
                </w:p>
              </w:tc>
              <w:tc>
                <w:tcPr>
                  <w:tcW w:w="433" w:type="pct"/>
                  <w:vAlign w:val="center"/>
                </w:tcPr>
                <w:p w14:paraId="1F11A10D">
                  <w:pPr>
                    <w:jc w:val="center"/>
                    <w:textAlignment w:val="center"/>
                    <w:rPr>
                      <w:szCs w:val="21"/>
                    </w:rPr>
                  </w:pPr>
                  <w:r>
                    <w:rPr>
                      <w:rFonts w:hint="eastAsia"/>
                      <w:szCs w:val="21"/>
                    </w:rPr>
                    <w:t>100</w:t>
                  </w:r>
                </w:p>
              </w:tc>
            </w:tr>
            <w:tr w14:paraId="591E30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14" w:type="pct"/>
                  <w:vMerge w:val="continue"/>
                  <w:vAlign w:val="center"/>
                </w:tcPr>
                <w:p w14:paraId="2BE437F2">
                  <w:pPr>
                    <w:widowControl/>
                    <w:jc w:val="left"/>
                    <w:rPr>
                      <w:szCs w:val="21"/>
                    </w:rPr>
                  </w:pPr>
                </w:p>
              </w:tc>
              <w:tc>
                <w:tcPr>
                  <w:tcW w:w="407" w:type="pct"/>
                  <w:vMerge w:val="continue"/>
                  <w:vAlign w:val="center"/>
                </w:tcPr>
                <w:p w14:paraId="29C536A3">
                  <w:pPr>
                    <w:widowControl/>
                    <w:jc w:val="left"/>
                    <w:rPr>
                      <w:szCs w:val="21"/>
                    </w:rPr>
                  </w:pPr>
                </w:p>
              </w:tc>
              <w:tc>
                <w:tcPr>
                  <w:tcW w:w="838" w:type="pct"/>
                  <w:vAlign w:val="center"/>
                </w:tcPr>
                <w:p w14:paraId="5B48BFF2">
                  <w:pPr>
                    <w:jc w:val="center"/>
                    <w:textAlignment w:val="center"/>
                    <w:rPr>
                      <w:szCs w:val="21"/>
                    </w:rPr>
                  </w:pPr>
                  <w:r>
                    <w:rPr>
                      <w:kern w:val="0"/>
                      <w:szCs w:val="21"/>
                    </w:rPr>
                    <w:t>废润滑油、</w:t>
                  </w:r>
                  <w:r>
                    <w:rPr>
                      <w:szCs w:val="21"/>
                    </w:rPr>
                    <w:t>落地油及废防渗材料</w:t>
                  </w:r>
                </w:p>
              </w:tc>
              <w:tc>
                <w:tcPr>
                  <w:tcW w:w="3008" w:type="pct"/>
                  <w:vAlign w:val="center"/>
                </w:tcPr>
                <w:p w14:paraId="5116802A">
                  <w:pPr>
                    <w:jc w:val="center"/>
                    <w:textAlignment w:val="center"/>
                    <w:rPr>
                      <w:szCs w:val="21"/>
                    </w:rPr>
                  </w:pPr>
                  <w:r>
                    <w:rPr>
                      <w:szCs w:val="21"/>
                    </w:rPr>
                    <w:t>井场设置撬装式危废贮存点</w:t>
                  </w:r>
                  <w:r>
                    <w:rPr>
                      <w:rFonts w:hint="eastAsia"/>
                      <w:szCs w:val="21"/>
                    </w:rPr>
                    <w:t>。废润滑油、</w:t>
                  </w:r>
                  <w:r>
                    <w:rPr>
                      <w:szCs w:val="21"/>
                    </w:rPr>
                    <w:t>落地油</w:t>
                  </w:r>
                  <w:r>
                    <w:rPr>
                      <w:rFonts w:hint="eastAsia"/>
                      <w:szCs w:val="21"/>
                    </w:rPr>
                    <w:t>及废防渗材料</w:t>
                  </w:r>
                  <w:r>
                    <w:rPr>
                      <w:szCs w:val="21"/>
                    </w:rPr>
                    <w:t>收集</w:t>
                  </w:r>
                  <w:r>
                    <w:rPr>
                      <w:rFonts w:hint="eastAsia"/>
                      <w:szCs w:val="21"/>
                    </w:rPr>
                    <w:t>后</w:t>
                  </w:r>
                  <w:r>
                    <w:rPr>
                      <w:szCs w:val="21"/>
                    </w:rPr>
                    <w:t>，暂存在井场撬装式危废贮存点，定期交</w:t>
                  </w:r>
                  <w:r>
                    <w:rPr>
                      <w:rFonts w:hint="eastAsia"/>
                      <w:szCs w:val="21"/>
                    </w:rPr>
                    <w:t>有资质单位拉运处置。</w:t>
                  </w:r>
                </w:p>
              </w:tc>
              <w:tc>
                <w:tcPr>
                  <w:tcW w:w="433" w:type="pct"/>
                  <w:vAlign w:val="center"/>
                </w:tcPr>
                <w:p w14:paraId="53939706">
                  <w:pPr>
                    <w:jc w:val="center"/>
                    <w:textAlignment w:val="center"/>
                    <w:rPr>
                      <w:szCs w:val="21"/>
                    </w:rPr>
                  </w:pPr>
                  <w:r>
                    <w:rPr>
                      <w:rFonts w:hint="eastAsia"/>
                      <w:szCs w:val="21"/>
                    </w:rPr>
                    <w:t>6</w:t>
                  </w:r>
                </w:p>
              </w:tc>
            </w:tr>
            <w:tr w14:paraId="2D353D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12627D1E">
                  <w:pPr>
                    <w:widowControl/>
                    <w:jc w:val="left"/>
                    <w:rPr>
                      <w:szCs w:val="21"/>
                    </w:rPr>
                  </w:pPr>
                </w:p>
              </w:tc>
              <w:tc>
                <w:tcPr>
                  <w:tcW w:w="407" w:type="pct"/>
                  <w:vMerge w:val="continue"/>
                  <w:vAlign w:val="center"/>
                </w:tcPr>
                <w:p w14:paraId="33D1F168">
                  <w:pPr>
                    <w:widowControl/>
                    <w:jc w:val="left"/>
                    <w:rPr>
                      <w:szCs w:val="21"/>
                    </w:rPr>
                  </w:pPr>
                </w:p>
              </w:tc>
              <w:tc>
                <w:tcPr>
                  <w:tcW w:w="838" w:type="pct"/>
                  <w:vAlign w:val="center"/>
                </w:tcPr>
                <w:p w14:paraId="7DD6620A">
                  <w:pPr>
                    <w:jc w:val="center"/>
                    <w:textAlignment w:val="center"/>
                    <w:rPr>
                      <w:szCs w:val="21"/>
                    </w:rPr>
                  </w:pPr>
                  <w:r>
                    <w:rPr>
                      <w:szCs w:val="21"/>
                    </w:rPr>
                    <w:t>生活垃圾</w:t>
                  </w:r>
                </w:p>
              </w:tc>
              <w:tc>
                <w:tcPr>
                  <w:tcW w:w="3008" w:type="pct"/>
                  <w:tcMar>
                    <w:left w:w="28" w:type="dxa"/>
                    <w:right w:w="28" w:type="dxa"/>
                  </w:tcMar>
                  <w:vAlign w:val="center"/>
                </w:tcPr>
                <w:p w14:paraId="0CDDAE8A">
                  <w:pPr>
                    <w:jc w:val="center"/>
                    <w:textAlignment w:val="center"/>
                    <w:rPr>
                      <w:szCs w:val="21"/>
                    </w:rPr>
                  </w:pPr>
                  <w:r>
                    <w:rPr>
                      <w:szCs w:val="21"/>
                    </w:rPr>
                    <w:t>设置生活垃圾箱</w:t>
                  </w:r>
                  <w:r>
                    <w:rPr>
                      <w:rFonts w:hint="eastAsia"/>
                      <w:szCs w:val="21"/>
                    </w:rPr>
                    <w:t>，</w:t>
                  </w:r>
                  <w:r>
                    <w:rPr>
                      <w:szCs w:val="21"/>
                    </w:rPr>
                    <w:t>集中收集后，拉运至当地乡镇生活垃圾点，由当地环卫部门处理</w:t>
                  </w:r>
                  <w:r>
                    <w:rPr>
                      <w:rFonts w:hint="eastAsia"/>
                      <w:szCs w:val="21"/>
                    </w:rPr>
                    <w:t>。</w:t>
                  </w:r>
                </w:p>
              </w:tc>
              <w:tc>
                <w:tcPr>
                  <w:tcW w:w="433" w:type="pct"/>
                  <w:vAlign w:val="center"/>
                </w:tcPr>
                <w:p w14:paraId="15BBF7B3">
                  <w:pPr>
                    <w:jc w:val="center"/>
                    <w:textAlignment w:val="center"/>
                    <w:rPr>
                      <w:szCs w:val="21"/>
                    </w:rPr>
                  </w:pPr>
                  <w:r>
                    <w:rPr>
                      <w:rFonts w:hint="eastAsia"/>
                      <w:szCs w:val="21"/>
                    </w:rPr>
                    <w:t>3</w:t>
                  </w:r>
                </w:p>
              </w:tc>
            </w:tr>
            <w:tr w14:paraId="4A9A48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314" w:type="pct"/>
                  <w:vMerge w:val="continue"/>
                  <w:vAlign w:val="center"/>
                </w:tcPr>
                <w:p w14:paraId="6A82B205">
                  <w:pPr>
                    <w:widowControl/>
                    <w:jc w:val="left"/>
                    <w:rPr>
                      <w:szCs w:val="21"/>
                    </w:rPr>
                  </w:pPr>
                </w:p>
              </w:tc>
              <w:tc>
                <w:tcPr>
                  <w:tcW w:w="407" w:type="pct"/>
                  <w:vMerge w:val="restart"/>
                  <w:vAlign w:val="center"/>
                </w:tcPr>
                <w:p w14:paraId="0CA9D53A">
                  <w:pPr>
                    <w:jc w:val="center"/>
                    <w:textAlignment w:val="center"/>
                    <w:rPr>
                      <w:szCs w:val="21"/>
                    </w:rPr>
                  </w:pPr>
                  <w:r>
                    <w:rPr>
                      <w:szCs w:val="21"/>
                    </w:rPr>
                    <w:t>防渗</w:t>
                  </w:r>
                </w:p>
              </w:tc>
              <w:tc>
                <w:tcPr>
                  <w:tcW w:w="838" w:type="pct"/>
                  <w:vAlign w:val="center"/>
                </w:tcPr>
                <w:p w14:paraId="5A75D238">
                  <w:pPr>
                    <w:jc w:val="center"/>
                    <w:textAlignment w:val="center"/>
                    <w:rPr>
                      <w:bCs/>
                      <w:szCs w:val="21"/>
                    </w:rPr>
                  </w:pPr>
                  <w:r>
                    <w:rPr>
                      <w:bCs/>
                    </w:rPr>
                    <w:t>重点防渗区</w:t>
                  </w:r>
                </w:p>
              </w:tc>
              <w:tc>
                <w:tcPr>
                  <w:tcW w:w="3008" w:type="pct"/>
                  <w:vAlign w:val="center"/>
                </w:tcPr>
                <w:p w14:paraId="5048C2EB">
                  <w:pPr>
                    <w:textAlignment w:val="center"/>
                    <w:rPr>
                      <w:szCs w:val="21"/>
                    </w:rPr>
                  </w:pPr>
                  <w:r>
                    <w:rPr>
                      <w:szCs w:val="21"/>
                    </w:rPr>
                    <w:t>钻井平台、泥浆不落地循环系统装置区、</w:t>
                  </w:r>
                  <w:r>
                    <w:rPr>
                      <w:bCs/>
                      <w:szCs w:val="21"/>
                    </w:rPr>
                    <w:t>泥浆储罐区、柴油罐区、撬装式危废贮存点、储液罐区</w:t>
                  </w:r>
                  <w:r>
                    <w:rPr>
                      <w:szCs w:val="21"/>
                    </w:rPr>
                    <w:t>等四周加设高度为20cm的围堰，铺设双层2mm厚高密度聚乙烯防渗膜（覆盖围堰并外延0.5</w:t>
                  </w:r>
                  <w:r>
                    <w:rPr>
                      <w:rFonts w:hint="eastAsia"/>
                      <w:szCs w:val="21"/>
                    </w:rPr>
                    <w:t>m</w:t>
                  </w:r>
                  <w:r>
                    <w:rPr>
                      <w:szCs w:val="21"/>
                    </w:rPr>
                    <w:t>以上），等效黏土防渗层Mb≥6.0m，K≤1×10</w:t>
                  </w:r>
                  <w:r>
                    <w:rPr>
                      <w:szCs w:val="21"/>
                      <w:vertAlign w:val="superscript"/>
                    </w:rPr>
                    <w:t>-10</w:t>
                  </w:r>
                  <w:r>
                    <w:rPr>
                      <w:szCs w:val="21"/>
                    </w:rPr>
                    <w:t>cm/s。</w:t>
                  </w:r>
                </w:p>
              </w:tc>
              <w:tc>
                <w:tcPr>
                  <w:tcW w:w="433" w:type="pct"/>
                  <w:vAlign w:val="center"/>
                </w:tcPr>
                <w:p w14:paraId="7727003A">
                  <w:pPr>
                    <w:jc w:val="center"/>
                    <w:textAlignment w:val="center"/>
                    <w:rPr>
                      <w:szCs w:val="21"/>
                    </w:rPr>
                  </w:pPr>
                  <w:r>
                    <w:rPr>
                      <w:rFonts w:hint="eastAsia"/>
                      <w:szCs w:val="21"/>
                    </w:rPr>
                    <w:t>20</w:t>
                  </w:r>
                </w:p>
              </w:tc>
            </w:tr>
            <w:tr w14:paraId="7F0274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0A044A37">
                  <w:pPr>
                    <w:widowControl/>
                    <w:jc w:val="left"/>
                    <w:rPr>
                      <w:szCs w:val="21"/>
                    </w:rPr>
                  </w:pPr>
                </w:p>
              </w:tc>
              <w:tc>
                <w:tcPr>
                  <w:tcW w:w="407" w:type="pct"/>
                  <w:vMerge w:val="continue"/>
                  <w:vAlign w:val="center"/>
                </w:tcPr>
                <w:p w14:paraId="20D4F8FF">
                  <w:pPr>
                    <w:jc w:val="center"/>
                    <w:textAlignment w:val="center"/>
                    <w:rPr>
                      <w:szCs w:val="21"/>
                    </w:rPr>
                  </w:pPr>
                </w:p>
              </w:tc>
              <w:tc>
                <w:tcPr>
                  <w:tcW w:w="838" w:type="pct"/>
                  <w:vAlign w:val="center"/>
                </w:tcPr>
                <w:p w14:paraId="35EC3B6B">
                  <w:pPr>
                    <w:adjustRightInd w:val="0"/>
                    <w:snapToGrid w:val="0"/>
                    <w:jc w:val="center"/>
                    <w:rPr>
                      <w:bCs/>
                      <w:szCs w:val="21"/>
                    </w:rPr>
                  </w:pPr>
                  <w:r>
                    <w:rPr>
                      <w:bCs/>
                    </w:rPr>
                    <w:t>一般防渗区</w:t>
                  </w:r>
                </w:p>
              </w:tc>
              <w:tc>
                <w:tcPr>
                  <w:tcW w:w="3008" w:type="pct"/>
                  <w:vAlign w:val="center"/>
                </w:tcPr>
                <w:p w14:paraId="5699E08D">
                  <w:pPr>
                    <w:jc w:val="left"/>
                    <w:textAlignment w:val="center"/>
                    <w:rPr>
                      <w:szCs w:val="21"/>
                    </w:rPr>
                  </w:pPr>
                  <w:r>
                    <w:rPr>
                      <w:rFonts w:hint="eastAsia"/>
                      <w:bCs/>
                      <w:szCs w:val="21"/>
                    </w:rPr>
                    <w:t>原材料堆存区</w:t>
                  </w:r>
                  <w:r>
                    <w:rPr>
                      <w:bCs/>
                      <w:szCs w:val="21"/>
                    </w:rPr>
                    <w:t>、</w:t>
                  </w:r>
                  <w:r>
                    <w:rPr>
                      <w:rFonts w:hint="eastAsia"/>
                      <w:bCs/>
                      <w:szCs w:val="21"/>
                    </w:rPr>
                    <w:t>可移动废水罐</w:t>
                  </w:r>
                  <w:r>
                    <w:t>等四周加设高度为20cm的围堰，铺设双层1.5mm厚高密度聚乙烯防渗膜（覆盖围堰并外延0.5</w:t>
                  </w:r>
                  <w:r>
                    <w:rPr>
                      <w:rFonts w:hint="eastAsia"/>
                    </w:rPr>
                    <w:t>m</w:t>
                  </w:r>
                  <w:r>
                    <w:t>以上），</w:t>
                  </w:r>
                  <w:r>
                    <w:rPr>
                      <w:rFonts w:hint="eastAsia"/>
                    </w:rPr>
                    <w:t>移动环保厕所为一体化结构，整体防渗密封，</w:t>
                  </w:r>
                  <w:r>
                    <w:t>等效黏土防渗层Mb≥1.5m，K≤1×10</w:t>
                  </w:r>
                  <w:r>
                    <w:rPr>
                      <w:vertAlign w:val="superscript"/>
                    </w:rPr>
                    <w:t>-7</w:t>
                  </w:r>
                  <w:r>
                    <w:t>cm/s</w:t>
                  </w:r>
                  <w:r>
                    <w:rPr>
                      <w:rFonts w:hint="eastAsia"/>
                    </w:rPr>
                    <w:t>。</w:t>
                  </w:r>
                </w:p>
              </w:tc>
              <w:tc>
                <w:tcPr>
                  <w:tcW w:w="433" w:type="pct"/>
                  <w:vAlign w:val="center"/>
                </w:tcPr>
                <w:p w14:paraId="21CAC2C2">
                  <w:pPr>
                    <w:jc w:val="center"/>
                    <w:textAlignment w:val="center"/>
                    <w:rPr>
                      <w:szCs w:val="21"/>
                    </w:rPr>
                  </w:pPr>
                  <w:r>
                    <w:rPr>
                      <w:rFonts w:hint="eastAsia"/>
                      <w:szCs w:val="21"/>
                    </w:rPr>
                    <w:t>10</w:t>
                  </w:r>
                </w:p>
              </w:tc>
            </w:tr>
            <w:tr w14:paraId="6E9AD1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7D86A2E9">
                  <w:pPr>
                    <w:widowControl/>
                    <w:jc w:val="left"/>
                    <w:rPr>
                      <w:szCs w:val="21"/>
                    </w:rPr>
                  </w:pPr>
                </w:p>
              </w:tc>
              <w:tc>
                <w:tcPr>
                  <w:tcW w:w="407" w:type="pct"/>
                  <w:vMerge w:val="continue"/>
                  <w:vAlign w:val="center"/>
                </w:tcPr>
                <w:p w14:paraId="6A03EA5D">
                  <w:pPr>
                    <w:jc w:val="center"/>
                    <w:textAlignment w:val="center"/>
                    <w:rPr>
                      <w:szCs w:val="21"/>
                    </w:rPr>
                  </w:pPr>
                </w:p>
              </w:tc>
              <w:tc>
                <w:tcPr>
                  <w:tcW w:w="838" w:type="pct"/>
                  <w:vAlign w:val="center"/>
                </w:tcPr>
                <w:p w14:paraId="1F2B1CC2">
                  <w:pPr>
                    <w:adjustRightInd w:val="0"/>
                    <w:snapToGrid w:val="0"/>
                    <w:jc w:val="center"/>
                    <w:rPr>
                      <w:bCs/>
                    </w:rPr>
                  </w:pPr>
                  <w:r>
                    <w:rPr>
                      <w:bCs/>
                    </w:rPr>
                    <w:t>简易防渗区</w:t>
                  </w:r>
                </w:p>
              </w:tc>
              <w:tc>
                <w:tcPr>
                  <w:tcW w:w="3008" w:type="pct"/>
                  <w:vAlign w:val="center"/>
                </w:tcPr>
                <w:p w14:paraId="734ABEDB">
                  <w:pPr>
                    <w:textAlignment w:val="center"/>
                  </w:pPr>
                  <w:r>
                    <w:t>办公室、值班室、机房等采用</w:t>
                  </w:r>
                  <w:r>
                    <w:rPr>
                      <w:rFonts w:hint="eastAsia"/>
                    </w:rPr>
                    <w:t>压实</w:t>
                  </w:r>
                  <w:r>
                    <w:t>方式进行防渗。</w:t>
                  </w:r>
                </w:p>
              </w:tc>
              <w:tc>
                <w:tcPr>
                  <w:tcW w:w="433" w:type="pct"/>
                  <w:vAlign w:val="center"/>
                </w:tcPr>
                <w:p w14:paraId="4E9CF154">
                  <w:pPr>
                    <w:jc w:val="center"/>
                    <w:textAlignment w:val="center"/>
                    <w:rPr>
                      <w:szCs w:val="21"/>
                    </w:rPr>
                  </w:pPr>
                  <w:r>
                    <w:rPr>
                      <w:rFonts w:hint="eastAsia"/>
                      <w:szCs w:val="21"/>
                    </w:rPr>
                    <w:t>3</w:t>
                  </w:r>
                </w:p>
              </w:tc>
            </w:tr>
            <w:tr w14:paraId="71D551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314" w:type="pct"/>
                  <w:vMerge w:val="continue"/>
                  <w:vAlign w:val="center"/>
                </w:tcPr>
                <w:p w14:paraId="310BF38C">
                  <w:pPr>
                    <w:widowControl/>
                    <w:jc w:val="left"/>
                    <w:rPr>
                      <w:szCs w:val="21"/>
                    </w:rPr>
                  </w:pPr>
                </w:p>
              </w:tc>
              <w:tc>
                <w:tcPr>
                  <w:tcW w:w="1245" w:type="pct"/>
                  <w:gridSpan w:val="2"/>
                  <w:vAlign w:val="center"/>
                </w:tcPr>
                <w:p w14:paraId="6C609470">
                  <w:pPr>
                    <w:jc w:val="center"/>
                    <w:textAlignment w:val="center"/>
                    <w:rPr>
                      <w:szCs w:val="21"/>
                    </w:rPr>
                  </w:pPr>
                  <w:r>
                    <w:rPr>
                      <w:szCs w:val="21"/>
                    </w:rPr>
                    <w:t>环境风险</w:t>
                  </w:r>
                </w:p>
              </w:tc>
              <w:tc>
                <w:tcPr>
                  <w:tcW w:w="3008" w:type="pct"/>
                  <w:vAlign w:val="center"/>
                </w:tcPr>
                <w:p w14:paraId="60BB983E">
                  <w:pPr>
                    <w:textAlignment w:val="center"/>
                    <w:rPr>
                      <w:szCs w:val="21"/>
                    </w:rPr>
                  </w:pPr>
                  <w:r>
                    <w:rPr>
                      <w:szCs w:val="21"/>
                    </w:rPr>
                    <w:t>成立环境风险管理机构，安装防井喷装置，落实各项风险应急物资，</w:t>
                  </w:r>
                  <w:r>
                    <w:rPr>
                      <w:rFonts w:hint="eastAsia"/>
                      <w:szCs w:val="21"/>
                    </w:rPr>
                    <w:t>制定</w:t>
                  </w:r>
                  <w:r>
                    <w:rPr>
                      <w:szCs w:val="21"/>
                    </w:rPr>
                    <w:t>钻井现场</w:t>
                  </w:r>
                  <w:r>
                    <w:rPr>
                      <w:rFonts w:hint="eastAsia"/>
                      <w:szCs w:val="21"/>
                    </w:rPr>
                    <w:t>井喷、</w:t>
                  </w:r>
                  <w:r>
                    <w:rPr>
                      <w:szCs w:val="21"/>
                    </w:rPr>
                    <w:t>火灾等处置方案并定期进行演练</w:t>
                  </w:r>
                  <w:r>
                    <w:rPr>
                      <w:rFonts w:hint="eastAsia"/>
                      <w:szCs w:val="21"/>
                    </w:rPr>
                    <w:t>。</w:t>
                  </w:r>
                </w:p>
              </w:tc>
              <w:tc>
                <w:tcPr>
                  <w:tcW w:w="433" w:type="pct"/>
                  <w:vAlign w:val="center"/>
                </w:tcPr>
                <w:p w14:paraId="14D02BDE">
                  <w:pPr>
                    <w:jc w:val="center"/>
                    <w:textAlignment w:val="center"/>
                    <w:rPr>
                      <w:szCs w:val="21"/>
                    </w:rPr>
                  </w:pPr>
                  <w:r>
                    <w:rPr>
                      <w:rFonts w:hint="eastAsia"/>
                      <w:szCs w:val="21"/>
                    </w:rPr>
                    <w:t>5</w:t>
                  </w:r>
                </w:p>
              </w:tc>
            </w:tr>
            <w:tr w14:paraId="3CBFBA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restart"/>
                  <w:vAlign w:val="center"/>
                </w:tcPr>
                <w:p w14:paraId="55333EF0">
                  <w:pPr>
                    <w:jc w:val="center"/>
                    <w:textAlignment w:val="center"/>
                    <w:rPr>
                      <w:szCs w:val="21"/>
                    </w:rPr>
                  </w:pPr>
                  <w:r>
                    <w:rPr>
                      <w:szCs w:val="21"/>
                    </w:rPr>
                    <w:t>封井后</w:t>
                  </w:r>
                </w:p>
              </w:tc>
              <w:tc>
                <w:tcPr>
                  <w:tcW w:w="1245" w:type="pct"/>
                  <w:gridSpan w:val="2"/>
                  <w:vMerge w:val="restart"/>
                  <w:vAlign w:val="center"/>
                </w:tcPr>
                <w:p w14:paraId="5AE6D24B">
                  <w:pPr>
                    <w:jc w:val="center"/>
                    <w:textAlignment w:val="center"/>
                    <w:rPr>
                      <w:szCs w:val="21"/>
                    </w:rPr>
                  </w:pPr>
                  <w:r>
                    <w:rPr>
                      <w:szCs w:val="21"/>
                    </w:rPr>
                    <w:t>生态环境</w:t>
                  </w:r>
                </w:p>
              </w:tc>
              <w:tc>
                <w:tcPr>
                  <w:tcW w:w="3008" w:type="pct"/>
                  <w:vAlign w:val="center"/>
                </w:tcPr>
                <w:p w14:paraId="16C48675">
                  <w:pPr>
                    <w:textAlignment w:val="center"/>
                    <w:rPr>
                      <w:sz w:val="24"/>
                    </w:rPr>
                  </w:pPr>
                  <w:r>
                    <w:rPr>
                      <w:szCs w:val="21"/>
                    </w:rPr>
                    <w:t>表土剥离，剥离厚度为0.</w:t>
                  </w:r>
                  <w:r>
                    <w:rPr>
                      <w:rFonts w:hint="eastAsia"/>
                      <w:szCs w:val="21"/>
                    </w:rPr>
                    <w:t>2</w:t>
                  </w:r>
                  <w:r>
                    <w:rPr>
                      <w:szCs w:val="21"/>
                    </w:rPr>
                    <w:t>0m。在</w:t>
                  </w:r>
                  <w:r>
                    <w:rPr>
                      <w:rFonts w:hint="eastAsia"/>
                      <w:szCs w:val="21"/>
                    </w:rPr>
                    <w:t>表土</w:t>
                  </w:r>
                  <w:r>
                    <w:rPr>
                      <w:szCs w:val="21"/>
                    </w:rPr>
                    <w:t>堆存期间，为了防止水力与风力的侵蚀，用</w:t>
                  </w:r>
                  <w:r>
                    <w:rPr>
                      <w:rFonts w:hint="eastAsia"/>
                      <w:szCs w:val="21"/>
                    </w:rPr>
                    <w:t>密目网遮盖</w:t>
                  </w:r>
                  <w:r>
                    <w:rPr>
                      <w:szCs w:val="21"/>
                    </w:rPr>
                    <w:t>。</w:t>
                  </w:r>
                </w:p>
              </w:tc>
              <w:tc>
                <w:tcPr>
                  <w:tcW w:w="433" w:type="pct"/>
                  <w:vAlign w:val="center"/>
                </w:tcPr>
                <w:p w14:paraId="496D7381">
                  <w:pPr>
                    <w:jc w:val="center"/>
                    <w:textAlignment w:val="center"/>
                    <w:rPr>
                      <w:szCs w:val="21"/>
                    </w:rPr>
                  </w:pPr>
                  <w:r>
                    <w:rPr>
                      <w:rFonts w:hint="eastAsia"/>
                      <w:szCs w:val="21"/>
                    </w:rPr>
                    <w:t>2</w:t>
                  </w:r>
                </w:p>
              </w:tc>
            </w:tr>
            <w:tr w14:paraId="7E4D99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3B62DA95">
                  <w:pPr>
                    <w:jc w:val="center"/>
                    <w:textAlignment w:val="center"/>
                    <w:rPr>
                      <w:szCs w:val="21"/>
                    </w:rPr>
                  </w:pPr>
                </w:p>
              </w:tc>
              <w:tc>
                <w:tcPr>
                  <w:tcW w:w="1245" w:type="pct"/>
                  <w:gridSpan w:val="2"/>
                  <w:vMerge w:val="continue"/>
                  <w:vAlign w:val="center"/>
                </w:tcPr>
                <w:p w14:paraId="47E50ACB">
                  <w:pPr>
                    <w:jc w:val="center"/>
                    <w:textAlignment w:val="center"/>
                    <w:rPr>
                      <w:szCs w:val="21"/>
                    </w:rPr>
                  </w:pPr>
                </w:p>
              </w:tc>
              <w:tc>
                <w:tcPr>
                  <w:tcW w:w="3008" w:type="pct"/>
                  <w:vAlign w:val="center"/>
                </w:tcPr>
                <w:p w14:paraId="24776D08">
                  <w:pPr>
                    <w:jc w:val="left"/>
                    <w:textAlignment w:val="center"/>
                    <w:rPr>
                      <w:szCs w:val="21"/>
                    </w:rPr>
                  </w:pPr>
                  <w:r>
                    <w:rPr>
                      <w:szCs w:val="21"/>
                    </w:rPr>
                    <w:t>严格限制施工作业范围，禁止破坏施工作业外的地表植被。井场、井场道路等临时占地封井后恢复原貌，进行植被恢复，满足原土地性质要求</w:t>
                  </w:r>
                  <w:r>
                    <w:rPr>
                      <w:rFonts w:hint="eastAsia"/>
                      <w:szCs w:val="21"/>
                    </w:rPr>
                    <w:t>。</w:t>
                  </w:r>
                </w:p>
              </w:tc>
              <w:tc>
                <w:tcPr>
                  <w:tcW w:w="433" w:type="pct"/>
                  <w:vAlign w:val="center"/>
                </w:tcPr>
                <w:p w14:paraId="09A9C5CE">
                  <w:pPr>
                    <w:jc w:val="center"/>
                    <w:textAlignment w:val="center"/>
                    <w:rPr>
                      <w:szCs w:val="21"/>
                    </w:rPr>
                  </w:pPr>
                  <w:r>
                    <w:rPr>
                      <w:rFonts w:hint="eastAsia"/>
                      <w:szCs w:val="21"/>
                    </w:rPr>
                    <w:t>20</w:t>
                  </w:r>
                </w:p>
              </w:tc>
            </w:tr>
            <w:tr w14:paraId="41D1E5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4" w:type="pct"/>
                  <w:vMerge w:val="continue"/>
                  <w:vAlign w:val="center"/>
                </w:tcPr>
                <w:p w14:paraId="49E9B513">
                  <w:pPr>
                    <w:jc w:val="center"/>
                    <w:textAlignment w:val="center"/>
                    <w:rPr>
                      <w:szCs w:val="21"/>
                    </w:rPr>
                  </w:pPr>
                </w:p>
              </w:tc>
              <w:tc>
                <w:tcPr>
                  <w:tcW w:w="1245" w:type="pct"/>
                  <w:gridSpan w:val="2"/>
                  <w:vAlign w:val="center"/>
                </w:tcPr>
                <w:p w14:paraId="1E1038D3">
                  <w:pPr>
                    <w:jc w:val="center"/>
                    <w:textAlignment w:val="center"/>
                    <w:rPr>
                      <w:szCs w:val="21"/>
                    </w:rPr>
                  </w:pPr>
                  <w:r>
                    <w:rPr>
                      <w:rFonts w:hint="eastAsia"/>
                      <w:szCs w:val="21"/>
                    </w:rPr>
                    <w:t>封井</w:t>
                  </w:r>
                  <w:r>
                    <w:rPr>
                      <w:szCs w:val="21"/>
                    </w:rPr>
                    <w:t>措施</w:t>
                  </w:r>
                </w:p>
              </w:tc>
              <w:tc>
                <w:tcPr>
                  <w:tcW w:w="3008" w:type="pct"/>
                  <w:vAlign w:val="center"/>
                </w:tcPr>
                <w:p w14:paraId="7B148BD4">
                  <w:pPr>
                    <w:textAlignment w:val="center"/>
                    <w:rPr>
                      <w:szCs w:val="21"/>
                    </w:rPr>
                  </w:pPr>
                  <w:r>
                    <w:rPr>
                      <w:szCs w:val="21"/>
                    </w:rPr>
                    <w:t>拆除井口装置和割掉一定深度以上的表层套管，恢复地貌，使废弃井和土地使用的矛盾最小化，并在</w:t>
                  </w:r>
                  <w:r>
                    <w:rPr>
                      <w:rFonts w:hint="eastAsia"/>
                      <w:szCs w:val="21"/>
                    </w:rPr>
                    <w:t>井口处</w:t>
                  </w:r>
                  <w:r>
                    <w:rPr>
                      <w:szCs w:val="21"/>
                    </w:rPr>
                    <w:t>安装可供识别的标志，加以保护，防止人为破坏。</w:t>
                  </w:r>
                </w:p>
              </w:tc>
              <w:tc>
                <w:tcPr>
                  <w:tcW w:w="433" w:type="pct"/>
                  <w:vAlign w:val="center"/>
                </w:tcPr>
                <w:p w14:paraId="1A880F57">
                  <w:pPr>
                    <w:widowControl/>
                    <w:jc w:val="center"/>
                    <w:rPr>
                      <w:szCs w:val="21"/>
                    </w:rPr>
                  </w:pPr>
                  <w:r>
                    <w:rPr>
                      <w:rFonts w:hint="eastAsia"/>
                      <w:szCs w:val="21"/>
                    </w:rPr>
                    <w:t>5</w:t>
                  </w:r>
                </w:p>
              </w:tc>
            </w:tr>
            <w:tr w14:paraId="7BE897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7" w:type="pct"/>
                  <w:gridSpan w:val="4"/>
                  <w:vAlign w:val="center"/>
                </w:tcPr>
                <w:p w14:paraId="7C8E1717">
                  <w:pPr>
                    <w:jc w:val="center"/>
                    <w:textAlignment w:val="center"/>
                    <w:rPr>
                      <w:szCs w:val="21"/>
                    </w:rPr>
                  </w:pPr>
                  <w:r>
                    <w:rPr>
                      <w:szCs w:val="21"/>
                    </w:rPr>
                    <w:t>合计</w:t>
                  </w:r>
                </w:p>
              </w:tc>
              <w:tc>
                <w:tcPr>
                  <w:tcW w:w="433" w:type="pct"/>
                  <w:vAlign w:val="center"/>
                </w:tcPr>
                <w:p w14:paraId="6685AEE9">
                  <w:pPr>
                    <w:jc w:val="center"/>
                    <w:textAlignment w:val="center"/>
                    <w:rPr>
                      <w:szCs w:val="21"/>
                    </w:rPr>
                  </w:pPr>
                  <w:r>
                    <w:rPr>
                      <w:rFonts w:hint="eastAsia"/>
                      <w:szCs w:val="21"/>
                    </w:rPr>
                    <w:t>195</w:t>
                  </w:r>
                </w:p>
              </w:tc>
            </w:tr>
          </w:tbl>
          <w:p w14:paraId="03875A40">
            <w:pPr>
              <w:autoSpaceDE w:val="0"/>
              <w:autoSpaceDN w:val="0"/>
              <w:adjustRightInd w:val="0"/>
              <w:jc w:val="center"/>
              <w:rPr>
                <w:b/>
                <w:kern w:val="0"/>
                <w:sz w:val="24"/>
              </w:rPr>
            </w:pPr>
          </w:p>
          <w:p w14:paraId="1651EAF9">
            <w:pPr>
              <w:autoSpaceDE w:val="0"/>
              <w:autoSpaceDN w:val="0"/>
              <w:adjustRightInd w:val="0"/>
              <w:jc w:val="center"/>
              <w:rPr>
                <w:b/>
                <w:kern w:val="0"/>
                <w:sz w:val="24"/>
              </w:rPr>
            </w:pPr>
          </w:p>
          <w:p w14:paraId="265F1C8B">
            <w:pPr>
              <w:autoSpaceDE w:val="0"/>
              <w:autoSpaceDN w:val="0"/>
              <w:adjustRightInd w:val="0"/>
              <w:jc w:val="center"/>
              <w:rPr>
                <w:b/>
                <w:kern w:val="0"/>
                <w:sz w:val="24"/>
              </w:rPr>
            </w:pPr>
          </w:p>
          <w:p w14:paraId="6D5A0A02">
            <w:pPr>
              <w:autoSpaceDE w:val="0"/>
              <w:autoSpaceDN w:val="0"/>
              <w:adjustRightInd w:val="0"/>
              <w:jc w:val="center"/>
              <w:rPr>
                <w:b/>
                <w:kern w:val="0"/>
                <w:sz w:val="24"/>
              </w:rPr>
            </w:pPr>
          </w:p>
          <w:p w14:paraId="64A5CEFA">
            <w:pPr>
              <w:autoSpaceDE w:val="0"/>
              <w:autoSpaceDN w:val="0"/>
              <w:adjustRightInd w:val="0"/>
              <w:jc w:val="center"/>
              <w:rPr>
                <w:b/>
                <w:kern w:val="0"/>
                <w:sz w:val="24"/>
              </w:rPr>
            </w:pPr>
          </w:p>
          <w:p w14:paraId="451856F0">
            <w:pPr>
              <w:autoSpaceDE w:val="0"/>
              <w:autoSpaceDN w:val="0"/>
              <w:adjustRightInd w:val="0"/>
              <w:jc w:val="center"/>
              <w:rPr>
                <w:b/>
                <w:kern w:val="0"/>
                <w:sz w:val="24"/>
              </w:rPr>
            </w:pPr>
          </w:p>
          <w:p w14:paraId="38C20140">
            <w:pPr>
              <w:autoSpaceDE w:val="0"/>
              <w:autoSpaceDN w:val="0"/>
              <w:adjustRightInd w:val="0"/>
              <w:jc w:val="center"/>
              <w:rPr>
                <w:b/>
                <w:kern w:val="0"/>
                <w:sz w:val="24"/>
              </w:rPr>
            </w:pPr>
          </w:p>
          <w:p w14:paraId="1CB65C13">
            <w:pPr>
              <w:autoSpaceDE w:val="0"/>
              <w:autoSpaceDN w:val="0"/>
              <w:adjustRightInd w:val="0"/>
              <w:jc w:val="center"/>
              <w:rPr>
                <w:b/>
                <w:kern w:val="0"/>
                <w:sz w:val="24"/>
              </w:rPr>
            </w:pPr>
          </w:p>
          <w:p w14:paraId="610853D5">
            <w:pPr>
              <w:autoSpaceDE w:val="0"/>
              <w:autoSpaceDN w:val="0"/>
              <w:adjustRightInd w:val="0"/>
              <w:jc w:val="center"/>
              <w:rPr>
                <w:b/>
                <w:kern w:val="0"/>
                <w:sz w:val="24"/>
              </w:rPr>
            </w:pPr>
          </w:p>
          <w:p w14:paraId="55D1FFDE">
            <w:pPr>
              <w:autoSpaceDE w:val="0"/>
              <w:autoSpaceDN w:val="0"/>
              <w:adjustRightInd w:val="0"/>
              <w:jc w:val="center"/>
              <w:rPr>
                <w:b/>
                <w:kern w:val="0"/>
                <w:sz w:val="24"/>
              </w:rPr>
            </w:pPr>
          </w:p>
          <w:p w14:paraId="6475D54D">
            <w:pPr>
              <w:autoSpaceDE w:val="0"/>
              <w:autoSpaceDN w:val="0"/>
              <w:adjustRightInd w:val="0"/>
              <w:jc w:val="center"/>
              <w:rPr>
                <w:b/>
                <w:kern w:val="0"/>
                <w:sz w:val="24"/>
              </w:rPr>
            </w:pPr>
          </w:p>
          <w:p w14:paraId="64684195">
            <w:pPr>
              <w:autoSpaceDE w:val="0"/>
              <w:autoSpaceDN w:val="0"/>
              <w:adjustRightInd w:val="0"/>
              <w:jc w:val="center"/>
              <w:rPr>
                <w:b/>
                <w:kern w:val="0"/>
                <w:sz w:val="24"/>
              </w:rPr>
            </w:pPr>
          </w:p>
          <w:p w14:paraId="0F112200">
            <w:pPr>
              <w:autoSpaceDE w:val="0"/>
              <w:autoSpaceDN w:val="0"/>
              <w:adjustRightInd w:val="0"/>
              <w:jc w:val="center"/>
              <w:rPr>
                <w:b/>
                <w:kern w:val="0"/>
                <w:sz w:val="24"/>
              </w:rPr>
            </w:pPr>
          </w:p>
          <w:p w14:paraId="69F2D05A">
            <w:pPr>
              <w:autoSpaceDE w:val="0"/>
              <w:autoSpaceDN w:val="0"/>
              <w:adjustRightInd w:val="0"/>
              <w:jc w:val="center"/>
              <w:rPr>
                <w:sz w:val="24"/>
                <w:szCs w:val="32"/>
              </w:rPr>
            </w:pPr>
          </w:p>
        </w:tc>
      </w:tr>
    </w:tbl>
    <w:p w14:paraId="054F869C">
      <w:pPr>
        <w:pStyle w:val="25"/>
        <w:spacing w:before="0" w:beforeAutospacing="0" w:after="0" w:afterAutospacing="0"/>
        <w:jc w:val="center"/>
        <w:outlineLvl w:val="0"/>
        <w:rPr>
          <w:b/>
          <w:snapToGrid w:val="0"/>
          <w:kern w:val="2"/>
          <w:sz w:val="30"/>
          <w:szCs w:val="30"/>
        </w:rPr>
        <w:sectPr>
          <w:pgSz w:w="11906" w:h="16838"/>
          <w:pgMar w:top="1588" w:right="1531" w:bottom="1418" w:left="1531" w:header="851" w:footer="1077" w:gutter="0"/>
          <w:cols w:space="720" w:num="1"/>
          <w:docGrid w:linePitch="312" w:charSpace="0"/>
        </w:sectPr>
      </w:pPr>
    </w:p>
    <w:p w14:paraId="1457326E">
      <w:pPr>
        <w:pStyle w:val="25"/>
        <w:spacing w:before="0" w:beforeAutospacing="0" w:after="0" w:afterAutospacing="0"/>
        <w:jc w:val="center"/>
        <w:outlineLvl w:val="0"/>
        <w:rPr>
          <w:rFonts w:ascii="黑体" w:hAnsi="黑体" w:eastAsia="黑体"/>
          <w:b/>
          <w:snapToGrid w:val="0"/>
          <w:kern w:val="2"/>
          <w:sz w:val="30"/>
          <w:szCs w:val="30"/>
        </w:rPr>
      </w:pPr>
      <w:bookmarkStart w:id="27" w:name="_Toc214007564"/>
      <w:r>
        <w:rPr>
          <w:rFonts w:ascii="黑体" w:hAnsi="黑体" w:eastAsia="黑体"/>
          <w:b/>
          <w:snapToGrid w:val="0"/>
          <w:kern w:val="2"/>
          <w:sz w:val="30"/>
          <w:szCs w:val="30"/>
        </w:rPr>
        <w:t>六、生态环境保护措施监督检查清单</w:t>
      </w:r>
      <w:bookmarkEnd w:id="27"/>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401"/>
        <w:gridCol w:w="2732"/>
        <w:gridCol w:w="851"/>
        <w:gridCol w:w="681"/>
      </w:tblGrid>
      <w:tr w14:paraId="5989DB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2" w:type="dxa"/>
            <w:vMerge w:val="restart"/>
            <w:tcBorders>
              <w:tl2br w:val="single" w:color="auto" w:sz="4" w:space="0"/>
            </w:tcBorders>
          </w:tcPr>
          <w:p w14:paraId="362FD5D5">
            <w:pPr>
              <w:pStyle w:val="25"/>
              <w:adjustRightInd w:val="0"/>
              <w:snapToGrid w:val="0"/>
              <w:spacing w:before="72" w:beforeLines="30" w:beforeAutospacing="0" w:after="0" w:afterAutospacing="0"/>
              <w:ind w:firstLine="527" w:firstLineChars="250"/>
              <w:outlineLvl w:val="0"/>
              <w:rPr>
                <w:b/>
                <w:kern w:val="2"/>
                <w:sz w:val="21"/>
                <w:szCs w:val="21"/>
              </w:rPr>
            </w:pPr>
            <w:bookmarkStart w:id="28" w:name="_Toc214007565"/>
            <w:r>
              <w:rPr>
                <w:b/>
                <w:kern w:val="2"/>
                <w:sz w:val="21"/>
                <w:szCs w:val="21"/>
              </w:rPr>
              <w:t>内容</w:t>
            </w:r>
            <w:bookmarkEnd w:id="28"/>
          </w:p>
          <w:p w14:paraId="2C2F2264">
            <w:pPr>
              <w:pStyle w:val="25"/>
              <w:adjustRightInd w:val="0"/>
              <w:snapToGrid w:val="0"/>
              <w:spacing w:before="72" w:beforeLines="30" w:beforeAutospacing="0" w:after="0" w:afterAutospacing="0"/>
              <w:outlineLvl w:val="0"/>
              <w:rPr>
                <w:b/>
                <w:kern w:val="2"/>
                <w:sz w:val="21"/>
                <w:szCs w:val="21"/>
              </w:rPr>
            </w:pPr>
          </w:p>
          <w:p w14:paraId="057CB2EF">
            <w:pPr>
              <w:pStyle w:val="25"/>
              <w:adjustRightInd w:val="0"/>
              <w:snapToGrid w:val="0"/>
              <w:spacing w:before="0" w:beforeAutospacing="0" w:after="0" w:afterAutospacing="0" w:line="14" w:lineRule="auto"/>
              <w:outlineLvl w:val="0"/>
              <w:rPr>
                <w:b/>
                <w:kern w:val="2"/>
                <w:sz w:val="135"/>
                <w:szCs w:val="21"/>
              </w:rPr>
            </w:pPr>
          </w:p>
          <w:p w14:paraId="73456FBA">
            <w:pPr>
              <w:pStyle w:val="25"/>
              <w:adjustRightInd w:val="0"/>
              <w:snapToGrid w:val="0"/>
              <w:spacing w:before="0" w:beforeAutospacing="0" w:after="0" w:afterAutospacing="0" w:line="14" w:lineRule="auto"/>
              <w:outlineLvl w:val="0"/>
              <w:rPr>
                <w:b/>
                <w:kern w:val="2"/>
                <w:sz w:val="135"/>
                <w:szCs w:val="21"/>
              </w:rPr>
            </w:pPr>
          </w:p>
          <w:p w14:paraId="1E2D23D3">
            <w:pPr>
              <w:pStyle w:val="25"/>
              <w:adjustRightInd w:val="0"/>
              <w:snapToGrid w:val="0"/>
              <w:spacing w:before="0" w:beforeAutospacing="0" w:after="0" w:afterAutospacing="0" w:line="14" w:lineRule="auto"/>
              <w:outlineLvl w:val="0"/>
              <w:rPr>
                <w:b/>
                <w:kern w:val="2"/>
                <w:sz w:val="135"/>
                <w:szCs w:val="21"/>
              </w:rPr>
            </w:pPr>
          </w:p>
          <w:p w14:paraId="656C5A22">
            <w:pPr>
              <w:pStyle w:val="25"/>
              <w:adjustRightInd w:val="0"/>
              <w:snapToGrid w:val="0"/>
              <w:spacing w:before="0" w:beforeAutospacing="0" w:after="0" w:afterAutospacing="0" w:line="14" w:lineRule="auto"/>
              <w:outlineLvl w:val="0"/>
              <w:rPr>
                <w:b/>
                <w:kern w:val="2"/>
                <w:sz w:val="135"/>
                <w:szCs w:val="21"/>
              </w:rPr>
            </w:pPr>
          </w:p>
          <w:p w14:paraId="7D8B3D7A">
            <w:pPr>
              <w:pStyle w:val="25"/>
              <w:adjustRightInd w:val="0"/>
              <w:snapToGrid w:val="0"/>
              <w:spacing w:before="0" w:beforeAutospacing="0" w:after="0" w:afterAutospacing="0"/>
              <w:outlineLvl w:val="0"/>
              <w:rPr>
                <w:b/>
                <w:kern w:val="2"/>
                <w:sz w:val="21"/>
                <w:szCs w:val="21"/>
              </w:rPr>
            </w:pPr>
            <w:bookmarkStart w:id="29" w:name="_Toc214007566"/>
            <w:r>
              <w:rPr>
                <w:b/>
                <w:kern w:val="2"/>
                <w:sz w:val="21"/>
                <w:szCs w:val="21"/>
              </w:rPr>
              <w:t>要素</w:t>
            </w:r>
            <w:bookmarkEnd w:id="29"/>
          </w:p>
        </w:tc>
        <w:tc>
          <w:tcPr>
            <w:tcW w:w="6133" w:type="dxa"/>
            <w:gridSpan w:val="2"/>
            <w:vAlign w:val="center"/>
          </w:tcPr>
          <w:p w14:paraId="665DF061">
            <w:pPr>
              <w:pStyle w:val="25"/>
              <w:adjustRightInd w:val="0"/>
              <w:snapToGrid w:val="0"/>
              <w:spacing w:before="0" w:beforeAutospacing="0" w:after="0" w:afterAutospacing="0"/>
              <w:jc w:val="center"/>
              <w:outlineLvl w:val="0"/>
              <w:rPr>
                <w:b/>
                <w:kern w:val="2"/>
                <w:sz w:val="21"/>
                <w:szCs w:val="21"/>
              </w:rPr>
            </w:pPr>
            <w:bookmarkStart w:id="30" w:name="_Toc214007567"/>
            <w:r>
              <w:rPr>
                <w:b/>
                <w:kern w:val="2"/>
                <w:sz w:val="21"/>
                <w:szCs w:val="21"/>
              </w:rPr>
              <w:t>施工期</w:t>
            </w:r>
            <w:bookmarkEnd w:id="30"/>
          </w:p>
        </w:tc>
        <w:tc>
          <w:tcPr>
            <w:tcW w:w="1532" w:type="dxa"/>
            <w:gridSpan w:val="2"/>
            <w:vAlign w:val="center"/>
          </w:tcPr>
          <w:p w14:paraId="4E52931B">
            <w:pPr>
              <w:pStyle w:val="25"/>
              <w:adjustRightInd w:val="0"/>
              <w:snapToGrid w:val="0"/>
              <w:spacing w:before="0" w:beforeAutospacing="0" w:after="0" w:afterAutospacing="0"/>
              <w:jc w:val="center"/>
              <w:outlineLvl w:val="0"/>
              <w:rPr>
                <w:b/>
                <w:kern w:val="2"/>
                <w:sz w:val="21"/>
                <w:szCs w:val="21"/>
              </w:rPr>
            </w:pPr>
            <w:bookmarkStart w:id="31" w:name="_Toc214007568"/>
            <w:r>
              <w:rPr>
                <w:b/>
                <w:kern w:val="2"/>
                <w:sz w:val="21"/>
                <w:szCs w:val="21"/>
              </w:rPr>
              <w:t>运营期</w:t>
            </w:r>
            <w:bookmarkEnd w:id="31"/>
          </w:p>
        </w:tc>
      </w:tr>
      <w:tr w14:paraId="3F49C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2" w:type="dxa"/>
            <w:vMerge w:val="continue"/>
          </w:tcPr>
          <w:p w14:paraId="1C4E40EE">
            <w:pPr>
              <w:pStyle w:val="25"/>
              <w:adjustRightInd w:val="0"/>
              <w:snapToGrid w:val="0"/>
              <w:spacing w:before="0" w:beforeAutospacing="0" w:after="0" w:afterAutospacing="0"/>
              <w:ind w:firstLine="840"/>
              <w:jc w:val="center"/>
              <w:outlineLvl w:val="0"/>
              <w:rPr>
                <w:b/>
                <w:kern w:val="2"/>
                <w:sz w:val="21"/>
                <w:szCs w:val="21"/>
              </w:rPr>
            </w:pPr>
          </w:p>
        </w:tc>
        <w:tc>
          <w:tcPr>
            <w:tcW w:w="3401" w:type="dxa"/>
            <w:vAlign w:val="center"/>
          </w:tcPr>
          <w:p w14:paraId="5B65C497">
            <w:pPr>
              <w:pStyle w:val="25"/>
              <w:adjustRightInd w:val="0"/>
              <w:snapToGrid w:val="0"/>
              <w:spacing w:before="0" w:beforeAutospacing="0" w:after="0" w:afterAutospacing="0"/>
              <w:jc w:val="center"/>
              <w:outlineLvl w:val="0"/>
              <w:rPr>
                <w:b/>
                <w:kern w:val="2"/>
                <w:sz w:val="21"/>
                <w:szCs w:val="21"/>
              </w:rPr>
            </w:pPr>
            <w:bookmarkStart w:id="32" w:name="_Toc214007569"/>
            <w:r>
              <w:rPr>
                <w:b/>
                <w:kern w:val="2"/>
                <w:sz w:val="21"/>
                <w:szCs w:val="21"/>
              </w:rPr>
              <w:t>环境保护措施</w:t>
            </w:r>
            <w:bookmarkEnd w:id="32"/>
          </w:p>
        </w:tc>
        <w:tc>
          <w:tcPr>
            <w:tcW w:w="2732" w:type="dxa"/>
            <w:vAlign w:val="center"/>
          </w:tcPr>
          <w:p w14:paraId="63366A84">
            <w:pPr>
              <w:pStyle w:val="25"/>
              <w:adjustRightInd w:val="0"/>
              <w:snapToGrid w:val="0"/>
              <w:spacing w:before="0" w:beforeAutospacing="0" w:after="0" w:afterAutospacing="0"/>
              <w:jc w:val="center"/>
              <w:outlineLvl w:val="0"/>
              <w:rPr>
                <w:b/>
                <w:kern w:val="2"/>
                <w:sz w:val="21"/>
                <w:szCs w:val="21"/>
              </w:rPr>
            </w:pPr>
            <w:bookmarkStart w:id="33" w:name="_Toc214007570"/>
            <w:r>
              <w:rPr>
                <w:b/>
                <w:kern w:val="2"/>
                <w:sz w:val="21"/>
                <w:szCs w:val="21"/>
              </w:rPr>
              <w:t>验收要求</w:t>
            </w:r>
            <w:bookmarkEnd w:id="33"/>
          </w:p>
        </w:tc>
        <w:tc>
          <w:tcPr>
            <w:tcW w:w="851" w:type="dxa"/>
            <w:vAlign w:val="center"/>
          </w:tcPr>
          <w:p w14:paraId="142BE5E7">
            <w:pPr>
              <w:pStyle w:val="25"/>
              <w:adjustRightInd w:val="0"/>
              <w:snapToGrid w:val="0"/>
              <w:spacing w:before="0" w:beforeAutospacing="0" w:after="0" w:afterAutospacing="0"/>
              <w:jc w:val="center"/>
              <w:outlineLvl w:val="0"/>
              <w:rPr>
                <w:b/>
                <w:kern w:val="2"/>
                <w:sz w:val="21"/>
                <w:szCs w:val="21"/>
              </w:rPr>
            </w:pPr>
            <w:bookmarkStart w:id="34" w:name="_Toc214007571"/>
            <w:r>
              <w:rPr>
                <w:b/>
                <w:kern w:val="2"/>
                <w:sz w:val="21"/>
                <w:szCs w:val="21"/>
              </w:rPr>
              <w:t>环境保护措施</w:t>
            </w:r>
            <w:bookmarkEnd w:id="34"/>
          </w:p>
        </w:tc>
        <w:tc>
          <w:tcPr>
            <w:tcW w:w="681" w:type="dxa"/>
            <w:vAlign w:val="center"/>
          </w:tcPr>
          <w:p w14:paraId="6A09895D">
            <w:pPr>
              <w:pStyle w:val="25"/>
              <w:adjustRightInd w:val="0"/>
              <w:snapToGrid w:val="0"/>
              <w:spacing w:before="0" w:beforeAutospacing="0" w:after="0" w:afterAutospacing="0"/>
              <w:jc w:val="center"/>
              <w:outlineLvl w:val="0"/>
              <w:rPr>
                <w:b/>
                <w:kern w:val="2"/>
                <w:sz w:val="21"/>
                <w:szCs w:val="21"/>
              </w:rPr>
            </w:pPr>
            <w:bookmarkStart w:id="35" w:name="_Toc214007572"/>
            <w:r>
              <w:rPr>
                <w:b/>
                <w:kern w:val="2"/>
                <w:sz w:val="21"/>
                <w:szCs w:val="21"/>
              </w:rPr>
              <w:t>验收要求</w:t>
            </w:r>
            <w:bookmarkEnd w:id="35"/>
          </w:p>
        </w:tc>
      </w:tr>
      <w:tr w14:paraId="6A61F4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1242" w:type="dxa"/>
            <w:vMerge w:val="restart"/>
            <w:vAlign w:val="center"/>
          </w:tcPr>
          <w:p w14:paraId="7211B283">
            <w:pPr>
              <w:adjustRightInd w:val="0"/>
              <w:snapToGrid w:val="0"/>
              <w:jc w:val="center"/>
              <w:rPr>
                <w:b/>
                <w:szCs w:val="21"/>
              </w:rPr>
            </w:pPr>
            <w:r>
              <w:rPr>
                <w:b/>
                <w:szCs w:val="21"/>
              </w:rPr>
              <w:t>陆生生态</w:t>
            </w:r>
          </w:p>
        </w:tc>
        <w:tc>
          <w:tcPr>
            <w:tcW w:w="3401" w:type="dxa"/>
            <w:vAlign w:val="center"/>
          </w:tcPr>
          <w:p w14:paraId="58342CFF">
            <w:pPr>
              <w:jc w:val="center"/>
              <w:rPr>
                <w:szCs w:val="21"/>
              </w:rPr>
            </w:pPr>
            <w:r>
              <w:rPr>
                <w:szCs w:val="21"/>
              </w:rPr>
              <w:t>实施表土剥离，剥离厚度为0.</w:t>
            </w:r>
            <w:r>
              <w:rPr>
                <w:rFonts w:hint="eastAsia"/>
                <w:szCs w:val="21"/>
              </w:rPr>
              <w:t>2</w:t>
            </w:r>
            <w:r>
              <w:rPr>
                <w:szCs w:val="21"/>
              </w:rPr>
              <w:t>0m。在土壤堆存期间，为了防止水力与风力的侵蚀，堆土上铺设</w:t>
            </w:r>
            <w:r>
              <w:rPr>
                <w:rFonts w:hint="eastAsia"/>
                <w:szCs w:val="21"/>
              </w:rPr>
              <w:t>密目网</w:t>
            </w:r>
            <w:r>
              <w:rPr>
                <w:szCs w:val="21"/>
              </w:rPr>
              <w:t>。</w:t>
            </w:r>
            <w:r>
              <w:rPr>
                <w:rFonts w:hint="eastAsia"/>
                <w:szCs w:val="21"/>
              </w:rPr>
              <w:t>大风季节应停止表土剥离等相关工作。</w:t>
            </w:r>
          </w:p>
        </w:tc>
        <w:tc>
          <w:tcPr>
            <w:tcW w:w="2732" w:type="dxa"/>
            <w:vMerge w:val="restart"/>
            <w:vAlign w:val="center"/>
          </w:tcPr>
          <w:p w14:paraId="103B64C9">
            <w:pPr>
              <w:adjustRightInd w:val="0"/>
              <w:snapToGrid w:val="0"/>
              <w:jc w:val="center"/>
              <w:rPr>
                <w:szCs w:val="21"/>
              </w:rPr>
            </w:pPr>
            <w:r>
              <w:rPr>
                <w:szCs w:val="21"/>
              </w:rPr>
              <w:t>表土剥离，妥善堆存</w:t>
            </w:r>
            <w:r>
              <w:rPr>
                <w:rFonts w:hint="eastAsia"/>
                <w:szCs w:val="21"/>
              </w:rPr>
              <w:t>。</w:t>
            </w:r>
            <w:r>
              <w:rPr>
                <w:szCs w:val="21"/>
              </w:rPr>
              <w:t>勘探</w:t>
            </w:r>
            <w:r>
              <w:rPr>
                <w:rFonts w:hint="eastAsia"/>
                <w:szCs w:val="21"/>
              </w:rPr>
              <w:t>结束后</w:t>
            </w:r>
            <w:r>
              <w:rPr>
                <w:szCs w:val="21"/>
              </w:rPr>
              <w:t>临时用地全部恢复，确保植被覆盖度不降低，土地复垦率100%</w:t>
            </w:r>
            <w:r>
              <w:rPr>
                <w:rFonts w:hint="eastAsia"/>
                <w:szCs w:val="21"/>
              </w:rPr>
              <w:t>。</w:t>
            </w:r>
          </w:p>
        </w:tc>
        <w:tc>
          <w:tcPr>
            <w:tcW w:w="851" w:type="dxa"/>
            <w:vAlign w:val="center"/>
          </w:tcPr>
          <w:p w14:paraId="4DED8CD0">
            <w:pPr>
              <w:adjustRightInd w:val="0"/>
              <w:snapToGrid w:val="0"/>
              <w:jc w:val="center"/>
              <w:rPr>
                <w:szCs w:val="21"/>
              </w:rPr>
            </w:pPr>
            <w:r>
              <w:rPr>
                <w:rFonts w:hint="eastAsia"/>
                <w:szCs w:val="21"/>
              </w:rPr>
              <w:t>/</w:t>
            </w:r>
          </w:p>
        </w:tc>
        <w:tc>
          <w:tcPr>
            <w:tcW w:w="681" w:type="dxa"/>
            <w:vAlign w:val="center"/>
          </w:tcPr>
          <w:p w14:paraId="090ED5D8">
            <w:pPr>
              <w:adjustRightInd w:val="0"/>
              <w:snapToGrid w:val="0"/>
              <w:jc w:val="center"/>
              <w:rPr>
                <w:szCs w:val="21"/>
              </w:rPr>
            </w:pPr>
            <w:r>
              <w:rPr>
                <w:rFonts w:hint="eastAsia"/>
                <w:szCs w:val="21"/>
              </w:rPr>
              <w:t>/</w:t>
            </w:r>
          </w:p>
        </w:tc>
      </w:tr>
      <w:tr w14:paraId="78407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242" w:type="dxa"/>
            <w:vMerge w:val="continue"/>
            <w:vAlign w:val="center"/>
          </w:tcPr>
          <w:p w14:paraId="7527AFEB">
            <w:pPr>
              <w:adjustRightInd w:val="0"/>
              <w:snapToGrid w:val="0"/>
              <w:jc w:val="center"/>
              <w:rPr>
                <w:b/>
                <w:szCs w:val="21"/>
              </w:rPr>
            </w:pPr>
          </w:p>
        </w:tc>
        <w:tc>
          <w:tcPr>
            <w:tcW w:w="3401" w:type="dxa"/>
            <w:vAlign w:val="center"/>
          </w:tcPr>
          <w:p w14:paraId="20946A20">
            <w:pPr>
              <w:jc w:val="center"/>
              <w:rPr>
                <w:szCs w:val="21"/>
              </w:rPr>
            </w:pPr>
            <w:r>
              <w:rPr>
                <w:szCs w:val="21"/>
              </w:rPr>
              <w:t>严格限制施工作业范围，禁止破坏施工作业外的地表植被。</w:t>
            </w:r>
            <w:r>
              <w:rPr>
                <w:rFonts w:hint="eastAsia"/>
                <w:szCs w:val="21"/>
              </w:rPr>
              <w:t>施工井场采取压实方式处理并定期洒水抑尘，定期检查井场周围水土流失情况。</w:t>
            </w:r>
          </w:p>
        </w:tc>
        <w:tc>
          <w:tcPr>
            <w:tcW w:w="2732" w:type="dxa"/>
            <w:vMerge w:val="continue"/>
            <w:vAlign w:val="center"/>
          </w:tcPr>
          <w:p w14:paraId="7F1859FC">
            <w:pPr>
              <w:adjustRightInd w:val="0"/>
              <w:snapToGrid w:val="0"/>
              <w:jc w:val="center"/>
              <w:rPr>
                <w:szCs w:val="21"/>
              </w:rPr>
            </w:pPr>
          </w:p>
        </w:tc>
        <w:tc>
          <w:tcPr>
            <w:tcW w:w="851" w:type="dxa"/>
            <w:vAlign w:val="center"/>
          </w:tcPr>
          <w:p w14:paraId="460B2061">
            <w:pPr>
              <w:adjustRightInd w:val="0"/>
              <w:snapToGrid w:val="0"/>
              <w:jc w:val="center"/>
              <w:rPr>
                <w:szCs w:val="21"/>
              </w:rPr>
            </w:pPr>
            <w:r>
              <w:rPr>
                <w:rFonts w:hint="eastAsia"/>
                <w:szCs w:val="21"/>
              </w:rPr>
              <w:t>/</w:t>
            </w:r>
          </w:p>
        </w:tc>
        <w:tc>
          <w:tcPr>
            <w:tcW w:w="681" w:type="dxa"/>
            <w:vAlign w:val="center"/>
          </w:tcPr>
          <w:p w14:paraId="516AEED7">
            <w:pPr>
              <w:adjustRightInd w:val="0"/>
              <w:snapToGrid w:val="0"/>
              <w:jc w:val="center"/>
              <w:rPr>
                <w:szCs w:val="21"/>
              </w:rPr>
            </w:pPr>
            <w:r>
              <w:rPr>
                <w:rFonts w:hint="eastAsia"/>
                <w:szCs w:val="21"/>
              </w:rPr>
              <w:t>/</w:t>
            </w:r>
          </w:p>
        </w:tc>
      </w:tr>
      <w:tr w14:paraId="162A1B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242" w:type="dxa"/>
            <w:vMerge w:val="continue"/>
            <w:vAlign w:val="center"/>
          </w:tcPr>
          <w:p w14:paraId="4E977D96">
            <w:pPr>
              <w:adjustRightInd w:val="0"/>
              <w:snapToGrid w:val="0"/>
              <w:jc w:val="center"/>
              <w:rPr>
                <w:b/>
                <w:szCs w:val="21"/>
              </w:rPr>
            </w:pPr>
          </w:p>
        </w:tc>
        <w:tc>
          <w:tcPr>
            <w:tcW w:w="3401" w:type="dxa"/>
            <w:vAlign w:val="center"/>
          </w:tcPr>
          <w:p w14:paraId="13878C00">
            <w:pPr>
              <w:jc w:val="center"/>
              <w:rPr>
                <w:szCs w:val="21"/>
              </w:rPr>
            </w:pPr>
            <w:r>
              <w:rPr>
                <w:rFonts w:hint="eastAsia"/>
                <w:szCs w:val="21"/>
              </w:rPr>
              <w:t>临时用地上的设施搬迁后，拆除基础，对用地范围内进行平整、播撒草籽等，增加植被覆盖度，减少表土裸露面积</w:t>
            </w:r>
            <w:r>
              <w:rPr>
                <w:szCs w:val="21"/>
              </w:rPr>
              <w:t>。</w:t>
            </w:r>
          </w:p>
        </w:tc>
        <w:tc>
          <w:tcPr>
            <w:tcW w:w="2732" w:type="dxa"/>
            <w:vMerge w:val="continue"/>
            <w:vAlign w:val="center"/>
          </w:tcPr>
          <w:p w14:paraId="31258891">
            <w:pPr>
              <w:adjustRightInd w:val="0"/>
              <w:snapToGrid w:val="0"/>
              <w:jc w:val="center"/>
              <w:rPr>
                <w:szCs w:val="21"/>
              </w:rPr>
            </w:pPr>
          </w:p>
        </w:tc>
        <w:tc>
          <w:tcPr>
            <w:tcW w:w="851" w:type="dxa"/>
            <w:vAlign w:val="center"/>
          </w:tcPr>
          <w:p w14:paraId="05A09368">
            <w:pPr>
              <w:adjustRightInd w:val="0"/>
              <w:snapToGrid w:val="0"/>
              <w:jc w:val="center"/>
              <w:rPr>
                <w:szCs w:val="21"/>
              </w:rPr>
            </w:pPr>
            <w:r>
              <w:rPr>
                <w:rFonts w:hint="eastAsia"/>
                <w:szCs w:val="21"/>
              </w:rPr>
              <w:t>/</w:t>
            </w:r>
          </w:p>
        </w:tc>
        <w:tc>
          <w:tcPr>
            <w:tcW w:w="681" w:type="dxa"/>
            <w:vAlign w:val="center"/>
          </w:tcPr>
          <w:p w14:paraId="501050CA">
            <w:pPr>
              <w:adjustRightInd w:val="0"/>
              <w:snapToGrid w:val="0"/>
              <w:jc w:val="center"/>
              <w:rPr>
                <w:szCs w:val="21"/>
              </w:rPr>
            </w:pPr>
            <w:r>
              <w:rPr>
                <w:rFonts w:hint="eastAsia"/>
                <w:szCs w:val="21"/>
              </w:rPr>
              <w:t>/</w:t>
            </w:r>
          </w:p>
        </w:tc>
      </w:tr>
      <w:tr w14:paraId="0D29B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2" w:type="dxa"/>
            <w:vAlign w:val="center"/>
          </w:tcPr>
          <w:p w14:paraId="6F79F534">
            <w:pPr>
              <w:adjustRightInd w:val="0"/>
              <w:snapToGrid w:val="0"/>
              <w:jc w:val="center"/>
              <w:rPr>
                <w:b/>
                <w:szCs w:val="21"/>
              </w:rPr>
            </w:pPr>
            <w:r>
              <w:rPr>
                <w:b/>
                <w:szCs w:val="21"/>
              </w:rPr>
              <w:t>水生生态</w:t>
            </w:r>
          </w:p>
        </w:tc>
        <w:tc>
          <w:tcPr>
            <w:tcW w:w="3401" w:type="dxa"/>
            <w:vAlign w:val="center"/>
          </w:tcPr>
          <w:p w14:paraId="49BCD5AA">
            <w:pPr>
              <w:adjustRightInd w:val="0"/>
              <w:snapToGrid w:val="0"/>
              <w:jc w:val="center"/>
              <w:rPr>
                <w:szCs w:val="21"/>
              </w:rPr>
            </w:pPr>
            <w:r>
              <w:rPr>
                <w:rFonts w:hint="eastAsia"/>
                <w:szCs w:val="21"/>
              </w:rPr>
              <w:t>/</w:t>
            </w:r>
          </w:p>
        </w:tc>
        <w:tc>
          <w:tcPr>
            <w:tcW w:w="2732" w:type="dxa"/>
            <w:vAlign w:val="center"/>
          </w:tcPr>
          <w:p w14:paraId="107F760A">
            <w:pPr>
              <w:adjustRightInd w:val="0"/>
              <w:snapToGrid w:val="0"/>
              <w:jc w:val="center"/>
              <w:rPr>
                <w:szCs w:val="21"/>
              </w:rPr>
            </w:pPr>
            <w:r>
              <w:rPr>
                <w:rFonts w:hint="eastAsia"/>
                <w:szCs w:val="21"/>
              </w:rPr>
              <w:t>/</w:t>
            </w:r>
          </w:p>
        </w:tc>
        <w:tc>
          <w:tcPr>
            <w:tcW w:w="851" w:type="dxa"/>
            <w:vAlign w:val="center"/>
          </w:tcPr>
          <w:p w14:paraId="16B90D60">
            <w:pPr>
              <w:adjustRightInd w:val="0"/>
              <w:snapToGrid w:val="0"/>
              <w:jc w:val="center"/>
              <w:rPr>
                <w:szCs w:val="21"/>
              </w:rPr>
            </w:pPr>
            <w:r>
              <w:rPr>
                <w:rFonts w:hint="eastAsia"/>
                <w:szCs w:val="21"/>
              </w:rPr>
              <w:t>/</w:t>
            </w:r>
          </w:p>
        </w:tc>
        <w:tc>
          <w:tcPr>
            <w:tcW w:w="681" w:type="dxa"/>
            <w:vAlign w:val="center"/>
          </w:tcPr>
          <w:p w14:paraId="25D97484">
            <w:pPr>
              <w:adjustRightInd w:val="0"/>
              <w:snapToGrid w:val="0"/>
              <w:jc w:val="center"/>
              <w:rPr>
                <w:szCs w:val="21"/>
              </w:rPr>
            </w:pPr>
            <w:r>
              <w:rPr>
                <w:rFonts w:hint="eastAsia"/>
                <w:szCs w:val="21"/>
              </w:rPr>
              <w:t>/</w:t>
            </w:r>
          </w:p>
        </w:tc>
      </w:tr>
      <w:tr w14:paraId="71C34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242" w:type="dxa"/>
            <w:vMerge w:val="restart"/>
            <w:vAlign w:val="center"/>
          </w:tcPr>
          <w:p w14:paraId="1A705234">
            <w:pPr>
              <w:adjustRightInd w:val="0"/>
              <w:snapToGrid w:val="0"/>
              <w:jc w:val="center"/>
              <w:rPr>
                <w:b/>
                <w:szCs w:val="21"/>
              </w:rPr>
            </w:pPr>
            <w:r>
              <w:rPr>
                <w:b/>
                <w:szCs w:val="21"/>
              </w:rPr>
              <w:t>地表水环境</w:t>
            </w:r>
          </w:p>
        </w:tc>
        <w:tc>
          <w:tcPr>
            <w:tcW w:w="3401" w:type="dxa"/>
            <w:vAlign w:val="center"/>
          </w:tcPr>
          <w:p w14:paraId="2BC37367">
            <w:pPr>
              <w:adjustRightInd w:val="0"/>
              <w:snapToGrid w:val="0"/>
              <w:jc w:val="center"/>
              <w:rPr>
                <w:szCs w:val="21"/>
              </w:rPr>
            </w:pPr>
            <w:r>
              <w:rPr>
                <w:rFonts w:hint="eastAsia"/>
                <w:bCs/>
                <w:szCs w:val="21"/>
              </w:rPr>
              <w:t>钻井过程中废水随同废弃泥浆、钻井岩屑收集至可移动废水罐，定期拉运至内蒙古众宁环保科技有限公司油气田废弃物集中处理厂处理</w:t>
            </w:r>
            <w:r>
              <w:rPr>
                <w:bCs/>
                <w:szCs w:val="21"/>
              </w:rPr>
              <w:t>。</w:t>
            </w:r>
          </w:p>
        </w:tc>
        <w:tc>
          <w:tcPr>
            <w:tcW w:w="2732" w:type="dxa"/>
            <w:vMerge w:val="restart"/>
            <w:vAlign w:val="center"/>
          </w:tcPr>
          <w:p w14:paraId="4685C00F">
            <w:pPr>
              <w:adjustRightInd w:val="0"/>
              <w:snapToGrid w:val="0"/>
              <w:jc w:val="center"/>
              <w:rPr>
                <w:szCs w:val="21"/>
              </w:rPr>
            </w:pPr>
            <w:r>
              <w:rPr>
                <w:rFonts w:hint="eastAsia"/>
                <w:szCs w:val="21"/>
              </w:rPr>
              <w:t>落实措施，废（污）水均得到有效处置，无外排。</w:t>
            </w:r>
          </w:p>
        </w:tc>
        <w:tc>
          <w:tcPr>
            <w:tcW w:w="851" w:type="dxa"/>
            <w:vAlign w:val="center"/>
          </w:tcPr>
          <w:p w14:paraId="339E2DA9">
            <w:pPr>
              <w:adjustRightInd w:val="0"/>
              <w:snapToGrid w:val="0"/>
              <w:jc w:val="center"/>
              <w:rPr>
                <w:szCs w:val="21"/>
              </w:rPr>
            </w:pPr>
            <w:r>
              <w:rPr>
                <w:rFonts w:hint="eastAsia"/>
                <w:szCs w:val="21"/>
              </w:rPr>
              <w:t>/</w:t>
            </w:r>
          </w:p>
        </w:tc>
        <w:tc>
          <w:tcPr>
            <w:tcW w:w="681" w:type="dxa"/>
            <w:vAlign w:val="center"/>
          </w:tcPr>
          <w:p w14:paraId="4F70AA55">
            <w:pPr>
              <w:adjustRightInd w:val="0"/>
              <w:snapToGrid w:val="0"/>
              <w:jc w:val="center"/>
              <w:rPr>
                <w:szCs w:val="21"/>
              </w:rPr>
            </w:pPr>
            <w:r>
              <w:rPr>
                <w:rFonts w:hint="eastAsia"/>
                <w:szCs w:val="21"/>
              </w:rPr>
              <w:t>/</w:t>
            </w:r>
          </w:p>
        </w:tc>
      </w:tr>
      <w:tr w14:paraId="0EBD8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242" w:type="dxa"/>
            <w:vMerge w:val="continue"/>
            <w:vAlign w:val="center"/>
          </w:tcPr>
          <w:p w14:paraId="479EFE2C">
            <w:pPr>
              <w:adjustRightInd w:val="0"/>
              <w:snapToGrid w:val="0"/>
              <w:jc w:val="center"/>
              <w:rPr>
                <w:b/>
                <w:szCs w:val="21"/>
              </w:rPr>
            </w:pPr>
          </w:p>
        </w:tc>
        <w:tc>
          <w:tcPr>
            <w:tcW w:w="3401" w:type="dxa"/>
            <w:vAlign w:val="center"/>
          </w:tcPr>
          <w:p w14:paraId="17C29B79">
            <w:pPr>
              <w:adjustRightInd w:val="0"/>
              <w:snapToGrid w:val="0"/>
              <w:jc w:val="center"/>
              <w:rPr>
                <w:szCs w:val="21"/>
              </w:rPr>
            </w:pPr>
            <w:r>
              <w:rPr>
                <w:rFonts w:hint="eastAsia"/>
                <w:szCs w:val="21"/>
              </w:rPr>
              <w:t>盥洗废水排入</w:t>
            </w:r>
            <w:r>
              <w:rPr>
                <w:szCs w:val="21"/>
              </w:rPr>
              <w:t>井场设置的</w:t>
            </w:r>
            <w:r>
              <w:rPr>
                <w:rFonts w:hint="eastAsia"/>
                <w:szCs w:val="21"/>
              </w:rPr>
              <w:t>环保厕所</w:t>
            </w:r>
            <w:r>
              <w:rPr>
                <w:szCs w:val="21"/>
              </w:rPr>
              <w:t>，定期清掏。</w:t>
            </w:r>
          </w:p>
        </w:tc>
        <w:tc>
          <w:tcPr>
            <w:tcW w:w="2732" w:type="dxa"/>
            <w:vMerge w:val="continue"/>
            <w:vAlign w:val="center"/>
          </w:tcPr>
          <w:p w14:paraId="71E2497D">
            <w:pPr>
              <w:adjustRightInd w:val="0"/>
              <w:snapToGrid w:val="0"/>
              <w:jc w:val="center"/>
              <w:rPr>
                <w:szCs w:val="21"/>
              </w:rPr>
            </w:pPr>
          </w:p>
        </w:tc>
        <w:tc>
          <w:tcPr>
            <w:tcW w:w="851" w:type="dxa"/>
            <w:vAlign w:val="center"/>
          </w:tcPr>
          <w:p w14:paraId="02916310">
            <w:pPr>
              <w:adjustRightInd w:val="0"/>
              <w:snapToGrid w:val="0"/>
              <w:jc w:val="center"/>
              <w:rPr>
                <w:szCs w:val="21"/>
              </w:rPr>
            </w:pPr>
            <w:r>
              <w:rPr>
                <w:rFonts w:hint="eastAsia"/>
                <w:szCs w:val="21"/>
              </w:rPr>
              <w:t>/</w:t>
            </w:r>
          </w:p>
        </w:tc>
        <w:tc>
          <w:tcPr>
            <w:tcW w:w="681" w:type="dxa"/>
            <w:vAlign w:val="center"/>
          </w:tcPr>
          <w:p w14:paraId="6F7C4E47">
            <w:pPr>
              <w:adjustRightInd w:val="0"/>
              <w:snapToGrid w:val="0"/>
              <w:jc w:val="center"/>
              <w:rPr>
                <w:szCs w:val="21"/>
              </w:rPr>
            </w:pPr>
            <w:r>
              <w:rPr>
                <w:rFonts w:hint="eastAsia"/>
                <w:szCs w:val="21"/>
              </w:rPr>
              <w:t>/</w:t>
            </w:r>
          </w:p>
        </w:tc>
      </w:tr>
      <w:tr w14:paraId="029EE7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54" w:hRule="atLeast"/>
          <w:jc w:val="center"/>
        </w:trPr>
        <w:tc>
          <w:tcPr>
            <w:tcW w:w="1242" w:type="dxa"/>
            <w:vAlign w:val="center"/>
          </w:tcPr>
          <w:p w14:paraId="721AED9B">
            <w:pPr>
              <w:adjustRightInd w:val="0"/>
              <w:snapToGrid w:val="0"/>
              <w:jc w:val="center"/>
              <w:rPr>
                <w:b/>
                <w:szCs w:val="21"/>
              </w:rPr>
            </w:pPr>
            <w:r>
              <w:rPr>
                <w:b/>
                <w:szCs w:val="21"/>
              </w:rPr>
              <w:t>地下水及土壤环境</w:t>
            </w:r>
          </w:p>
        </w:tc>
        <w:tc>
          <w:tcPr>
            <w:tcW w:w="3401" w:type="dxa"/>
            <w:vAlign w:val="center"/>
          </w:tcPr>
          <w:p w14:paraId="4993E41D">
            <w:pPr>
              <w:adjustRightInd w:val="0"/>
              <w:snapToGrid w:val="0"/>
              <w:rPr>
                <w:bCs/>
              </w:rPr>
            </w:pPr>
            <w:r>
              <w:rPr>
                <w:rFonts w:hint="eastAsia"/>
                <w:bCs/>
              </w:rPr>
              <w:t>1、整个井身均采用了水泥固井和套管固封；</w:t>
            </w:r>
          </w:p>
          <w:p w14:paraId="679DDA23">
            <w:pPr>
              <w:adjustRightInd w:val="0"/>
              <w:snapToGrid w:val="0"/>
              <w:rPr>
                <w:bCs/>
              </w:rPr>
            </w:pPr>
            <w:r>
              <w:rPr>
                <w:rFonts w:hint="eastAsia"/>
                <w:bCs/>
              </w:rPr>
              <w:t>2、针对钻井工程特点，将井场进行分区防渗，分为重点防渗区、一般防渗区和简单防渗区；</w:t>
            </w:r>
          </w:p>
          <w:p w14:paraId="638C582F">
            <w:pPr>
              <w:adjustRightInd w:val="0"/>
              <w:snapToGrid w:val="0"/>
              <w:rPr>
                <w:szCs w:val="21"/>
              </w:rPr>
            </w:pPr>
            <w:r>
              <w:rPr>
                <w:rFonts w:hint="eastAsia"/>
                <w:bCs/>
              </w:rPr>
              <w:t>3、选用合理钻井泥浆密度，实现近平衡压力钻井，采用井控措施，防止井喷等。</w:t>
            </w:r>
          </w:p>
        </w:tc>
        <w:tc>
          <w:tcPr>
            <w:tcW w:w="2732" w:type="dxa"/>
            <w:tcMar>
              <w:left w:w="0" w:type="dxa"/>
              <w:right w:w="0" w:type="dxa"/>
            </w:tcMar>
            <w:vAlign w:val="center"/>
          </w:tcPr>
          <w:p w14:paraId="50100EF3">
            <w:pPr>
              <w:adjustRightInd w:val="0"/>
              <w:snapToGrid w:val="0"/>
              <w:jc w:val="center"/>
              <w:rPr>
                <w:szCs w:val="21"/>
              </w:rPr>
            </w:pPr>
            <w:r>
              <w:rPr>
                <w:szCs w:val="21"/>
              </w:rPr>
              <w:t>井场防渗</w:t>
            </w:r>
            <w:r>
              <w:rPr>
                <w:rFonts w:hint="eastAsia"/>
                <w:szCs w:val="21"/>
              </w:rPr>
              <w:t>满足</w:t>
            </w:r>
            <w:r>
              <w:rPr>
                <w:szCs w:val="21"/>
              </w:rPr>
              <w:t>《环境影响评价技术导则地下水环境》（HJ610-2016）和《石油化工工程防渗技术规范》（GB/T50934-2013）的相关要求，撬装式危废贮存点防渗</w:t>
            </w:r>
            <w:r>
              <w:rPr>
                <w:rFonts w:hint="eastAsia"/>
                <w:szCs w:val="21"/>
              </w:rPr>
              <w:t>满足</w:t>
            </w:r>
            <w:r>
              <w:rPr>
                <w:szCs w:val="21"/>
              </w:rPr>
              <w:t>《危险废物贮存污染控制标准》（GB18597-20</w:t>
            </w:r>
            <w:r>
              <w:rPr>
                <w:rFonts w:hint="eastAsia"/>
                <w:szCs w:val="21"/>
              </w:rPr>
              <w:t>23</w:t>
            </w:r>
            <w:r>
              <w:rPr>
                <w:szCs w:val="21"/>
              </w:rPr>
              <w:t>）相关要求</w:t>
            </w:r>
            <w:r>
              <w:rPr>
                <w:rFonts w:hint="eastAsia"/>
                <w:szCs w:val="21"/>
              </w:rPr>
              <w:t>。施工作业不对地下水、土壤产生污染影响。</w:t>
            </w:r>
          </w:p>
        </w:tc>
        <w:tc>
          <w:tcPr>
            <w:tcW w:w="851" w:type="dxa"/>
            <w:vAlign w:val="center"/>
          </w:tcPr>
          <w:p w14:paraId="0854B3F4">
            <w:pPr>
              <w:adjustRightInd w:val="0"/>
              <w:snapToGrid w:val="0"/>
              <w:jc w:val="center"/>
              <w:rPr>
                <w:szCs w:val="21"/>
              </w:rPr>
            </w:pPr>
            <w:r>
              <w:rPr>
                <w:rFonts w:hint="eastAsia"/>
                <w:szCs w:val="21"/>
              </w:rPr>
              <w:t>/</w:t>
            </w:r>
          </w:p>
        </w:tc>
        <w:tc>
          <w:tcPr>
            <w:tcW w:w="681" w:type="dxa"/>
            <w:vAlign w:val="center"/>
          </w:tcPr>
          <w:p w14:paraId="49801BA7">
            <w:pPr>
              <w:adjustRightInd w:val="0"/>
              <w:snapToGrid w:val="0"/>
              <w:jc w:val="center"/>
              <w:rPr>
                <w:szCs w:val="21"/>
              </w:rPr>
            </w:pPr>
            <w:r>
              <w:rPr>
                <w:rFonts w:hint="eastAsia"/>
                <w:szCs w:val="21"/>
              </w:rPr>
              <w:t>/</w:t>
            </w:r>
          </w:p>
        </w:tc>
      </w:tr>
      <w:tr w14:paraId="66210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242" w:type="dxa"/>
            <w:vAlign w:val="center"/>
          </w:tcPr>
          <w:p w14:paraId="56B3E08F">
            <w:pPr>
              <w:adjustRightInd w:val="0"/>
              <w:snapToGrid w:val="0"/>
              <w:jc w:val="center"/>
              <w:rPr>
                <w:b/>
                <w:szCs w:val="21"/>
              </w:rPr>
            </w:pPr>
            <w:r>
              <w:rPr>
                <w:b/>
                <w:szCs w:val="21"/>
              </w:rPr>
              <w:t>声环境</w:t>
            </w:r>
          </w:p>
        </w:tc>
        <w:tc>
          <w:tcPr>
            <w:tcW w:w="3401" w:type="dxa"/>
            <w:vAlign w:val="center"/>
          </w:tcPr>
          <w:p w14:paraId="4D0FFCFD">
            <w:pPr>
              <w:adjustRightInd w:val="0"/>
              <w:snapToGrid w:val="0"/>
              <w:jc w:val="left"/>
              <w:rPr>
                <w:szCs w:val="21"/>
              </w:rPr>
            </w:pPr>
            <w:r>
              <w:rPr>
                <w:rFonts w:hint="eastAsia"/>
                <w:szCs w:val="21"/>
              </w:rPr>
              <w:t>1、钻机、钻井泥浆泵等主要噪声源设置减振基础，定期维护保养；</w:t>
            </w:r>
          </w:p>
          <w:p w14:paraId="7A950B95">
            <w:pPr>
              <w:adjustRightInd w:val="0"/>
              <w:snapToGrid w:val="0"/>
              <w:jc w:val="left"/>
              <w:rPr>
                <w:szCs w:val="21"/>
              </w:rPr>
            </w:pPr>
            <w:r>
              <w:rPr>
                <w:rFonts w:hint="eastAsia"/>
                <w:szCs w:val="21"/>
              </w:rPr>
              <w:t>2、加强施工管理工作，车辆减速慢行。</w:t>
            </w:r>
          </w:p>
        </w:tc>
        <w:tc>
          <w:tcPr>
            <w:tcW w:w="2732" w:type="dxa"/>
            <w:vAlign w:val="center"/>
          </w:tcPr>
          <w:p w14:paraId="0ABBA220">
            <w:pPr>
              <w:adjustRightInd w:val="0"/>
              <w:snapToGrid w:val="0"/>
              <w:jc w:val="center"/>
              <w:rPr>
                <w:szCs w:val="21"/>
              </w:rPr>
            </w:pPr>
            <w:r>
              <w:rPr>
                <w:rFonts w:hint="eastAsia"/>
                <w:szCs w:val="21"/>
              </w:rPr>
              <w:t>场界噪声满足《建筑施工噪声排放标准》（GB12523-2025）中限值要求，</w:t>
            </w:r>
            <w:r>
              <w:rPr>
                <w:szCs w:val="21"/>
              </w:rPr>
              <w:t>未发生扰民事件</w:t>
            </w:r>
            <w:r>
              <w:rPr>
                <w:rFonts w:hint="eastAsia"/>
                <w:szCs w:val="21"/>
              </w:rPr>
              <w:t>。</w:t>
            </w:r>
          </w:p>
        </w:tc>
        <w:tc>
          <w:tcPr>
            <w:tcW w:w="851" w:type="dxa"/>
            <w:vAlign w:val="center"/>
          </w:tcPr>
          <w:p w14:paraId="5C506ADB">
            <w:pPr>
              <w:adjustRightInd w:val="0"/>
              <w:snapToGrid w:val="0"/>
              <w:jc w:val="center"/>
              <w:rPr>
                <w:szCs w:val="21"/>
              </w:rPr>
            </w:pPr>
            <w:r>
              <w:rPr>
                <w:rFonts w:hint="eastAsia"/>
                <w:szCs w:val="21"/>
              </w:rPr>
              <w:t>/</w:t>
            </w:r>
          </w:p>
        </w:tc>
        <w:tc>
          <w:tcPr>
            <w:tcW w:w="681" w:type="dxa"/>
            <w:vAlign w:val="center"/>
          </w:tcPr>
          <w:p w14:paraId="38C265FA">
            <w:pPr>
              <w:adjustRightInd w:val="0"/>
              <w:snapToGrid w:val="0"/>
              <w:jc w:val="center"/>
              <w:rPr>
                <w:szCs w:val="21"/>
              </w:rPr>
            </w:pPr>
            <w:r>
              <w:rPr>
                <w:rFonts w:hint="eastAsia"/>
                <w:szCs w:val="21"/>
              </w:rPr>
              <w:t>/</w:t>
            </w:r>
          </w:p>
        </w:tc>
      </w:tr>
      <w:tr w14:paraId="37C22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2" w:type="dxa"/>
            <w:vAlign w:val="center"/>
          </w:tcPr>
          <w:p w14:paraId="418055EA">
            <w:pPr>
              <w:adjustRightInd w:val="0"/>
              <w:snapToGrid w:val="0"/>
              <w:jc w:val="center"/>
              <w:rPr>
                <w:b/>
                <w:szCs w:val="21"/>
              </w:rPr>
            </w:pPr>
            <w:r>
              <w:rPr>
                <w:b/>
                <w:szCs w:val="21"/>
              </w:rPr>
              <w:t>振动</w:t>
            </w:r>
          </w:p>
        </w:tc>
        <w:tc>
          <w:tcPr>
            <w:tcW w:w="3401" w:type="dxa"/>
            <w:vAlign w:val="center"/>
          </w:tcPr>
          <w:p w14:paraId="05A3F11F">
            <w:pPr>
              <w:adjustRightInd w:val="0"/>
              <w:snapToGrid w:val="0"/>
              <w:jc w:val="center"/>
              <w:rPr>
                <w:szCs w:val="21"/>
              </w:rPr>
            </w:pPr>
            <w:r>
              <w:rPr>
                <w:rFonts w:hint="eastAsia"/>
                <w:szCs w:val="21"/>
              </w:rPr>
              <w:t>/</w:t>
            </w:r>
          </w:p>
        </w:tc>
        <w:tc>
          <w:tcPr>
            <w:tcW w:w="2732" w:type="dxa"/>
            <w:vAlign w:val="center"/>
          </w:tcPr>
          <w:p w14:paraId="173EFA76">
            <w:pPr>
              <w:adjustRightInd w:val="0"/>
              <w:snapToGrid w:val="0"/>
              <w:jc w:val="center"/>
              <w:rPr>
                <w:szCs w:val="21"/>
              </w:rPr>
            </w:pPr>
            <w:r>
              <w:rPr>
                <w:rFonts w:hint="eastAsia"/>
                <w:szCs w:val="21"/>
              </w:rPr>
              <w:t>/</w:t>
            </w:r>
          </w:p>
        </w:tc>
        <w:tc>
          <w:tcPr>
            <w:tcW w:w="851" w:type="dxa"/>
            <w:vAlign w:val="center"/>
          </w:tcPr>
          <w:p w14:paraId="3679973A">
            <w:pPr>
              <w:adjustRightInd w:val="0"/>
              <w:snapToGrid w:val="0"/>
              <w:jc w:val="center"/>
              <w:rPr>
                <w:szCs w:val="21"/>
              </w:rPr>
            </w:pPr>
            <w:r>
              <w:rPr>
                <w:rFonts w:hint="eastAsia"/>
                <w:szCs w:val="21"/>
              </w:rPr>
              <w:t>/</w:t>
            </w:r>
          </w:p>
        </w:tc>
        <w:tc>
          <w:tcPr>
            <w:tcW w:w="681" w:type="dxa"/>
            <w:vAlign w:val="center"/>
          </w:tcPr>
          <w:p w14:paraId="7E0A3D15">
            <w:pPr>
              <w:adjustRightInd w:val="0"/>
              <w:snapToGrid w:val="0"/>
              <w:jc w:val="center"/>
              <w:rPr>
                <w:szCs w:val="21"/>
              </w:rPr>
            </w:pPr>
            <w:r>
              <w:rPr>
                <w:rFonts w:hint="eastAsia"/>
                <w:szCs w:val="21"/>
              </w:rPr>
              <w:t>/</w:t>
            </w:r>
          </w:p>
        </w:tc>
      </w:tr>
      <w:tr w14:paraId="5C696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1242" w:type="dxa"/>
            <w:vMerge w:val="restart"/>
            <w:vAlign w:val="center"/>
          </w:tcPr>
          <w:p w14:paraId="31D8800A">
            <w:pPr>
              <w:adjustRightInd w:val="0"/>
              <w:snapToGrid w:val="0"/>
              <w:jc w:val="center"/>
              <w:rPr>
                <w:b/>
                <w:szCs w:val="21"/>
              </w:rPr>
            </w:pPr>
            <w:r>
              <w:rPr>
                <w:b/>
                <w:szCs w:val="21"/>
              </w:rPr>
              <w:t>大气环境</w:t>
            </w:r>
          </w:p>
        </w:tc>
        <w:tc>
          <w:tcPr>
            <w:tcW w:w="3401" w:type="dxa"/>
            <w:vAlign w:val="center"/>
          </w:tcPr>
          <w:p w14:paraId="5D8EACB7">
            <w:pPr>
              <w:adjustRightInd w:val="0"/>
              <w:snapToGrid w:val="0"/>
              <w:jc w:val="center"/>
              <w:rPr>
                <w:szCs w:val="21"/>
              </w:rPr>
            </w:pPr>
            <w:r>
              <w:rPr>
                <w:rFonts w:hint="eastAsia"/>
                <w:szCs w:val="21"/>
              </w:rPr>
              <w:t>施工扬尘采取洒水抑尘、车辆减速慢行、物料遮盖。</w:t>
            </w:r>
          </w:p>
        </w:tc>
        <w:tc>
          <w:tcPr>
            <w:tcW w:w="2732" w:type="dxa"/>
            <w:vAlign w:val="center"/>
          </w:tcPr>
          <w:p w14:paraId="7B37C6B5">
            <w:pPr>
              <w:adjustRightInd w:val="0"/>
              <w:snapToGrid w:val="0"/>
              <w:jc w:val="center"/>
              <w:rPr>
                <w:szCs w:val="21"/>
              </w:rPr>
            </w:pPr>
            <w:r>
              <w:rPr>
                <w:rFonts w:hint="eastAsia"/>
                <w:szCs w:val="21"/>
              </w:rPr>
              <w:t>颗粒物周界外浓度最高点满足《大气污染物综合排放标准》GB16297-1996中表</w:t>
            </w:r>
            <w:r>
              <w:rPr>
                <w:szCs w:val="21"/>
              </w:rPr>
              <w:t>2新污染源大气污染物排放限值中的颗粒物</w:t>
            </w:r>
            <w:r>
              <w:rPr>
                <w:rFonts w:hint="eastAsia"/>
                <w:szCs w:val="21"/>
              </w:rPr>
              <w:t>无组织排放监控浓度限值要求。</w:t>
            </w:r>
          </w:p>
        </w:tc>
        <w:tc>
          <w:tcPr>
            <w:tcW w:w="851" w:type="dxa"/>
            <w:vAlign w:val="center"/>
          </w:tcPr>
          <w:p w14:paraId="110127DD">
            <w:pPr>
              <w:adjustRightInd w:val="0"/>
              <w:snapToGrid w:val="0"/>
              <w:jc w:val="center"/>
              <w:rPr>
                <w:szCs w:val="21"/>
              </w:rPr>
            </w:pPr>
            <w:r>
              <w:rPr>
                <w:rFonts w:hint="eastAsia"/>
                <w:szCs w:val="21"/>
              </w:rPr>
              <w:t>/</w:t>
            </w:r>
          </w:p>
        </w:tc>
        <w:tc>
          <w:tcPr>
            <w:tcW w:w="681" w:type="dxa"/>
            <w:vAlign w:val="center"/>
          </w:tcPr>
          <w:p w14:paraId="7BBACFFC">
            <w:pPr>
              <w:adjustRightInd w:val="0"/>
              <w:snapToGrid w:val="0"/>
              <w:jc w:val="center"/>
              <w:rPr>
                <w:szCs w:val="21"/>
              </w:rPr>
            </w:pPr>
            <w:r>
              <w:rPr>
                <w:rFonts w:hint="eastAsia"/>
                <w:szCs w:val="21"/>
              </w:rPr>
              <w:t>/</w:t>
            </w:r>
          </w:p>
        </w:tc>
      </w:tr>
      <w:tr w14:paraId="4CEC7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242" w:type="dxa"/>
            <w:vMerge w:val="continue"/>
            <w:vAlign w:val="center"/>
          </w:tcPr>
          <w:p w14:paraId="5DABEA00">
            <w:pPr>
              <w:adjustRightInd w:val="0"/>
              <w:snapToGrid w:val="0"/>
              <w:jc w:val="center"/>
              <w:rPr>
                <w:b/>
                <w:szCs w:val="21"/>
              </w:rPr>
            </w:pPr>
          </w:p>
        </w:tc>
        <w:tc>
          <w:tcPr>
            <w:tcW w:w="3401" w:type="dxa"/>
            <w:vAlign w:val="center"/>
          </w:tcPr>
          <w:p w14:paraId="2B6C8EFA">
            <w:pPr>
              <w:adjustRightInd w:val="0"/>
              <w:snapToGrid w:val="0"/>
              <w:jc w:val="center"/>
              <w:rPr>
                <w:szCs w:val="21"/>
              </w:rPr>
            </w:pPr>
            <w:r>
              <w:rPr>
                <w:rFonts w:hint="eastAsia"/>
                <w:szCs w:val="21"/>
              </w:rPr>
              <w:t>柴油发电机组使用</w:t>
            </w:r>
            <w:r>
              <w:rPr>
                <w:szCs w:val="21"/>
              </w:rPr>
              <w:t>轻质柴油</w:t>
            </w:r>
            <w:r>
              <w:rPr>
                <w:rFonts w:hint="eastAsia"/>
                <w:szCs w:val="21"/>
              </w:rPr>
              <w:t>，定期检修，保持设备运行良好</w:t>
            </w:r>
            <w:r>
              <w:rPr>
                <w:szCs w:val="21"/>
              </w:rPr>
              <w:t>，使用自带的排气筒排放</w:t>
            </w:r>
            <w:r>
              <w:rPr>
                <w:rFonts w:hint="eastAsia"/>
                <w:szCs w:val="21"/>
              </w:rPr>
              <w:t>。</w:t>
            </w:r>
          </w:p>
        </w:tc>
        <w:tc>
          <w:tcPr>
            <w:tcW w:w="2732" w:type="dxa"/>
            <w:vAlign w:val="center"/>
          </w:tcPr>
          <w:p w14:paraId="025B77E6">
            <w:pPr>
              <w:adjustRightInd w:val="0"/>
              <w:snapToGrid w:val="0"/>
              <w:jc w:val="center"/>
              <w:rPr>
                <w:szCs w:val="21"/>
              </w:rPr>
            </w:pPr>
            <w:r>
              <w:rPr>
                <w:rFonts w:hint="eastAsia"/>
                <w:szCs w:val="21"/>
              </w:rPr>
              <w:t>柴油发电机尾气排放浓度满足《大气污染物综合排放标准》GB16297-1996中表2最高允许排放浓度限值。</w:t>
            </w:r>
          </w:p>
        </w:tc>
        <w:tc>
          <w:tcPr>
            <w:tcW w:w="851" w:type="dxa"/>
            <w:vAlign w:val="center"/>
          </w:tcPr>
          <w:p w14:paraId="19224338">
            <w:pPr>
              <w:adjustRightInd w:val="0"/>
              <w:snapToGrid w:val="0"/>
              <w:jc w:val="center"/>
              <w:rPr>
                <w:szCs w:val="21"/>
              </w:rPr>
            </w:pPr>
            <w:r>
              <w:rPr>
                <w:rFonts w:hint="eastAsia"/>
                <w:szCs w:val="21"/>
              </w:rPr>
              <w:t>/</w:t>
            </w:r>
          </w:p>
        </w:tc>
        <w:tc>
          <w:tcPr>
            <w:tcW w:w="681" w:type="dxa"/>
            <w:vAlign w:val="center"/>
          </w:tcPr>
          <w:p w14:paraId="0A6866C7">
            <w:pPr>
              <w:adjustRightInd w:val="0"/>
              <w:snapToGrid w:val="0"/>
              <w:jc w:val="center"/>
              <w:rPr>
                <w:szCs w:val="21"/>
              </w:rPr>
            </w:pPr>
            <w:r>
              <w:rPr>
                <w:rFonts w:hint="eastAsia"/>
                <w:szCs w:val="21"/>
              </w:rPr>
              <w:t>/</w:t>
            </w:r>
          </w:p>
        </w:tc>
      </w:tr>
      <w:tr w14:paraId="53E34D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1242" w:type="dxa"/>
            <w:vMerge w:val="continue"/>
            <w:vAlign w:val="center"/>
          </w:tcPr>
          <w:p w14:paraId="5A2C30B2">
            <w:pPr>
              <w:adjustRightInd w:val="0"/>
              <w:snapToGrid w:val="0"/>
              <w:jc w:val="center"/>
              <w:rPr>
                <w:b/>
                <w:szCs w:val="21"/>
              </w:rPr>
            </w:pPr>
          </w:p>
        </w:tc>
        <w:tc>
          <w:tcPr>
            <w:tcW w:w="3401" w:type="dxa"/>
            <w:vAlign w:val="center"/>
          </w:tcPr>
          <w:p w14:paraId="0679816D">
            <w:pPr>
              <w:adjustRightInd w:val="0"/>
              <w:snapToGrid w:val="0"/>
              <w:jc w:val="center"/>
              <w:rPr>
                <w:szCs w:val="21"/>
              </w:rPr>
            </w:pPr>
            <w:r>
              <w:rPr>
                <w:rFonts w:hint="eastAsia"/>
                <w:bCs/>
                <w:szCs w:val="21"/>
              </w:rPr>
              <w:t>柴油罐为防腐储罐，采用环密技术，设置切断系统，对管线、阀门等进行定期的检查。</w:t>
            </w:r>
            <w:r>
              <w:rPr>
                <w:bCs/>
                <w:szCs w:val="21"/>
              </w:rPr>
              <w:t>试油阶段采出液通过密闭管线进入储液罐，储液罐</w:t>
            </w:r>
            <w:r>
              <w:rPr>
                <w:rFonts w:hint="eastAsia"/>
                <w:bCs/>
                <w:szCs w:val="21"/>
              </w:rPr>
              <w:t>为高架卧式</w:t>
            </w:r>
            <w:r>
              <w:rPr>
                <w:bCs/>
                <w:szCs w:val="21"/>
              </w:rPr>
              <w:t>防腐储罐</w:t>
            </w:r>
            <w:r>
              <w:rPr>
                <w:rFonts w:hint="eastAsia"/>
                <w:bCs/>
                <w:szCs w:val="21"/>
              </w:rPr>
              <w:t>；</w:t>
            </w:r>
            <w:r>
              <w:rPr>
                <w:bCs/>
                <w:szCs w:val="21"/>
              </w:rPr>
              <w:t>储液罐安装简易装车鹤管，装车过程采用浸没式</w:t>
            </w:r>
            <w:r>
              <w:rPr>
                <w:rFonts w:hint="eastAsia"/>
                <w:bCs/>
                <w:szCs w:val="21"/>
              </w:rPr>
              <w:t>；设置切断系统，对管线、阀门等进行定期的检查。少量伴生气进入放喷装置，通过火炬就地燃烧。</w:t>
            </w:r>
          </w:p>
        </w:tc>
        <w:tc>
          <w:tcPr>
            <w:tcW w:w="2732" w:type="dxa"/>
            <w:tcMar>
              <w:left w:w="0" w:type="dxa"/>
              <w:right w:w="0" w:type="dxa"/>
            </w:tcMar>
            <w:vAlign w:val="center"/>
          </w:tcPr>
          <w:p w14:paraId="3AFDB756">
            <w:pPr>
              <w:adjustRightInd w:val="0"/>
              <w:snapToGrid w:val="0"/>
              <w:jc w:val="center"/>
              <w:rPr>
                <w:szCs w:val="21"/>
              </w:rPr>
            </w:pPr>
            <w:r>
              <w:rPr>
                <w:rFonts w:hint="eastAsia"/>
                <w:bCs/>
                <w:szCs w:val="21"/>
              </w:rPr>
              <w:t>井场场界非甲烷总烃排放浓度满足《陆上石油天然气开采工业大气污染物排放标准》（GB39728-2020）中企业边界污染物控制要求；井场内非甲烷总烃排放浓度满足《挥发性有机物无组织排放控制标准》（GB37822-2019）表A.1要求。</w:t>
            </w:r>
          </w:p>
        </w:tc>
        <w:tc>
          <w:tcPr>
            <w:tcW w:w="851" w:type="dxa"/>
            <w:vAlign w:val="center"/>
          </w:tcPr>
          <w:p w14:paraId="4F63E9CB">
            <w:pPr>
              <w:adjustRightInd w:val="0"/>
              <w:snapToGrid w:val="0"/>
              <w:jc w:val="center"/>
              <w:rPr>
                <w:szCs w:val="21"/>
              </w:rPr>
            </w:pPr>
            <w:r>
              <w:rPr>
                <w:rFonts w:hint="eastAsia"/>
                <w:szCs w:val="21"/>
              </w:rPr>
              <w:t>/</w:t>
            </w:r>
          </w:p>
        </w:tc>
        <w:tc>
          <w:tcPr>
            <w:tcW w:w="681" w:type="dxa"/>
            <w:vAlign w:val="center"/>
          </w:tcPr>
          <w:p w14:paraId="46EB6ADD">
            <w:pPr>
              <w:adjustRightInd w:val="0"/>
              <w:snapToGrid w:val="0"/>
              <w:jc w:val="center"/>
              <w:rPr>
                <w:szCs w:val="21"/>
              </w:rPr>
            </w:pPr>
            <w:r>
              <w:rPr>
                <w:rFonts w:hint="eastAsia"/>
                <w:szCs w:val="21"/>
              </w:rPr>
              <w:t>/</w:t>
            </w:r>
          </w:p>
        </w:tc>
      </w:tr>
      <w:tr w14:paraId="602D1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1242" w:type="dxa"/>
            <w:vMerge w:val="restart"/>
            <w:vAlign w:val="center"/>
          </w:tcPr>
          <w:p w14:paraId="32D7B778">
            <w:pPr>
              <w:adjustRightInd w:val="0"/>
              <w:snapToGrid w:val="0"/>
              <w:jc w:val="center"/>
              <w:rPr>
                <w:b/>
                <w:szCs w:val="21"/>
              </w:rPr>
            </w:pPr>
            <w:r>
              <w:rPr>
                <w:b/>
                <w:szCs w:val="21"/>
              </w:rPr>
              <w:t>固体废物</w:t>
            </w:r>
          </w:p>
        </w:tc>
        <w:tc>
          <w:tcPr>
            <w:tcW w:w="3401" w:type="dxa"/>
            <w:vAlign w:val="center"/>
          </w:tcPr>
          <w:p w14:paraId="2533A602">
            <w:pPr>
              <w:adjustRightInd w:val="0"/>
              <w:snapToGrid w:val="0"/>
              <w:jc w:val="center"/>
              <w:rPr>
                <w:szCs w:val="21"/>
              </w:rPr>
            </w:pPr>
            <w:r>
              <w:rPr>
                <w:rFonts w:hint="eastAsia"/>
                <w:bCs/>
                <w:szCs w:val="21"/>
              </w:rPr>
              <w:t>废弃泥浆、钻井岩屑收集至可移动废水罐，定期拉运至内蒙古众宁环保科技有限公司油气田废弃物集中处理厂处理</w:t>
            </w:r>
            <w:r>
              <w:rPr>
                <w:bCs/>
                <w:szCs w:val="21"/>
              </w:rPr>
              <w:t>。</w:t>
            </w:r>
          </w:p>
        </w:tc>
        <w:tc>
          <w:tcPr>
            <w:tcW w:w="2732" w:type="dxa"/>
            <w:tcMar>
              <w:left w:w="0" w:type="dxa"/>
              <w:right w:w="0" w:type="dxa"/>
            </w:tcMar>
            <w:vAlign w:val="center"/>
          </w:tcPr>
          <w:p w14:paraId="472A156C">
            <w:pPr>
              <w:tabs>
                <w:tab w:val="left" w:pos="576"/>
              </w:tabs>
              <w:spacing w:line="320" w:lineRule="exact"/>
              <w:jc w:val="center"/>
              <w:textAlignment w:val="center"/>
              <w:rPr>
                <w:szCs w:val="21"/>
              </w:rPr>
            </w:pPr>
            <w:r>
              <w:rPr>
                <w:rFonts w:hint="eastAsia"/>
                <w:szCs w:val="21"/>
              </w:rPr>
              <w:t>符合《一般工业固体废物贮存和填埋污染控制标准》（GB18599-2020）要求，</w:t>
            </w:r>
            <w:r>
              <w:rPr>
                <w:szCs w:val="21"/>
              </w:rPr>
              <w:t>废弃泥浆和钻井岩屑在井场内不落地、不外排</w:t>
            </w:r>
            <w:r>
              <w:rPr>
                <w:rFonts w:hint="eastAsia"/>
                <w:szCs w:val="21"/>
              </w:rPr>
              <w:t>。</w:t>
            </w:r>
          </w:p>
        </w:tc>
        <w:tc>
          <w:tcPr>
            <w:tcW w:w="851" w:type="dxa"/>
            <w:vAlign w:val="center"/>
          </w:tcPr>
          <w:p w14:paraId="154714A4">
            <w:pPr>
              <w:adjustRightInd w:val="0"/>
              <w:snapToGrid w:val="0"/>
              <w:jc w:val="center"/>
              <w:rPr>
                <w:szCs w:val="21"/>
              </w:rPr>
            </w:pPr>
            <w:r>
              <w:rPr>
                <w:rFonts w:hint="eastAsia"/>
                <w:szCs w:val="21"/>
              </w:rPr>
              <w:t>/</w:t>
            </w:r>
          </w:p>
        </w:tc>
        <w:tc>
          <w:tcPr>
            <w:tcW w:w="681" w:type="dxa"/>
            <w:vAlign w:val="center"/>
          </w:tcPr>
          <w:p w14:paraId="10B5A5C7">
            <w:pPr>
              <w:adjustRightInd w:val="0"/>
              <w:snapToGrid w:val="0"/>
              <w:jc w:val="center"/>
              <w:rPr>
                <w:szCs w:val="21"/>
              </w:rPr>
            </w:pPr>
            <w:r>
              <w:rPr>
                <w:rFonts w:hint="eastAsia"/>
                <w:szCs w:val="21"/>
              </w:rPr>
              <w:t>/</w:t>
            </w:r>
          </w:p>
        </w:tc>
      </w:tr>
      <w:tr w14:paraId="685C2A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1242" w:type="dxa"/>
            <w:vMerge w:val="continue"/>
            <w:vAlign w:val="center"/>
          </w:tcPr>
          <w:p w14:paraId="4C4C01D7">
            <w:pPr>
              <w:adjustRightInd w:val="0"/>
              <w:snapToGrid w:val="0"/>
              <w:jc w:val="center"/>
              <w:rPr>
                <w:b/>
                <w:szCs w:val="21"/>
              </w:rPr>
            </w:pPr>
          </w:p>
        </w:tc>
        <w:tc>
          <w:tcPr>
            <w:tcW w:w="3401" w:type="dxa"/>
            <w:vAlign w:val="center"/>
          </w:tcPr>
          <w:p w14:paraId="6244B607">
            <w:pPr>
              <w:adjustRightInd w:val="0"/>
              <w:snapToGrid w:val="0"/>
              <w:jc w:val="center"/>
              <w:rPr>
                <w:szCs w:val="21"/>
              </w:rPr>
            </w:pPr>
            <w:r>
              <w:rPr>
                <w:bCs/>
                <w:szCs w:val="21"/>
              </w:rPr>
              <w:t>废润滑油</w:t>
            </w:r>
            <w:r>
              <w:rPr>
                <w:rFonts w:hint="eastAsia"/>
                <w:bCs/>
                <w:szCs w:val="21"/>
              </w:rPr>
              <w:t>、</w:t>
            </w:r>
            <w:r>
              <w:rPr>
                <w:bCs/>
                <w:szCs w:val="21"/>
              </w:rPr>
              <w:t>落地油及废防渗材料收集后，暂存井场撬装式危废贮存点</w:t>
            </w:r>
            <w:r>
              <w:rPr>
                <w:rFonts w:hint="eastAsia"/>
                <w:bCs/>
                <w:szCs w:val="21"/>
              </w:rPr>
              <w:t>内</w:t>
            </w:r>
            <w:r>
              <w:rPr>
                <w:bCs/>
                <w:szCs w:val="21"/>
              </w:rPr>
              <w:t>，定期交</w:t>
            </w:r>
            <w:r>
              <w:rPr>
                <w:rFonts w:hint="eastAsia"/>
                <w:bCs/>
                <w:szCs w:val="21"/>
              </w:rPr>
              <w:t>有资质单位拉运处置。</w:t>
            </w:r>
          </w:p>
        </w:tc>
        <w:tc>
          <w:tcPr>
            <w:tcW w:w="2732" w:type="dxa"/>
            <w:vAlign w:val="center"/>
          </w:tcPr>
          <w:p w14:paraId="73352279">
            <w:pPr>
              <w:tabs>
                <w:tab w:val="left" w:pos="576"/>
              </w:tabs>
              <w:spacing w:line="320" w:lineRule="exact"/>
              <w:jc w:val="center"/>
              <w:textAlignment w:val="center"/>
              <w:rPr>
                <w:szCs w:val="21"/>
              </w:rPr>
            </w:pPr>
            <w:r>
              <w:rPr>
                <w:szCs w:val="21"/>
              </w:rPr>
              <w:t>符合《危险废物贮存污染控制标准》（GB18597-20</w:t>
            </w:r>
            <w:r>
              <w:rPr>
                <w:rFonts w:hint="eastAsia"/>
                <w:szCs w:val="21"/>
              </w:rPr>
              <w:t>23</w:t>
            </w:r>
            <w:r>
              <w:rPr>
                <w:szCs w:val="21"/>
              </w:rPr>
              <w:t>）要求</w:t>
            </w:r>
            <w:r>
              <w:rPr>
                <w:rFonts w:hint="eastAsia"/>
                <w:szCs w:val="21"/>
              </w:rPr>
              <w:t>，危废妥善合理处置。</w:t>
            </w:r>
          </w:p>
        </w:tc>
        <w:tc>
          <w:tcPr>
            <w:tcW w:w="851" w:type="dxa"/>
            <w:vAlign w:val="center"/>
          </w:tcPr>
          <w:p w14:paraId="218DEFE7">
            <w:pPr>
              <w:adjustRightInd w:val="0"/>
              <w:snapToGrid w:val="0"/>
              <w:jc w:val="center"/>
              <w:rPr>
                <w:szCs w:val="21"/>
              </w:rPr>
            </w:pPr>
            <w:r>
              <w:rPr>
                <w:rFonts w:hint="eastAsia"/>
                <w:szCs w:val="21"/>
              </w:rPr>
              <w:t>/</w:t>
            </w:r>
          </w:p>
        </w:tc>
        <w:tc>
          <w:tcPr>
            <w:tcW w:w="681" w:type="dxa"/>
            <w:vAlign w:val="center"/>
          </w:tcPr>
          <w:p w14:paraId="087F6340">
            <w:pPr>
              <w:adjustRightInd w:val="0"/>
              <w:snapToGrid w:val="0"/>
              <w:jc w:val="center"/>
              <w:rPr>
                <w:szCs w:val="21"/>
              </w:rPr>
            </w:pPr>
            <w:r>
              <w:rPr>
                <w:rFonts w:hint="eastAsia"/>
                <w:szCs w:val="21"/>
              </w:rPr>
              <w:t>/</w:t>
            </w:r>
          </w:p>
        </w:tc>
      </w:tr>
      <w:tr w14:paraId="7932A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242" w:type="dxa"/>
            <w:vMerge w:val="continue"/>
            <w:vAlign w:val="center"/>
          </w:tcPr>
          <w:p w14:paraId="5093C1E4">
            <w:pPr>
              <w:adjustRightInd w:val="0"/>
              <w:snapToGrid w:val="0"/>
              <w:jc w:val="center"/>
              <w:rPr>
                <w:b/>
                <w:szCs w:val="21"/>
              </w:rPr>
            </w:pPr>
          </w:p>
        </w:tc>
        <w:tc>
          <w:tcPr>
            <w:tcW w:w="3401" w:type="dxa"/>
            <w:vAlign w:val="center"/>
          </w:tcPr>
          <w:p w14:paraId="38DA2D81">
            <w:pPr>
              <w:adjustRightInd w:val="0"/>
              <w:snapToGrid w:val="0"/>
              <w:jc w:val="center"/>
              <w:rPr>
                <w:szCs w:val="21"/>
              </w:rPr>
            </w:pPr>
            <w:r>
              <w:rPr>
                <w:szCs w:val="21"/>
              </w:rPr>
              <w:t>设置生活垃圾箱</w:t>
            </w:r>
            <w:r>
              <w:rPr>
                <w:rFonts w:hint="eastAsia"/>
                <w:szCs w:val="21"/>
              </w:rPr>
              <w:t>，集中</w:t>
            </w:r>
            <w:r>
              <w:rPr>
                <w:szCs w:val="21"/>
              </w:rPr>
              <w:t>收集后，拉运至当地乡镇生活垃圾点，由环卫部门处理</w:t>
            </w:r>
            <w:r>
              <w:rPr>
                <w:rFonts w:hint="eastAsia"/>
                <w:szCs w:val="21"/>
              </w:rPr>
              <w:t>。</w:t>
            </w:r>
          </w:p>
        </w:tc>
        <w:tc>
          <w:tcPr>
            <w:tcW w:w="2732" w:type="dxa"/>
            <w:vAlign w:val="center"/>
          </w:tcPr>
          <w:p w14:paraId="3904335D">
            <w:pPr>
              <w:tabs>
                <w:tab w:val="left" w:pos="576"/>
              </w:tabs>
              <w:spacing w:line="320" w:lineRule="exact"/>
              <w:jc w:val="center"/>
              <w:textAlignment w:val="center"/>
              <w:rPr>
                <w:szCs w:val="21"/>
              </w:rPr>
            </w:pPr>
            <w:r>
              <w:rPr>
                <w:rFonts w:hint="eastAsia"/>
                <w:szCs w:val="18"/>
              </w:rPr>
              <w:t>现场无遗留。</w:t>
            </w:r>
          </w:p>
        </w:tc>
        <w:tc>
          <w:tcPr>
            <w:tcW w:w="851" w:type="dxa"/>
            <w:vAlign w:val="center"/>
          </w:tcPr>
          <w:p w14:paraId="545D721B">
            <w:pPr>
              <w:adjustRightInd w:val="0"/>
              <w:snapToGrid w:val="0"/>
              <w:jc w:val="center"/>
              <w:rPr>
                <w:szCs w:val="21"/>
              </w:rPr>
            </w:pPr>
            <w:r>
              <w:rPr>
                <w:rFonts w:hint="eastAsia"/>
                <w:szCs w:val="21"/>
              </w:rPr>
              <w:t>/</w:t>
            </w:r>
          </w:p>
        </w:tc>
        <w:tc>
          <w:tcPr>
            <w:tcW w:w="681" w:type="dxa"/>
            <w:vAlign w:val="center"/>
          </w:tcPr>
          <w:p w14:paraId="5753C8E1">
            <w:pPr>
              <w:adjustRightInd w:val="0"/>
              <w:snapToGrid w:val="0"/>
              <w:jc w:val="center"/>
              <w:rPr>
                <w:szCs w:val="21"/>
              </w:rPr>
            </w:pPr>
            <w:r>
              <w:rPr>
                <w:rFonts w:hint="eastAsia"/>
                <w:szCs w:val="21"/>
              </w:rPr>
              <w:t>/</w:t>
            </w:r>
          </w:p>
        </w:tc>
      </w:tr>
      <w:tr w14:paraId="120A8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2" w:type="dxa"/>
            <w:vAlign w:val="center"/>
          </w:tcPr>
          <w:p w14:paraId="1F9F0599">
            <w:pPr>
              <w:adjustRightInd w:val="0"/>
              <w:snapToGrid w:val="0"/>
              <w:jc w:val="center"/>
              <w:rPr>
                <w:b/>
                <w:szCs w:val="21"/>
              </w:rPr>
            </w:pPr>
            <w:r>
              <w:rPr>
                <w:b/>
                <w:szCs w:val="21"/>
              </w:rPr>
              <w:t>电磁环境</w:t>
            </w:r>
          </w:p>
        </w:tc>
        <w:tc>
          <w:tcPr>
            <w:tcW w:w="3401" w:type="dxa"/>
            <w:vAlign w:val="center"/>
          </w:tcPr>
          <w:p w14:paraId="576AE0C9">
            <w:pPr>
              <w:adjustRightInd w:val="0"/>
              <w:snapToGrid w:val="0"/>
              <w:jc w:val="center"/>
              <w:rPr>
                <w:szCs w:val="21"/>
              </w:rPr>
            </w:pPr>
            <w:r>
              <w:rPr>
                <w:rFonts w:hint="eastAsia"/>
                <w:szCs w:val="21"/>
              </w:rPr>
              <w:t>/</w:t>
            </w:r>
          </w:p>
        </w:tc>
        <w:tc>
          <w:tcPr>
            <w:tcW w:w="2732" w:type="dxa"/>
            <w:vAlign w:val="center"/>
          </w:tcPr>
          <w:p w14:paraId="6AD35BE0">
            <w:pPr>
              <w:adjustRightInd w:val="0"/>
              <w:snapToGrid w:val="0"/>
              <w:jc w:val="center"/>
              <w:rPr>
                <w:szCs w:val="21"/>
              </w:rPr>
            </w:pPr>
            <w:r>
              <w:rPr>
                <w:rFonts w:hint="eastAsia"/>
                <w:szCs w:val="21"/>
              </w:rPr>
              <w:t>/</w:t>
            </w:r>
          </w:p>
        </w:tc>
        <w:tc>
          <w:tcPr>
            <w:tcW w:w="851" w:type="dxa"/>
            <w:vAlign w:val="center"/>
          </w:tcPr>
          <w:p w14:paraId="3DDAA55A">
            <w:pPr>
              <w:adjustRightInd w:val="0"/>
              <w:snapToGrid w:val="0"/>
              <w:jc w:val="center"/>
              <w:rPr>
                <w:szCs w:val="21"/>
              </w:rPr>
            </w:pPr>
            <w:r>
              <w:rPr>
                <w:rFonts w:hint="eastAsia"/>
                <w:szCs w:val="21"/>
              </w:rPr>
              <w:t>/</w:t>
            </w:r>
          </w:p>
        </w:tc>
        <w:tc>
          <w:tcPr>
            <w:tcW w:w="681" w:type="dxa"/>
            <w:vAlign w:val="center"/>
          </w:tcPr>
          <w:p w14:paraId="587A9040">
            <w:pPr>
              <w:adjustRightInd w:val="0"/>
              <w:snapToGrid w:val="0"/>
              <w:jc w:val="center"/>
              <w:rPr>
                <w:szCs w:val="21"/>
              </w:rPr>
            </w:pPr>
            <w:r>
              <w:rPr>
                <w:rFonts w:hint="eastAsia"/>
                <w:szCs w:val="21"/>
              </w:rPr>
              <w:t>/</w:t>
            </w:r>
          </w:p>
        </w:tc>
      </w:tr>
      <w:tr w14:paraId="03EAB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1242" w:type="dxa"/>
            <w:vAlign w:val="center"/>
          </w:tcPr>
          <w:p w14:paraId="7506C74F">
            <w:pPr>
              <w:adjustRightInd w:val="0"/>
              <w:snapToGrid w:val="0"/>
              <w:jc w:val="center"/>
              <w:rPr>
                <w:b/>
                <w:szCs w:val="21"/>
              </w:rPr>
            </w:pPr>
            <w:r>
              <w:rPr>
                <w:b/>
                <w:szCs w:val="21"/>
              </w:rPr>
              <w:t>环境风险</w:t>
            </w:r>
          </w:p>
        </w:tc>
        <w:tc>
          <w:tcPr>
            <w:tcW w:w="3401" w:type="dxa"/>
            <w:vAlign w:val="center"/>
          </w:tcPr>
          <w:p w14:paraId="7D13E3EF">
            <w:pPr>
              <w:spacing w:line="320" w:lineRule="exact"/>
              <w:jc w:val="center"/>
              <w:textAlignment w:val="center"/>
              <w:rPr>
                <w:szCs w:val="21"/>
              </w:rPr>
            </w:pPr>
            <w:r>
              <w:rPr>
                <w:szCs w:val="21"/>
              </w:rPr>
              <w:t>成立环境风险管理机构，防井喷装置，落实各项风险应急物资，制定具备符合行业标准和环评要求的环境风险应急预案，定期演练</w:t>
            </w:r>
            <w:r>
              <w:rPr>
                <w:rFonts w:hint="eastAsia"/>
                <w:szCs w:val="21"/>
              </w:rPr>
              <w:t>。</w:t>
            </w:r>
          </w:p>
        </w:tc>
        <w:tc>
          <w:tcPr>
            <w:tcW w:w="2732" w:type="dxa"/>
            <w:vAlign w:val="center"/>
          </w:tcPr>
          <w:p w14:paraId="4F92312C">
            <w:pPr>
              <w:adjustRightInd w:val="0"/>
              <w:snapToGrid w:val="0"/>
              <w:jc w:val="center"/>
              <w:rPr>
                <w:szCs w:val="21"/>
              </w:rPr>
            </w:pPr>
            <w:r>
              <w:rPr>
                <w:rFonts w:hint="eastAsia"/>
                <w:szCs w:val="21"/>
              </w:rPr>
              <w:t>将环境风险控制在可防控范围内。</w:t>
            </w:r>
          </w:p>
        </w:tc>
        <w:tc>
          <w:tcPr>
            <w:tcW w:w="851" w:type="dxa"/>
            <w:vAlign w:val="center"/>
          </w:tcPr>
          <w:p w14:paraId="3A03DA2B">
            <w:pPr>
              <w:adjustRightInd w:val="0"/>
              <w:snapToGrid w:val="0"/>
              <w:jc w:val="center"/>
              <w:rPr>
                <w:szCs w:val="21"/>
              </w:rPr>
            </w:pPr>
            <w:r>
              <w:rPr>
                <w:rFonts w:hint="eastAsia"/>
                <w:szCs w:val="21"/>
              </w:rPr>
              <w:t>/</w:t>
            </w:r>
          </w:p>
        </w:tc>
        <w:tc>
          <w:tcPr>
            <w:tcW w:w="681" w:type="dxa"/>
            <w:vAlign w:val="center"/>
          </w:tcPr>
          <w:p w14:paraId="2771525C">
            <w:pPr>
              <w:adjustRightInd w:val="0"/>
              <w:snapToGrid w:val="0"/>
              <w:jc w:val="center"/>
              <w:rPr>
                <w:szCs w:val="21"/>
              </w:rPr>
            </w:pPr>
            <w:r>
              <w:rPr>
                <w:rFonts w:hint="eastAsia"/>
                <w:szCs w:val="21"/>
              </w:rPr>
              <w:t>/</w:t>
            </w:r>
          </w:p>
        </w:tc>
      </w:tr>
      <w:tr w14:paraId="523F6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1242" w:type="dxa"/>
            <w:vAlign w:val="center"/>
          </w:tcPr>
          <w:p w14:paraId="7524B9C2">
            <w:pPr>
              <w:adjustRightInd w:val="0"/>
              <w:snapToGrid w:val="0"/>
              <w:jc w:val="center"/>
              <w:rPr>
                <w:b/>
                <w:szCs w:val="21"/>
              </w:rPr>
            </w:pPr>
            <w:r>
              <w:rPr>
                <w:b/>
                <w:szCs w:val="21"/>
              </w:rPr>
              <w:t>环境监测</w:t>
            </w:r>
          </w:p>
        </w:tc>
        <w:tc>
          <w:tcPr>
            <w:tcW w:w="3401" w:type="dxa"/>
            <w:vAlign w:val="center"/>
          </w:tcPr>
          <w:p w14:paraId="7F17357A">
            <w:pPr>
              <w:adjustRightInd w:val="0"/>
              <w:snapToGrid w:val="0"/>
              <w:jc w:val="center"/>
              <w:rPr>
                <w:szCs w:val="21"/>
              </w:rPr>
            </w:pPr>
            <w:r>
              <w:rPr>
                <w:rFonts w:hint="eastAsia"/>
                <w:szCs w:val="21"/>
              </w:rPr>
              <w:t>生态恢复效果跟踪监测</w:t>
            </w:r>
          </w:p>
        </w:tc>
        <w:tc>
          <w:tcPr>
            <w:tcW w:w="2732" w:type="dxa"/>
            <w:vAlign w:val="center"/>
          </w:tcPr>
          <w:p w14:paraId="5AD178E9">
            <w:pPr>
              <w:adjustRightInd w:val="0"/>
              <w:snapToGrid w:val="0"/>
              <w:jc w:val="center"/>
              <w:rPr>
                <w:szCs w:val="21"/>
              </w:rPr>
            </w:pPr>
            <w:r>
              <w:rPr>
                <w:rFonts w:hint="eastAsia"/>
                <w:szCs w:val="21"/>
              </w:rPr>
              <w:t>针对施工期临时占地区域植被恢复情况进行生态监测，监测因子为植被恢复效果，监测频次为1次/每年，方法为巡视。植被恢复质量标准：临时占地复垦率为100%。</w:t>
            </w:r>
          </w:p>
        </w:tc>
        <w:tc>
          <w:tcPr>
            <w:tcW w:w="851" w:type="dxa"/>
            <w:vAlign w:val="center"/>
          </w:tcPr>
          <w:p w14:paraId="4FA340A4">
            <w:pPr>
              <w:adjustRightInd w:val="0"/>
              <w:snapToGrid w:val="0"/>
              <w:jc w:val="center"/>
              <w:rPr>
                <w:szCs w:val="21"/>
              </w:rPr>
            </w:pPr>
            <w:r>
              <w:rPr>
                <w:rFonts w:hint="eastAsia"/>
                <w:szCs w:val="21"/>
              </w:rPr>
              <w:t>/</w:t>
            </w:r>
          </w:p>
        </w:tc>
        <w:tc>
          <w:tcPr>
            <w:tcW w:w="681" w:type="dxa"/>
            <w:vAlign w:val="center"/>
          </w:tcPr>
          <w:p w14:paraId="3E71852D">
            <w:pPr>
              <w:adjustRightInd w:val="0"/>
              <w:snapToGrid w:val="0"/>
              <w:jc w:val="center"/>
              <w:rPr>
                <w:szCs w:val="21"/>
              </w:rPr>
            </w:pPr>
            <w:r>
              <w:rPr>
                <w:rFonts w:hint="eastAsia"/>
                <w:szCs w:val="21"/>
              </w:rPr>
              <w:t>/</w:t>
            </w:r>
          </w:p>
        </w:tc>
      </w:tr>
      <w:tr w14:paraId="7DA95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2" w:type="dxa"/>
            <w:vAlign w:val="center"/>
          </w:tcPr>
          <w:p w14:paraId="3B722241">
            <w:pPr>
              <w:adjustRightInd w:val="0"/>
              <w:snapToGrid w:val="0"/>
              <w:jc w:val="center"/>
              <w:rPr>
                <w:b/>
                <w:szCs w:val="21"/>
              </w:rPr>
            </w:pPr>
            <w:r>
              <w:rPr>
                <w:b/>
                <w:szCs w:val="21"/>
              </w:rPr>
              <w:t>其他</w:t>
            </w:r>
          </w:p>
        </w:tc>
        <w:tc>
          <w:tcPr>
            <w:tcW w:w="3401" w:type="dxa"/>
            <w:vAlign w:val="center"/>
          </w:tcPr>
          <w:p w14:paraId="4FBB6950">
            <w:pPr>
              <w:adjustRightInd w:val="0"/>
              <w:snapToGrid w:val="0"/>
              <w:jc w:val="center"/>
              <w:rPr>
                <w:szCs w:val="21"/>
              </w:rPr>
            </w:pPr>
            <w:r>
              <w:rPr>
                <w:rFonts w:hint="eastAsia"/>
                <w:szCs w:val="21"/>
              </w:rPr>
              <w:t>/</w:t>
            </w:r>
          </w:p>
        </w:tc>
        <w:tc>
          <w:tcPr>
            <w:tcW w:w="2732" w:type="dxa"/>
            <w:vAlign w:val="center"/>
          </w:tcPr>
          <w:p w14:paraId="75548BF1">
            <w:pPr>
              <w:adjustRightInd w:val="0"/>
              <w:snapToGrid w:val="0"/>
              <w:jc w:val="center"/>
              <w:rPr>
                <w:szCs w:val="21"/>
              </w:rPr>
            </w:pPr>
            <w:r>
              <w:rPr>
                <w:rFonts w:hint="eastAsia"/>
                <w:szCs w:val="21"/>
              </w:rPr>
              <w:t>/</w:t>
            </w:r>
          </w:p>
        </w:tc>
        <w:tc>
          <w:tcPr>
            <w:tcW w:w="851" w:type="dxa"/>
            <w:vAlign w:val="center"/>
          </w:tcPr>
          <w:p w14:paraId="6ADC4A59">
            <w:pPr>
              <w:adjustRightInd w:val="0"/>
              <w:snapToGrid w:val="0"/>
              <w:jc w:val="center"/>
              <w:rPr>
                <w:szCs w:val="21"/>
              </w:rPr>
            </w:pPr>
            <w:r>
              <w:rPr>
                <w:rFonts w:hint="eastAsia"/>
                <w:szCs w:val="21"/>
              </w:rPr>
              <w:t>/</w:t>
            </w:r>
          </w:p>
        </w:tc>
        <w:tc>
          <w:tcPr>
            <w:tcW w:w="681" w:type="dxa"/>
            <w:vAlign w:val="center"/>
          </w:tcPr>
          <w:p w14:paraId="369A5167">
            <w:pPr>
              <w:adjustRightInd w:val="0"/>
              <w:snapToGrid w:val="0"/>
              <w:jc w:val="center"/>
              <w:rPr>
                <w:szCs w:val="21"/>
              </w:rPr>
            </w:pPr>
            <w:r>
              <w:rPr>
                <w:rFonts w:hint="eastAsia"/>
                <w:szCs w:val="21"/>
              </w:rPr>
              <w:t>/</w:t>
            </w:r>
          </w:p>
        </w:tc>
      </w:tr>
    </w:tbl>
    <w:p w14:paraId="3A236449">
      <w:pPr>
        <w:pStyle w:val="25"/>
        <w:spacing w:before="0" w:beforeAutospacing="0" w:after="0" w:afterAutospacing="0"/>
        <w:jc w:val="center"/>
        <w:outlineLvl w:val="0"/>
        <w:rPr>
          <w:b/>
          <w:snapToGrid w:val="0"/>
          <w:kern w:val="2"/>
          <w:sz w:val="30"/>
          <w:szCs w:val="30"/>
        </w:rPr>
        <w:sectPr>
          <w:pgSz w:w="11906" w:h="16838"/>
          <w:pgMar w:top="1588" w:right="1531" w:bottom="1418" w:left="1531" w:header="851" w:footer="1077" w:gutter="0"/>
          <w:cols w:space="720" w:num="1"/>
          <w:docGrid w:linePitch="312" w:charSpace="0"/>
        </w:sectPr>
      </w:pPr>
    </w:p>
    <w:p w14:paraId="54B7F923">
      <w:pPr>
        <w:pStyle w:val="25"/>
        <w:spacing w:before="0" w:beforeAutospacing="0" w:after="0" w:afterAutospacing="0"/>
        <w:jc w:val="center"/>
        <w:outlineLvl w:val="0"/>
        <w:rPr>
          <w:rFonts w:ascii="黑体" w:hAnsi="黑体" w:eastAsia="黑体"/>
          <w:b/>
          <w:snapToGrid w:val="0"/>
          <w:kern w:val="2"/>
          <w:sz w:val="30"/>
          <w:szCs w:val="30"/>
        </w:rPr>
      </w:pPr>
      <w:bookmarkStart w:id="36" w:name="_Toc214007573"/>
      <w:r>
        <w:rPr>
          <w:rFonts w:ascii="黑体" w:hAnsi="黑体" w:eastAsia="黑体"/>
          <w:b/>
          <w:snapToGrid w:val="0"/>
          <w:kern w:val="2"/>
          <w:sz w:val="30"/>
          <w:szCs w:val="30"/>
        </w:rPr>
        <w:t>七、结论</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08"/>
      </w:tblGrid>
      <w:tr w14:paraId="09612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14" w:hRule="atLeast"/>
          <w:jc w:val="center"/>
        </w:trPr>
        <w:tc>
          <w:tcPr>
            <w:tcW w:w="8908" w:type="dxa"/>
          </w:tcPr>
          <w:p w14:paraId="290D04ED">
            <w:pPr>
              <w:spacing w:line="360" w:lineRule="auto"/>
              <w:ind w:firstLine="470" w:firstLineChars="196"/>
              <w:rPr>
                <w:bCs/>
                <w:sz w:val="24"/>
              </w:rPr>
            </w:pPr>
            <w:r>
              <w:rPr>
                <w:rFonts w:hint="eastAsia"/>
                <w:sz w:val="24"/>
              </w:rPr>
              <w:t>磴口县磴4平台3口井勘探</w:t>
            </w:r>
            <w:r>
              <w:rPr>
                <w:sz w:val="24"/>
              </w:rPr>
              <w:t>项目</w:t>
            </w:r>
            <w:r>
              <w:rPr>
                <w:bCs/>
                <w:sz w:val="24"/>
              </w:rPr>
              <w:t>的建设符合国家和</w:t>
            </w:r>
            <w:r>
              <w:rPr>
                <w:rFonts w:hint="eastAsia"/>
                <w:bCs/>
                <w:sz w:val="24"/>
              </w:rPr>
              <w:t>内蒙古</w:t>
            </w:r>
            <w:r>
              <w:rPr>
                <w:bCs/>
                <w:sz w:val="24"/>
              </w:rPr>
              <w:t>产业政策，所采用的原材料、设备和生产工艺符合清洁生产要求，污染物经治理后可以实现达标排放，不会对区域生态环境造成明显影响，可以取得显著的经济效益，地面建设布局合理，因此项目在环境保护方面是可行的。</w:t>
            </w:r>
          </w:p>
          <w:p w14:paraId="0B02CD7D">
            <w:pPr>
              <w:spacing w:line="360" w:lineRule="auto"/>
              <w:ind w:firstLine="470" w:firstLineChars="196"/>
              <w:rPr>
                <w:sz w:val="24"/>
              </w:rPr>
            </w:pPr>
            <w:r>
              <w:rPr>
                <w:rFonts w:hint="eastAsia"/>
                <w:sz w:val="24"/>
              </w:rPr>
              <w:t>项目</w:t>
            </w:r>
            <w:r>
              <w:rPr>
                <w:sz w:val="24"/>
              </w:rPr>
              <w:t>环境影响主要是生态环境影响，结合当地社会经济环境采取积极有效的生态保护措施不断恢复改善项目区的环境。</w:t>
            </w:r>
          </w:p>
          <w:p w14:paraId="55AD88AD">
            <w:pPr>
              <w:spacing w:line="360" w:lineRule="auto"/>
              <w:ind w:firstLine="470" w:firstLineChars="196"/>
              <w:rPr>
                <w:sz w:val="24"/>
              </w:rPr>
            </w:pPr>
            <w:r>
              <w:rPr>
                <w:sz w:val="24"/>
              </w:rPr>
              <w:t>1、制定严谨的施工、作业计划，科学合理地布局，尽可能的减少占用土地；</w:t>
            </w:r>
          </w:p>
          <w:p w14:paraId="43714AD8">
            <w:pPr>
              <w:spacing w:line="360" w:lineRule="auto"/>
              <w:ind w:firstLine="470" w:firstLineChars="196"/>
              <w:rPr>
                <w:sz w:val="24"/>
              </w:rPr>
            </w:pPr>
            <w:r>
              <w:rPr>
                <w:sz w:val="24"/>
              </w:rPr>
              <w:t>2、尽可能地利用现有条件作为施工用途，避免不必要的建设和浪费和</w:t>
            </w:r>
            <w:r>
              <w:rPr>
                <w:rFonts w:hint="eastAsia"/>
                <w:sz w:val="24"/>
              </w:rPr>
              <w:t>增</w:t>
            </w:r>
            <w:r>
              <w:rPr>
                <w:sz w:val="24"/>
              </w:rPr>
              <w:t>加破坏程度；</w:t>
            </w:r>
          </w:p>
          <w:p w14:paraId="309D202B">
            <w:pPr>
              <w:spacing w:line="360" w:lineRule="auto"/>
              <w:ind w:firstLine="470" w:firstLineChars="196"/>
              <w:rPr>
                <w:sz w:val="24"/>
              </w:rPr>
            </w:pPr>
            <w:r>
              <w:rPr>
                <w:sz w:val="24"/>
              </w:rPr>
              <w:t>3、对井场作业、车辆碾压造成的植被破坏区采取因地制宜的生态恢复措施，自然恢复结合人工建设促成，以最快速度恢复原有面貌，避免水土流失和风蚀沙化；</w:t>
            </w:r>
          </w:p>
          <w:p w14:paraId="17E1876B">
            <w:pPr>
              <w:spacing w:line="360" w:lineRule="auto"/>
              <w:ind w:firstLine="470" w:firstLineChars="196"/>
              <w:rPr>
                <w:sz w:val="24"/>
              </w:rPr>
            </w:pPr>
            <w:r>
              <w:rPr>
                <w:sz w:val="24"/>
              </w:rPr>
              <w:t>4、项目实施方应向地方监督管理部门交纳与项目环境保护投资相应</w:t>
            </w:r>
            <w:r>
              <w:rPr>
                <w:rFonts w:hint="eastAsia"/>
                <w:sz w:val="24"/>
              </w:rPr>
              <w:t>比例</w:t>
            </w:r>
            <w:r>
              <w:rPr>
                <w:sz w:val="24"/>
              </w:rPr>
              <w:t>的生态恢复补偿金或生态恢复保证金，形成相互监督约束机制，推动生态恢复进程。</w:t>
            </w:r>
          </w:p>
          <w:p w14:paraId="40AEF838">
            <w:pPr>
              <w:spacing w:line="360" w:lineRule="auto"/>
              <w:ind w:firstLine="470" w:firstLineChars="196"/>
              <w:rPr>
                <w:sz w:val="24"/>
              </w:rPr>
            </w:pPr>
          </w:p>
          <w:p w14:paraId="22A51556">
            <w:pPr>
              <w:spacing w:line="360" w:lineRule="auto"/>
              <w:ind w:firstLine="470" w:firstLineChars="196"/>
              <w:rPr>
                <w:sz w:val="24"/>
              </w:rPr>
            </w:pPr>
          </w:p>
          <w:p w14:paraId="3314209A">
            <w:pPr>
              <w:spacing w:line="360" w:lineRule="auto"/>
              <w:ind w:firstLine="470" w:firstLineChars="196"/>
              <w:rPr>
                <w:sz w:val="24"/>
              </w:rPr>
            </w:pPr>
          </w:p>
          <w:p w14:paraId="60219BAB">
            <w:pPr>
              <w:spacing w:line="360" w:lineRule="auto"/>
              <w:ind w:firstLine="470" w:firstLineChars="196"/>
              <w:rPr>
                <w:sz w:val="24"/>
              </w:rPr>
            </w:pPr>
          </w:p>
          <w:p w14:paraId="3DF53BA7">
            <w:pPr>
              <w:spacing w:line="360" w:lineRule="auto"/>
              <w:ind w:firstLine="470" w:firstLineChars="196"/>
              <w:rPr>
                <w:sz w:val="24"/>
              </w:rPr>
            </w:pPr>
          </w:p>
          <w:p w14:paraId="1991C588">
            <w:pPr>
              <w:spacing w:line="360" w:lineRule="auto"/>
              <w:ind w:firstLine="470" w:firstLineChars="196"/>
              <w:rPr>
                <w:sz w:val="24"/>
              </w:rPr>
            </w:pPr>
          </w:p>
          <w:p w14:paraId="1C1271EA">
            <w:pPr>
              <w:spacing w:line="360" w:lineRule="auto"/>
              <w:ind w:firstLine="470" w:firstLineChars="196"/>
              <w:rPr>
                <w:sz w:val="24"/>
              </w:rPr>
            </w:pPr>
          </w:p>
          <w:p w14:paraId="15542D32">
            <w:pPr>
              <w:spacing w:line="360" w:lineRule="auto"/>
              <w:ind w:firstLine="470" w:firstLineChars="196"/>
              <w:rPr>
                <w:sz w:val="24"/>
              </w:rPr>
            </w:pPr>
          </w:p>
          <w:p w14:paraId="1D7E9D2F">
            <w:pPr>
              <w:spacing w:line="360" w:lineRule="auto"/>
              <w:ind w:firstLine="470" w:firstLineChars="196"/>
              <w:rPr>
                <w:sz w:val="24"/>
              </w:rPr>
            </w:pPr>
          </w:p>
          <w:p w14:paraId="7CB86A0C">
            <w:pPr>
              <w:spacing w:line="360" w:lineRule="auto"/>
              <w:ind w:firstLine="470" w:firstLineChars="196"/>
              <w:rPr>
                <w:sz w:val="24"/>
              </w:rPr>
            </w:pPr>
          </w:p>
          <w:p w14:paraId="36260A01">
            <w:pPr>
              <w:spacing w:line="360" w:lineRule="auto"/>
              <w:ind w:firstLine="470" w:firstLineChars="196"/>
              <w:rPr>
                <w:sz w:val="24"/>
              </w:rPr>
            </w:pPr>
          </w:p>
          <w:p w14:paraId="5C24C061">
            <w:pPr>
              <w:spacing w:line="360" w:lineRule="auto"/>
              <w:ind w:firstLine="470" w:firstLineChars="196"/>
              <w:rPr>
                <w:sz w:val="24"/>
              </w:rPr>
            </w:pPr>
          </w:p>
          <w:p w14:paraId="459F4B23">
            <w:pPr>
              <w:spacing w:line="360" w:lineRule="auto"/>
              <w:ind w:firstLine="470" w:firstLineChars="196"/>
              <w:rPr>
                <w:sz w:val="24"/>
              </w:rPr>
            </w:pPr>
          </w:p>
          <w:p w14:paraId="4EC79B91">
            <w:pPr>
              <w:spacing w:line="360" w:lineRule="auto"/>
              <w:ind w:firstLine="470" w:firstLineChars="196"/>
              <w:rPr>
                <w:sz w:val="24"/>
              </w:rPr>
            </w:pPr>
          </w:p>
          <w:p w14:paraId="0DBB2C95">
            <w:pPr>
              <w:spacing w:line="360" w:lineRule="auto"/>
              <w:ind w:firstLine="470" w:firstLineChars="196"/>
              <w:rPr>
                <w:sz w:val="24"/>
              </w:rPr>
            </w:pPr>
          </w:p>
          <w:p w14:paraId="665E14FE">
            <w:pPr>
              <w:spacing w:line="360" w:lineRule="auto"/>
              <w:ind w:firstLine="470" w:firstLineChars="196"/>
              <w:rPr>
                <w:sz w:val="24"/>
              </w:rPr>
            </w:pPr>
          </w:p>
          <w:p w14:paraId="523FA9DC">
            <w:pPr>
              <w:spacing w:line="360" w:lineRule="auto"/>
              <w:ind w:firstLine="784" w:firstLineChars="196"/>
              <w:rPr>
                <w:sz w:val="40"/>
              </w:rPr>
            </w:pPr>
          </w:p>
        </w:tc>
      </w:tr>
    </w:tbl>
    <w:p w14:paraId="3BD93C1F">
      <w:pPr>
        <w:pStyle w:val="25"/>
        <w:spacing w:before="0" w:beforeAutospacing="0" w:after="0" w:afterAutospacing="0"/>
        <w:jc w:val="center"/>
        <w:outlineLvl w:val="0"/>
        <w:rPr>
          <w:rFonts w:ascii="黑体" w:hAnsi="黑体" w:eastAsia="黑体"/>
          <w:b/>
          <w:snapToGrid w:val="0"/>
          <w:kern w:val="2"/>
          <w:sz w:val="30"/>
          <w:szCs w:val="30"/>
        </w:rPr>
      </w:pPr>
      <w:r>
        <w:rPr>
          <w:rFonts w:hint="eastAsia" w:ascii="黑体" w:hAnsi="黑体" w:eastAsia="黑体"/>
          <w:b/>
          <w:kern w:val="2"/>
          <w:sz w:val="30"/>
          <w:szCs w:val="30"/>
        </w:rPr>
        <w:drawing>
          <wp:inline distT="0" distB="0" distL="0" distR="0">
            <wp:extent cx="7938770" cy="5615940"/>
            <wp:effectExtent l="0" t="635" r="4445"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rot="16200000">
                      <a:off x="0" y="0"/>
                      <a:ext cx="7939243" cy="5616000"/>
                    </a:xfrm>
                    <a:prstGeom prst="rect">
                      <a:avLst/>
                    </a:prstGeom>
                  </pic:spPr>
                </pic:pic>
              </a:graphicData>
            </a:graphic>
          </wp:inline>
        </w:drawing>
      </w:r>
      <w:r>
        <w:rPr>
          <w:rFonts w:hint="eastAsia" w:ascii="黑体" w:hAnsi="黑体" w:eastAsia="黑体"/>
          <w:b/>
          <w:kern w:val="2"/>
          <w:sz w:val="30"/>
          <w:szCs w:val="30"/>
        </w:rPr>
        <w:drawing>
          <wp:inline distT="0" distB="0" distL="0" distR="0">
            <wp:extent cx="7941310" cy="5615940"/>
            <wp:effectExtent l="635" t="0" r="3175" b="3175"/>
            <wp:docPr id="2080" name="图片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 name="图片 2080"/>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rot="16200000">
                      <a:off x="0" y="0"/>
                      <a:ext cx="7941782" cy="5616000"/>
                    </a:xfrm>
                    <a:prstGeom prst="rect">
                      <a:avLst/>
                    </a:prstGeom>
                  </pic:spPr>
                </pic:pic>
              </a:graphicData>
            </a:graphic>
          </wp:inline>
        </w:drawing>
      </w:r>
      <w:r>
        <w:rPr>
          <w:rFonts w:hint="eastAsia" w:ascii="黑体" w:hAnsi="黑体" w:eastAsia="黑体"/>
          <w:b/>
          <w:kern w:val="2"/>
          <w:sz w:val="30"/>
          <w:szCs w:val="30"/>
        </w:rPr>
        <w:drawing>
          <wp:inline distT="0" distB="0" distL="0" distR="0">
            <wp:extent cx="7936230" cy="5615940"/>
            <wp:effectExtent l="0" t="1905" r="5715" b="5715"/>
            <wp:docPr id="2081" name="图片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 name="图片 2081"/>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rot="16200000">
                      <a:off x="0" y="0"/>
                      <a:ext cx="7936706" cy="5616000"/>
                    </a:xfrm>
                    <a:prstGeom prst="rect">
                      <a:avLst/>
                    </a:prstGeom>
                  </pic:spPr>
                </pic:pic>
              </a:graphicData>
            </a:graphic>
          </wp:inline>
        </w:drawing>
      </w:r>
      <w:r>
        <w:rPr>
          <w:rFonts w:hint="eastAsia" w:ascii="黑体" w:hAnsi="黑体" w:eastAsia="黑体"/>
          <w:b/>
          <w:kern w:val="2"/>
          <w:sz w:val="30"/>
          <w:szCs w:val="30"/>
        </w:rPr>
        <w:drawing>
          <wp:inline distT="0" distB="0" distL="0" distR="0">
            <wp:extent cx="7941310" cy="5615940"/>
            <wp:effectExtent l="635" t="0" r="3175" b="3175"/>
            <wp:docPr id="2090" name="图片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 name="图片 2090"/>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rot="16200000">
                      <a:off x="0" y="0"/>
                      <a:ext cx="7941782" cy="5616000"/>
                    </a:xfrm>
                    <a:prstGeom prst="rect">
                      <a:avLst/>
                    </a:prstGeom>
                  </pic:spPr>
                </pic:pic>
              </a:graphicData>
            </a:graphic>
          </wp:inline>
        </w:drawing>
      </w:r>
      <w:r>
        <w:rPr>
          <w:rFonts w:hint="eastAsia" w:ascii="黑体" w:hAnsi="黑体" w:eastAsia="黑体"/>
          <w:b/>
          <w:kern w:val="2"/>
          <w:sz w:val="30"/>
          <w:szCs w:val="30"/>
        </w:rPr>
        <w:drawing>
          <wp:inline distT="0" distB="0" distL="0" distR="0">
            <wp:extent cx="7937500" cy="5615940"/>
            <wp:effectExtent l="0" t="1270" r="5080" b="5080"/>
            <wp:docPr id="2091" name="图片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 name="图片 209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rot="16200000">
                      <a:off x="0" y="0"/>
                      <a:ext cx="7937974" cy="5616000"/>
                    </a:xfrm>
                    <a:prstGeom prst="rect">
                      <a:avLst/>
                    </a:prstGeom>
                  </pic:spPr>
                </pic:pic>
              </a:graphicData>
            </a:graphic>
          </wp:inline>
        </w:drawing>
      </w:r>
      <w:r>
        <w:rPr>
          <w:rFonts w:hint="eastAsia" w:ascii="黑体" w:hAnsi="黑体" w:eastAsia="黑体"/>
          <w:b/>
          <w:kern w:val="2"/>
          <w:sz w:val="30"/>
          <w:szCs w:val="30"/>
        </w:rPr>
        <w:drawing>
          <wp:inline distT="0" distB="0" distL="0" distR="0">
            <wp:extent cx="7941310" cy="5615940"/>
            <wp:effectExtent l="635" t="0" r="3175" b="3175"/>
            <wp:docPr id="2092" name="图片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图片 2092"/>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rot="16200000">
                      <a:off x="0" y="0"/>
                      <a:ext cx="7941782" cy="5616000"/>
                    </a:xfrm>
                    <a:prstGeom prst="rect">
                      <a:avLst/>
                    </a:prstGeom>
                  </pic:spPr>
                </pic:pic>
              </a:graphicData>
            </a:graphic>
          </wp:inline>
        </w:drawing>
      </w:r>
      <w:r>
        <w:rPr>
          <w:rFonts w:hint="eastAsia" w:ascii="黑体" w:hAnsi="黑体" w:eastAsia="黑体"/>
          <w:b/>
          <w:kern w:val="2"/>
          <w:sz w:val="30"/>
          <w:szCs w:val="30"/>
        </w:rPr>
        <w:drawing>
          <wp:inline distT="0" distB="0" distL="0" distR="0">
            <wp:extent cx="7941310" cy="5615940"/>
            <wp:effectExtent l="635" t="0" r="3175" b="3175"/>
            <wp:docPr id="2093" name="图片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 name="图片 209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rot="16200000">
                      <a:off x="0" y="0"/>
                      <a:ext cx="7941782" cy="561600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3215"/>
            <wp:effectExtent l="0" t="0" r="3810" b="635"/>
            <wp:docPr id="2094" name="图片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 name="图片 2094"/>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615940" cy="7943215"/>
                    </a:xfrm>
                    <a:prstGeom prst="rect">
                      <a:avLst/>
                    </a:prstGeom>
                  </pic:spPr>
                </pic:pic>
              </a:graphicData>
            </a:graphic>
          </wp:inline>
        </w:drawing>
      </w:r>
    </w:p>
    <w:p w14:paraId="35E3F1A7">
      <w:pPr>
        <w:pStyle w:val="25"/>
        <w:spacing w:before="0" w:beforeAutospacing="0" w:after="0" w:afterAutospacing="0"/>
        <w:jc w:val="center"/>
        <w:outlineLvl w:val="0"/>
        <w:rPr>
          <w:rFonts w:ascii="黑体" w:hAnsi="黑体" w:eastAsia="黑体"/>
          <w:b/>
          <w:snapToGrid w:val="0"/>
          <w:kern w:val="2"/>
          <w:sz w:val="30"/>
          <w:szCs w:val="30"/>
        </w:rPr>
      </w:pPr>
      <w:r>
        <w:rPr>
          <w:rFonts w:hint="eastAsia" w:ascii="黑体" w:hAnsi="黑体" w:eastAsia="黑体"/>
          <w:b/>
          <w:kern w:val="2"/>
          <w:sz w:val="30"/>
          <w:szCs w:val="30"/>
        </w:rPr>
        <w:drawing>
          <wp:inline distT="0" distB="0" distL="0" distR="0">
            <wp:extent cx="5615940" cy="8060055"/>
            <wp:effectExtent l="0" t="0" r="3810" b="0"/>
            <wp:docPr id="2095" name="图片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图片 2095"/>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615940" cy="806005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8060055"/>
            <wp:effectExtent l="0" t="0" r="3810" b="0"/>
            <wp:docPr id="2096" name="图片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 name="图片 2096"/>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15940" cy="806005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8065770"/>
            <wp:effectExtent l="0" t="0" r="3810" b="0"/>
            <wp:docPr id="2097" name="图片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 name="图片 2097"/>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615940" cy="806577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098" name="图片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 name="图片 2098"/>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rot="10800000">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2100" name="图片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 name="图片 2100"/>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2101" name="图片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 name="图片 2101"/>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5755"/>
            <wp:effectExtent l="0" t="0" r="3810" b="0"/>
            <wp:docPr id="2102" name="图片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 name="图片 2102"/>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615940" cy="794575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2103" name="图片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 name="图片 2103"/>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2104" name="图片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 name="图片 2104"/>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5755"/>
            <wp:effectExtent l="0" t="0" r="3810" b="0"/>
            <wp:docPr id="2105" name="图片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 name="图片 2105"/>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615940" cy="794575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2106" name="图片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图片 2106"/>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3850"/>
            <wp:effectExtent l="0" t="0" r="3810" b="0"/>
            <wp:docPr id="2107" name="图片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 name="图片 2107"/>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615940" cy="794385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108" name="图片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 name="图片 2108"/>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109" name="图片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 name="图片 2109"/>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110" name="图片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图片 2110"/>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111" name="图片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 name="图片 2111"/>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310"/>
            <wp:effectExtent l="0" t="0" r="3810" b="254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78140"/>
            <wp:effectExtent l="0" t="0" r="3810" b="381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rot="10800000">
                      <a:off x="0" y="0"/>
                      <a:ext cx="5615940" cy="79781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6390"/>
            <wp:effectExtent l="0" t="0" r="3810" b="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615940" cy="79463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2580"/>
            <wp:effectExtent l="0" t="0" r="3810" b="127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5615940" cy="794258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36230"/>
            <wp:effectExtent l="0" t="0" r="3810" b="762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5615940" cy="793623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38135"/>
            <wp:effectExtent l="0" t="0" r="3810" b="5715"/>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615940" cy="793813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36230"/>
            <wp:effectExtent l="0" t="0" r="3810" b="762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5615940" cy="793623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0040"/>
            <wp:effectExtent l="0" t="0" r="3810" b="381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5615940" cy="794004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33690"/>
            <wp:effectExtent l="0" t="0" r="3810" b="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5615940" cy="7933690"/>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0675"/>
            <wp:effectExtent l="0" t="0" r="3810" b="3175"/>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0" y="0"/>
                      <a:ext cx="5615940" cy="794067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0675"/>
            <wp:effectExtent l="0" t="0" r="3810" b="3175"/>
            <wp:docPr id="2413" name="图片 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 name="图片 2413"/>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5615940" cy="794067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14" name="图片 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 name="图片 2414"/>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3215"/>
            <wp:effectExtent l="0" t="0" r="3810" b="635"/>
            <wp:docPr id="2415" name="图片 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 name="图片 2415"/>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615940" cy="794321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16" name="图片 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 name="图片 2416"/>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17" name="图片 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 name="图片 2417"/>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18" name="图片 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 name="图片 2418"/>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19" name="图片 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 name="图片 2419"/>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20" name="图片 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 name="图片 2420"/>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21" name="图片 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 name="图片 2421"/>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23" name="图片 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 name="图片 2423"/>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24" name="图片 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 name="图片 2424"/>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25" name="图片 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 name="图片 2425"/>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1945"/>
            <wp:effectExtent l="0" t="0" r="3810" b="1905"/>
            <wp:docPr id="2426" name="图片 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 name="图片 2426"/>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0675"/>
            <wp:effectExtent l="0" t="0" r="3810" b="3175"/>
            <wp:docPr id="2427" name="图片 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 name="图片 2427"/>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615940" cy="7940675"/>
                    </a:xfrm>
                    <a:prstGeom prst="rect">
                      <a:avLst/>
                    </a:prstGeom>
                  </pic:spPr>
                </pic:pic>
              </a:graphicData>
            </a:graphic>
          </wp:inline>
        </w:drawing>
      </w:r>
      <w:r>
        <w:rPr>
          <w:rFonts w:hint="eastAsia" w:ascii="黑体" w:hAnsi="黑体" w:eastAsia="黑体"/>
          <w:b/>
          <w:kern w:val="2"/>
          <w:sz w:val="30"/>
          <w:szCs w:val="30"/>
        </w:rPr>
        <w:drawing>
          <wp:inline distT="0" distB="0" distL="0" distR="0">
            <wp:extent cx="5615940" cy="7943850"/>
            <wp:effectExtent l="0" t="0" r="3810" b="0"/>
            <wp:docPr id="2428" name="图片 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 name="图片 2428"/>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615940" cy="7943850"/>
                    </a:xfrm>
                    <a:prstGeom prst="rect">
                      <a:avLst/>
                    </a:prstGeom>
                  </pic:spPr>
                </pic:pic>
              </a:graphicData>
            </a:graphic>
          </wp:inline>
        </w:drawing>
      </w:r>
    </w:p>
    <w:bookmarkEnd w:id="36"/>
    <w:p w14:paraId="6EE2E3E4">
      <w:pPr>
        <w:widowControl/>
        <w:adjustRightInd w:val="0"/>
        <w:snapToGrid w:val="0"/>
        <w:spacing w:before="192" w:beforeLines="80"/>
        <w:jc w:val="left"/>
        <w:rPr>
          <w:vanish/>
        </w:rPr>
      </w:pPr>
    </w:p>
    <w:sectPr>
      <w:footerReference r:id="rId6" w:type="default"/>
      <w:pgSz w:w="11906" w:h="16838"/>
      <w:pgMar w:top="1588" w:right="1531" w:bottom="1418" w:left="1531" w:header="851" w:footer="107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Courier New">
    <w:altName w:val="DejaVu Sans"/>
    <w:panose1 w:val="02070309020205020404"/>
    <w:charset w:val="00"/>
    <w:family w:val="modern"/>
    <w:pitch w:val="default"/>
    <w:sig w:usb0="00000000" w:usb1="00000000" w:usb2="00000009" w:usb3="00000000" w:csb0="000001FF" w:csb1="0000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MS Mincho">
    <w:altName w:val="方正书宋_GBK"/>
    <w:panose1 w:val="02020609040205080304"/>
    <w:charset w:val="80"/>
    <w:family w:val="roman"/>
    <w:pitch w:val="default"/>
    <w:sig w:usb0="00000000" w:usb1="00000000" w:usb2="00000010" w:usb3="00000000" w:csb0="00020000"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新宋体">
    <w:altName w:val="方正书宋_GBK"/>
    <w:panose1 w:val="0201060903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CB035">
    <w:pPr>
      <w:pStyle w:val="19"/>
      <w:jc w:val="center"/>
    </w:pPr>
  </w:p>
  <w:p w14:paraId="51C6698A">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01736">
    <w:pPr>
      <w:pStyle w:val="19"/>
      <w:framePr w:wrap="around" w:vAnchor="text" w:hAnchor="margin" w:xAlign="outside" w:y="1"/>
      <w:rPr>
        <w:rStyle w:val="34"/>
      </w:rPr>
    </w:pPr>
    <w:r>
      <w:fldChar w:fldCharType="begin"/>
    </w:r>
    <w:r>
      <w:rPr>
        <w:rStyle w:val="34"/>
      </w:rPr>
      <w:instrText xml:space="preserve">PAGE  </w:instrText>
    </w:r>
    <w:r>
      <w:fldChar w:fldCharType="end"/>
    </w:r>
  </w:p>
  <w:p w14:paraId="544DE309">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D4F69">
    <w:pPr>
      <w:pStyle w:val="19"/>
      <w:jc w:val="center"/>
    </w:pPr>
    <w:r>
      <w:fldChar w:fldCharType="begin"/>
    </w:r>
    <w:r>
      <w:instrText xml:space="preserve">PAGE   \* MERGEFORMAT</w:instrText>
    </w:r>
    <w:r>
      <w:fldChar w:fldCharType="separate"/>
    </w:r>
    <w:r>
      <w:rPr>
        <w:lang w:val="zh-CN"/>
      </w:rPr>
      <w:t>111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8C011">
    <w:pPr>
      <w:pStyle w:val="19"/>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0OGYyMDg1NzhkODg3MzUzN2RhMGU1YTE3NDNhNzAifQ=="/>
  </w:docVars>
  <w:rsids>
    <w:rsidRoot w:val="00A14947"/>
    <w:rsid w:val="0000000C"/>
    <w:rsid w:val="000000E7"/>
    <w:rsid w:val="00000281"/>
    <w:rsid w:val="00000366"/>
    <w:rsid w:val="00001CED"/>
    <w:rsid w:val="00001E67"/>
    <w:rsid w:val="000035A2"/>
    <w:rsid w:val="00003731"/>
    <w:rsid w:val="00003A94"/>
    <w:rsid w:val="00003CD8"/>
    <w:rsid w:val="00003D90"/>
    <w:rsid w:val="00003DF9"/>
    <w:rsid w:val="00003F00"/>
    <w:rsid w:val="0000410A"/>
    <w:rsid w:val="00004C9B"/>
    <w:rsid w:val="000060EA"/>
    <w:rsid w:val="00006408"/>
    <w:rsid w:val="0000698E"/>
    <w:rsid w:val="00007033"/>
    <w:rsid w:val="00007134"/>
    <w:rsid w:val="00007632"/>
    <w:rsid w:val="00010F1B"/>
    <w:rsid w:val="00011403"/>
    <w:rsid w:val="00011F14"/>
    <w:rsid w:val="0001274D"/>
    <w:rsid w:val="00012FDA"/>
    <w:rsid w:val="00013CD2"/>
    <w:rsid w:val="000141C0"/>
    <w:rsid w:val="000146FC"/>
    <w:rsid w:val="00014965"/>
    <w:rsid w:val="0001523A"/>
    <w:rsid w:val="0001553E"/>
    <w:rsid w:val="00015DB2"/>
    <w:rsid w:val="00016ECB"/>
    <w:rsid w:val="000177D1"/>
    <w:rsid w:val="00017BCA"/>
    <w:rsid w:val="000203DF"/>
    <w:rsid w:val="000206BC"/>
    <w:rsid w:val="000208F8"/>
    <w:rsid w:val="00021320"/>
    <w:rsid w:val="00021665"/>
    <w:rsid w:val="00021BFB"/>
    <w:rsid w:val="00021CBC"/>
    <w:rsid w:val="00022205"/>
    <w:rsid w:val="00022861"/>
    <w:rsid w:val="00023451"/>
    <w:rsid w:val="00023ABF"/>
    <w:rsid w:val="000241CD"/>
    <w:rsid w:val="00024877"/>
    <w:rsid w:val="000256F8"/>
    <w:rsid w:val="00025802"/>
    <w:rsid w:val="000269F6"/>
    <w:rsid w:val="00027AF8"/>
    <w:rsid w:val="00030665"/>
    <w:rsid w:val="000306F6"/>
    <w:rsid w:val="00030712"/>
    <w:rsid w:val="00030DB6"/>
    <w:rsid w:val="000310EE"/>
    <w:rsid w:val="00031939"/>
    <w:rsid w:val="00031B82"/>
    <w:rsid w:val="00032285"/>
    <w:rsid w:val="000326C2"/>
    <w:rsid w:val="00032B8A"/>
    <w:rsid w:val="00032D25"/>
    <w:rsid w:val="00032FEB"/>
    <w:rsid w:val="00033DBD"/>
    <w:rsid w:val="00034090"/>
    <w:rsid w:val="0003444B"/>
    <w:rsid w:val="00034766"/>
    <w:rsid w:val="00034ACC"/>
    <w:rsid w:val="00034C1B"/>
    <w:rsid w:val="00034E3A"/>
    <w:rsid w:val="0003508D"/>
    <w:rsid w:val="00035694"/>
    <w:rsid w:val="00035BF5"/>
    <w:rsid w:val="00036264"/>
    <w:rsid w:val="000364DC"/>
    <w:rsid w:val="00037160"/>
    <w:rsid w:val="00037266"/>
    <w:rsid w:val="000374AC"/>
    <w:rsid w:val="00037C18"/>
    <w:rsid w:val="00040A2A"/>
    <w:rsid w:val="00040DE0"/>
    <w:rsid w:val="00041023"/>
    <w:rsid w:val="00041490"/>
    <w:rsid w:val="0004189A"/>
    <w:rsid w:val="000423BC"/>
    <w:rsid w:val="000428A5"/>
    <w:rsid w:val="0004364B"/>
    <w:rsid w:val="00043707"/>
    <w:rsid w:val="00043C44"/>
    <w:rsid w:val="0004421F"/>
    <w:rsid w:val="000452C4"/>
    <w:rsid w:val="00046167"/>
    <w:rsid w:val="0004619A"/>
    <w:rsid w:val="00047958"/>
    <w:rsid w:val="00047CEA"/>
    <w:rsid w:val="0005045F"/>
    <w:rsid w:val="00050ACA"/>
    <w:rsid w:val="00051A20"/>
    <w:rsid w:val="00051B67"/>
    <w:rsid w:val="0005219D"/>
    <w:rsid w:val="00052EAC"/>
    <w:rsid w:val="0005336D"/>
    <w:rsid w:val="000536B3"/>
    <w:rsid w:val="00053984"/>
    <w:rsid w:val="0005405F"/>
    <w:rsid w:val="00054671"/>
    <w:rsid w:val="000547D7"/>
    <w:rsid w:val="0005513E"/>
    <w:rsid w:val="0005568F"/>
    <w:rsid w:val="00055F10"/>
    <w:rsid w:val="00056271"/>
    <w:rsid w:val="0005651D"/>
    <w:rsid w:val="000571BF"/>
    <w:rsid w:val="00057631"/>
    <w:rsid w:val="0005779E"/>
    <w:rsid w:val="00060263"/>
    <w:rsid w:val="00060D25"/>
    <w:rsid w:val="0006153D"/>
    <w:rsid w:val="00061616"/>
    <w:rsid w:val="00061B1F"/>
    <w:rsid w:val="00061C59"/>
    <w:rsid w:val="00062184"/>
    <w:rsid w:val="000629DE"/>
    <w:rsid w:val="00062B8B"/>
    <w:rsid w:val="000630D5"/>
    <w:rsid w:val="000637DE"/>
    <w:rsid w:val="000649DF"/>
    <w:rsid w:val="000652DC"/>
    <w:rsid w:val="0006534E"/>
    <w:rsid w:val="00066026"/>
    <w:rsid w:val="00066227"/>
    <w:rsid w:val="000662F0"/>
    <w:rsid w:val="000664DB"/>
    <w:rsid w:val="00066AEE"/>
    <w:rsid w:val="00066F90"/>
    <w:rsid w:val="00067BD8"/>
    <w:rsid w:val="00067C55"/>
    <w:rsid w:val="00070133"/>
    <w:rsid w:val="0007060E"/>
    <w:rsid w:val="000707FF"/>
    <w:rsid w:val="00070D23"/>
    <w:rsid w:val="0007127D"/>
    <w:rsid w:val="00071478"/>
    <w:rsid w:val="000716C4"/>
    <w:rsid w:val="00071AE5"/>
    <w:rsid w:val="00071E50"/>
    <w:rsid w:val="00072551"/>
    <w:rsid w:val="00072755"/>
    <w:rsid w:val="0007276F"/>
    <w:rsid w:val="00072AFC"/>
    <w:rsid w:val="00073E9C"/>
    <w:rsid w:val="00073EF7"/>
    <w:rsid w:val="00073F34"/>
    <w:rsid w:val="00074551"/>
    <w:rsid w:val="00074783"/>
    <w:rsid w:val="00074955"/>
    <w:rsid w:val="00074997"/>
    <w:rsid w:val="00075798"/>
    <w:rsid w:val="00075B3F"/>
    <w:rsid w:val="00075E77"/>
    <w:rsid w:val="00075FB7"/>
    <w:rsid w:val="00077C37"/>
    <w:rsid w:val="00077F07"/>
    <w:rsid w:val="000801E0"/>
    <w:rsid w:val="00080271"/>
    <w:rsid w:val="00080423"/>
    <w:rsid w:val="00080C55"/>
    <w:rsid w:val="00082A29"/>
    <w:rsid w:val="00082B04"/>
    <w:rsid w:val="00082B82"/>
    <w:rsid w:val="00083024"/>
    <w:rsid w:val="0008331D"/>
    <w:rsid w:val="000834D3"/>
    <w:rsid w:val="00083C18"/>
    <w:rsid w:val="00083CC1"/>
    <w:rsid w:val="000848AE"/>
    <w:rsid w:val="00084C79"/>
    <w:rsid w:val="00085A2A"/>
    <w:rsid w:val="00085AB1"/>
    <w:rsid w:val="00085FD0"/>
    <w:rsid w:val="000861C5"/>
    <w:rsid w:val="00086C41"/>
    <w:rsid w:val="00086FC8"/>
    <w:rsid w:val="000878AB"/>
    <w:rsid w:val="00087AA9"/>
    <w:rsid w:val="00087BE9"/>
    <w:rsid w:val="00090495"/>
    <w:rsid w:val="000905C6"/>
    <w:rsid w:val="00090FE3"/>
    <w:rsid w:val="0009100D"/>
    <w:rsid w:val="00091A1E"/>
    <w:rsid w:val="00092899"/>
    <w:rsid w:val="00092AE9"/>
    <w:rsid w:val="00092BF2"/>
    <w:rsid w:val="00093670"/>
    <w:rsid w:val="0009632F"/>
    <w:rsid w:val="00097340"/>
    <w:rsid w:val="000976A7"/>
    <w:rsid w:val="000A0632"/>
    <w:rsid w:val="000A162F"/>
    <w:rsid w:val="000A178E"/>
    <w:rsid w:val="000A1B28"/>
    <w:rsid w:val="000A1E02"/>
    <w:rsid w:val="000A26A9"/>
    <w:rsid w:val="000A314C"/>
    <w:rsid w:val="000A36EE"/>
    <w:rsid w:val="000A4D0A"/>
    <w:rsid w:val="000A557E"/>
    <w:rsid w:val="000A5D01"/>
    <w:rsid w:val="000A6A8C"/>
    <w:rsid w:val="000A7FFB"/>
    <w:rsid w:val="000B058F"/>
    <w:rsid w:val="000B06AC"/>
    <w:rsid w:val="000B0E0A"/>
    <w:rsid w:val="000B106D"/>
    <w:rsid w:val="000B1202"/>
    <w:rsid w:val="000B1510"/>
    <w:rsid w:val="000B1785"/>
    <w:rsid w:val="000B22D3"/>
    <w:rsid w:val="000B242C"/>
    <w:rsid w:val="000B2A48"/>
    <w:rsid w:val="000B2E2A"/>
    <w:rsid w:val="000B2E48"/>
    <w:rsid w:val="000B2E70"/>
    <w:rsid w:val="000B2EA8"/>
    <w:rsid w:val="000B36BD"/>
    <w:rsid w:val="000B3F6B"/>
    <w:rsid w:val="000B4295"/>
    <w:rsid w:val="000B42F8"/>
    <w:rsid w:val="000B451E"/>
    <w:rsid w:val="000B4BCF"/>
    <w:rsid w:val="000B5F54"/>
    <w:rsid w:val="000B6640"/>
    <w:rsid w:val="000B693F"/>
    <w:rsid w:val="000B6995"/>
    <w:rsid w:val="000B6EA5"/>
    <w:rsid w:val="000B744F"/>
    <w:rsid w:val="000B7BF2"/>
    <w:rsid w:val="000C0808"/>
    <w:rsid w:val="000C08D9"/>
    <w:rsid w:val="000C09AC"/>
    <w:rsid w:val="000C09DF"/>
    <w:rsid w:val="000C0A63"/>
    <w:rsid w:val="000C1366"/>
    <w:rsid w:val="000C27CE"/>
    <w:rsid w:val="000C2E4F"/>
    <w:rsid w:val="000C34C5"/>
    <w:rsid w:val="000C437E"/>
    <w:rsid w:val="000C4757"/>
    <w:rsid w:val="000C4BE8"/>
    <w:rsid w:val="000C4BEF"/>
    <w:rsid w:val="000C5155"/>
    <w:rsid w:val="000C6474"/>
    <w:rsid w:val="000C65AB"/>
    <w:rsid w:val="000C6825"/>
    <w:rsid w:val="000C6E7D"/>
    <w:rsid w:val="000C7796"/>
    <w:rsid w:val="000C7BF7"/>
    <w:rsid w:val="000D035B"/>
    <w:rsid w:val="000D06C7"/>
    <w:rsid w:val="000D159A"/>
    <w:rsid w:val="000D17FA"/>
    <w:rsid w:val="000D1B3C"/>
    <w:rsid w:val="000D2D4E"/>
    <w:rsid w:val="000D36E1"/>
    <w:rsid w:val="000D3BB0"/>
    <w:rsid w:val="000D3C66"/>
    <w:rsid w:val="000D3D73"/>
    <w:rsid w:val="000D3EC3"/>
    <w:rsid w:val="000D4142"/>
    <w:rsid w:val="000D457C"/>
    <w:rsid w:val="000D4982"/>
    <w:rsid w:val="000D4B8C"/>
    <w:rsid w:val="000D5534"/>
    <w:rsid w:val="000D5576"/>
    <w:rsid w:val="000D58A6"/>
    <w:rsid w:val="000D5F45"/>
    <w:rsid w:val="000D6138"/>
    <w:rsid w:val="000D6232"/>
    <w:rsid w:val="000D67BA"/>
    <w:rsid w:val="000D6A0D"/>
    <w:rsid w:val="000D71C1"/>
    <w:rsid w:val="000E0888"/>
    <w:rsid w:val="000E0AEE"/>
    <w:rsid w:val="000E0DE5"/>
    <w:rsid w:val="000E2EDD"/>
    <w:rsid w:val="000E47B3"/>
    <w:rsid w:val="000E48AA"/>
    <w:rsid w:val="000E4A09"/>
    <w:rsid w:val="000E4CFB"/>
    <w:rsid w:val="000E4F83"/>
    <w:rsid w:val="000E51B1"/>
    <w:rsid w:val="000E5343"/>
    <w:rsid w:val="000E5771"/>
    <w:rsid w:val="000E5D91"/>
    <w:rsid w:val="000E5F16"/>
    <w:rsid w:val="000E685A"/>
    <w:rsid w:val="000E6DD8"/>
    <w:rsid w:val="000E7A27"/>
    <w:rsid w:val="000F0A5F"/>
    <w:rsid w:val="000F0AD0"/>
    <w:rsid w:val="000F0AED"/>
    <w:rsid w:val="000F3D87"/>
    <w:rsid w:val="000F41E0"/>
    <w:rsid w:val="000F4452"/>
    <w:rsid w:val="000F544F"/>
    <w:rsid w:val="000F668F"/>
    <w:rsid w:val="000F6DA1"/>
    <w:rsid w:val="000F701B"/>
    <w:rsid w:val="000F70B0"/>
    <w:rsid w:val="000F7789"/>
    <w:rsid w:val="000F7B9C"/>
    <w:rsid w:val="000F7C83"/>
    <w:rsid w:val="0010048B"/>
    <w:rsid w:val="001006CE"/>
    <w:rsid w:val="001016F7"/>
    <w:rsid w:val="00101B29"/>
    <w:rsid w:val="00102BA4"/>
    <w:rsid w:val="00102F6F"/>
    <w:rsid w:val="001034A7"/>
    <w:rsid w:val="001056A0"/>
    <w:rsid w:val="001057B4"/>
    <w:rsid w:val="001057F4"/>
    <w:rsid w:val="0010587E"/>
    <w:rsid w:val="0010619F"/>
    <w:rsid w:val="001061B5"/>
    <w:rsid w:val="0010638B"/>
    <w:rsid w:val="001063C7"/>
    <w:rsid w:val="00106682"/>
    <w:rsid w:val="00106D1C"/>
    <w:rsid w:val="00107788"/>
    <w:rsid w:val="00107A38"/>
    <w:rsid w:val="001103A2"/>
    <w:rsid w:val="00110AB9"/>
    <w:rsid w:val="00110FE4"/>
    <w:rsid w:val="00111314"/>
    <w:rsid w:val="00111441"/>
    <w:rsid w:val="001118ED"/>
    <w:rsid w:val="00111BB3"/>
    <w:rsid w:val="00111FF6"/>
    <w:rsid w:val="00113161"/>
    <w:rsid w:val="0011379E"/>
    <w:rsid w:val="001138FA"/>
    <w:rsid w:val="0011442B"/>
    <w:rsid w:val="00114977"/>
    <w:rsid w:val="00114A8C"/>
    <w:rsid w:val="00114DE9"/>
    <w:rsid w:val="00115279"/>
    <w:rsid w:val="00115897"/>
    <w:rsid w:val="00116384"/>
    <w:rsid w:val="00116E75"/>
    <w:rsid w:val="00116F8A"/>
    <w:rsid w:val="00117459"/>
    <w:rsid w:val="0011749A"/>
    <w:rsid w:val="00117636"/>
    <w:rsid w:val="00117BBD"/>
    <w:rsid w:val="00120316"/>
    <w:rsid w:val="001204F3"/>
    <w:rsid w:val="00121AE9"/>
    <w:rsid w:val="00121FBA"/>
    <w:rsid w:val="001226A0"/>
    <w:rsid w:val="001227D2"/>
    <w:rsid w:val="00122E39"/>
    <w:rsid w:val="001240B6"/>
    <w:rsid w:val="00124285"/>
    <w:rsid w:val="0012430F"/>
    <w:rsid w:val="0012465B"/>
    <w:rsid w:val="00124912"/>
    <w:rsid w:val="0012512A"/>
    <w:rsid w:val="0012629D"/>
    <w:rsid w:val="00126FA8"/>
    <w:rsid w:val="00127080"/>
    <w:rsid w:val="00127A68"/>
    <w:rsid w:val="00127D5C"/>
    <w:rsid w:val="00130715"/>
    <w:rsid w:val="001311C9"/>
    <w:rsid w:val="001311DA"/>
    <w:rsid w:val="0013174A"/>
    <w:rsid w:val="00131A53"/>
    <w:rsid w:val="00131C1E"/>
    <w:rsid w:val="00132672"/>
    <w:rsid w:val="001330E4"/>
    <w:rsid w:val="00133C35"/>
    <w:rsid w:val="00134496"/>
    <w:rsid w:val="0013499D"/>
    <w:rsid w:val="00135BF5"/>
    <w:rsid w:val="00136668"/>
    <w:rsid w:val="00136F8E"/>
    <w:rsid w:val="001379F5"/>
    <w:rsid w:val="00137FF2"/>
    <w:rsid w:val="001409F1"/>
    <w:rsid w:val="00140B13"/>
    <w:rsid w:val="00140B6E"/>
    <w:rsid w:val="00141A75"/>
    <w:rsid w:val="00141B68"/>
    <w:rsid w:val="00142A3B"/>
    <w:rsid w:val="0014344E"/>
    <w:rsid w:val="0014364C"/>
    <w:rsid w:val="0014382D"/>
    <w:rsid w:val="00143A72"/>
    <w:rsid w:val="00144D11"/>
    <w:rsid w:val="00145F7D"/>
    <w:rsid w:val="00145FC4"/>
    <w:rsid w:val="001466DA"/>
    <w:rsid w:val="00146E31"/>
    <w:rsid w:val="00146EA4"/>
    <w:rsid w:val="001474AD"/>
    <w:rsid w:val="0014783A"/>
    <w:rsid w:val="00150841"/>
    <w:rsid w:val="00151434"/>
    <w:rsid w:val="00151498"/>
    <w:rsid w:val="0015237C"/>
    <w:rsid w:val="00152445"/>
    <w:rsid w:val="00152F68"/>
    <w:rsid w:val="00153060"/>
    <w:rsid w:val="00153C99"/>
    <w:rsid w:val="00153CB4"/>
    <w:rsid w:val="001542ED"/>
    <w:rsid w:val="00154DE1"/>
    <w:rsid w:val="00154F5A"/>
    <w:rsid w:val="00155056"/>
    <w:rsid w:val="00155B40"/>
    <w:rsid w:val="00155DBB"/>
    <w:rsid w:val="00156595"/>
    <w:rsid w:val="001565B0"/>
    <w:rsid w:val="00156AF3"/>
    <w:rsid w:val="00157240"/>
    <w:rsid w:val="00157435"/>
    <w:rsid w:val="001577D6"/>
    <w:rsid w:val="00157CB7"/>
    <w:rsid w:val="001606B5"/>
    <w:rsid w:val="00160A8E"/>
    <w:rsid w:val="00160C2D"/>
    <w:rsid w:val="001614DE"/>
    <w:rsid w:val="001618C9"/>
    <w:rsid w:val="00162014"/>
    <w:rsid w:val="00162A45"/>
    <w:rsid w:val="00162BD8"/>
    <w:rsid w:val="00163EEA"/>
    <w:rsid w:val="00164184"/>
    <w:rsid w:val="0016428C"/>
    <w:rsid w:val="001643F3"/>
    <w:rsid w:val="001644B2"/>
    <w:rsid w:val="00166E01"/>
    <w:rsid w:val="001673E3"/>
    <w:rsid w:val="00167931"/>
    <w:rsid w:val="00167A07"/>
    <w:rsid w:val="00167B81"/>
    <w:rsid w:val="00170407"/>
    <w:rsid w:val="00170438"/>
    <w:rsid w:val="0017046A"/>
    <w:rsid w:val="001704A3"/>
    <w:rsid w:val="00170555"/>
    <w:rsid w:val="00170993"/>
    <w:rsid w:val="00170B43"/>
    <w:rsid w:val="00170D53"/>
    <w:rsid w:val="00170F7F"/>
    <w:rsid w:val="00171E54"/>
    <w:rsid w:val="00171EE0"/>
    <w:rsid w:val="0017201E"/>
    <w:rsid w:val="0017293D"/>
    <w:rsid w:val="00172C32"/>
    <w:rsid w:val="00172CB6"/>
    <w:rsid w:val="00172EBC"/>
    <w:rsid w:val="001732C6"/>
    <w:rsid w:val="0017349D"/>
    <w:rsid w:val="0017384B"/>
    <w:rsid w:val="001740F8"/>
    <w:rsid w:val="00174AB9"/>
    <w:rsid w:val="00174CF7"/>
    <w:rsid w:val="00174F59"/>
    <w:rsid w:val="0017504D"/>
    <w:rsid w:val="00177422"/>
    <w:rsid w:val="00180238"/>
    <w:rsid w:val="001806DC"/>
    <w:rsid w:val="001814BA"/>
    <w:rsid w:val="00181A21"/>
    <w:rsid w:val="00181ABC"/>
    <w:rsid w:val="00181B29"/>
    <w:rsid w:val="00181FB1"/>
    <w:rsid w:val="00182210"/>
    <w:rsid w:val="001822AA"/>
    <w:rsid w:val="00182996"/>
    <w:rsid w:val="001830B9"/>
    <w:rsid w:val="00183766"/>
    <w:rsid w:val="00183E58"/>
    <w:rsid w:val="00184740"/>
    <w:rsid w:val="00184A63"/>
    <w:rsid w:val="00184A9E"/>
    <w:rsid w:val="00184F10"/>
    <w:rsid w:val="001854A6"/>
    <w:rsid w:val="0018553E"/>
    <w:rsid w:val="00185546"/>
    <w:rsid w:val="00185580"/>
    <w:rsid w:val="00185800"/>
    <w:rsid w:val="00185BFD"/>
    <w:rsid w:val="00185DC6"/>
    <w:rsid w:val="00186226"/>
    <w:rsid w:val="0018682B"/>
    <w:rsid w:val="00187081"/>
    <w:rsid w:val="00187099"/>
    <w:rsid w:val="00187A59"/>
    <w:rsid w:val="00187AD0"/>
    <w:rsid w:val="001904CD"/>
    <w:rsid w:val="001908AB"/>
    <w:rsid w:val="0019146B"/>
    <w:rsid w:val="0019281F"/>
    <w:rsid w:val="00193453"/>
    <w:rsid w:val="001939ED"/>
    <w:rsid w:val="00194398"/>
    <w:rsid w:val="00194634"/>
    <w:rsid w:val="00195379"/>
    <w:rsid w:val="0019543A"/>
    <w:rsid w:val="00195D5E"/>
    <w:rsid w:val="001962A3"/>
    <w:rsid w:val="00196A2F"/>
    <w:rsid w:val="00196FA9"/>
    <w:rsid w:val="001973FB"/>
    <w:rsid w:val="00197931"/>
    <w:rsid w:val="00197E17"/>
    <w:rsid w:val="00197F01"/>
    <w:rsid w:val="001A1300"/>
    <w:rsid w:val="001A1C00"/>
    <w:rsid w:val="001A1C9A"/>
    <w:rsid w:val="001A2E40"/>
    <w:rsid w:val="001A305A"/>
    <w:rsid w:val="001A317A"/>
    <w:rsid w:val="001A348F"/>
    <w:rsid w:val="001A374A"/>
    <w:rsid w:val="001A48D9"/>
    <w:rsid w:val="001A4CA8"/>
    <w:rsid w:val="001A514C"/>
    <w:rsid w:val="001A5353"/>
    <w:rsid w:val="001A557F"/>
    <w:rsid w:val="001A5769"/>
    <w:rsid w:val="001A5DDD"/>
    <w:rsid w:val="001A5E69"/>
    <w:rsid w:val="001A7632"/>
    <w:rsid w:val="001A78D7"/>
    <w:rsid w:val="001A7D2A"/>
    <w:rsid w:val="001B0646"/>
    <w:rsid w:val="001B09B4"/>
    <w:rsid w:val="001B0BB9"/>
    <w:rsid w:val="001B1863"/>
    <w:rsid w:val="001B1CD6"/>
    <w:rsid w:val="001B2511"/>
    <w:rsid w:val="001B2848"/>
    <w:rsid w:val="001B2BE4"/>
    <w:rsid w:val="001B2F1E"/>
    <w:rsid w:val="001B32DC"/>
    <w:rsid w:val="001B3610"/>
    <w:rsid w:val="001B36C8"/>
    <w:rsid w:val="001B390A"/>
    <w:rsid w:val="001B488E"/>
    <w:rsid w:val="001B4C6E"/>
    <w:rsid w:val="001B4CE5"/>
    <w:rsid w:val="001B53CE"/>
    <w:rsid w:val="001B574C"/>
    <w:rsid w:val="001B590A"/>
    <w:rsid w:val="001B5DBF"/>
    <w:rsid w:val="001B64F2"/>
    <w:rsid w:val="001B68FA"/>
    <w:rsid w:val="001B70D3"/>
    <w:rsid w:val="001B794D"/>
    <w:rsid w:val="001C0AF9"/>
    <w:rsid w:val="001C0C2F"/>
    <w:rsid w:val="001C0DB9"/>
    <w:rsid w:val="001C13EB"/>
    <w:rsid w:val="001C155A"/>
    <w:rsid w:val="001C1D0F"/>
    <w:rsid w:val="001C1D27"/>
    <w:rsid w:val="001C20C6"/>
    <w:rsid w:val="001C23AB"/>
    <w:rsid w:val="001C269A"/>
    <w:rsid w:val="001C2E29"/>
    <w:rsid w:val="001C31E5"/>
    <w:rsid w:val="001C326B"/>
    <w:rsid w:val="001C339D"/>
    <w:rsid w:val="001C4039"/>
    <w:rsid w:val="001C41F1"/>
    <w:rsid w:val="001C48C0"/>
    <w:rsid w:val="001C4ABA"/>
    <w:rsid w:val="001C4BDA"/>
    <w:rsid w:val="001C4E58"/>
    <w:rsid w:val="001C55A8"/>
    <w:rsid w:val="001C56AE"/>
    <w:rsid w:val="001C5E73"/>
    <w:rsid w:val="001C66AE"/>
    <w:rsid w:val="001C7015"/>
    <w:rsid w:val="001C7720"/>
    <w:rsid w:val="001D034D"/>
    <w:rsid w:val="001D05AC"/>
    <w:rsid w:val="001D09D4"/>
    <w:rsid w:val="001D1583"/>
    <w:rsid w:val="001D1EBA"/>
    <w:rsid w:val="001D2517"/>
    <w:rsid w:val="001D2FDE"/>
    <w:rsid w:val="001D33FB"/>
    <w:rsid w:val="001D3B38"/>
    <w:rsid w:val="001D3DF5"/>
    <w:rsid w:val="001D44E1"/>
    <w:rsid w:val="001D47DD"/>
    <w:rsid w:val="001D4850"/>
    <w:rsid w:val="001D5A56"/>
    <w:rsid w:val="001D5CFF"/>
    <w:rsid w:val="001D66F4"/>
    <w:rsid w:val="001D6726"/>
    <w:rsid w:val="001D7E05"/>
    <w:rsid w:val="001D7F11"/>
    <w:rsid w:val="001E0003"/>
    <w:rsid w:val="001E0771"/>
    <w:rsid w:val="001E0B7B"/>
    <w:rsid w:val="001E18F9"/>
    <w:rsid w:val="001E1F39"/>
    <w:rsid w:val="001E2086"/>
    <w:rsid w:val="001E208A"/>
    <w:rsid w:val="001E34CD"/>
    <w:rsid w:val="001E3BD1"/>
    <w:rsid w:val="001E404D"/>
    <w:rsid w:val="001E4353"/>
    <w:rsid w:val="001E4C70"/>
    <w:rsid w:val="001E4E95"/>
    <w:rsid w:val="001E5389"/>
    <w:rsid w:val="001E580B"/>
    <w:rsid w:val="001E5C3A"/>
    <w:rsid w:val="001E5DD4"/>
    <w:rsid w:val="001E67CE"/>
    <w:rsid w:val="001E68D0"/>
    <w:rsid w:val="001E6B4A"/>
    <w:rsid w:val="001E7825"/>
    <w:rsid w:val="001E7EF9"/>
    <w:rsid w:val="001F0A61"/>
    <w:rsid w:val="001F0B45"/>
    <w:rsid w:val="001F1ADA"/>
    <w:rsid w:val="001F229B"/>
    <w:rsid w:val="001F25BE"/>
    <w:rsid w:val="001F2A00"/>
    <w:rsid w:val="001F2EB2"/>
    <w:rsid w:val="001F2F42"/>
    <w:rsid w:val="001F3347"/>
    <w:rsid w:val="001F3B5C"/>
    <w:rsid w:val="001F41B4"/>
    <w:rsid w:val="001F41FE"/>
    <w:rsid w:val="001F4440"/>
    <w:rsid w:val="001F4CCB"/>
    <w:rsid w:val="001F57E4"/>
    <w:rsid w:val="001F5D02"/>
    <w:rsid w:val="001F6228"/>
    <w:rsid w:val="001F6260"/>
    <w:rsid w:val="001F69E4"/>
    <w:rsid w:val="001F69FA"/>
    <w:rsid w:val="001F6ABC"/>
    <w:rsid w:val="001F6BD0"/>
    <w:rsid w:val="0020036A"/>
    <w:rsid w:val="00200F8B"/>
    <w:rsid w:val="002014A9"/>
    <w:rsid w:val="002016F6"/>
    <w:rsid w:val="00201971"/>
    <w:rsid w:val="00201B12"/>
    <w:rsid w:val="0020209E"/>
    <w:rsid w:val="00202CF3"/>
    <w:rsid w:val="00203322"/>
    <w:rsid w:val="0020643D"/>
    <w:rsid w:val="00206A65"/>
    <w:rsid w:val="00206BA8"/>
    <w:rsid w:val="00206F8D"/>
    <w:rsid w:val="002073F0"/>
    <w:rsid w:val="00207AAD"/>
    <w:rsid w:val="00210667"/>
    <w:rsid w:val="00211F6F"/>
    <w:rsid w:val="00211FE8"/>
    <w:rsid w:val="00212D31"/>
    <w:rsid w:val="002130C7"/>
    <w:rsid w:val="00213A8F"/>
    <w:rsid w:val="00213D96"/>
    <w:rsid w:val="00214966"/>
    <w:rsid w:val="0021518B"/>
    <w:rsid w:val="00215AB7"/>
    <w:rsid w:val="00215F1C"/>
    <w:rsid w:val="00216A9A"/>
    <w:rsid w:val="00216CAF"/>
    <w:rsid w:val="002175F5"/>
    <w:rsid w:val="002205DE"/>
    <w:rsid w:val="00220C9C"/>
    <w:rsid w:val="00221065"/>
    <w:rsid w:val="00221100"/>
    <w:rsid w:val="002218A8"/>
    <w:rsid w:val="0022306D"/>
    <w:rsid w:val="00223098"/>
    <w:rsid w:val="002234B6"/>
    <w:rsid w:val="00224382"/>
    <w:rsid w:val="002245CD"/>
    <w:rsid w:val="002246BB"/>
    <w:rsid w:val="0022488E"/>
    <w:rsid w:val="00224CE8"/>
    <w:rsid w:val="00225673"/>
    <w:rsid w:val="00225D6F"/>
    <w:rsid w:val="002264AA"/>
    <w:rsid w:val="00226574"/>
    <w:rsid w:val="002265AF"/>
    <w:rsid w:val="00226AB1"/>
    <w:rsid w:val="00227605"/>
    <w:rsid w:val="00227736"/>
    <w:rsid w:val="00227845"/>
    <w:rsid w:val="002278EC"/>
    <w:rsid w:val="00230FF8"/>
    <w:rsid w:val="002314C3"/>
    <w:rsid w:val="002321FB"/>
    <w:rsid w:val="00232A14"/>
    <w:rsid w:val="002339BB"/>
    <w:rsid w:val="0023402E"/>
    <w:rsid w:val="0023417E"/>
    <w:rsid w:val="0023522C"/>
    <w:rsid w:val="002357C7"/>
    <w:rsid w:val="0023598B"/>
    <w:rsid w:val="00235CFF"/>
    <w:rsid w:val="00235FC4"/>
    <w:rsid w:val="002361A9"/>
    <w:rsid w:val="002365CD"/>
    <w:rsid w:val="00236653"/>
    <w:rsid w:val="002367C4"/>
    <w:rsid w:val="00237BFC"/>
    <w:rsid w:val="002402D7"/>
    <w:rsid w:val="00240974"/>
    <w:rsid w:val="002409B0"/>
    <w:rsid w:val="00240FD5"/>
    <w:rsid w:val="002410F5"/>
    <w:rsid w:val="00241D2A"/>
    <w:rsid w:val="00241F4B"/>
    <w:rsid w:val="0024283C"/>
    <w:rsid w:val="00243E0E"/>
    <w:rsid w:val="002444CA"/>
    <w:rsid w:val="00245183"/>
    <w:rsid w:val="00245342"/>
    <w:rsid w:val="00246297"/>
    <w:rsid w:val="00246F2A"/>
    <w:rsid w:val="00247368"/>
    <w:rsid w:val="00247C6B"/>
    <w:rsid w:val="00250C12"/>
    <w:rsid w:val="00251053"/>
    <w:rsid w:val="002515A7"/>
    <w:rsid w:val="002517BC"/>
    <w:rsid w:val="00251A28"/>
    <w:rsid w:val="00251D6E"/>
    <w:rsid w:val="00251F4A"/>
    <w:rsid w:val="0025292D"/>
    <w:rsid w:val="002531E6"/>
    <w:rsid w:val="002533FE"/>
    <w:rsid w:val="00253683"/>
    <w:rsid w:val="00253F52"/>
    <w:rsid w:val="00254EAD"/>
    <w:rsid w:val="00255759"/>
    <w:rsid w:val="00255F0E"/>
    <w:rsid w:val="00256206"/>
    <w:rsid w:val="0025679E"/>
    <w:rsid w:val="00256903"/>
    <w:rsid w:val="00256C76"/>
    <w:rsid w:val="00256CA5"/>
    <w:rsid w:val="002577E6"/>
    <w:rsid w:val="00260C68"/>
    <w:rsid w:val="002619DD"/>
    <w:rsid w:val="00262209"/>
    <w:rsid w:val="0026251E"/>
    <w:rsid w:val="002632AA"/>
    <w:rsid w:val="002633B4"/>
    <w:rsid w:val="00263F92"/>
    <w:rsid w:val="00264156"/>
    <w:rsid w:val="002643BB"/>
    <w:rsid w:val="00264456"/>
    <w:rsid w:val="002648B0"/>
    <w:rsid w:val="00265860"/>
    <w:rsid w:val="002671C5"/>
    <w:rsid w:val="00267200"/>
    <w:rsid w:val="00267983"/>
    <w:rsid w:val="00267D9A"/>
    <w:rsid w:val="00267F17"/>
    <w:rsid w:val="00270BFD"/>
    <w:rsid w:val="0027165F"/>
    <w:rsid w:val="00273F4A"/>
    <w:rsid w:val="00273F6F"/>
    <w:rsid w:val="002744FA"/>
    <w:rsid w:val="00274E47"/>
    <w:rsid w:val="00275271"/>
    <w:rsid w:val="0027535E"/>
    <w:rsid w:val="00275681"/>
    <w:rsid w:val="00275AA6"/>
    <w:rsid w:val="0027612D"/>
    <w:rsid w:val="0027618F"/>
    <w:rsid w:val="002766B1"/>
    <w:rsid w:val="00276A34"/>
    <w:rsid w:val="00276C94"/>
    <w:rsid w:val="00276EEF"/>
    <w:rsid w:val="00277709"/>
    <w:rsid w:val="00277C16"/>
    <w:rsid w:val="00277FBD"/>
    <w:rsid w:val="002807D5"/>
    <w:rsid w:val="00280EAE"/>
    <w:rsid w:val="00281D51"/>
    <w:rsid w:val="00281FF3"/>
    <w:rsid w:val="00282CCD"/>
    <w:rsid w:val="00282FB0"/>
    <w:rsid w:val="00283861"/>
    <w:rsid w:val="00283B50"/>
    <w:rsid w:val="0028418D"/>
    <w:rsid w:val="00284B44"/>
    <w:rsid w:val="00285FFF"/>
    <w:rsid w:val="00286936"/>
    <w:rsid w:val="002869AA"/>
    <w:rsid w:val="00287713"/>
    <w:rsid w:val="002909B9"/>
    <w:rsid w:val="00290A5F"/>
    <w:rsid w:val="00290CA6"/>
    <w:rsid w:val="00291440"/>
    <w:rsid w:val="00291B2F"/>
    <w:rsid w:val="00291DA0"/>
    <w:rsid w:val="00291FBB"/>
    <w:rsid w:val="002931EB"/>
    <w:rsid w:val="00293204"/>
    <w:rsid w:val="0029451C"/>
    <w:rsid w:val="00294DC6"/>
    <w:rsid w:val="00295087"/>
    <w:rsid w:val="00295C48"/>
    <w:rsid w:val="00297FAA"/>
    <w:rsid w:val="002A0992"/>
    <w:rsid w:val="002A168C"/>
    <w:rsid w:val="002A17AE"/>
    <w:rsid w:val="002A17F6"/>
    <w:rsid w:val="002A1DD8"/>
    <w:rsid w:val="002A1E32"/>
    <w:rsid w:val="002A25A4"/>
    <w:rsid w:val="002A2C48"/>
    <w:rsid w:val="002A2EB8"/>
    <w:rsid w:val="002A337F"/>
    <w:rsid w:val="002A34DE"/>
    <w:rsid w:val="002A359E"/>
    <w:rsid w:val="002A3EED"/>
    <w:rsid w:val="002A4161"/>
    <w:rsid w:val="002A459E"/>
    <w:rsid w:val="002A4A39"/>
    <w:rsid w:val="002A4C7F"/>
    <w:rsid w:val="002A4E89"/>
    <w:rsid w:val="002A514B"/>
    <w:rsid w:val="002A5432"/>
    <w:rsid w:val="002A54FC"/>
    <w:rsid w:val="002A58F9"/>
    <w:rsid w:val="002A5A17"/>
    <w:rsid w:val="002A6425"/>
    <w:rsid w:val="002B0016"/>
    <w:rsid w:val="002B022B"/>
    <w:rsid w:val="002B03D9"/>
    <w:rsid w:val="002B0BAE"/>
    <w:rsid w:val="002B14C7"/>
    <w:rsid w:val="002B3761"/>
    <w:rsid w:val="002B3AF6"/>
    <w:rsid w:val="002B3B9A"/>
    <w:rsid w:val="002B46B5"/>
    <w:rsid w:val="002B49E2"/>
    <w:rsid w:val="002B5195"/>
    <w:rsid w:val="002B5959"/>
    <w:rsid w:val="002B6B10"/>
    <w:rsid w:val="002B702A"/>
    <w:rsid w:val="002B704D"/>
    <w:rsid w:val="002B7B00"/>
    <w:rsid w:val="002B7C44"/>
    <w:rsid w:val="002B7EC0"/>
    <w:rsid w:val="002C09E3"/>
    <w:rsid w:val="002C0E4C"/>
    <w:rsid w:val="002C0EB2"/>
    <w:rsid w:val="002C1388"/>
    <w:rsid w:val="002C2896"/>
    <w:rsid w:val="002C3224"/>
    <w:rsid w:val="002C3C6A"/>
    <w:rsid w:val="002C4A5D"/>
    <w:rsid w:val="002C4EFF"/>
    <w:rsid w:val="002C5654"/>
    <w:rsid w:val="002C665B"/>
    <w:rsid w:val="002C798D"/>
    <w:rsid w:val="002D020D"/>
    <w:rsid w:val="002D05FE"/>
    <w:rsid w:val="002D0901"/>
    <w:rsid w:val="002D095F"/>
    <w:rsid w:val="002D0AF0"/>
    <w:rsid w:val="002D120B"/>
    <w:rsid w:val="002D1726"/>
    <w:rsid w:val="002D1D08"/>
    <w:rsid w:val="002D1FE1"/>
    <w:rsid w:val="002D22C5"/>
    <w:rsid w:val="002D2450"/>
    <w:rsid w:val="002D27B3"/>
    <w:rsid w:val="002D3C21"/>
    <w:rsid w:val="002D3F36"/>
    <w:rsid w:val="002D42DB"/>
    <w:rsid w:val="002D4451"/>
    <w:rsid w:val="002D4737"/>
    <w:rsid w:val="002D5045"/>
    <w:rsid w:val="002D50CF"/>
    <w:rsid w:val="002D5129"/>
    <w:rsid w:val="002D53D6"/>
    <w:rsid w:val="002D667B"/>
    <w:rsid w:val="002D6988"/>
    <w:rsid w:val="002D7D33"/>
    <w:rsid w:val="002E03FF"/>
    <w:rsid w:val="002E094F"/>
    <w:rsid w:val="002E0AF8"/>
    <w:rsid w:val="002E1181"/>
    <w:rsid w:val="002E11BA"/>
    <w:rsid w:val="002E1F3A"/>
    <w:rsid w:val="002E1FA1"/>
    <w:rsid w:val="002E202C"/>
    <w:rsid w:val="002E23B0"/>
    <w:rsid w:val="002E28D0"/>
    <w:rsid w:val="002E298A"/>
    <w:rsid w:val="002E2EFB"/>
    <w:rsid w:val="002E3F26"/>
    <w:rsid w:val="002E597E"/>
    <w:rsid w:val="002E6075"/>
    <w:rsid w:val="002E63A5"/>
    <w:rsid w:val="002E7166"/>
    <w:rsid w:val="002E73B9"/>
    <w:rsid w:val="002F02A4"/>
    <w:rsid w:val="002F043B"/>
    <w:rsid w:val="002F0732"/>
    <w:rsid w:val="002F0E98"/>
    <w:rsid w:val="002F135E"/>
    <w:rsid w:val="002F1551"/>
    <w:rsid w:val="002F272B"/>
    <w:rsid w:val="002F362A"/>
    <w:rsid w:val="002F3DDD"/>
    <w:rsid w:val="002F4A41"/>
    <w:rsid w:val="002F4C49"/>
    <w:rsid w:val="002F50F8"/>
    <w:rsid w:val="002F5AE2"/>
    <w:rsid w:val="002F6039"/>
    <w:rsid w:val="002F6DC1"/>
    <w:rsid w:val="002F774B"/>
    <w:rsid w:val="002F7C6D"/>
    <w:rsid w:val="002F7E70"/>
    <w:rsid w:val="003003EC"/>
    <w:rsid w:val="00301C89"/>
    <w:rsid w:val="003021FC"/>
    <w:rsid w:val="003027E4"/>
    <w:rsid w:val="00303033"/>
    <w:rsid w:val="0030332C"/>
    <w:rsid w:val="00303610"/>
    <w:rsid w:val="00303815"/>
    <w:rsid w:val="003046B3"/>
    <w:rsid w:val="00304EB3"/>
    <w:rsid w:val="0030513E"/>
    <w:rsid w:val="00305872"/>
    <w:rsid w:val="00305F67"/>
    <w:rsid w:val="0030657C"/>
    <w:rsid w:val="0030681E"/>
    <w:rsid w:val="00306874"/>
    <w:rsid w:val="0030713F"/>
    <w:rsid w:val="00307207"/>
    <w:rsid w:val="00307F98"/>
    <w:rsid w:val="00310649"/>
    <w:rsid w:val="00310F86"/>
    <w:rsid w:val="00311B2E"/>
    <w:rsid w:val="00312296"/>
    <w:rsid w:val="0031246A"/>
    <w:rsid w:val="00312F94"/>
    <w:rsid w:val="003130F0"/>
    <w:rsid w:val="0031326F"/>
    <w:rsid w:val="003132B2"/>
    <w:rsid w:val="003133F1"/>
    <w:rsid w:val="0031340E"/>
    <w:rsid w:val="00313E9C"/>
    <w:rsid w:val="00314EDE"/>
    <w:rsid w:val="003153D6"/>
    <w:rsid w:val="003161B8"/>
    <w:rsid w:val="00316464"/>
    <w:rsid w:val="003164E3"/>
    <w:rsid w:val="0031661B"/>
    <w:rsid w:val="0031728F"/>
    <w:rsid w:val="003176A4"/>
    <w:rsid w:val="003203D3"/>
    <w:rsid w:val="0032073A"/>
    <w:rsid w:val="003208F0"/>
    <w:rsid w:val="00320A83"/>
    <w:rsid w:val="00320ABD"/>
    <w:rsid w:val="00320FC4"/>
    <w:rsid w:val="003212B2"/>
    <w:rsid w:val="00321D8E"/>
    <w:rsid w:val="003220FB"/>
    <w:rsid w:val="003225D4"/>
    <w:rsid w:val="003227DF"/>
    <w:rsid w:val="00322868"/>
    <w:rsid w:val="00322BDE"/>
    <w:rsid w:val="003236ED"/>
    <w:rsid w:val="00323B74"/>
    <w:rsid w:val="00323D74"/>
    <w:rsid w:val="003243E8"/>
    <w:rsid w:val="00324BC2"/>
    <w:rsid w:val="00325134"/>
    <w:rsid w:val="0032660D"/>
    <w:rsid w:val="00326B2D"/>
    <w:rsid w:val="00327220"/>
    <w:rsid w:val="003275EA"/>
    <w:rsid w:val="0032771A"/>
    <w:rsid w:val="003277E3"/>
    <w:rsid w:val="00327BC7"/>
    <w:rsid w:val="0033008D"/>
    <w:rsid w:val="0033016A"/>
    <w:rsid w:val="003307FA"/>
    <w:rsid w:val="00330A8E"/>
    <w:rsid w:val="00331207"/>
    <w:rsid w:val="00331A20"/>
    <w:rsid w:val="00332659"/>
    <w:rsid w:val="00332DC6"/>
    <w:rsid w:val="00333837"/>
    <w:rsid w:val="00333AF9"/>
    <w:rsid w:val="00333C0B"/>
    <w:rsid w:val="00333D81"/>
    <w:rsid w:val="00333D8C"/>
    <w:rsid w:val="003347F5"/>
    <w:rsid w:val="00334996"/>
    <w:rsid w:val="003350B3"/>
    <w:rsid w:val="0033515C"/>
    <w:rsid w:val="00335DB6"/>
    <w:rsid w:val="00336969"/>
    <w:rsid w:val="00336C52"/>
    <w:rsid w:val="003378DD"/>
    <w:rsid w:val="003404C5"/>
    <w:rsid w:val="00341220"/>
    <w:rsid w:val="00341B3E"/>
    <w:rsid w:val="00341B42"/>
    <w:rsid w:val="00341F2C"/>
    <w:rsid w:val="00342DCC"/>
    <w:rsid w:val="00343AEE"/>
    <w:rsid w:val="00344B63"/>
    <w:rsid w:val="00344C69"/>
    <w:rsid w:val="00345154"/>
    <w:rsid w:val="00345449"/>
    <w:rsid w:val="0034560E"/>
    <w:rsid w:val="00345AE8"/>
    <w:rsid w:val="00345FEE"/>
    <w:rsid w:val="0034680F"/>
    <w:rsid w:val="00346962"/>
    <w:rsid w:val="00346C5D"/>
    <w:rsid w:val="00347865"/>
    <w:rsid w:val="00350523"/>
    <w:rsid w:val="00350601"/>
    <w:rsid w:val="003510B5"/>
    <w:rsid w:val="00351C58"/>
    <w:rsid w:val="00352685"/>
    <w:rsid w:val="003526D3"/>
    <w:rsid w:val="00352975"/>
    <w:rsid w:val="00354566"/>
    <w:rsid w:val="00354D10"/>
    <w:rsid w:val="00354DD1"/>
    <w:rsid w:val="00355427"/>
    <w:rsid w:val="003557F2"/>
    <w:rsid w:val="00355898"/>
    <w:rsid w:val="00355AA3"/>
    <w:rsid w:val="00355DFD"/>
    <w:rsid w:val="00355E1A"/>
    <w:rsid w:val="00356074"/>
    <w:rsid w:val="00356868"/>
    <w:rsid w:val="00356A7B"/>
    <w:rsid w:val="00356C9A"/>
    <w:rsid w:val="0035733F"/>
    <w:rsid w:val="003579C7"/>
    <w:rsid w:val="003602A3"/>
    <w:rsid w:val="0036094B"/>
    <w:rsid w:val="00360B87"/>
    <w:rsid w:val="0036179E"/>
    <w:rsid w:val="00361BD2"/>
    <w:rsid w:val="00361CF9"/>
    <w:rsid w:val="00361E5B"/>
    <w:rsid w:val="00362271"/>
    <w:rsid w:val="00362483"/>
    <w:rsid w:val="00363B8D"/>
    <w:rsid w:val="0036485B"/>
    <w:rsid w:val="0036495B"/>
    <w:rsid w:val="00365706"/>
    <w:rsid w:val="00365BB9"/>
    <w:rsid w:val="00366622"/>
    <w:rsid w:val="0036671E"/>
    <w:rsid w:val="00366B88"/>
    <w:rsid w:val="00366F6D"/>
    <w:rsid w:val="00367158"/>
    <w:rsid w:val="00367698"/>
    <w:rsid w:val="00367A43"/>
    <w:rsid w:val="00367C09"/>
    <w:rsid w:val="00367C15"/>
    <w:rsid w:val="00367F97"/>
    <w:rsid w:val="00371820"/>
    <w:rsid w:val="00371B1E"/>
    <w:rsid w:val="00371D1F"/>
    <w:rsid w:val="0037262C"/>
    <w:rsid w:val="00373595"/>
    <w:rsid w:val="00373B0D"/>
    <w:rsid w:val="00373F63"/>
    <w:rsid w:val="0037497E"/>
    <w:rsid w:val="00374C0B"/>
    <w:rsid w:val="00375060"/>
    <w:rsid w:val="00375564"/>
    <w:rsid w:val="003756A6"/>
    <w:rsid w:val="00376577"/>
    <w:rsid w:val="00376988"/>
    <w:rsid w:val="0037730A"/>
    <w:rsid w:val="00377402"/>
    <w:rsid w:val="00380B27"/>
    <w:rsid w:val="00380B43"/>
    <w:rsid w:val="00380EC3"/>
    <w:rsid w:val="003813C0"/>
    <w:rsid w:val="00381744"/>
    <w:rsid w:val="00381A72"/>
    <w:rsid w:val="00381BA9"/>
    <w:rsid w:val="00381D84"/>
    <w:rsid w:val="0038282F"/>
    <w:rsid w:val="00382E6A"/>
    <w:rsid w:val="00383BF8"/>
    <w:rsid w:val="00383F6B"/>
    <w:rsid w:val="00384640"/>
    <w:rsid w:val="00384FD1"/>
    <w:rsid w:val="00385187"/>
    <w:rsid w:val="00385734"/>
    <w:rsid w:val="0038598F"/>
    <w:rsid w:val="00386B4C"/>
    <w:rsid w:val="003873AA"/>
    <w:rsid w:val="00390362"/>
    <w:rsid w:val="0039125E"/>
    <w:rsid w:val="00391672"/>
    <w:rsid w:val="00391C16"/>
    <w:rsid w:val="00392BB6"/>
    <w:rsid w:val="0039314E"/>
    <w:rsid w:val="00393890"/>
    <w:rsid w:val="003939F0"/>
    <w:rsid w:val="00394433"/>
    <w:rsid w:val="00394944"/>
    <w:rsid w:val="003949DE"/>
    <w:rsid w:val="00395135"/>
    <w:rsid w:val="0039679B"/>
    <w:rsid w:val="003970D5"/>
    <w:rsid w:val="00397633"/>
    <w:rsid w:val="00397DDF"/>
    <w:rsid w:val="00397EE5"/>
    <w:rsid w:val="003A0476"/>
    <w:rsid w:val="003A1948"/>
    <w:rsid w:val="003A1AB5"/>
    <w:rsid w:val="003A1DFE"/>
    <w:rsid w:val="003A2361"/>
    <w:rsid w:val="003A29E4"/>
    <w:rsid w:val="003A2EF3"/>
    <w:rsid w:val="003A3902"/>
    <w:rsid w:val="003A4098"/>
    <w:rsid w:val="003A5E4B"/>
    <w:rsid w:val="003A61A4"/>
    <w:rsid w:val="003A645B"/>
    <w:rsid w:val="003A6531"/>
    <w:rsid w:val="003A6AF3"/>
    <w:rsid w:val="003A6C91"/>
    <w:rsid w:val="003A770A"/>
    <w:rsid w:val="003A7CC4"/>
    <w:rsid w:val="003A7F79"/>
    <w:rsid w:val="003B0B7E"/>
    <w:rsid w:val="003B0F79"/>
    <w:rsid w:val="003B139B"/>
    <w:rsid w:val="003B13CF"/>
    <w:rsid w:val="003B152A"/>
    <w:rsid w:val="003B15FA"/>
    <w:rsid w:val="003B1C9C"/>
    <w:rsid w:val="003B200F"/>
    <w:rsid w:val="003B224A"/>
    <w:rsid w:val="003B313D"/>
    <w:rsid w:val="003B3B24"/>
    <w:rsid w:val="003B3F4E"/>
    <w:rsid w:val="003B474B"/>
    <w:rsid w:val="003B48F9"/>
    <w:rsid w:val="003B4AE0"/>
    <w:rsid w:val="003B5119"/>
    <w:rsid w:val="003B545B"/>
    <w:rsid w:val="003B5627"/>
    <w:rsid w:val="003B5F4E"/>
    <w:rsid w:val="003B5F6E"/>
    <w:rsid w:val="003B5F78"/>
    <w:rsid w:val="003B6C51"/>
    <w:rsid w:val="003B6F18"/>
    <w:rsid w:val="003B72B0"/>
    <w:rsid w:val="003C3107"/>
    <w:rsid w:val="003C39F4"/>
    <w:rsid w:val="003C4659"/>
    <w:rsid w:val="003C47BE"/>
    <w:rsid w:val="003C514D"/>
    <w:rsid w:val="003C54AE"/>
    <w:rsid w:val="003C5A5E"/>
    <w:rsid w:val="003C6C10"/>
    <w:rsid w:val="003C6E68"/>
    <w:rsid w:val="003C71F6"/>
    <w:rsid w:val="003C7577"/>
    <w:rsid w:val="003C7592"/>
    <w:rsid w:val="003D0F92"/>
    <w:rsid w:val="003D1257"/>
    <w:rsid w:val="003D193F"/>
    <w:rsid w:val="003D3EE9"/>
    <w:rsid w:val="003D3F92"/>
    <w:rsid w:val="003D4756"/>
    <w:rsid w:val="003D576C"/>
    <w:rsid w:val="003D5A33"/>
    <w:rsid w:val="003D5D29"/>
    <w:rsid w:val="003D60F2"/>
    <w:rsid w:val="003D64CA"/>
    <w:rsid w:val="003D6C62"/>
    <w:rsid w:val="003D6E78"/>
    <w:rsid w:val="003D7D24"/>
    <w:rsid w:val="003D7D9F"/>
    <w:rsid w:val="003D7EDE"/>
    <w:rsid w:val="003E0392"/>
    <w:rsid w:val="003E0978"/>
    <w:rsid w:val="003E0A0D"/>
    <w:rsid w:val="003E0B9D"/>
    <w:rsid w:val="003E0C89"/>
    <w:rsid w:val="003E1FEC"/>
    <w:rsid w:val="003E367F"/>
    <w:rsid w:val="003E3A5B"/>
    <w:rsid w:val="003E3B9D"/>
    <w:rsid w:val="003E3C3D"/>
    <w:rsid w:val="003E4281"/>
    <w:rsid w:val="003E4A85"/>
    <w:rsid w:val="003E52DC"/>
    <w:rsid w:val="003E5FCF"/>
    <w:rsid w:val="003E6087"/>
    <w:rsid w:val="003E61A0"/>
    <w:rsid w:val="003E66B3"/>
    <w:rsid w:val="003E6730"/>
    <w:rsid w:val="003E7681"/>
    <w:rsid w:val="003E7833"/>
    <w:rsid w:val="003E7A4E"/>
    <w:rsid w:val="003E7A5E"/>
    <w:rsid w:val="003E7F21"/>
    <w:rsid w:val="003E7F2D"/>
    <w:rsid w:val="003F0679"/>
    <w:rsid w:val="003F0809"/>
    <w:rsid w:val="003F0AE4"/>
    <w:rsid w:val="003F1AC4"/>
    <w:rsid w:val="003F25E6"/>
    <w:rsid w:val="003F2659"/>
    <w:rsid w:val="003F2801"/>
    <w:rsid w:val="003F2A47"/>
    <w:rsid w:val="003F319A"/>
    <w:rsid w:val="003F338A"/>
    <w:rsid w:val="003F396F"/>
    <w:rsid w:val="003F3C71"/>
    <w:rsid w:val="003F3DB1"/>
    <w:rsid w:val="003F44E7"/>
    <w:rsid w:val="003F4580"/>
    <w:rsid w:val="003F48E7"/>
    <w:rsid w:val="003F4A5D"/>
    <w:rsid w:val="003F59E1"/>
    <w:rsid w:val="003F611C"/>
    <w:rsid w:val="003F6C56"/>
    <w:rsid w:val="003F6D8C"/>
    <w:rsid w:val="003F7252"/>
    <w:rsid w:val="003F7340"/>
    <w:rsid w:val="003F755C"/>
    <w:rsid w:val="003F78A5"/>
    <w:rsid w:val="0040079E"/>
    <w:rsid w:val="00401980"/>
    <w:rsid w:val="0040262F"/>
    <w:rsid w:val="00402809"/>
    <w:rsid w:val="0040326F"/>
    <w:rsid w:val="00403502"/>
    <w:rsid w:val="00403A1B"/>
    <w:rsid w:val="00403C80"/>
    <w:rsid w:val="00403EBD"/>
    <w:rsid w:val="004041C6"/>
    <w:rsid w:val="004044A4"/>
    <w:rsid w:val="00404A48"/>
    <w:rsid w:val="00404E55"/>
    <w:rsid w:val="00405782"/>
    <w:rsid w:val="00405BC3"/>
    <w:rsid w:val="00405DAB"/>
    <w:rsid w:val="00406503"/>
    <w:rsid w:val="00406D67"/>
    <w:rsid w:val="00406E41"/>
    <w:rsid w:val="00406F01"/>
    <w:rsid w:val="004073D0"/>
    <w:rsid w:val="0040744A"/>
    <w:rsid w:val="00407A24"/>
    <w:rsid w:val="004100B3"/>
    <w:rsid w:val="004113E1"/>
    <w:rsid w:val="00411883"/>
    <w:rsid w:val="00411B36"/>
    <w:rsid w:val="004121A1"/>
    <w:rsid w:val="004121D7"/>
    <w:rsid w:val="00412669"/>
    <w:rsid w:val="004134DE"/>
    <w:rsid w:val="0041396B"/>
    <w:rsid w:val="00413AEE"/>
    <w:rsid w:val="00414511"/>
    <w:rsid w:val="0041478C"/>
    <w:rsid w:val="00414ABF"/>
    <w:rsid w:val="00415345"/>
    <w:rsid w:val="00415590"/>
    <w:rsid w:val="0041560F"/>
    <w:rsid w:val="004159EA"/>
    <w:rsid w:val="00415C74"/>
    <w:rsid w:val="00416D50"/>
    <w:rsid w:val="00417114"/>
    <w:rsid w:val="0041764D"/>
    <w:rsid w:val="00417772"/>
    <w:rsid w:val="0041782C"/>
    <w:rsid w:val="00417EAD"/>
    <w:rsid w:val="004209B9"/>
    <w:rsid w:val="00420E6A"/>
    <w:rsid w:val="004212B3"/>
    <w:rsid w:val="00421ABE"/>
    <w:rsid w:val="00421EEF"/>
    <w:rsid w:val="00423C12"/>
    <w:rsid w:val="004245CD"/>
    <w:rsid w:val="004253A7"/>
    <w:rsid w:val="004260D6"/>
    <w:rsid w:val="00426131"/>
    <w:rsid w:val="00426621"/>
    <w:rsid w:val="004268EB"/>
    <w:rsid w:val="00427008"/>
    <w:rsid w:val="004270A8"/>
    <w:rsid w:val="004277A7"/>
    <w:rsid w:val="00427B71"/>
    <w:rsid w:val="00427E66"/>
    <w:rsid w:val="00430256"/>
    <w:rsid w:val="0043074F"/>
    <w:rsid w:val="0043079D"/>
    <w:rsid w:val="00430917"/>
    <w:rsid w:val="004314B1"/>
    <w:rsid w:val="00431916"/>
    <w:rsid w:val="00432A9D"/>
    <w:rsid w:val="00432AB8"/>
    <w:rsid w:val="0043359B"/>
    <w:rsid w:val="004337B7"/>
    <w:rsid w:val="00433CA9"/>
    <w:rsid w:val="00433F8C"/>
    <w:rsid w:val="004343D2"/>
    <w:rsid w:val="0043470C"/>
    <w:rsid w:val="00434E73"/>
    <w:rsid w:val="00435118"/>
    <w:rsid w:val="0043521D"/>
    <w:rsid w:val="0043527F"/>
    <w:rsid w:val="0043583E"/>
    <w:rsid w:val="004359C8"/>
    <w:rsid w:val="00435E23"/>
    <w:rsid w:val="00436490"/>
    <w:rsid w:val="00436772"/>
    <w:rsid w:val="00436D87"/>
    <w:rsid w:val="00437E2B"/>
    <w:rsid w:val="00440178"/>
    <w:rsid w:val="00440BB3"/>
    <w:rsid w:val="00440E47"/>
    <w:rsid w:val="00441FDF"/>
    <w:rsid w:val="00442024"/>
    <w:rsid w:val="0044254C"/>
    <w:rsid w:val="00443939"/>
    <w:rsid w:val="00443F6A"/>
    <w:rsid w:val="0044452B"/>
    <w:rsid w:val="00444862"/>
    <w:rsid w:val="00444A44"/>
    <w:rsid w:val="00444A5A"/>
    <w:rsid w:val="00444CD8"/>
    <w:rsid w:val="004452CC"/>
    <w:rsid w:val="00445AA7"/>
    <w:rsid w:val="00445BB1"/>
    <w:rsid w:val="00445C6A"/>
    <w:rsid w:val="0044621E"/>
    <w:rsid w:val="004471BB"/>
    <w:rsid w:val="0044775C"/>
    <w:rsid w:val="00447EF9"/>
    <w:rsid w:val="004505BD"/>
    <w:rsid w:val="00450825"/>
    <w:rsid w:val="0045096F"/>
    <w:rsid w:val="00450A17"/>
    <w:rsid w:val="00450D0B"/>
    <w:rsid w:val="004512BA"/>
    <w:rsid w:val="00451A9C"/>
    <w:rsid w:val="004529AB"/>
    <w:rsid w:val="00452CEA"/>
    <w:rsid w:val="00453036"/>
    <w:rsid w:val="0045375F"/>
    <w:rsid w:val="00454142"/>
    <w:rsid w:val="00454DCE"/>
    <w:rsid w:val="00455365"/>
    <w:rsid w:val="00455A68"/>
    <w:rsid w:val="00456490"/>
    <w:rsid w:val="00457D1F"/>
    <w:rsid w:val="00460143"/>
    <w:rsid w:val="00461D45"/>
    <w:rsid w:val="00461E38"/>
    <w:rsid w:val="004625DF"/>
    <w:rsid w:val="0046320B"/>
    <w:rsid w:val="004638B4"/>
    <w:rsid w:val="00463936"/>
    <w:rsid w:val="00463BF2"/>
    <w:rsid w:val="00463C13"/>
    <w:rsid w:val="00464416"/>
    <w:rsid w:val="00464887"/>
    <w:rsid w:val="00465C2A"/>
    <w:rsid w:val="00466321"/>
    <w:rsid w:val="004665C9"/>
    <w:rsid w:val="00466679"/>
    <w:rsid w:val="004672AF"/>
    <w:rsid w:val="00467AEC"/>
    <w:rsid w:val="00470362"/>
    <w:rsid w:val="004704AE"/>
    <w:rsid w:val="0047075E"/>
    <w:rsid w:val="0047095E"/>
    <w:rsid w:val="00470E35"/>
    <w:rsid w:val="004710CB"/>
    <w:rsid w:val="00471AD2"/>
    <w:rsid w:val="00471B2F"/>
    <w:rsid w:val="004727B0"/>
    <w:rsid w:val="00472AD6"/>
    <w:rsid w:val="00472D51"/>
    <w:rsid w:val="004730C4"/>
    <w:rsid w:val="00473835"/>
    <w:rsid w:val="004742D6"/>
    <w:rsid w:val="00474313"/>
    <w:rsid w:val="0047498C"/>
    <w:rsid w:val="00474D98"/>
    <w:rsid w:val="00474F33"/>
    <w:rsid w:val="00474F4E"/>
    <w:rsid w:val="00474F8B"/>
    <w:rsid w:val="004758B3"/>
    <w:rsid w:val="00475A84"/>
    <w:rsid w:val="00475DC3"/>
    <w:rsid w:val="00475E73"/>
    <w:rsid w:val="004771E8"/>
    <w:rsid w:val="0047795C"/>
    <w:rsid w:val="00477F87"/>
    <w:rsid w:val="00480247"/>
    <w:rsid w:val="0048081D"/>
    <w:rsid w:val="0048117E"/>
    <w:rsid w:val="004812C5"/>
    <w:rsid w:val="004814CC"/>
    <w:rsid w:val="00481933"/>
    <w:rsid w:val="004819CF"/>
    <w:rsid w:val="00482D7B"/>
    <w:rsid w:val="004836FC"/>
    <w:rsid w:val="00483E06"/>
    <w:rsid w:val="004840E9"/>
    <w:rsid w:val="004846D2"/>
    <w:rsid w:val="0048509C"/>
    <w:rsid w:val="004855F6"/>
    <w:rsid w:val="0048593E"/>
    <w:rsid w:val="00485B5E"/>
    <w:rsid w:val="00485DA4"/>
    <w:rsid w:val="004867B0"/>
    <w:rsid w:val="004869A4"/>
    <w:rsid w:val="00486F0C"/>
    <w:rsid w:val="004871D8"/>
    <w:rsid w:val="0048736E"/>
    <w:rsid w:val="004878D5"/>
    <w:rsid w:val="00487F5D"/>
    <w:rsid w:val="0049026E"/>
    <w:rsid w:val="00490DC1"/>
    <w:rsid w:val="00490EC6"/>
    <w:rsid w:val="00491064"/>
    <w:rsid w:val="00492531"/>
    <w:rsid w:val="004925D3"/>
    <w:rsid w:val="004927DB"/>
    <w:rsid w:val="00493842"/>
    <w:rsid w:val="00493E69"/>
    <w:rsid w:val="00493F0F"/>
    <w:rsid w:val="00493FB1"/>
    <w:rsid w:val="0049405C"/>
    <w:rsid w:val="00494670"/>
    <w:rsid w:val="00494985"/>
    <w:rsid w:val="00495146"/>
    <w:rsid w:val="00496805"/>
    <w:rsid w:val="00496CD0"/>
    <w:rsid w:val="00496CDD"/>
    <w:rsid w:val="00496F44"/>
    <w:rsid w:val="00497B7D"/>
    <w:rsid w:val="004A03CF"/>
    <w:rsid w:val="004A0EB4"/>
    <w:rsid w:val="004A17E7"/>
    <w:rsid w:val="004A2D30"/>
    <w:rsid w:val="004A2D96"/>
    <w:rsid w:val="004A2E61"/>
    <w:rsid w:val="004A342C"/>
    <w:rsid w:val="004A3823"/>
    <w:rsid w:val="004A3C58"/>
    <w:rsid w:val="004A4F96"/>
    <w:rsid w:val="004A50E8"/>
    <w:rsid w:val="004A57A9"/>
    <w:rsid w:val="004A5958"/>
    <w:rsid w:val="004A59BB"/>
    <w:rsid w:val="004A5C0C"/>
    <w:rsid w:val="004A6944"/>
    <w:rsid w:val="004A79AC"/>
    <w:rsid w:val="004A7D16"/>
    <w:rsid w:val="004B06C8"/>
    <w:rsid w:val="004B188E"/>
    <w:rsid w:val="004B1A72"/>
    <w:rsid w:val="004B1AF0"/>
    <w:rsid w:val="004B1FDD"/>
    <w:rsid w:val="004B2279"/>
    <w:rsid w:val="004B2B57"/>
    <w:rsid w:val="004B2F68"/>
    <w:rsid w:val="004B3A21"/>
    <w:rsid w:val="004B3D7E"/>
    <w:rsid w:val="004B4218"/>
    <w:rsid w:val="004B43A3"/>
    <w:rsid w:val="004B4C49"/>
    <w:rsid w:val="004B58A5"/>
    <w:rsid w:val="004B5F15"/>
    <w:rsid w:val="004B63D9"/>
    <w:rsid w:val="004C0457"/>
    <w:rsid w:val="004C0882"/>
    <w:rsid w:val="004C1212"/>
    <w:rsid w:val="004C183C"/>
    <w:rsid w:val="004C1E1A"/>
    <w:rsid w:val="004C1EE4"/>
    <w:rsid w:val="004C300A"/>
    <w:rsid w:val="004C34D4"/>
    <w:rsid w:val="004C3584"/>
    <w:rsid w:val="004C3605"/>
    <w:rsid w:val="004C3656"/>
    <w:rsid w:val="004C3B00"/>
    <w:rsid w:val="004C4104"/>
    <w:rsid w:val="004C4D65"/>
    <w:rsid w:val="004C55BE"/>
    <w:rsid w:val="004C5715"/>
    <w:rsid w:val="004C5BF4"/>
    <w:rsid w:val="004C640E"/>
    <w:rsid w:val="004C6D04"/>
    <w:rsid w:val="004C719C"/>
    <w:rsid w:val="004C7783"/>
    <w:rsid w:val="004D05E2"/>
    <w:rsid w:val="004D068F"/>
    <w:rsid w:val="004D0C00"/>
    <w:rsid w:val="004D0F56"/>
    <w:rsid w:val="004D134F"/>
    <w:rsid w:val="004D2166"/>
    <w:rsid w:val="004D40B7"/>
    <w:rsid w:val="004D4156"/>
    <w:rsid w:val="004D4267"/>
    <w:rsid w:val="004D4424"/>
    <w:rsid w:val="004D50A4"/>
    <w:rsid w:val="004D5D00"/>
    <w:rsid w:val="004D7274"/>
    <w:rsid w:val="004D75E4"/>
    <w:rsid w:val="004E0646"/>
    <w:rsid w:val="004E169B"/>
    <w:rsid w:val="004E186F"/>
    <w:rsid w:val="004E1FC2"/>
    <w:rsid w:val="004E21C2"/>
    <w:rsid w:val="004E3DE3"/>
    <w:rsid w:val="004E4138"/>
    <w:rsid w:val="004E45EF"/>
    <w:rsid w:val="004E4679"/>
    <w:rsid w:val="004E4E20"/>
    <w:rsid w:val="004E50FA"/>
    <w:rsid w:val="004E51EA"/>
    <w:rsid w:val="004E5B30"/>
    <w:rsid w:val="004E6674"/>
    <w:rsid w:val="004E66ED"/>
    <w:rsid w:val="004E6972"/>
    <w:rsid w:val="004E6A9F"/>
    <w:rsid w:val="004E6D48"/>
    <w:rsid w:val="004E7A73"/>
    <w:rsid w:val="004E7C6A"/>
    <w:rsid w:val="004F03CC"/>
    <w:rsid w:val="004F0779"/>
    <w:rsid w:val="004F0EAE"/>
    <w:rsid w:val="004F1230"/>
    <w:rsid w:val="004F173F"/>
    <w:rsid w:val="004F177C"/>
    <w:rsid w:val="004F27E1"/>
    <w:rsid w:val="004F2DCE"/>
    <w:rsid w:val="004F35C4"/>
    <w:rsid w:val="004F376F"/>
    <w:rsid w:val="004F3EC2"/>
    <w:rsid w:val="004F4D8E"/>
    <w:rsid w:val="004F5CDE"/>
    <w:rsid w:val="004F5D46"/>
    <w:rsid w:val="004F665D"/>
    <w:rsid w:val="004F7369"/>
    <w:rsid w:val="004F7892"/>
    <w:rsid w:val="00500CEA"/>
    <w:rsid w:val="00500D18"/>
    <w:rsid w:val="00500D7C"/>
    <w:rsid w:val="00500F59"/>
    <w:rsid w:val="0050183B"/>
    <w:rsid w:val="005022DB"/>
    <w:rsid w:val="0050326B"/>
    <w:rsid w:val="00503313"/>
    <w:rsid w:val="005039CB"/>
    <w:rsid w:val="00503F8E"/>
    <w:rsid w:val="00504E07"/>
    <w:rsid w:val="00505437"/>
    <w:rsid w:val="0050558F"/>
    <w:rsid w:val="00505693"/>
    <w:rsid w:val="00505732"/>
    <w:rsid w:val="005057E0"/>
    <w:rsid w:val="00505D9E"/>
    <w:rsid w:val="00506286"/>
    <w:rsid w:val="00506C9B"/>
    <w:rsid w:val="00507495"/>
    <w:rsid w:val="005075C3"/>
    <w:rsid w:val="00507B6B"/>
    <w:rsid w:val="00507E61"/>
    <w:rsid w:val="00510007"/>
    <w:rsid w:val="00510732"/>
    <w:rsid w:val="00510813"/>
    <w:rsid w:val="00511320"/>
    <w:rsid w:val="0051174C"/>
    <w:rsid w:val="00511DE0"/>
    <w:rsid w:val="00512002"/>
    <w:rsid w:val="00512090"/>
    <w:rsid w:val="0051223C"/>
    <w:rsid w:val="0051290F"/>
    <w:rsid w:val="00512BFE"/>
    <w:rsid w:val="005143C0"/>
    <w:rsid w:val="005143DA"/>
    <w:rsid w:val="00515041"/>
    <w:rsid w:val="00515945"/>
    <w:rsid w:val="00516A15"/>
    <w:rsid w:val="0051722D"/>
    <w:rsid w:val="00517A9B"/>
    <w:rsid w:val="00517C9F"/>
    <w:rsid w:val="00517F02"/>
    <w:rsid w:val="00520565"/>
    <w:rsid w:val="00520722"/>
    <w:rsid w:val="005209E6"/>
    <w:rsid w:val="00521821"/>
    <w:rsid w:val="00521F31"/>
    <w:rsid w:val="0052207C"/>
    <w:rsid w:val="005222CA"/>
    <w:rsid w:val="0052270A"/>
    <w:rsid w:val="00522BE3"/>
    <w:rsid w:val="00522EFC"/>
    <w:rsid w:val="00522FCE"/>
    <w:rsid w:val="005231BB"/>
    <w:rsid w:val="005239ED"/>
    <w:rsid w:val="00524547"/>
    <w:rsid w:val="00524643"/>
    <w:rsid w:val="005251AB"/>
    <w:rsid w:val="005251F6"/>
    <w:rsid w:val="00525470"/>
    <w:rsid w:val="00525475"/>
    <w:rsid w:val="005258A2"/>
    <w:rsid w:val="00525ADF"/>
    <w:rsid w:val="00525EA7"/>
    <w:rsid w:val="005264E7"/>
    <w:rsid w:val="00526A26"/>
    <w:rsid w:val="00526CCF"/>
    <w:rsid w:val="00527BF7"/>
    <w:rsid w:val="00527C90"/>
    <w:rsid w:val="00527D32"/>
    <w:rsid w:val="0053082B"/>
    <w:rsid w:val="005309D2"/>
    <w:rsid w:val="00530C8B"/>
    <w:rsid w:val="00530F7C"/>
    <w:rsid w:val="005310A8"/>
    <w:rsid w:val="00531134"/>
    <w:rsid w:val="005312E3"/>
    <w:rsid w:val="00533420"/>
    <w:rsid w:val="00533808"/>
    <w:rsid w:val="00533B34"/>
    <w:rsid w:val="00533D97"/>
    <w:rsid w:val="00534567"/>
    <w:rsid w:val="00534CD0"/>
    <w:rsid w:val="00534F43"/>
    <w:rsid w:val="0053513D"/>
    <w:rsid w:val="00535A84"/>
    <w:rsid w:val="0053606B"/>
    <w:rsid w:val="00536643"/>
    <w:rsid w:val="00536889"/>
    <w:rsid w:val="005370F0"/>
    <w:rsid w:val="00537175"/>
    <w:rsid w:val="00542158"/>
    <w:rsid w:val="00542255"/>
    <w:rsid w:val="005425C3"/>
    <w:rsid w:val="00542919"/>
    <w:rsid w:val="00542D08"/>
    <w:rsid w:val="00542E07"/>
    <w:rsid w:val="005443E7"/>
    <w:rsid w:val="005446FD"/>
    <w:rsid w:val="00544705"/>
    <w:rsid w:val="00544D00"/>
    <w:rsid w:val="00544DF5"/>
    <w:rsid w:val="00544EF5"/>
    <w:rsid w:val="0054544F"/>
    <w:rsid w:val="005456DF"/>
    <w:rsid w:val="005459A6"/>
    <w:rsid w:val="005459F3"/>
    <w:rsid w:val="00546324"/>
    <w:rsid w:val="0054745D"/>
    <w:rsid w:val="00550571"/>
    <w:rsid w:val="00550EFB"/>
    <w:rsid w:val="0055147E"/>
    <w:rsid w:val="005518D8"/>
    <w:rsid w:val="005521D4"/>
    <w:rsid w:val="00552D7B"/>
    <w:rsid w:val="00552ED7"/>
    <w:rsid w:val="00552EE6"/>
    <w:rsid w:val="005530E1"/>
    <w:rsid w:val="005531FF"/>
    <w:rsid w:val="005532EF"/>
    <w:rsid w:val="00553ACF"/>
    <w:rsid w:val="00554893"/>
    <w:rsid w:val="00554A7B"/>
    <w:rsid w:val="00554CA0"/>
    <w:rsid w:val="00554DFE"/>
    <w:rsid w:val="005553DE"/>
    <w:rsid w:val="0055572C"/>
    <w:rsid w:val="00555F83"/>
    <w:rsid w:val="0055633A"/>
    <w:rsid w:val="00556F5C"/>
    <w:rsid w:val="005570E0"/>
    <w:rsid w:val="00557F37"/>
    <w:rsid w:val="00557F5D"/>
    <w:rsid w:val="00560248"/>
    <w:rsid w:val="0056064F"/>
    <w:rsid w:val="00561B84"/>
    <w:rsid w:val="00561B88"/>
    <w:rsid w:val="00562675"/>
    <w:rsid w:val="00562FA5"/>
    <w:rsid w:val="0056329B"/>
    <w:rsid w:val="005633CA"/>
    <w:rsid w:val="005638E7"/>
    <w:rsid w:val="005647A7"/>
    <w:rsid w:val="00564BBB"/>
    <w:rsid w:val="00564EB5"/>
    <w:rsid w:val="00565113"/>
    <w:rsid w:val="00565EA6"/>
    <w:rsid w:val="005667DA"/>
    <w:rsid w:val="00566C05"/>
    <w:rsid w:val="00567750"/>
    <w:rsid w:val="0056790B"/>
    <w:rsid w:val="00567BB6"/>
    <w:rsid w:val="005700D3"/>
    <w:rsid w:val="0057110F"/>
    <w:rsid w:val="00571262"/>
    <w:rsid w:val="00571D98"/>
    <w:rsid w:val="00571F7C"/>
    <w:rsid w:val="005720AE"/>
    <w:rsid w:val="00572691"/>
    <w:rsid w:val="00572C23"/>
    <w:rsid w:val="00573056"/>
    <w:rsid w:val="00573861"/>
    <w:rsid w:val="00573AB4"/>
    <w:rsid w:val="00574037"/>
    <w:rsid w:val="005746C7"/>
    <w:rsid w:val="005748FF"/>
    <w:rsid w:val="005749DD"/>
    <w:rsid w:val="00575B66"/>
    <w:rsid w:val="00577250"/>
    <w:rsid w:val="005774ED"/>
    <w:rsid w:val="0057765D"/>
    <w:rsid w:val="00577BB5"/>
    <w:rsid w:val="0058025F"/>
    <w:rsid w:val="0058030D"/>
    <w:rsid w:val="00580AE6"/>
    <w:rsid w:val="0058142E"/>
    <w:rsid w:val="0058151F"/>
    <w:rsid w:val="00581A68"/>
    <w:rsid w:val="00581C2A"/>
    <w:rsid w:val="00581CE8"/>
    <w:rsid w:val="00582045"/>
    <w:rsid w:val="00582469"/>
    <w:rsid w:val="00582494"/>
    <w:rsid w:val="00582663"/>
    <w:rsid w:val="00583F98"/>
    <w:rsid w:val="00585190"/>
    <w:rsid w:val="005856AD"/>
    <w:rsid w:val="00585718"/>
    <w:rsid w:val="0058571A"/>
    <w:rsid w:val="00585A07"/>
    <w:rsid w:val="00586167"/>
    <w:rsid w:val="005861C1"/>
    <w:rsid w:val="0058620C"/>
    <w:rsid w:val="00586281"/>
    <w:rsid w:val="005876F5"/>
    <w:rsid w:val="0059031C"/>
    <w:rsid w:val="00590AE3"/>
    <w:rsid w:val="00590C57"/>
    <w:rsid w:val="0059103E"/>
    <w:rsid w:val="005917A9"/>
    <w:rsid w:val="005918F1"/>
    <w:rsid w:val="00591B14"/>
    <w:rsid w:val="00593834"/>
    <w:rsid w:val="00594929"/>
    <w:rsid w:val="005949AB"/>
    <w:rsid w:val="00594D95"/>
    <w:rsid w:val="00594F20"/>
    <w:rsid w:val="00595467"/>
    <w:rsid w:val="00595708"/>
    <w:rsid w:val="00595DAF"/>
    <w:rsid w:val="00596321"/>
    <w:rsid w:val="00596621"/>
    <w:rsid w:val="00596CAF"/>
    <w:rsid w:val="00597131"/>
    <w:rsid w:val="0059778D"/>
    <w:rsid w:val="00597AC8"/>
    <w:rsid w:val="00597D37"/>
    <w:rsid w:val="005A01E7"/>
    <w:rsid w:val="005A048F"/>
    <w:rsid w:val="005A06B7"/>
    <w:rsid w:val="005A06D1"/>
    <w:rsid w:val="005A154E"/>
    <w:rsid w:val="005A1759"/>
    <w:rsid w:val="005A22C6"/>
    <w:rsid w:val="005A2593"/>
    <w:rsid w:val="005A2A39"/>
    <w:rsid w:val="005A565A"/>
    <w:rsid w:val="005A5837"/>
    <w:rsid w:val="005A5F15"/>
    <w:rsid w:val="005A6000"/>
    <w:rsid w:val="005A611B"/>
    <w:rsid w:val="005A621A"/>
    <w:rsid w:val="005A626A"/>
    <w:rsid w:val="005A637C"/>
    <w:rsid w:val="005A6834"/>
    <w:rsid w:val="005A6F43"/>
    <w:rsid w:val="005A7672"/>
    <w:rsid w:val="005A78E4"/>
    <w:rsid w:val="005A79DE"/>
    <w:rsid w:val="005A7DB5"/>
    <w:rsid w:val="005B0448"/>
    <w:rsid w:val="005B0682"/>
    <w:rsid w:val="005B0CC8"/>
    <w:rsid w:val="005B0DF7"/>
    <w:rsid w:val="005B115B"/>
    <w:rsid w:val="005B1309"/>
    <w:rsid w:val="005B1894"/>
    <w:rsid w:val="005B19DF"/>
    <w:rsid w:val="005B1AC4"/>
    <w:rsid w:val="005B2B62"/>
    <w:rsid w:val="005B43DB"/>
    <w:rsid w:val="005B47F1"/>
    <w:rsid w:val="005B5044"/>
    <w:rsid w:val="005B511E"/>
    <w:rsid w:val="005B5502"/>
    <w:rsid w:val="005B652F"/>
    <w:rsid w:val="005B6789"/>
    <w:rsid w:val="005B68BB"/>
    <w:rsid w:val="005B6DB6"/>
    <w:rsid w:val="005B6FDC"/>
    <w:rsid w:val="005B73B8"/>
    <w:rsid w:val="005C0027"/>
    <w:rsid w:val="005C0CA3"/>
    <w:rsid w:val="005C1AD7"/>
    <w:rsid w:val="005C1C6F"/>
    <w:rsid w:val="005C1FAC"/>
    <w:rsid w:val="005C23D3"/>
    <w:rsid w:val="005C348D"/>
    <w:rsid w:val="005C35FA"/>
    <w:rsid w:val="005C3EF3"/>
    <w:rsid w:val="005C4ADD"/>
    <w:rsid w:val="005C4BD1"/>
    <w:rsid w:val="005C4E70"/>
    <w:rsid w:val="005C55AB"/>
    <w:rsid w:val="005C6293"/>
    <w:rsid w:val="005C63C2"/>
    <w:rsid w:val="005C6E66"/>
    <w:rsid w:val="005C79DC"/>
    <w:rsid w:val="005D0094"/>
    <w:rsid w:val="005D0369"/>
    <w:rsid w:val="005D06A7"/>
    <w:rsid w:val="005D0A0C"/>
    <w:rsid w:val="005D20ED"/>
    <w:rsid w:val="005D2A60"/>
    <w:rsid w:val="005D2BFD"/>
    <w:rsid w:val="005D3745"/>
    <w:rsid w:val="005D3E55"/>
    <w:rsid w:val="005D4056"/>
    <w:rsid w:val="005D41F9"/>
    <w:rsid w:val="005D4920"/>
    <w:rsid w:val="005D4D05"/>
    <w:rsid w:val="005D4E1C"/>
    <w:rsid w:val="005D53FE"/>
    <w:rsid w:val="005D5420"/>
    <w:rsid w:val="005D546B"/>
    <w:rsid w:val="005D584F"/>
    <w:rsid w:val="005D6666"/>
    <w:rsid w:val="005D6898"/>
    <w:rsid w:val="005D6A9C"/>
    <w:rsid w:val="005D6D00"/>
    <w:rsid w:val="005D6D91"/>
    <w:rsid w:val="005D727A"/>
    <w:rsid w:val="005D7A0F"/>
    <w:rsid w:val="005D7CE5"/>
    <w:rsid w:val="005E0438"/>
    <w:rsid w:val="005E14E6"/>
    <w:rsid w:val="005E1791"/>
    <w:rsid w:val="005E1F39"/>
    <w:rsid w:val="005E2546"/>
    <w:rsid w:val="005E2B9C"/>
    <w:rsid w:val="005E2CE6"/>
    <w:rsid w:val="005E2D17"/>
    <w:rsid w:val="005E3217"/>
    <w:rsid w:val="005E3A51"/>
    <w:rsid w:val="005E41E0"/>
    <w:rsid w:val="005E4473"/>
    <w:rsid w:val="005E4D13"/>
    <w:rsid w:val="005E576A"/>
    <w:rsid w:val="005E5BCD"/>
    <w:rsid w:val="005E5BD7"/>
    <w:rsid w:val="005E6324"/>
    <w:rsid w:val="005E674C"/>
    <w:rsid w:val="005E6D9C"/>
    <w:rsid w:val="005E6F01"/>
    <w:rsid w:val="005E739F"/>
    <w:rsid w:val="005F0401"/>
    <w:rsid w:val="005F0B46"/>
    <w:rsid w:val="005F0B9B"/>
    <w:rsid w:val="005F1088"/>
    <w:rsid w:val="005F1109"/>
    <w:rsid w:val="005F228B"/>
    <w:rsid w:val="005F2801"/>
    <w:rsid w:val="005F29CD"/>
    <w:rsid w:val="005F2E2A"/>
    <w:rsid w:val="005F457D"/>
    <w:rsid w:val="005F45C3"/>
    <w:rsid w:val="005F4DFB"/>
    <w:rsid w:val="005F5536"/>
    <w:rsid w:val="005F5F7E"/>
    <w:rsid w:val="005F61BC"/>
    <w:rsid w:val="005F6A18"/>
    <w:rsid w:val="005F6CC0"/>
    <w:rsid w:val="005F7175"/>
    <w:rsid w:val="006005A3"/>
    <w:rsid w:val="00600A6F"/>
    <w:rsid w:val="00600DFB"/>
    <w:rsid w:val="00601064"/>
    <w:rsid w:val="006015BE"/>
    <w:rsid w:val="00601822"/>
    <w:rsid w:val="00601880"/>
    <w:rsid w:val="00602107"/>
    <w:rsid w:val="00602189"/>
    <w:rsid w:val="00602BDC"/>
    <w:rsid w:val="00603170"/>
    <w:rsid w:val="006031E6"/>
    <w:rsid w:val="0060327D"/>
    <w:rsid w:val="0060328F"/>
    <w:rsid w:val="00603672"/>
    <w:rsid w:val="0060396B"/>
    <w:rsid w:val="00603A40"/>
    <w:rsid w:val="00603E5B"/>
    <w:rsid w:val="00603E73"/>
    <w:rsid w:val="00603EA1"/>
    <w:rsid w:val="00604011"/>
    <w:rsid w:val="00604057"/>
    <w:rsid w:val="0060447F"/>
    <w:rsid w:val="00604648"/>
    <w:rsid w:val="00604AAA"/>
    <w:rsid w:val="00604BC8"/>
    <w:rsid w:val="0060556C"/>
    <w:rsid w:val="00605A21"/>
    <w:rsid w:val="00605E41"/>
    <w:rsid w:val="00605F14"/>
    <w:rsid w:val="006063D9"/>
    <w:rsid w:val="00606748"/>
    <w:rsid w:val="0060695B"/>
    <w:rsid w:val="00606EB6"/>
    <w:rsid w:val="006070CC"/>
    <w:rsid w:val="00607896"/>
    <w:rsid w:val="00607E7C"/>
    <w:rsid w:val="00610632"/>
    <w:rsid w:val="006107AF"/>
    <w:rsid w:val="00610B8B"/>
    <w:rsid w:val="00610EBC"/>
    <w:rsid w:val="0061258B"/>
    <w:rsid w:val="00612647"/>
    <w:rsid w:val="00612A4E"/>
    <w:rsid w:val="0061406B"/>
    <w:rsid w:val="0061417F"/>
    <w:rsid w:val="00614CE4"/>
    <w:rsid w:val="00614EDA"/>
    <w:rsid w:val="00614F5D"/>
    <w:rsid w:val="00615B4C"/>
    <w:rsid w:val="00615B5D"/>
    <w:rsid w:val="0061628B"/>
    <w:rsid w:val="0061637C"/>
    <w:rsid w:val="006167CA"/>
    <w:rsid w:val="00616F2E"/>
    <w:rsid w:val="00617D57"/>
    <w:rsid w:val="00617FBA"/>
    <w:rsid w:val="00620117"/>
    <w:rsid w:val="00620C4A"/>
    <w:rsid w:val="00620CD8"/>
    <w:rsid w:val="00621306"/>
    <w:rsid w:val="006213EA"/>
    <w:rsid w:val="0062146F"/>
    <w:rsid w:val="00622CA7"/>
    <w:rsid w:val="00622E20"/>
    <w:rsid w:val="00622F13"/>
    <w:rsid w:val="00623236"/>
    <w:rsid w:val="006238BE"/>
    <w:rsid w:val="00623E4F"/>
    <w:rsid w:val="006242D0"/>
    <w:rsid w:val="0062525F"/>
    <w:rsid w:val="00625514"/>
    <w:rsid w:val="00626085"/>
    <w:rsid w:val="00626353"/>
    <w:rsid w:val="0062656C"/>
    <w:rsid w:val="00626C37"/>
    <w:rsid w:val="00626E67"/>
    <w:rsid w:val="006272CD"/>
    <w:rsid w:val="006276AC"/>
    <w:rsid w:val="006278C2"/>
    <w:rsid w:val="00627C37"/>
    <w:rsid w:val="00630429"/>
    <w:rsid w:val="00630860"/>
    <w:rsid w:val="006308EC"/>
    <w:rsid w:val="00630AFF"/>
    <w:rsid w:val="00630E43"/>
    <w:rsid w:val="0063122E"/>
    <w:rsid w:val="00631D96"/>
    <w:rsid w:val="00631DFF"/>
    <w:rsid w:val="0063267D"/>
    <w:rsid w:val="00632CDD"/>
    <w:rsid w:val="0063316C"/>
    <w:rsid w:val="006334DC"/>
    <w:rsid w:val="00633B7E"/>
    <w:rsid w:val="006342F3"/>
    <w:rsid w:val="006343AF"/>
    <w:rsid w:val="00634EEF"/>
    <w:rsid w:val="00635416"/>
    <w:rsid w:val="0063597D"/>
    <w:rsid w:val="00636211"/>
    <w:rsid w:val="0063624F"/>
    <w:rsid w:val="006362D1"/>
    <w:rsid w:val="0063634A"/>
    <w:rsid w:val="0063636A"/>
    <w:rsid w:val="00636995"/>
    <w:rsid w:val="006407B3"/>
    <w:rsid w:val="00640DF5"/>
    <w:rsid w:val="00641554"/>
    <w:rsid w:val="00641978"/>
    <w:rsid w:val="00641AD0"/>
    <w:rsid w:val="0064250D"/>
    <w:rsid w:val="006426B5"/>
    <w:rsid w:val="00642BE4"/>
    <w:rsid w:val="00643897"/>
    <w:rsid w:val="00644521"/>
    <w:rsid w:val="00644704"/>
    <w:rsid w:val="00644BF1"/>
    <w:rsid w:val="00644E00"/>
    <w:rsid w:val="006450C1"/>
    <w:rsid w:val="00645825"/>
    <w:rsid w:val="00645F49"/>
    <w:rsid w:val="00645F9B"/>
    <w:rsid w:val="006467F7"/>
    <w:rsid w:val="00646E99"/>
    <w:rsid w:val="00647588"/>
    <w:rsid w:val="00647A2F"/>
    <w:rsid w:val="00647ECE"/>
    <w:rsid w:val="006507F8"/>
    <w:rsid w:val="00652025"/>
    <w:rsid w:val="0065252D"/>
    <w:rsid w:val="00652A34"/>
    <w:rsid w:val="0065304B"/>
    <w:rsid w:val="006535EB"/>
    <w:rsid w:val="00653D32"/>
    <w:rsid w:val="006541E4"/>
    <w:rsid w:val="00654529"/>
    <w:rsid w:val="00654688"/>
    <w:rsid w:val="00654DBC"/>
    <w:rsid w:val="00654E5B"/>
    <w:rsid w:val="00655260"/>
    <w:rsid w:val="006554A6"/>
    <w:rsid w:val="006556CC"/>
    <w:rsid w:val="00656555"/>
    <w:rsid w:val="00656A21"/>
    <w:rsid w:val="00656EDA"/>
    <w:rsid w:val="006575F4"/>
    <w:rsid w:val="00657833"/>
    <w:rsid w:val="00657A08"/>
    <w:rsid w:val="00657C8C"/>
    <w:rsid w:val="00657DAC"/>
    <w:rsid w:val="006601FB"/>
    <w:rsid w:val="00660B0A"/>
    <w:rsid w:val="00661904"/>
    <w:rsid w:val="00662145"/>
    <w:rsid w:val="00663016"/>
    <w:rsid w:val="00663C2B"/>
    <w:rsid w:val="00663D10"/>
    <w:rsid w:val="00664025"/>
    <w:rsid w:val="00664118"/>
    <w:rsid w:val="006654CF"/>
    <w:rsid w:val="00666269"/>
    <w:rsid w:val="00666558"/>
    <w:rsid w:val="00666680"/>
    <w:rsid w:val="00666869"/>
    <w:rsid w:val="00666916"/>
    <w:rsid w:val="00666A60"/>
    <w:rsid w:val="00666F5C"/>
    <w:rsid w:val="00667F60"/>
    <w:rsid w:val="006711BD"/>
    <w:rsid w:val="00671D5F"/>
    <w:rsid w:val="00671D97"/>
    <w:rsid w:val="00671E12"/>
    <w:rsid w:val="0067256A"/>
    <w:rsid w:val="006727E9"/>
    <w:rsid w:val="006736D2"/>
    <w:rsid w:val="00674605"/>
    <w:rsid w:val="006748B8"/>
    <w:rsid w:val="00674A60"/>
    <w:rsid w:val="00674CC5"/>
    <w:rsid w:val="006750DA"/>
    <w:rsid w:val="00675160"/>
    <w:rsid w:val="006753FB"/>
    <w:rsid w:val="00675938"/>
    <w:rsid w:val="0067618F"/>
    <w:rsid w:val="00676216"/>
    <w:rsid w:val="006768E4"/>
    <w:rsid w:val="00677A70"/>
    <w:rsid w:val="00680ADC"/>
    <w:rsid w:val="00680EBA"/>
    <w:rsid w:val="00681844"/>
    <w:rsid w:val="006821ED"/>
    <w:rsid w:val="0068270A"/>
    <w:rsid w:val="00682F92"/>
    <w:rsid w:val="00682FC8"/>
    <w:rsid w:val="0068370E"/>
    <w:rsid w:val="0068378B"/>
    <w:rsid w:val="00683D27"/>
    <w:rsid w:val="006841C9"/>
    <w:rsid w:val="0068439B"/>
    <w:rsid w:val="0068447B"/>
    <w:rsid w:val="00684B30"/>
    <w:rsid w:val="00684B93"/>
    <w:rsid w:val="0068535B"/>
    <w:rsid w:val="006854D3"/>
    <w:rsid w:val="0068586E"/>
    <w:rsid w:val="006859D5"/>
    <w:rsid w:val="00686DEA"/>
    <w:rsid w:val="00686F1A"/>
    <w:rsid w:val="0068736E"/>
    <w:rsid w:val="0068744A"/>
    <w:rsid w:val="006876DD"/>
    <w:rsid w:val="00687735"/>
    <w:rsid w:val="006903CD"/>
    <w:rsid w:val="00690954"/>
    <w:rsid w:val="00691661"/>
    <w:rsid w:val="00692376"/>
    <w:rsid w:val="0069290A"/>
    <w:rsid w:val="00692B7D"/>
    <w:rsid w:val="00693ED9"/>
    <w:rsid w:val="0069490B"/>
    <w:rsid w:val="00695484"/>
    <w:rsid w:val="00695747"/>
    <w:rsid w:val="00695C11"/>
    <w:rsid w:val="00696139"/>
    <w:rsid w:val="0069626E"/>
    <w:rsid w:val="00696438"/>
    <w:rsid w:val="00696821"/>
    <w:rsid w:val="0069685F"/>
    <w:rsid w:val="00696949"/>
    <w:rsid w:val="00696B54"/>
    <w:rsid w:val="00697032"/>
    <w:rsid w:val="00697280"/>
    <w:rsid w:val="006975AC"/>
    <w:rsid w:val="006979A6"/>
    <w:rsid w:val="00697B78"/>
    <w:rsid w:val="006A029A"/>
    <w:rsid w:val="006A042E"/>
    <w:rsid w:val="006A0A95"/>
    <w:rsid w:val="006A0AEE"/>
    <w:rsid w:val="006A0DA5"/>
    <w:rsid w:val="006A1142"/>
    <w:rsid w:val="006A15FB"/>
    <w:rsid w:val="006A2253"/>
    <w:rsid w:val="006A2F5F"/>
    <w:rsid w:val="006A3101"/>
    <w:rsid w:val="006A3DCA"/>
    <w:rsid w:val="006A4251"/>
    <w:rsid w:val="006A477C"/>
    <w:rsid w:val="006A4F74"/>
    <w:rsid w:val="006A72BF"/>
    <w:rsid w:val="006B0969"/>
    <w:rsid w:val="006B0D89"/>
    <w:rsid w:val="006B23CD"/>
    <w:rsid w:val="006B2468"/>
    <w:rsid w:val="006B2B6A"/>
    <w:rsid w:val="006B332A"/>
    <w:rsid w:val="006B33BD"/>
    <w:rsid w:val="006B3544"/>
    <w:rsid w:val="006B3616"/>
    <w:rsid w:val="006B3715"/>
    <w:rsid w:val="006B3C31"/>
    <w:rsid w:val="006B4EC0"/>
    <w:rsid w:val="006B54BA"/>
    <w:rsid w:val="006B5689"/>
    <w:rsid w:val="006B5F24"/>
    <w:rsid w:val="006B5F7E"/>
    <w:rsid w:val="006B6A68"/>
    <w:rsid w:val="006B7492"/>
    <w:rsid w:val="006B79DC"/>
    <w:rsid w:val="006C054B"/>
    <w:rsid w:val="006C106E"/>
    <w:rsid w:val="006C12E6"/>
    <w:rsid w:val="006C19EF"/>
    <w:rsid w:val="006C233A"/>
    <w:rsid w:val="006C2D56"/>
    <w:rsid w:val="006C37D4"/>
    <w:rsid w:val="006C3F75"/>
    <w:rsid w:val="006C46B9"/>
    <w:rsid w:val="006C49F1"/>
    <w:rsid w:val="006C58CD"/>
    <w:rsid w:val="006C58E9"/>
    <w:rsid w:val="006C5DE2"/>
    <w:rsid w:val="006C5E90"/>
    <w:rsid w:val="006C65DC"/>
    <w:rsid w:val="006C6F56"/>
    <w:rsid w:val="006C6FA7"/>
    <w:rsid w:val="006C79B1"/>
    <w:rsid w:val="006C7F28"/>
    <w:rsid w:val="006D05AF"/>
    <w:rsid w:val="006D06AB"/>
    <w:rsid w:val="006D0CDB"/>
    <w:rsid w:val="006D1219"/>
    <w:rsid w:val="006D14D2"/>
    <w:rsid w:val="006D1620"/>
    <w:rsid w:val="006D170E"/>
    <w:rsid w:val="006D3AE6"/>
    <w:rsid w:val="006D418B"/>
    <w:rsid w:val="006D4202"/>
    <w:rsid w:val="006D4B1E"/>
    <w:rsid w:val="006D598E"/>
    <w:rsid w:val="006D684D"/>
    <w:rsid w:val="006D6CDF"/>
    <w:rsid w:val="006D7D47"/>
    <w:rsid w:val="006E00B3"/>
    <w:rsid w:val="006E06AF"/>
    <w:rsid w:val="006E0885"/>
    <w:rsid w:val="006E0C10"/>
    <w:rsid w:val="006E0FE8"/>
    <w:rsid w:val="006E17CB"/>
    <w:rsid w:val="006E1FA4"/>
    <w:rsid w:val="006E2F06"/>
    <w:rsid w:val="006E32CC"/>
    <w:rsid w:val="006E3596"/>
    <w:rsid w:val="006E3857"/>
    <w:rsid w:val="006E4146"/>
    <w:rsid w:val="006E4215"/>
    <w:rsid w:val="006E4FAF"/>
    <w:rsid w:val="006E544B"/>
    <w:rsid w:val="006E5855"/>
    <w:rsid w:val="006E6309"/>
    <w:rsid w:val="006E66CE"/>
    <w:rsid w:val="006E68D4"/>
    <w:rsid w:val="006E6DF8"/>
    <w:rsid w:val="006E7364"/>
    <w:rsid w:val="006E78A7"/>
    <w:rsid w:val="006E78D6"/>
    <w:rsid w:val="006E7F0F"/>
    <w:rsid w:val="006F0BB0"/>
    <w:rsid w:val="006F0CDD"/>
    <w:rsid w:val="006F1789"/>
    <w:rsid w:val="006F1BC9"/>
    <w:rsid w:val="006F20E9"/>
    <w:rsid w:val="006F2720"/>
    <w:rsid w:val="006F285D"/>
    <w:rsid w:val="006F2ABF"/>
    <w:rsid w:val="006F3167"/>
    <w:rsid w:val="006F3367"/>
    <w:rsid w:val="006F3818"/>
    <w:rsid w:val="006F475D"/>
    <w:rsid w:val="006F5353"/>
    <w:rsid w:val="006F5A88"/>
    <w:rsid w:val="006F5ADD"/>
    <w:rsid w:val="006F6A49"/>
    <w:rsid w:val="006F75AC"/>
    <w:rsid w:val="006F763F"/>
    <w:rsid w:val="006F7D45"/>
    <w:rsid w:val="007001EB"/>
    <w:rsid w:val="007005BB"/>
    <w:rsid w:val="00701176"/>
    <w:rsid w:val="00701A7F"/>
    <w:rsid w:val="0070271D"/>
    <w:rsid w:val="00702CEF"/>
    <w:rsid w:val="0070308F"/>
    <w:rsid w:val="00703BFB"/>
    <w:rsid w:val="00704990"/>
    <w:rsid w:val="00705559"/>
    <w:rsid w:val="00706C5D"/>
    <w:rsid w:val="00706F38"/>
    <w:rsid w:val="007077CC"/>
    <w:rsid w:val="00707B59"/>
    <w:rsid w:val="0071088A"/>
    <w:rsid w:val="00710A61"/>
    <w:rsid w:val="00711487"/>
    <w:rsid w:val="007118E6"/>
    <w:rsid w:val="00712A79"/>
    <w:rsid w:val="00713093"/>
    <w:rsid w:val="007139A4"/>
    <w:rsid w:val="00713CD8"/>
    <w:rsid w:val="00714D63"/>
    <w:rsid w:val="00715632"/>
    <w:rsid w:val="00715924"/>
    <w:rsid w:val="007159D1"/>
    <w:rsid w:val="00715ABD"/>
    <w:rsid w:val="00715D16"/>
    <w:rsid w:val="007164C0"/>
    <w:rsid w:val="00716533"/>
    <w:rsid w:val="0071674A"/>
    <w:rsid w:val="007169BD"/>
    <w:rsid w:val="007169F6"/>
    <w:rsid w:val="00716B8A"/>
    <w:rsid w:val="007173B6"/>
    <w:rsid w:val="00717DBB"/>
    <w:rsid w:val="00720248"/>
    <w:rsid w:val="0072059B"/>
    <w:rsid w:val="007205A4"/>
    <w:rsid w:val="0072080F"/>
    <w:rsid w:val="00721EBA"/>
    <w:rsid w:val="00722053"/>
    <w:rsid w:val="007225C9"/>
    <w:rsid w:val="007231A7"/>
    <w:rsid w:val="007231D9"/>
    <w:rsid w:val="00723F98"/>
    <w:rsid w:val="007240A6"/>
    <w:rsid w:val="00724A31"/>
    <w:rsid w:val="00725B5B"/>
    <w:rsid w:val="00726386"/>
    <w:rsid w:val="00726A0E"/>
    <w:rsid w:val="0072701F"/>
    <w:rsid w:val="00727548"/>
    <w:rsid w:val="00730890"/>
    <w:rsid w:val="00730A90"/>
    <w:rsid w:val="0073172C"/>
    <w:rsid w:val="00731EE2"/>
    <w:rsid w:val="007326A5"/>
    <w:rsid w:val="007328C3"/>
    <w:rsid w:val="00732A89"/>
    <w:rsid w:val="00732FA6"/>
    <w:rsid w:val="00733CD1"/>
    <w:rsid w:val="00733CD8"/>
    <w:rsid w:val="00733F7F"/>
    <w:rsid w:val="007342AA"/>
    <w:rsid w:val="007343A1"/>
    <w:rsid w:val="00734D45"/>
    <w:rsid w:val="00735037"/>
    <w:rsid w:val="00735C32"/>
    <w:rsid w:val="00735CD7"/>
    <w:rsid w:val="00735F11"/>
    <w:rsid w:val="007360C1"/>
    <w:rsid w:val="00737669"/>
    <w:rsid w:val="007378D7"/>
    <w:rsid w:val="0074002C"/>
    <w:rsid w:val="007401B8"/>
    <w:rsid w:val="0074023F"/>
    <w:rsid w:val="007406AA"/>
    <w:rsid w:val="007425EB"/>
    <w:rsid w:val="0074261F"/>
    <w:rsid w:val="00742634"/>
    <w:rsid w:val="00742E13"/>
    <w:rsid w:val="00744021"/>
    <w:rsid w:val="00744361"/>
    <w:rsid w:val="00744D1C"/>
    <w:rsid w:val="0074585C"/>
    <w:rsid w:val="00745C18"/>
    <w:rsid w:val="007462B3"/>
    <w:rsid w:val="007463DA"/>
    <w:rsid w:val="00746C55"/>
    <w:rsid w:val="00746DAD"/>
    <w:rsid w:val="00747285"/>
    <w:rsid w:val="00747903"/>
    <w:rsid w:val="00751273"/>
    <w:rsid w:val="00751D71"/>
    <w:rsid w:val="00751EA5"/>
    <w:rsid w:val="007520E5"/>
    <w:rsid w:val="0075266C"/>
    <w:rsid w:val="007531FF"/>
    <w:rsid w:val="0075322F"/>
    <w:rsid w:val="007536FD"/>
    <w:rsid w:val="00753E53"/>
    <w:rsid w:val="00754034"/>
    <w:rsid w:val="00754636"/>
    <w:rsid w:val="00754A16"/>
    <w:rsid w:val="00754BF1"/>
    <w:rsid w:val="007552D7"/>
    <w:rsid w:val="00755305"/>
    <w:rsid w:val="00755385"/>
    <w:rsid w:val="00755A30"/>
    <w:rsid w:val="00755DF9"/>
    <w:rsid w:val="00755E1C"/>
    <w:rsid w:val="007560F9"/>
    <w:rsid w:val="00756556"/>
    <w:rsid w:val="00756C6C"/>
    <w:rsid w:val="007576CD"/>
    <w:rsid w:val="00760701"/>
    <w:rsid w:val="007609B3"/>
    <w:rsid w:val="00760D66"/>
    <w:rsid w:val="007610DB"/>
    <w:rsid w:val="0076132B"/>
    <w:rsid w:val="007623AE"/>
    <w:rsid w:val="00762727"/>
    <w:rsid w:val="00762A44"/>
    <w:rsid w:val="00762C15"/>
    <w:rsid w:val="00762DB0"/>
    <w:rsid w:val="00763062"/>
    <w:rsid w:val="00763AEC"/>
    <w:rsid w:val="00763D53"/>
    <w:rsid w:val="00763E8F"/>
    <w:rsid w:val="007643C1"/>
    <w:rsid w:val="007657C1"/>
    <w:rsid w:val="00765927"/>
    <w:rsid w:val="00766CB5"/>
    <w:rsid w:val="007674CD"/>
    <w:rsid w:val="0076781D"/>
    <w:rsid w:val="00767D1A"/>
    <w:rsid w:val="00767F18"/>
    <w:rsid w:val="00770766"/>
    <w:rsid w:val="007707DF"/>
    <w:rsid w:val="00770B19"/>
    <w:rsid w:val="00770EA6"/>
    <w:rsid w:val="00771126"/>
    <w:rsid w:val="007728BD"/>
    <w:rsid w:val="0077371A"/>
    <w:rsid w:val="007746ED"/>
    <w:rsid w:val="007747C1"/>
    <w:rsid w:val="00774DFB"/>
    <w:rsid w:val="00774E27"/>
    <w:rsid w:val="00774FA0"/>
    <w:rsid w:val="00775712"/>
    <w:rsid w:val="00775BD0"/>
    <w:rsid w:val="00776022"/>
    <w:rsid w:val="0077624B"/>
    <w:rsid w:val="00776344"/>
    <w:rsid w:val="00776429"/>
    <w:rsid w:val="00776620"/>
    <w:rsid w:val="00776986"/>
    <w:rsid w:val="007769B2"/>
    <w:rsid w:val="00777B46"/>
    <w:rsid w:val="00777B6D"/>
    <w:rsid w:val="00777CB4"/>
    <w:rsid w:val="00777E88"/>
    <w:rsid w:val="00777F42"/>
    <w:rsid w:val="00780260"/>
    <w:rsid w:val="007802F7"/>
    <w:rsid w:val="00780506"/>
    <w:rsid w:val="00780597"/>
    <w:rsid w:val="00780D7F"/>
    <w:rsid w:val="00781A9B"/>
    <w:rsid w:val="007838AA"/>
    <w:rsid w:val="0078481C"/>
    <w:rsid w:val="00784855"/>
    <w:rsid w:val="00784F39"/>
    <w:rsid w:val="0078545C"/>
    <w:rsid w:val="00785EE9"/>
    <w:rsid w:val="00786FDD"/>
    <w:rsid w:val="00787456"/>
    <w:rsid w:val="00787A14"/>
    <w:rsid w:val="00787FC0"/>
    <w:rsid w:val="007904A6"/>
    <w:rsid w:val="007906C4"/>
    <w:rsid w:val="007907A3"/>
    <w:rsid w:val="00790972"/>
    <w:rsid w:val="00790C00"/>
    <w:rsid w:val="007910DF"/>
    <w:rsid w:val="00791406"/>
    <w:rsid w:val="00791761"/>
    <w:rsid w:val="007917E5"/>
    <w:rsid w:val="007918E1"/>
    <w:rsid w:val="007919DF"/>
    <w:rsid w:val="00792502"/>
    <w:rsid w:val="007926F6"/>
    <w:rsid w:val="007926FD"/>
    <w:rsid w:val="0079298E"/>
    <w:rsid w:val="0079333E"/>
    <w:rsid w:val="007933C3"/>
    <w:rsid w:val="007935CB"/>
    <w:rsid w:val="007940EA"/>
    <w:rsid w:val="0079417D"/>
    <w:rsid w:val="007941E8"/>
    <w:rsid w:val="007941EF"/>
    <w:rsid w:val="0079425E"/>
    <w:rsid w:val="00794B1E"/>
    <w:rsid w:val="007957E0"/>
    <w:rsid w:val="007963C0"/>
    <w:rsid w:val="007967E8"/>
    <w:rsid w:val="007969B9"/>
    <w:rsid w:val="007973BB"/>
    <w:rsid w:val="007A119A"/>
    <w:rsid w:val="007A124C"/>
    <w:rsid w:val="007A1495"/>
    <w:rsid w:val="007A1E8A"/>
    <w:rsid w:val="007A1FC0"/>
    <w:rsid w:val="007A27CE"/>
    <w:rsid w:val="007A2E22"/>
    <w:rsid w:val="007A3880"/>
    <w:rsid w:val="007A4AD0"/>
    <w:rsid w:val="007A5360"/>
    <w:rsid w:val="007A59F8"/>
    <w:rsid w:val="007A5DFC"/>
    <w:rsid w:val="007A63F2"/>
    <w:rsid w:val="007A64F1"/>
    <w:rsid w:val="007A669E"/>
    <w:rsid w:val="007A6E13"/>
    <w:rsid w:val="007A7548"/>
    <w:rsid w:val="007B00F9"/>
    <w:rsid w:val="007B11ED"/>
    <w:rsid w:val="007B2050"/>
    <w:rsid w:val="007B2765"/>
    <w:rsid w:val="007B3334"/>
    <w:rsid w:val="007B33A8"/>
    <w:rsid w:val="007B38B3"/>
    <w:rsid w:val="007B3FDF"/>
    <w:rsid w:val="007B431B"/>
    <w:rsid w:val="007B44A9"/>
    <w:rsid w:val="007B52C3"/>
    <w:rsid w:val="007B5B7D"/>
    <w:rsid w:val="007B6786"/>
    <w:rsid w:val="007B68DE"/>
    <w:rsid w:val="007B7006"/>
    <w:rsid w:val="007B7023"/>
    <w:rsid w:val="007B74D6"/>
    <w:rsid w:val="007B775D"/>
    <w:rsid w:val="007B7CC0"/>
    <w:rsid w:val="007C1857"/>
    <w:rsid w:val="007C1A27"/>
    <w:rsid w:val="007C24EF"/>
    <w:rsid w:val="007C27A9"/>
    <w:rsid w:val="007C2CFD"/>
    <w:rsid w:val="007C2E33"/>
    <w:rsid w:val="007C3A04"/>
    <w:rsid w:val="007C4421"/>
    <w:rsid w:val="007C4908"/>
    <w:rsid w:val="007C4AFB"/>
    <w:rsid w:val="007C514F"/>
    <w:rsid w:val="007C6334"/>
    <w:rsid w:val="007C6417"/>
    <w:rsid w:val="007C707F"/>
    <w:rsid w:val="007C7E7E"/>
    <w:rsid w:val="007D0E4B"/>
    <w:rsid w:val="007D0F95"/>
    <w:rsid w:val="007D1A34"/>
    <w:rsid w:val="007D230F"/>
    <w:rsid w:val="007D48AD"/>
    <w:rsid w:val="007D4E9B"/>
    <w:rsid w:val="007D544C"/>
    <w:rsid w:val="007D5790"/>
    <w:rsid w:val="007D628F"/>
    <w:rsid w:val="007D649F"/>
    <w:rsid w:val="007D78E8"/>
    <w:rsid w:val="007D7BD3"/>
    <w:rsid w:val="007D7ECB"/>
    <w:rsid w:val="007E08DC"/>
    <w:rsid w:val="007E113B"/>
    <w:rsid w:val="007E11F1"/>
    <w:rsid w:val="007E13B6"/>
    <w:rsid w:val="007E1F32"/>
    <w:rsid w:val="007E1F7A"/>
    <w:rsid w:val="007E25A1"/>
    <w:rsid w:val="007E2777"/>
    <w:rsid w:val="007E3232"/>
    <w:rsid w:val="007E36FF"/>
    <w:rsid w:val="007E3D9E"/>
    <w:rsid w:val="007E3E04"/>
    <w:rsid w:val="007E4ACE"/>
    <w:rsid w:val="007E4BD2"/>
    <w:rsid w:val="007E4E36"/>
    <w:rsid w:val="007E5501"/>
    <w:rsid w:val="007E58A2"/>
    <w:rsid w:val="007E624E"/>
    <w:rsid w:val="007E62C7"/>
    <w:rsid w:val="007E7005"/>
    <w:rsid w:val="007E7145"/>
    <w:rsid w:val="007E7406"/>
    <w:rsid w:val="007E792B"/>
    <w:rsid w:val="007E7EB0"/>
    <w:rsid w:val="007F00EC"/>
    <w:rsid w:val="007F112D"/>
    <w:rsid w:val="007F15F9"/>
    <w:rsid w:val="007F1667"/>
    <w:rsid w:val="007F1722"/>
    <w:rsid w:val="007F18F3"/>
    <w:rsid w:val="007F1931"/>
    <w:rsid w:val="007F33FC"/>
    <w:rsid w:val="007F3611"/>
    <w:rsid w:val="007F38FE"/>
    <w:rsid w:val="007F3916"/>
    <w:rsid w:val="007F39BE"/>
    <w:rsid w:val="007F3A0E"/>
    <w:rsid w:val="007F4064"/>
    <w:rsid w:val="007F4852"/>
    <w:rsid w:val="007F4D95"/>
    <w:rsid w:val="007F57C4"/>
    <w:rsid w:val="007F5821"/>
    <w:rsid w:val="007F58EA"/>
    <w:rsid w:val="007F681F"/>
    <w:rsid w:val="007F6CB8"/>
    <w:rsid w:val="007F7615"/>
    <w:rsid w:val="007F7B0F"/>
    <w:rsid w:val="007F7D5F"/>
    <w:rsid w:val="008009FD"/>
    <w:rsid w:val="00800C21"/>
    <w:rsid w:val="00800FA2"/>
    <w:rsid w:val="00801135"/>
    <w:rsid w:val="00801179"/>
    <w:rsid w:val="008018EE"/>
    <w:rsid w:val="00801CEF"/>
    <w:rsid w:val="00802448"/>
    <w:rsid w:val="00802479"/>
    <w:rsid w:val="00802824"/>
    <w:rsid w:val="00802B11"/>
    <w:rsid w:val="00803816"/>
    <w:rsid w:val="008043EB"/>
    <w:rsid w:val="00804820"/>
    <w:rsid w:val="00804D2A"/>
    <w:rsid w:val="00805372"/>
    <w:rsid w:val="00805B7B"/>
    <w:rsid w:val="00805BF7"/>
    <w:rsid w:val="00805DF1"/>
    <w:rsid w:val="00805F58"/>
    <w:rsid w:val="0080668E"/>
    <w:rsid w:val="008068F8"/>
    <w:rsid w:val="00807A37"/>
    <w:rsid w:val="00807BD5"/>
    <w:rsid w:val="00807CEB"/>
    <w:rsid w:val="008101BD"/>
    <w:rsid w:val="00810261"/>
    <w:rsid w:val="0081078F"/>
    <w:rsid w:val="00810908"/>
    <w:rsid w:val="00811864"/>
    <w:rsid w:val="0081293E"/>
    <w:rsid w:val="00812A50"/>
    <w:rsid w:val="00813DB6"/>
    <w:rsid w:val="00814FFB"/>
    <w:rsid w:val="00815077"/>
    <w:rsid w:val="00815226"/>
    <w:rsid w:val="008156DC"/>
    <w:rsid w:val="00815D04"/>
    <w:rsid w:val="0081617C"/>
    <w:rsid w:val="00817587"/>
    <w:rsid w:val="00817D82"/>
    <w:rsid w:val="00820568"/>
    <w:rsid w:val="00821403"/>
    <w:rsid w:val="00822426"/>
    <w:rsid w:val="00822473"/>
    <w:rsid w:val="00822E0F"/>
    <w:rsid w:val="00822F0F"/>
    <w:rsid w:val="008233D4"/>
    <w:rsid w:val="00823864"/>
    <w:rsid w:val="00823886"/>
    <w:rsid w:val="008248FB"/>
    <w:rsid w:val="00824AC8"/>
    <w:rsid w:val="00824D81"/>
    <w:rsid w:val="00824F8D"/>
    <w:rsid w:val="00825212"/>
    <w:rsid w:val="0082573F"/>
    <w:rsid w:val="0082686B"/>
    <w:rsid w:val="008269F2"/>
    <w:rsid w:val="0082723C"/>
    <w:rsid w:val="008278A3"/>
    <w:rsid w:val="00827D33"/>
    <w:rsid w:val="008303E2"/>
    <w:rsid w:val="008305C4"/>
    <w:rsid w:val="00831180"/>
    <w:rsid w:val="0083144C"/>
    <w:rsid w:val="0083170D"/>
    <w:rsid w:val="00831A80"/>
    <w:rsid w:val="008328FF"/>
    <w:rsid w:val="00832E90"/>
    <w:rsid w:val="00832FAD"/>
    <w:rsid w:val="008332C8"/>
    <w:rsid w:val="00833447"/>
    <w:rsid w:val="00833743"/>
    <w:rsid w:val="00833836"/>
    <w:rsid w:val="008340A4"/>
    <w:rsid w:val="00834375"/>
    <w:rsid w:val="0083460D"/>
    <w:rsid w:val="00835587"/>
    <w:rsid w:val="0083582D"/>
    <w:rsid w:val="00836799"/>
    <w:rsid w:val="008369AD"/>
    <w:rsid w:val="00837028"/>
    <w:rsid w:val="00837131"/>
    <w:rsid w:val="00840632"/>
    <w:rsid w:val="00840992"/>
    <w:rsid w:val="008417F1"/>
    <w:rsid w:val="00841EAE"/>
    <w:rsid w:val="008421F5"/>
    <w:rsid w:val="008427EA"/>
    <w:rsid w:val="00844661"/>
    <w:rsid w:val="008453D6"/>
    <w:rsid w:val="00845D7C"/>
    <w:rsid w:val="00845F57"/>
    <w:rsid w:val="00846A4A"/>
    <w:rsid w:val="008479DB"/>
    <w:rsid w:val="00847EF6"/>
    <w:rsid w:val="00850690"/>
    <w:rsid w:val="00850838"/>
    <w:rsid w:val="008519D2"/>
    <w:rsid w:val="008521C5"/>
    <w:rsid w:val="008521E0"/>
    <w:rsid w:val="0085254D"/>
    <w:rsid w:val="008525B0"/>
    <w:rsid w:val="008531DA"/>
    <w:rsid w:val="00855159"/>
    <w:rsid w:val="00855284"/>
    <w:rsid w:val="00855558"/>
    <w:rsid w:val="008556F2"/>
    <w:rsid w:val="008560FD"/>
    <w:rsid w:val="008576DD"/>
    <w:rsid w:val="00857B89"/>
    <w:rsid w:val="0086048F"/>
    <w:rsid w:val="0086184C"/>
    <w:rsid w:val="0086255D"/>
    <w:rsid w:val="00862A30"/>
    <w:rsid w:val="00862EA4"/>
    <w:rsid w:val="0086327C"/>
    <w:rsid w:val="0086338F"/>
    <w:rsid w:val="00863412"/>
    <w:rsid w:val="0086378F"/>
    <w:rsid w:val="00864DF2"/>
    <w:rsid w:val="00864EC0"/>
    <w:rsid w:val="00866AC2"/>
    <w:rsid w:val="00867940"/>
    <w:rsid w:val="00867AAE"/>
    <w:rsid w:val="00867CBC"/>
    <w:rsid w:val="00870261"/>
    <w:rsid w:val="00870BFB"/>
    <w:rsid w:val="00870D4D"/>
    <w:rsid w:val="008722C9"/>
    <w:rsid w:val="008723C2"/>
    <w:rsid w:val="0087294B"/>
    <w:rsid w:val="00873DB3"/>
    <w:rsid w:val="0087417F"/>
    <w:rsid w:val="00874612"/>
    <w:rsid w:val="00874C42"/>
    <w:rsid w:val="00874DDD"/>
    <w:rsid w:val="0087516B"/>
    <w:rsid w:val="00875473"/>
    <w:rsid w:val="0087547D"/>
    <w:rsid w:val="00875DE4"/>
    <w:rsid w:val="008764E5"/>
    <w:rsid w:val="00876C30"/>
    <w:rsid w:val="00877017"/>
    <w:rsid w:val="008773C0"/>
    <w:rsid w:val="008802E6"/>
    <w:rsid w:val="00880364"/>
    <w:rsid w:val="00881489"/>
    <w:rsid w:val="008822FB"/>
    <w:rsid w:val="00882F9F"/>
    <w:rsid w:val="0088306B"/>
    <w:rsid w:val="00883672"/>
    <w:rsid w:val="008838D6"/>
    <w:rsid w:val="008841F8"/>
    <w:rsid w:val="00884379"/>
    <w:rsid w:val="008843A3"/>
    <w:rsid w:val="008845FA"/>
    <w:rsid w:val="00884BC2"/>
    <w:rsid w:val="00885225"/>
    <w:rsid w:val="008852AD"/>
    <w:rsid w:val="0088547F"/>
    <w:rsid w:val="00885A6C"/>
    <w:rsid w:val="0088603A"/>
    <w:rsid w:val="00886943"/>
    <w:rsid w:val="00886C4C"/>
    <w:rsid w:val="00886F5B"/>
    <w:rsid w:val="0088711C"/>
    <w:rsid w:val="008878E6"/>
    <w:rsid w:val="008903C0"/>
    <w:rsid w:val="0089124F"/>
    <w:rsid w:val="008912EC"/>
    <w:rsid w:val="0089141C"/>
    <w:rsid w:val="00891525"/>
    <w:rsid w:val="00891660"/>
    <w:rsid w:val="008916C7"/>
    <w:rsid w:val="0089197F"/>
    <w:rsid w:val="00892ECF"/>
    <w:rsid w:val="00892F06"/>
    <w:rsid w:val="008935B5"/>
    <w:rsid w:val="0089395A"/>
    <w:rsid w:val="00894285"/>
    <w:rsid w:val="00894FCE"/>
    <w:rsid w:val="008951BF"/>
    <w:rsid w:val="008952E7"/>
    <w:rsid w:val="0089577C"/>
    <w:rsid w:val="008965F6"/>
    <w:rsid w:val="00896704"/>
    <w:rsid w:val="00896F18"/>
    <w:rsid w:val="0089732C"/>
    <w:rsid w:val="00897611"/>
    <w:rsid w:val="008A13C6"/>
    <w:rsid w:val="008A14D1"/>
    <w:rsid w:val="008A1769"/>
    <w:rsid w:val="008A1E0D"/>
    <w:rsid w:val="008A1F5A"/>
    <w:rsid w:val="008A257B"/>
    <w:rsid w:val="008A2BD8"/>
    <w:rsid w:val="008A40AE"/>
    <w:rsid w:val="008A4179"/>
    <w:rsid w:val="008A47B0"/>
    <w:rsid w:val="008A4A4B"/>
    <w:rsid w:val="008A4BAE"/>
    <w:rsid w:val="008A4CD4"/>
    <w:rsid w:val="008A4E19"/>
    <w:rsid w:val="008A5F69"/>
    <w:rsid w:val="008A67C5"/>
    <w:rsid w:val="008A6B79"/>
    <w:rsid w:val="008A6BCE"/>
    <w:rsid w:val="008A6DD5"/>
    <w:rsid w:val="008A6E63"/>
    <w:rsid w:val="008B04BC"/>
    <w:rsid w:val="008B1078"/>
    <w:rsid w:val="008B10EF"/>
    <w:rsid w:val="008B1924"/>
    <w:rsid w:val="008B22E1"/>
    <w:rsid w:val="008B2391"/>
    <w:rsid w:val="008B2CED"/>
    <w:rsid w:val="008B2E71"/>
    <w:rsid w:val="008B3359"/>
    <w:rsid w:val="008B3C78"/>
    <w:rsid w:val="008B3D9A"/>
    <w:rsid w:val="008B439F"/>
    <w:rsid w:val="008B4AE9"/>
    <w:rsid w:val="008B4D96"/>
    <w:rsid w:val="008B4FA3"/>
    <w:rsid w:val="008B5011"/>
    <w:rsid w:val="008B51C4"/>
    <w:rsid w:val="008B5485"/>
    <w:rsid w:val="008B58E8"/>
    <w:rsid w:val="008B5E31"/>
    <w:rsid w:val="008B615F"/>
    <w:rsid w:val="008B6633"/>
    <w:rsid w:val="008B6B64"/>
    <w:rsid w:val="008B719B"/>
    <w:rsid w:val="008B72C2"/>
    <w:rsid w:val="008C05DC"/>
    <w:rsid w:val="008C0E1E"/>
    <w:rsid w:val="008C1923"/>
    <w:rsid w:val="008C1CD9"/>
    <w:rsid w:val="008C26DF"/>
    <w:rsid w:val="008C30AD"/>
    <w:rsid w:val="008C376B"/>
    <w:rsid w:val="008C3958"/>
    <w:rsid w:val="008C3A16"/>
    <w:rsid w:val="008C47BF"/>
    <w:rsid w:val="008C4E3E"/>
    <w:rsid w:val="008C5472"/>
    <w:rsid w:val="008C61FE"/>
    <w:rsid w:val="008C742C"/>
    <w:rsid w:val="008D03DD"/>
    <w:rsid w:val="008D068E"/>
    <w:rsid w:val="008D06B0"/>
    <w:rsid w:val="008D0F7A"/>
    <w:rsid w:val="008D1614"/>
    <w:rsid w:val="008D1F7F"/>
    <w:rsid w:val="008D355B"/>
    <w:rsid w:val="008D3576"/>
    <w:rsid w:val="008D3CB8"/>
    <w:rsid w:val="008D45A1"/>
    <w:rsid w:val="008D469E"/>
    <w:rsid w:val="008D4ACC"/>
    <w:rsid w:val="008D4BAE"/>
    <w:rsid w:val="008D55C5"/>
    <w:rsid w:val="008D63BE"/>
    <w:rsid w:val="008D651E"/>
    <w:rsid w:val="008D722A"/>
    <w:rsid w:val="008D7CBE"/>
    <w:rsid w:val="008E0CFF"/>
    <w:rsid w:val="008E129D"/>
    <w:rsid w:val="008E1335"/>
    <w:rsid w:val="008E1BD1"/>
    <w:rsid w:val="008E2075"/>
    <w:rsid w:val="008E29BD"/>
    <w:rsid w:val="008E34FC"/>
    <w:rsid w:val="008E3BF4"/>
    <w:rsid w:val="008E3CC8"/>
    <w:rsid w:val="008E3D9D"/>
    <w:rsid w:val="008E3E07"/>
    <w:rsid w:val="008E48B2"/>
    <w:rsid w:val="008E4BF7"/>
    <w:rsid w:val="008E4E59"/>
    <w:rsid w:val="008E52F5"/>
    <w:rsid w:val="008E55EE"/>
    <w:rsid w:val="008E5BE9"/>
    <w:rsid w:val="008E5D6B"/>
    <w:rsid w:val="008E689B"/>
    <w:rsid w:val="008E76F0"/>
    <w:rsid w:val="008E7F2B"/>
    <w:rsid w:val="008F0213"/>
    <w:rsid w:val="008F063F"/>
    <w:rsid w:val="008F0A8F"/>
    <w:rsid w:val="008F0D20"/>
    <w:rsid w:val="008F1248"/>
    <w:rsid w:val="008F1349"/>
    <w:rsid w:val="008F15FE"/>
    <w:rsid w:val="008F19EA"/>
    <w:rsid w:val="008F29F6"/>
    <w:rsid w:val="008F2A94"/>
    <w:rsid w:val="008F2D7C"/>
    <w:rsid w:val="008F31AF"/>
    <w:rsid w:val="008F34FE"/>
    <w:rsid w:val="008F40DB"/>
    <w:rsid w:val="008F4341"/>
    <w:rsid w:val="008F486B"/>
    <w:rsid w:val="008F5187"/>
    <w:rsid w:val="008F576E"/>
    <w:rsid w:val="008F652C"/>
    <w:rsid w:val="008F658D"/>
    <w:rsid w:val="008F6A4A"/>
    <w:rsid w:val="008F709C"/>
    <w:rsid w:val="008F7394"/>
    <w:rsid w:val="008F7487"/>
    <w:rsid w:val="008F75B5"/>
    <w:rsid w:val="008F788B"/>
    <w:rsid w:val="009002E0"/>
    <w:rsid w:val="00900D7F"/>
    <w:rsid w:val="00901436"/>
    <w:rsid w:val="00902468"/>
    <w:rsid w:val="0090312B"/>
    <w:rsid w:val="00903809"/>
    <w:rsid w:val="009043F5"/>
    <w:rsid w:val="009045A4"/>
    <w:rsid w:val="00904961"/>
    <w:rsid w:val="009052B9"/>
    <w:rsid w:val="0090530A"/>
    <w:rsid w:val="009056B1"/>
    <w:rsid w:val="009056C4"/>
    <w:rsid w:val="00905AF8"/>
    <w:rsid w:val="00905F59"/>
    <w:rsid w:val="00905F74"/>
    <w:rsid w:val="009062AE"/>
    <w:rsid w:val="0090639E"/>
    <w:rsid w:val="009065F7"/>
    <w:rsid w:val="00906A72"/>
    <w:rsid w:val="00906D30"/>
    <w:rsid w:val="00906E4A"/>
    <w:rsid w:val="0090748C"/>
    <w:rsid w:val="009076DA"/>
    <w:rsid w:val="009079A3"/>
    <w:rsid w:val="00910FB3"/>
    <w:rsid w:val="00911353"/>
    <w:rsid w:val="00911F2F"/>
    <w:rsid w:val="009120ED"/>
    <w:rsid w:val="00913214"/>
    <w:rsid w:val="009133CA"/>
    <w:rsid w:val="00913FD3"/>
    <w:rsid w:val="009155CD"/>
    <w:rsid w:val="009156A5"/>
    <w:rsid w:val="00915883"/>
    <w:rsid w:val="00916351"/>
    <w:rsid w:val="0091699E"/>
    <w:rsid w:val="0091736D"/>
    <w:rsid w:val="00920251"/>
    <w:rsid w:val="00920379"/>
    <w:rsid w:val="00920AEF"/>
    <w:rsid w:val="00922881"/>
    <w:rsid w:val="00923F12"/>
    <w:rsid w:val="009247F5"/>
    <w:rsid w:val="00924992"/>
    <w:rsid w:val="00925590"/>
    <w:rsid w:val="00925E0B"/>
    <w:rsid w:val="009270BD"/>
    <w:rsid w:val="0092734C"/>
    <w:rsid w:val="00927D4C"/>
    <w:rsid w:val="00927E37"/>
    <w:rsid w:val="00930754"/>
    <w:rsid w:val="0093076B"/>
    <w:rsid w:val="009307B2"/>
    <w:rsid w:val="00930C38"/>
    <w:rsid w:val="00931001"/>
    <w:rsid w:val="00931863"/>
    <w:rsid w:val="00931D57"/>
    <w:rsid w:val="009322BB"/>
    <w:rsid w:val="0093346B"/>
    <w:rsid w:val="00933494"/>
    <w:rsid w:val="00933524"/>
    <w:rsid w:val="00933A6D"/>
    <w:rsid w:val="00933D23"/>
    <w:rsid w:val="0093484F"/>
    <w:rsid w:val="00934C6D"/>
    <w:rsid w:val="00934E97"/>
    <w:rsid w:val="00935323"/>
    <w:rsid w:val="009354F7"/>
    <w:rsid w:val="0093561B"/>
    <w:rsid w:val="00935C8B"/>
    <w:rsid w:val="00936F39"/>
    <w:rsid w:val="009400A7"/>
    <w:rsid w:val="009403D6"/>
    <w:rsid w:val="00940902"/>
    <w:rsid w:val="009412F8"/>
    <w:rsid w:val="00941BE5"/>
    <w:rsid w:val="00941C03"/>
    <w:rsid w:val="00941F6D"/>
    <w:rsid w:val="00942012"/>
    <w:rsid w:val="009425EF"/>
    <w:rsid w:val="0094278D"/>
    <w:rsid w:val="00942854"/>
    <w:rsid w:val="00942B98"/>
    <w:rsid w:val="00942F93"/>
    <w:rsid w:val="0094399B"/>
    <w:rsid w:val="00944899"/>
    <w:rsid w:val="009450F7"/>
    <w:rsid w:val="009454B3"/>
    <w:rsid w:val="00945AAF"/>
    <w:rsid w:val="00946950"/>
    <w:rsid w:val="00947FB4"/>
    <w:rsid w:val="009506D9"/>
    <w:rsid w:val="00950987"/>
    <w:rsid w:val="009513E9"/>
    <w:rsid w:val="00952182"/>
    <w:rsid w:val="00952579"/>
    <w:rsid w:val="0095274E"/>
    <w:rsid w:val="0095289D"/>
    <w:rsid w:val="00952975"/>
    <w:rsid w:val="0095308A"/>
    <w:rsid w:val="009534D8"/>
    <w:rsid w:val="00953A3D"/>
    <w:rsid w:val="0095521F"/>
    <w:rsid w:val="009552EB"/>
    <w:rsid w:val="00955566"/>
    <w:rsid w:val="00955AEE"/>
    <w:rsid w:val="00955B6F"/>
    <w:rsid w:val="009564A4"/>
    <w:rsid w:val="00956F14"/>
    <w:rsid w:val="0096022C"/>
    <w:rsid w:val="00961585"/>
    <w:rsid w:val="00961ADB"/>
    <w:rsid w:val="00961E72"/>
    <w:rsid w:val="00961E7D"/>
    <w:rsid w:val="009620FD"/>
    <w:rsid w:val="00962352"/>
    <w:rsid w:val="0096247A"/>
    <w:rsid w:val="0096309C"/>
    <w:rsid w:val="009641A1"/>
    <w:rsid w:val="0096487D"/>
    <w:rsid w:val="00964D41"/>
    <w:rsid w:val="00965004"/>
    <w:rsid w:val="00965C60"/>
    <w:rsid w:val="00965EAF"/>
    <w:rsid w:val="00965F4B"/>
    <w:rsid w:val="009665BA"/>
    <w:rsid w:val="0096760F"/>
    <w:rsid w:val="009678CE"/>
    <w:rsid w:val="00970071"/>
    <w:rsid w:val="00970713"/>
    <w:rsid w:val="0097085C"/>
    <w:rsid w:val="00970F8A"/>
    <w:rsid w:val="0097177B"/>
    <w:rsid w:val="00971FB5"/>
    <w:rsid w:val="00972D2A"/>
    <w:rsid w:val="00973392"/>
    <w:rsid w:val="009734B2"/>
    <w:rsid w:val="009749DF"/>
    <w:rsid w:val="00974B67"/>
    <w:rsid w:val="00975818"/>
    <w:rsid w:val="00975CC5"/>
    <w:rsid w:val="00975CE1"/>
    <w:rsid w:val="00975D20"/>
    <w:rsid w:val="009760C1"/>
    <w:rsid w:val="00976144"/>
    <w:rsid w:val="00976328"/>
    <w:rsid w:val="00976A95"/>
    <w:rsid w:val="00976B4E"/>
    <w:rsid w:val="00977788"/>
    <w:rsid w:val="009804A9"/>
    <w:rsid w:val="009806C9"/>
    <w:rsid w:val="00980991"/>
    <w:rsid w:val="00981405"/>
    <w:rsid w:val="00981A8F"/>
    <w:rsid w:val="00982818"/>
    <w:rsid w:val="00982B12"/>
    <w:rsid w:val="0098314A"/>
    <w:rsid w:val="00983244"/>
    <w:rsid w:val="00983B19"/>
    <w:rsid w:val="009840F1"/>
    <w:rsid w:val="00984458"/>
    <w:rsid w:val="00985283"/>
    <w:rsid w:val="00985B4E"/>
    <w:rsid w:val="0098674C"/>
    <w:rsid w:val="00986CAD"/>
    <w:rsid w:val="00987322"/>
    <w:rsid w:val="009875AB"/>
    <w:rsid w:val="00987EFF"/>
    <w:rsid w:val="009910B1"/>
    <w:rsid w:val="009919BF"/>
    <w:rsid w:val="00991DD4"/>
    <w:rsid w:val="0099356A"/>
    <w:rsid w:val="009941C7"/>
    <w:rsid w:val="0099588C"/>
    <w:rsid w:val="00995A2E"/>
    <w:rsid w:val="00995BCA"/>
    <w:rsid w:val="0099655C"/>
    <w:rsid w:val="00996A63"/>
    <w:rsid w:val="00996E69"/>
    <w:rsid w:val="009976A1"/>
    <w:rsid w:val="00997FE0"/>
    <w:rsid w:val="009A000B"/>
    <w:rsid w:val="009A0F3B"/>
    <w:rsid w:val="009A172C"/>
    <w:rsid w:val="009A20D1"/>
    <w:rsid w:val="009A32EB"/>
    <w:rsid w:val="009A34FE"/>
    <w:rsid w:val="009A3575"/>
    <w:rsid w:val="009A364A"/>
    <w:rsid w:val="009A4196"/>
    <w:rsid w:val="009A50F3"/>
    <w:rsid w:val="009A5126"/>
    <w:rsid w:val="009A5926"/>
    <w:rsid w:val="009A5DCF"/>
    <w:rsid w:val="009A72C7"/>
    <w:rsid w:val="009A74D1"/>
    <w:rsid w:val="009B0897"/>
    <w:rsid w:val="009B17B3"/>
    <w:rsid w:val="009B1A98"/>
    <w:rsid w:val="009B1CBB"/>
    <w:rsid w:val="009B21AD"/>
    <w:rsid w:val="009B2522"/>
    <w:rsid w:val="009B29A6"/>
    <w:rsid w:val="009B2CF1"/>
    <w:rsid w:val="009B2DA4"/>
    <w:rsid w:val="009B30BE"/>
    <w:rsid w:val="009B3375"/>
    <w:rsid w:val="009B3694"/>
    <w:rsid w:val="009B3E17"/>
    <w:rsid w:val="009B496F"/>
    <w:rsid w:val="009B4BBE"/>
    <w:rsid w:val="009B5374"/>
    <w:rsid w:val="009B69AA"/>
    <w:rsid w:val="009B70DA"/>
    <w:rsid w:val="009B77ED"/>
    <w:rsid w:val="009B78AB"/>
    <w:rsid w:val="009B7EB0"/>
    <w:rsid w:val="009C0D3C"/>
    <w:rsid w:val="009C135B"/>
    <w:rsid w:val="009C237F"/>
    <w:rsid w:val="009C2C95"/>
    <w:rsid w:val="009C38D1"/>
    <w:rsid w:val="009C4154"/>
    <w:rsid w:val="009C431A"/>
    <w:rsid w:val="009C4484"/>
    <w:rsid w:val="009C4843"/>
    <w:rsid w:val="009C5844"/>
    <w:rsid w:val="009C5C63"/>
    <w:rsid w:val="009C5EF5"/>
    <w:rsid w:val="009C6424"/>
    <w:rsid w:val="009C6C4D"/>
    <w:rsid w:val="009C7105"/>
    <w:rsid w:val="009C7C31"/>
    <w:rsid w:val="009C7D82"/>
    <w:rsid w:val="009D012A"/>
    <w:rsid w:val="009D06E3"/>
    <w:rsid w:val="009D0852"/>
    <w:rsid w:val="009D1804"/>
    <w:rsid w:val="009D1B89"/>
    <w:rsid w:val="009D1BD9"/>
    <w:rsid w:val="009D1DC9"/>
    <w:rsid w:val="009D1F7F"/>
    <w:rsid w:val="009D1FBF"/>
    <w:rsid w:val="009D255A"/>
    <w:rsid w:val="009D2864"/>
    <w:rsid w:val="009D3856"/>
    <w:rsid w:val="009D3A77"/>
    <w:rsid w:val="009D3E5B"/>
    <w:rsid w:val="009D400A"/>
    <w:rsid w:val="009D4061"/>
    <w:rsid w:val="009D4B72"/>
    <w:rsid w:val="009D4FA8"/>
    <w:rsid w:val="009D50D7"/>
    <w:rsid w:val="009D51B6"/>
    <w:rsid w:val="009D66F3"/>
    <w:rsid w:val="009D672C"/>
    <w:rsid w:val="009D6756"/>
    <w:rsid w:val="009D68F4"/>
    <w:rsid w:val="009D6EB8"/>
    <w:rsid w:val="009E0112"/>
    <w:rsid w:val="009E0397"/>
    <w:rsid w:val="009E05C6"/>
    <w:rsid w:val="009E0DF6"/>
    <w:rsid w:val="009E13F9"/>
    <w:rsid w:val="009E216F"/>
    <w:rsid w:val="009E2A12"/>
    <w:rsid w:val="009E2B7E"/>
    <w:rsid w:val="009E3196"/>
    <w:rsid w:val="009E333A"/>
    <w:rsid w:val="009E399C"/>
    <w:rsid w:val="009E3B9F"/>
    <w:rsid w:val="009E4221"/>
    <w:rsid w:val="009E43C1"/>
    <w:rsid w:val="009E4605"/>
    <w:rsid w:val="009E5747"/>
    <w:rsid w:val="009E5EFE"/>
    <w:rsid w:val="009E6750"/>
    <w:rsid w:val="009E6F7D"/>
    <w:rsid w:val="009E70F7"/>
    <w:rsid w:val="009E7E95"/>
    <w:rsid w:val="009F0348"/>
    <w:rsid w:val="009F0537"/>
    <w:rsid w:val="009F09E3"/>
    <w:rsid w:val="009F116F"/>
    <w:rsid w:val="009F1509"/>
    <w:rsid w:val="009F1F72"/>
    <w:rsid w:val="009F206C"/>
    <w:rsid w:val="009F286C"/>
    <w:rsid w:val="009F2D40"/>
    <w:rsid w:val="009F2F5F"/>
    <w:rsid w:val="009F329E"/>
    <w:rsid w:val="009F32C5"/>
    <w:rsid w:val="009F40C3"/>
    <w:rsid w:val="009F4E6E"/>
    <w:rsid w:val="009F5CBA"/>
    <w:rsid w:val="009F6093"/>
    <w:rsid w:val="009F6B19"/>
    <w:rsid w:val="009F6E81"/>
    <w:rsid w:val="009F6EE7"/>
    <w:rsid w:val="009F782A"/>
    <w:rsid w:val="009F7ED3"/>
    <w:rsid w:val="00A006FE"/>
    <w:rsid w:val="00A00DBB"/>
    <w:rsid w:val="00A01657"/>
    <w:rsid w:val="00A01E29"/>
    <w:rsid w:val="00A01E8B"/>
    <w:rsid w:val="00A02617"/>
    <w:rsid w:val="00A02CB7"/>
    <w:rsid w:val="00A02D46"/>
    <w:rsid w:val="00A03374"/>
    <w:rsid w:val="00A03607"/>
    <w:rsid w:val="00A03FA6"/>
    <w:rsid w:val="00A046FE"/>
    <w:rsid w:val="00A047FF"/>
    <w:rsid w:val="00A04FEF"/>
    <w:rsid w:val="00A0644D"/>
    <w:rsid w:val="00A06BD7"/>
    <w:rsid w:val="00A10BC2"/>
    <w:rsid w:val="00A10E3C"/>
    <w:rsid w:val="00A11219"/>
    <w:rsid w:val="00A11DA2"/>
    <w:rsid w:val="00A11EDA"/>
    <w:rsid w:val="00A122CD"/>
    <w:rsid w:val="00A12657"/>
    <w:rsid w:val="00A1279C"/>
    <w:rsid w:val="00A12A32"/>
    <w:rsid w:val="00A12D55"/>
    <w:rsid w:val="00A12EBF"/>
    <w:rsid w:val="00A13414"/>
    <w:rsid w:val="00A13FC1"/>
    <w:rsid w:val="00A1406F"/>
    <w:rsid w:val="00A14248"/>
    <w:rsid w:val="00A14947"/>
    <w:rsid w:val="00A149DF"/>
    <w:rsid w:val="00A14C5B"/>
    <w:rsid w:val="00A15119"/>
    <w:rsid w:val="00A1564B"/>
    <w:rsid w:val="00A15885"/>
    <w:rsid w:val="00A15DE2"/>
    <w:rsid w:val="00A16231"/>
    <w:rsid w:val="00A16747"/>
    <w:rsid w:val="00A16E03"/>
    <w:rsid w:val="00A16E6F"/>
    <w:rsid w:val="00A16FA9"/>
    <w:rsid w:val="00A1753F"/>
    <w:rsid w:val="00A1772D"/>
    <w:rsid w:val="00A17BAA"/>
    <w:rsid w:val="00A201F0"/>
    <w:rsid w:val="00A205C7"/>
    <w:rsid w:val="00A205EE"/>
    <w:rsid w:val="00A2102D"/>
    <w:rsid w:val="00A22093"/>
    <w:rsid w:val="00A228BF"/>
    <w:rsid w:val="00A2303B"/>
    <w:rsid w:val="00A23077"/>
    <w:rsid w:val="00A23DC5"/>
    <w:rsid w:val="00A24B70"/>
    <w:rsid w:val="00A25869"/>
    <w:rsid w:val="00A25A5C"/>
    <w:rsid w:val="00A25B37"/>
    <w:rsid w:val="00A265AD"/>
    <w:rsid w:val="00A3003C"/>
    <w:rsid w:val="00A30372"/>
    <w:rsid w:val="00A30820"/>
    <w:rsid w:val="00A30D8F"/>
    <w:rsid w:val="00A31328"/>
    <w:rsid w:val="00A31A9B"/>
    <w:rsid w:val="00A31BB0"/>
    <w:rsid w:val="00A32873"/>
    <w:rsid w:val="00A32A12"/>
    <w:rsid w:val="00A33623"/>
    <w:rsid w:val="00A33985"/>
    <w:rsid w:val="00A33D6C"/>
    <w:rsid w:val="00A34028"/>
    <w:rsid w:val="00A345F9"/>
    <w:rsid w:val="00A3461B"/>
    <w:rsid w:val="00A346C8"/>
    <w:rsid w:val="00A34D28"/>
    <w:rsid w:val="00A35568"/>
    <w:rsid w:val="00A3645A"/>
    <w:rsid w:val="00A36AC5"/>
    <w:rsid w:val="00A36E6D"/>
    <w:rsid w:val="00A36FC2"/>
    <w:rsid w:val="00A37056"/>
    <w:rsid w:val="00A3777C"/>
    <w:rsid w:val="00A37E5E"/>
    <w:rsid w:val="00A37E90"/>
    <w:rsid w:val="00A40910"/>
    <w:rsid w:val="00A40D92"/>
    <w:rsid w:val="00A41496"/>
    <w:rsid w:val="00A41A1A"/>
    <w:rsid w:val="00A42247"/>
    <w:rsid w:val="00A424F2"/>
    <w:rsid w:val="00A4258E"/>
    <w:rsid w:val="00A42D77"/>
    <w:rsid w:val="00A4358F"/>
    <w:rsid w:val="00A43846"/>
    <w:rsid w:val="00A44D98"/>
    <w:rsid w:val="00A44E63"/>
    <w:rsid w:val="00A4582A"/>
    <w:rsid w:val="00A45A13"/>
    <w:rsid w:val="00A46456"/>
    <w:rsid w:val="00A46F67"/>
    <w:rsid w:val="00A500D0"/>
    <w:rsid w:val="00A501D0"/>
    <w:rsid w:val="00A504C0"/>
    <w:rsid w:val="00A50999"/>
    <w:rsid w:val="00A50D95"/>
    <w:rsid w:val="00A5136A"/>
    <w:rsid w:val="00A52255"/>
    <w:rsid w:val="00A5276B"/>
    <w:rsid w:val="00A53240"/>
    <w:rsid w:val="00A54174"/>
    <w:rsid w:val="00A54A05"/>
    <w:rsid w:val="00A54AA1"/>
    <w:rsid w:val="00A54FA3"/>
    <w:rsid w:val="00A552AA"/>
    <w:rsid w:val="00A5604E"/>
    <w:rsid w:val="00A5677F"/>
    <w:rsid w:val="00A568FF"/>
    <w:rsid w:val="00A57633"/>
    <w:rsid w:val="00A57787"/>
    <w:rsid w:val="00A57D30"/>
    <w:rsid w:val="00A602EC"/>
    <w:rsid w:val="00A6090D"/>
    <w:rsid w:val="00A60A57"/>
    <w:rsid w:val="00A60E90"/>
    <w:rsid w:val="00A61496"/>
    <w:rsid w:val="00A617C2"/>
    <w:rsid w:val="00A61833"/>
    <w:rsid w:val="00A61B58"/>
    <w:rsid w:val="00A624C6"/>
    <w:rsid w:val="00A62D5B"/>
    <w:rsid w:val="00A636A0"/>
    <w:rsid w:val="00A6372C"/>
    <w:rsid w:val="00A63CEC"/>
    <w:rsid w:val="00A641F0"/>
    <w:rsid w:val="00A64397"/>
    <w:rsid w:val="00A643E9"/>
    <w:rsid w:val="00A64412"/>
    <w:rsid w:val="00A6445C"/>
    <w:rsid w:val="00A64827"/>
    <w:rsid w:val="00A652CE"/>
    <w:rsid w:val="00A65926"/>
    <w:rsid w:val="00A65BD7"/>
    <w:rsid w:val="00A65E72"/>
    <w:rsid w:val="00A65FBC"/>
    <w:rsid w:val="00A66368"/>
    <w:rsid w:val="00A6642B"/>
    <w:rsid w:val="00A7031E"/>
    <w:rsid w:val="00A70475"/>
    <w:rsid w:val="00A70516"/>
    <w:rsid w:val="00A71DEA"/>
    <w:rsid w:val="00A724C5"/>
    <w:rsid w:val="00A726B1"/>
    <w:rsid w:val="00A728B1"/>
    <w:rsid w:val="00A73543"/>
    <w:rsid w:val="00A75274"/>
    <w:rsid w:val="00A75D9A"/>
    <w:rsid w:val="00A763DE"/>
    <w:rsid w:val="00A803D6"/>
    <w:rsid w:val="00A805D2"/>
    <w:rsid w:val="00A80B6C"/>
    <w:rsid w:val="00A811E6"/>
    <w:rsid w:val="00A81282"/>
    <w:rsid w:val="00A818CD"/>
    <w:rsid w:val="00A8316E"/>
    <w:rsid w:val="00A8342A"/>
    <w:rsid w:val="00A83884"/>
    <w:rsid w:val="00A83CCC"/>
    <w:rsid w:val="00A8446B"/>
    <w:rsid w:val="00A84D87"/>
    <w:rsid w:val="00A851C2"/>
    <w:rsid w:val="00A85205"/>
    <w:rsid w:val="00A85321"/>
    <w:rsid w:val="00A85B59"/>
    <w:rsid w:val="00A864AD"/>
    <w:rsid w:val="00A86905"/>
    <w:rsid w:val="00A869F1"/>
    <w:rsid w:val="00A8713F"/>
    <w:rsid w:val="00A87365"/>
    <w:rsid w:val="00A90860"/>
    <w:rsid w:val="00A90996"/>
    <w:rsid w:val="00A91167"/>
    <w:rsid w:val="00A9166A"/>
    <w:rsid w:val="00A9171C"/>
    <w:rsid w:val="00A91745"/>
    <w:rsid w:val="00A919F1"/>
    <w:rsid w:val="00A9291E"/>
    <w:rsid w:val="00A92A89"/>
    <w:rsid w:val="00A92CC7"/>
    <w:rsid w:val="00A92FFD"/>
    <w:rsid w:val="00A93030"/>
    <w:rsid w:val="00A936C7"/>
    <w:rsid w:val="00A93851"/>
    <w:rsid w:val="00A93D0F"/>
    <w:rsid w:val="00A941D9"/>
    <w:rsid w:val="00A94869"/>
    <w:rsid w:val="00A949C2"/>
    <w:rsid w:val="00A95075"/>
    <w:rsid w:val="00A950DB"/>
    <w:rsid w:val="00A95353"/>
    <w:rsid w:val="00A954E6"/>
    <w:rsid w:val="00A9561C"/>
    <w:rsid w:val="00A95975"/>
    <w:rsid w:val="00A95A4B"/>
    <w:rsid w:val="00A95C5B"/>
    <w:rsid w:val="00A95E30"/>
    <w:rsid w:val="00A969CC"/>
    <w:rsid w:val="00A9708D"/>
    <w:rsid w:val="00A977AD"/>
    <w:rsid w:val="00A97E05"/>
    <w:rsid w:val="00A97FAC"/>
    <w:rsid w:val="00A97FE4"/>
    <w:rsid w:val="00AA17E6"/>
    <w:rsid w:val="00AA1A7D"/>
    <w:rsid w:val="00AA232C"/>
    <w:rsid w:val="00AA2619"/>
    <w:rsid w:val="00AA2C17"/>
    <w:rsid w:val="00AA3341"/>
    <w:rsid w:val="00AA3A1D"/>
    <w:rsid w:val="00AA3C69"/>
    <w:rsid w:val="00AA4172"/>
    <w:rsid w:val="00AA4A7E"/>
    <w:rsid w:val="00AA5526"/>
    <w:rsid w:val="00AA5C25"/>
    <w:rsid w:val="00AA6588"/>
    <w:rsid w:val="00AA6A7C"/>
    <w:rsid w:val="00AA6CE8"/>
    <w:rsid w:val="00AA7647"/>
    <w:rsid w:val="00AA7F67"/>
    <w:rsid w:val="00AB0219"/>
    <w:rsid w:val="00AB0317"/>
    <w:rsid w:val="00AB07D5"/>
    <w:rsid w:val="00AB121F"/>
    <w:rsid w:val="00AB12EA"/>
    <w:rsid w:val="00AB16FC"/>
    <w:rsid w:val="00AB18B8"/>
    <w:rsid w:val="00AB1914"/>
    <w:rsid w:val="00AB1F33"/>
    <w:rsid w:val="00AB2326"/>
    <w:rsid w:val="00AB3451"/>
    <w:rsid w:val="00AB498C"/>
    <w:rsid w:val="00AB4DE8"/>
    <w:rsid w:val="00AB5330"/>
    <w:rsid w:val="00AB565D"/>
    <w:rsid w:val="00AB5F10"/>
    <w:rsid w:val="00AB6604"/>
    <w:rsid w:val="00AB66EB"/>
    <w:rsid w:val="00AB6C59"/>
    <w:rsid w:val="00AB717A"/>
    <w:rsid w:val="00AB7219"/>
    <w:rsid w:val="00AB722E"/>
    <w:rsid w:val="00AB73C8"/>
    <w:rsid w:val="00AB7747"/>
    <w:rsid w:val="00AC021B"/>
    <w:rsid w:val="00AC0415"/>
    <w:rsid w:val="00AC0631"/>
    <w:rsid w:val="00AC07E3"/>
    <w:rsid w:val="00AC0A8E"/>
    <w:rsid w:val="00AC0EB7"/>
    <w:rsid w:val="00AC1BE0"/>
    <w:rsid w:val="00AC2532"/>
    <w:rsid w:val="00AC2AF4"/>
    <w:rsid w:val="00AC2F30"/>
    <w:rsid w:val="00AC37D0"/>
    <w:rsid w:val="00AC3B8F"/>
    <w:rsid w:val="00AC3D34"/>
    <w:rsid w:val="00AC3E2E"/>
    <w:rsid w:val="00AC440F"/>
    <w:rsid w:val="00AC5540"/>
    <w:rsid w:val="00AC5F10"/>
    <w:rsid w:val="00AC625F"/>
    <w:rsid w:val="00AC6686"/>
    <w:rsid w:val="00AC694E"/>
    <w:rsid w:val="00AC6E59"/>
    <w:rsid w:val="00AC7165"/>
    <w:rsid w:val="00AC71E7"/>
    <w:rsid w:val="00AC7774"/>
    <w:rsid w:val="00AC7FB0"/>
    <w:rsid w:val="00AD0630"/>
    <w:rsid w:val="00AD13F6"/>
    <w:rsid w:val="00AD1507"/>
    <w:rsid w:val="00AD24A5"/>
    <w:rsid w:val="00AD32C9"/>
    <w:rsid w:val="00AD33D2"/>
    <w:rsid w:val="00AD38A2"/>
    <w:rsid w:val="00AD41E4"/>
    <w:rsid w:val="00AD4A82"/>
    <w:rsid w:val="00AD564A"/>
    <w:rsid w:val="00AD5A70"/>
    <w:rsid w:val="00AD5D68"/>
    <w:rsid w:val="00AD738B"/>
    <w:rsid w:val="00AD7533"/>
    <w:rsid w:val="00AE10AF"/>
    <w:rsid w:val="00AE1747"/>
    <w:rsid w:val="00AE1BF4"/>
    <w:rsid w:val="00AE2DCC"/>
    <w:rsid w:val="00AE2F48"/>
    <w:rsid w:val="00AE2FF2"/>
    <w:rsid w:val="00AE3461"/>
    <w:rsid w:val="00AE38D1"/>
    <w:rsid w:val="00AE44B4"/>
    <w:rsid w:val="00AE4991"/>
    <w:rsid w:val="00AE5D97"/>
    <w:rsid w:val="00AE6794"/>
    <w:rsid w:val="00AE6E3C"/>
    <w:rsid w:val="00AE7055"/>
    <w:rsid w:val="00AF045D"/>
    <w:rsid w:val="00AF04EA"/>
    <w:rsid w:val="00AF23A2"/>
    <w:rsid w:val="00AF306D"/>
    <w:rsid w:val="00AF359F"/>
    <w:rsid w:val="00AF3D8A"/>
    <w:rsid w:val="00AF3E2B"/>
    <w:rsid w:val="00AF4096"/>
    <w:rsid w:val="00AF4466"/>
    <w:rsid w:val="00AF467F"/>
    <w:rsid w:val="00AF485C"/>
    <w:rsid w:val="00AF4D1E"/>
    <w:rsid w:val="00AF4F20"/>
    <w:rsid w:val="00AF523E"/>
    <w:rsid w:val="00AF55CE"/>
    <w:rsid w:val="00AF6062"/>
    <w:rsid w:val="00AF60AE"/>
    <w:rsid w:val="00AF7BB6"/>
    <w:rsid w:val="00B00314"/>
    <w:rsid w:val="00B0055E"/>
    <w:rsid w:val="00B0063E"/>
    <w:rsid w:val="00B00814"/>
    <w:rsid w:val="00B01110"/>
    <w:rsid w:val="00B011EC"/>
    <w:rsid w:val="00B01FCC"/>
    <w:rsid w:val="00B01FE1"/>
    <w:rsid w:val="00B021BC"/>
    <w:rsid w:val="00B02262"/>
    <w:rsid w:val="00B02850"/>
    <w:rsid w:val="00B02F0E"/>
    <w:rsid w:val="00B03CEC"/>
    <w:rsid w:val="00B03E6A"/>
    <w:rsid w:val="00B04629"/>
    <w:rsid w:val="00B04A8B"/>
    <w:rsid w:val="00B05F8A"/>
    <w:rsid w:val="00B06092"/>
    <w:rsid w:val="00B06287"/>
    <w:rsid w:val="00B06AE0"/>
    <w:rsid w:val="00B06BCC"/>
    <w:rsid w:val="00B06E47"/>
    <w:rsid w:val="00B07207"/>
    <w:rsid w:val="00B07572"/>
    <w:rsid w:val="00B10B1C"/>
    <w:rsid w:val="00B1154F"/>
    <w:rsid w:val="00B115F0"/>
    <w:rsid w:val="00B11BF7"/>
    <w:rsid w:val="00B1209F"/>
    <w:rsid w:val="00B12949"/>
    <w:rsid w:val="00B12A08"/>
    <w:rsid w:val="00B12AD0"/>
    <w:rsid w:val="00B13733"/>
    <w:rsid w:val="00B14460"/>
    <w:rsid w:val="00B1448A"/>
    <w:rsid w:val="00B14D9B"/>
    <w:rsid w:val="00B15065"/>
    <w:rsid w:val="00B15643"/>
    <w:rsid w:val="00B15C69"/>
    <w:rsid w:val="00B16146"/>
    <w:rsid w:val="00B16473"/>
    <w:rsid w:val="00B167C2"/>
    <w:rsid w:val="00B16A6A"/>
    <w:rsid w:val="00B178BD"/>
    <w:rsid w:val="00B17D5A"/>
    <w:rsid w:val="00B17DFC"/>
    <w:rsid w:val="00B20622"/>
    <w:rsid w:val="00B209BB"/>
    <w:rsid w:val="00B20D20"/>
    <w:rsid w:val="00B21DA1"/>
    <w:rsid w:val="00B23B0F"/>
    <w:rsid w:val="00B23D3C"/>
    <w:rsid w:val="00B2444D"/>
    <w:rsid w:val="00B24501"/>
    <w:rsid w:val="00B24F30"/>
    <w:rsid w:val="00B2557A"/>
    <w:rsid w:val="00B26426"/>
    <w:rsid w:val="00B26875"/>
    <w:rsid w:val="00B27E43"/>
    <w:rsid w:val="00B30A42"/>
    <w:rsid w:val="00B30A53"/>
    <w:rsid w:val="00B3128A"/>
    <w:rsid w:val="00B312B9"/>
    <w:rsid w:val="00B31ABF"/>
    <w:rsid w:val="00B32239"/>
    <w:rsid w:val="00B324D1"/>
    <w:rsid w:val="00B32582"/>
    <w:rsid w:val="00B327B0"/>
    <w:rsid w:val="00B329F4"/>
    <w:rsid w:val="00B330D4"/>
    <w:rsid w:val="00B335AE"/>
    <w:rsid w:val="00B338F5"/>
    <w:rsid w:val="00B34510"/>
    <w:rsid w:val="00B34CA3"/>
    <w:rsid w:val="00B34D70"/>
    <w:rsid w:val="00B34E9E"/>
    <w:rsid w:val="00B3559F"/>
    <w:rsid w:val="00B35788"/>
    <w:rsid w:val="00B361CC"/>
    <w:rsid w:val="00B3642D"/>
    <w:rsid w:val="00B37382"/>
    <w:rsid w:val="00B37BB4"/>
    <w:rsid w:val="00B37CE1"/>
    <w:rsid w:val="00B37FE1"/>
    <w:rsid w:val="00B40841"/>
    <w:rsid w:val="00B40ACF"/>
    <w:rsid w:val="00B40B6A"/>
    <w:rsid w:val="00B40C85"/>
    <w:rsid w:val="00B42405"/>
    <w:rsid w:val="00B437A8"/>
    <w:rsid w:val="00B44503"/>
    <w:rsid w:val="00B45551"/>
    <w:rsid w:val="00B45912"/>
    <w:rsid w:val="00B45DF0"/>
    <w:rsid w:val="00B4612B"/>
    <w:rsid w:val="00B464BE"/>
    <w:rsid w:val="00B46BAA"/>
    <w:rsid w:val="00B503BD"/>
    <w:rsid w:val="00B505AE"/>
    <w:rsid w:val="00B50B5F"/>
    <w:rsid w:val="00B51A79"/>
    <w:rsid w:val="00B52C7F"/>
    <w:rsid w:val="00B5341E"/>
    <w:rsid w:val="00B53A52"/>
    <w:rsid w:val="00B5411E"/>
    <w:rsid w:val="00B54128"/>
    <w:rsid w:val="00B54BE7"/>
    <w:rsid w:val="00B54C17"/>
    <w:rsid w:val="00B551E6"/>
    <w:rsid w:val="00B5527C"/>
    <w:rsid w:val="00B55826"/>
    <w:rsid w:val="00B55926"/>
    <w:rsid w:val="00B55F42"/>
    <w:rsid w:val="00B565D2"/>
    <w:rsid w:val="00B56E7F"/>
    <w:rsid w:val="00B57447"/>
    <w:rsid w:val="00B577BD"/>
    <w:rsid w:val="00B57A55"/>
    <w:rsid w:val="00B57CDA"/>
    <w:rsid w:val="00B57CEB"/>
    <w:rsid w:val="00B6003C"/>
    <w:rsid w:val="00B6041C"/>
    <w:rsid w:val="00B60426"/>
    <w:rsid w:val="00B60971"/>
    <w:rsid w:val="00B61118"/>
    <w:rsid w:val="00B6199C"/>
    <w:rsid w:val="00B622DD"/>
    <w:rsid w:val="00B62337"/>
    <w:rsid w:val="00B628AA"/>
    <w:rsid w:val="00B62D05"/>
    <w:rsid w:val="00B63522"/>
    <w:rsid w:val="00B640D5"/>
    <w:rsid w:val="00B641DB"/>
    <w:rsid w:val="00B645C5"/>
    <w:rsid w:val="00B64C89"/>
    <w:rsid w:val="00B653A5"/>
    <w:rsid w:val="00B65C70"/>
    <w:rsid w:val="00B65EA8"/>
    <w:rsid w:val="00B66D69"/>
    <w:rsid w:val="00B67656"/>
    <w:rsid w:val="00B702DF"/>
    <w:rsid w:val="00B707FE"/>
    <w:rsid w:val="00B70909"/>
    <w:rsid w:val="00B71B02"/>
    <w:rsid w:val="00B71D13"/>
    <w:rsid w:val="00B726B7"/>
    <w:rsid w:val="00B73272"/>
    <w:rsid w:val="00B73525"/>
    <w:rsid w:val="00B737D3"/>
    <w:rsid w:val="00B737DF"/>
    <w:rsid w:val="00B73AD8"/>
    <w:rsid w:val="00B74A46"/>
    <w:rsid w:val="00B74B05"/>
    <w:rsid w:val="00B74BC2"/>
    <w:rsid w:val="00B7665C"/>
    <w:rsid w:val="00B76F1D"/>
    <w:rsid w:val="00B7730D"/>
    <w:rsid w:val="00B77363"/>
    <w:rsid w:val="00B7739F"/>
    <w:rsid w:val="00B775E4"/>
    <w:rsid w:val="00B803D4"/>
    <w:rsid w:val="00B80A55"/>
    <w:rsid w:val="00B814AD"/>
    <w:rsid w:val="00B81608"/>
    <w:rsid w:val="00B825D0"/>
    <w:rsid w:val="00B83E57"/>
    <w:rsid w:val="00B84C4D"/>
    <w:rsid w:val="00B84D9A"/>
    <w:rsid w:val="00B85A7B"/>
    <w:rsid w:val="00B85D33"/>
    <w:rsid w:val="00B87956"/>
    <w:rsid w:val="00B879E0"/>
    <w:rsid w:val="00B9031F"/>
    <w:rsid w:val="00B90409"/>
    <w:rsid w:val="00B9053F"/>
    <w:rsid w:val="00B90ACF"/>
    <w:rsid w:val="00B911A1"/>
    <w:rsid w:val="00B915AB"/>
    <w:rsid w:val="00B91A61"/>
    <w:rsid w:val="00B91C29"/>
    <w:rsid w:val="00B921CA"/>
    <w:rsid w:val="00B92418"/>
    <w:rsid w:val="00B92718"/>
    <w:rsid w:val="00B92A19"/>
    <w:rsid w:val="00B92CE4"/>
    <w:rsid w:val="00B9363A"/>
    <w:rsid w:val="00B9398F"/>
    <w:rsid w:val="00B93DA5"/>
    <w:rsid w:val="00B93DFB"/>
    <w:rsid w:val="00B951AC"/>
    <w:rsid w:val="00B9544C"/>
    <w:rsid w:val="00B95898"/>
    <w:rsid w:val="00B958EB"/>
    <w:rsid w:val="00B95C9E"/>
    <w:rsid w:val="00B95FF6"/>
    <w:rsid w:val="00B96175"/>
    <w:rsid w:val="00B96614"/>
    <w:rsid w:val="00B96D69"/>
    <w:rsid w:val="00B97530"/>
    <w:rsid w:val="00B97D14"/>
    <w:rsid w:val="00BA03AA"/>
    <w:rsid w:val="00BA0AFD"/>
    <w:rsid w:val="00BA11D4"/>
    <w:rsid w:val="00BA1246"/>
    <w:rsid w:val="00BA266A"/>
    <w:rsid w:val="00BA26B9"/>
    <w:rsid w:val="00BA2784"/>
    <w:rsid w:val="00BA285C"/>
    <w:rsid w:val="00BA29E9"/>
    <w:rsid w:val="00BA2A5E"/>
    <w:rsid w:val="00BA34EA"/>
    <w:rsid w:val="00BA3F22"/>
    <w:rsid w:val="00BA4686"/>
    <w:rsid w:val="00BA55A3"/>
    <w:rsid w:val="00BA74ED"/>
    <w:rsid w:val="00BA7669"/>
    <w:rsid w:val="00BA779F"/>
    <w:rsid w:val="00BB07EC"/>
    <w:rsid w:val="00BB0B3B"/>
    <w:rsid w:val="00BB0CA0"/>
    <w:rsid w:val="00BB120D"/>
    <w:rsid w:val="00BB1314"/>
    <w:rsid w:val="00BB222C"/>
    <w:rsid w:val="00BB250B"/>
    <w:rsid w:val="00BB260E"/>
    <w:rsid w:val="00BB26A2"/>
    <w:rsid w:val="00BB2926"/>
    <w:rsid w:val="00BB2C4B"/>
    <w:rsid w:val="00BB3618"/>
    <w:rsid w:val="00BB36E7"/>
    <w:rsid w:val="00BB36FC"/>
    <w:rsid w:val="00BB3C63"/>
    <w:rsid w:val="00BB40CB"/>
    <w:rsid w:val="00BB445E"/>
    <w:rsid w:val="00BB48FB"/>
    <w:rsid w:val="00BB4A25"/>
    <w:rsid w:val="00BB4C3E"/>
    <w:rsid w:val="00BB59AB"/>
    <w:rsid w:val="00BB6500"/>
    <w:rsid w:val="00BB6889"/>
    <w:rsid w:val="00BB68F5"/>
    <w:rsid w:val="00BB6DCB"/>
    <w:rsid w:val="00BB73D8"/>
    <w:rsid w:val="00BB740B"/>
    <w:rsid w:val="00BB7673"/>
    <w:rsid w:val="00BC04CB"/>
    <w:rsid w:val="00BC0C9E"/>
    <w:rsid w:val="00BC0D7C"/>
    <w:rsid w:val="00BC10E4"/>
    <w:rsid w:val="00BC137D"/>
    <w:rsid w:val="00BC175C"/>
    <w:rsid w:val="00BC185B"/>
    <w:rsid w:val="00BC1C43"/>
    <w:rsid w:val="00BC2ADC"/>
    <w:rsid w:val="00BC32DC"/>
    <w:rsid w:val="00BC344F"/>
    <w:rsid w:val="00BC4AEA"/>
    <w:rsid w:val="00BC4D11"/>
    <w:rsid w:val="00BC583D"/>
    <w:rsid w:val="00BC5BFC"/>
    <w:rsid w:val="00BC5C71"/>
    <w:rsid w:val="00BC6E64"/>
    <w:rsid w:val="00BC7771"/>
    <w:rsid w:val="00BC7B79"/>
    <w:rsid w:val="00BD07AE"/>
    <w:rsid w:val="00BD0919"/>
    <w:rsid w:val="00BD1B51"/>
    <w:rsid w:val="00BD24D6"/>
    <w:rsid w:val="00BD3224"/>
    <w:rsid w:val="00BD3868"/>
    <w:rsid w:val="00BD39B0"/>
    <w:rsid w:val="00BD4180"/>
    <w:rsid w:val="00BD47F6"/>
    <w:rsid w:val="00BD4A3D"/>
    <w:rsid w:val="00BD4AC5"/>
    <w:rsid w:val="00BD720E"/>
    <w:rsid w:val="00BD7230"/>
    <w:rsid w:val="00BD7961"/>
    <w:rsid w:val="00BE062E"/>
    <w:rsid w:val="00BE0A00"/>
    <w:rsid w:val="00BE0E73"/>
    <w:rsid w:val="00BE1029"/>
    <w:rsid w:val="00BE12DF"/>
    <w:rsid w:val="00BE172F"/>
    <w:rsid w:val="00BE1944"/>
    <w:rsid w:val="00BE1D02"/>
    <w:rsid w:val="00BE2216"/>
    <w:rsid w:val="00BE2798"/>
    <w:rsid w:val="00BE27E8"/>
    <w:rsid w:val="00BE2C8D"/>
    <w:rsid w:val="00BE2CBE"/>
    <w:rsid w:val="00BE2D44"/>
    <w:rsid w:val="00BE2EAC"/>
    <w:rsid w:val="00BE312D"/>
    <w:rsid w:val="00BE3911"/>
    <w:rsid w:val="00BE3972"/>
    <w:rsid w:val="00BE3F42"/>
    <w:rsid w:val="00BE3FCA"/>
    <w:rsid w:val="00BE45D3"/>
    <w:rsid w:val="00BE45F2"/>
    <w:rsid w:val="00BE4964"/>
    <w:rsid w:val="00BE5946"/>
    <w:rsid w:val="00BE6516"/>
    <w:rsid w:val="00BE6E64"/>
    <w:rsid w:val="00BE7336"/>
    <w:rsid w:val="00BE7337"/>
    <w:rsid w:val="00BE7D8F"/>
    <w:rsid w:val="00BF00C9"/>
    <w:rsid w:val="00BF032F"/>
    <w:rsid w:val="00BF03B1"/>
    <w:rsid w:val="00BF1164"/>
    <w:rsid w:val="00BF191E"/>
    <w:rsid w:val="00BF1C28"/>
    <w:rsid w:val="00BF1E5C"/>
    <w:rsid w:val="00BF2431"/>
    <w:rsid w:val="00BF29C0"/>
    <w:rsid w:val="00BF3407"/>
    <w:rsid w:val="00BF34BA"/>
    <w:rsid w:val="00BF3722"/>
    <w:rsid w:val="00BF3C6E"/>
    <w:rsid w:val="00BF4DF2"/>
    <w:rsid w:val="00BF5919"/>
    <w:rsid w:val="00BF6489"/>
    <w:rsid w:val="00BF674B"/>
    <w:rsid w:val="00BF6AE2"/>
    <w:rsid w:val="00BF6D8B"/>
    <w:rsid w:val="00BF6DEB"/>
    <w:rsid w:val="00BF7439"/>
    <w:rsid w:val="00C0001B"/>
    <w:rsid w:val="00C001A0"/>
    <w:rsid w:val="00C0065D"/>
    <w:rsid w:val="00C01D73"/>
    <w:rsid w:val="00C022A1"/>
    <w:rsid w:val="00C02A42"/>
    <w:rsid w:val="00C030E7"/>
    <w:rsid w:val="00C03A2D"/>
    <w:rsid w:val="00C03F7A"/>
    <w:rsid w:val="00C05719"/>
    <w:rsid w:val="00C059AC"/>
    <w:rsid w:val="00C05A80"/>
    <w:rsid w:val="00C05CD5"/>
    <w:rsid w:val="00C06B4A"/>
    <w:rsid w:val="00C07DB7"/>
    <w:rsid w:val="00C10138"/>
    <w:rsid w:val="00C104DB"/>
    <w:rsid w:val="00C10578"/>
    <w:rsid w:val="00C111EC"/>
    <w:rsid w:val="00C114C9"/>
    <w:rsid w:val="00C118B7"/>
    <w:rsid w:val="00C121CB"/>
    <w:rsid w:val="00C13028"/>
    <w:rsid w:val="00C13540"/>
    <w:rsid w:val="00C14693"/>
    <w:rsid w:val="00C14AE2"/>
    <w:rsid w:val="00C14DB3"/>
    <w:rsid w:val="00C15229"/>
    <w:rsid w:val="00C15F47"/>
    <w:rsid w:val="00C1605E"/>
    <w:rsid w:val="00C1624A"/>
    <w:rsid w:val="00C168E1"/>
    <w:rsid w:val="00C168FC"/>
    <w:rsid w:val="00C16908"/>
    <w:rsid w:val="00C16969"/>
    <w:rsid w:val="00C16B9E"/>
    <w:rsid w:val="00C17D62"/>
    <w:rsid w:val="00C20487"/>
    <w:rsid w:val="00C207E8"/>
    <w:rsid w:val="00C2109E"/>
    <w:rsid w:val="00C21698"/>
    <w:rsid w:val="00C21800"/>
    <w:rsid w:val="00C21D54"/>
    <w:rsid w:val="00C21FDC"/>
    <w:rsid w:val="00C222F8"/>
    <w:rsid w:val="00C22FB5"/>
    <w:rsid w:val="00C233A4"/>
    <w:rsid w:val="00C23BF5"/>
    <w:rsid w:val="00C23C36"/>
    <w:rsid w:val="00C242B7"/>
    <w:rsid w:val="00C24EE7"/>
    <w:rsid w:val="00C2596A"/>
    <w:rsid w:val="00C260FE"/>
    <w:rsid w:val="00C26877"/>
    <w:rsid w:val="00C26A6D"/>
    <w:rsid w:val="00C26FD5"/>
    <w:rsid w:val="00C271BE"/>
    <w:rsid w:val="00C271CA"/>
    <w:rsid w:val="00C27425"/>
    <w:rsid w:val="00C27C0E"/>
    <w:rsid w:val="00C27CC4"/>
    <w:rsid w:val="00C30179"/>
    <w:rsid w:val="00C308E4"/>
    <w:rsid w:val="00C30C0D"/>
    <w:rsid w:val="00C310FF"/>
    <w:rsid w:val="00C31A00"/>
    <w:rsid w:val="00C328FE"/>
    <w:rsid w:val="00C334B7"/>
    <w:rsid w:val="00C33655"/>
    <w:rsid w:val="00C338D1"/>
    <w:rsid w:val="00C33A05"/>
    <w:rsid w:val="00C33B7A"/>
    <w:rsid w:val="00C35055"/>
    <w:rsid w:val="00C354FA"/>
    <w:rsid w:val="00C36D67"/>
    <w:rsid w:val="00C37009"/>
    <w:rsid w:val="00C4006C"/>
    <w:rsid w:val="00C4032E"/>
    <w:rsid w:val="00C419CC"/>
    <w:rsid w:val="00C419D6"/>
    <w:rsid w:val="00C41BAA"/>
    <w:rsid w:val="00C41EB0"/>
    <w:rsid w:val="00C420E5"/>
    <w:rsid w:val="00C42500"/>
    <w:rsid w:val="00C42FC6"/>
    <w:rsid w:val="00C43BE9"/>
    <w:rsid w:val="00C43D24"/>
    <w:rsid w:val="00C43D67"/>
    <w:rsid w:val="00C4409D"/>
    <w:rsid w:val="00C440F2"/>
    <w:rsid w:val="00C444F8"/>
    <w:rsid w:val="00C44511"/>
    <w:rsid w:val="00C4476B"/>
    <w:rsid w:val="00C45568"/>
    <w:rsid w:val="00C455BE"/>
    <w:rsid w:val="00C4584A"/>
    <w:rsid w:val="00C4607F"/>
    <w:rsid w:val="00C46485"/>
    <w:rsid w:val="00C46897"/>
    <w:rsid w:val="00C46A75"/>
    <w:rsid w:val="00C46E6A"/>
    <w:rsid w:val="00C47A02"/>
    <w:rsid w:val="00C47D8A"/>
    <w:rsid w:val="00C47F5E"/>
    <w:rsid w:val="00C501DC"/>
    <w:rsid w:val="00C503A6"/>
    <w:rsid w:val="00C50495"/>
    <w:rsid w:val="00C504FB"/>
    <w:rsid w:val="00C50880"/>
    <w:rsid w:val="00C50F95"/>
    <w:rsid w:val="00C51042"/>
    <w:rsid w:val="00C519AF"/>
    <w:rsid w:val="00C51DFE"/>
    <w:rsid w:val="00C51E5F"/>
    <w:rsid w:val="00C51EE3"/>
    <w:rsid w:val="00C52201"/>
    <w:rsid w:val="00C52E5D"/>
    <w:rsid w:val="00C52FC8"/>
    <w:rsid w:val="00C54207"/>
    <w:rsid w:val="00C5420D"/>
    <w:rsid w:val="00C54761"/>
    <w:rsid w:val="00C554E5"/>
    <w:rsid w:val="00C55E20"/>
    <w:rsid w:val="00C560F2"/>
    <w:rsid w:val="00C56386"/>
    <w:rsid w:val="00C56418"/>
    <w:rsid w:val="00C5659B"/>
    <w:rsid w:val="00C57086"/>
    <w:rsid w:val="00C57253"/>
    <w:rsid w:val="00C573FA"/>
    <w:rsid w:val="00C57913"/>
    <w:rsid w:val="00C57A00"/>
    <w:rsid w:val="00C60124"/>
    <w:rsid w:val="00C616D5"/>
    <w:rsid w:val="00C61E4B"/>
    <w:rsid w:val="00C6222D"/>
    <w:rsid w:val="00C628FD"/>
    <w:rsid w:val="00C62E3A"/>
    <w:rsid w:val="00C6409C"/>
    <w:rsid w:val="00C64503"/>
    <w:rsid w:val="00C64A1F"/>
    <w:rsid w:val="00C64BFF"/>
    <w:rsid w:val="00C65C5C"/>
    <w:rsid w:val="00C66111"/>
    <w:rsid w:val="00C661B7"/>
    <w:rsid w:val="00C66462"/>
    <w:rsid w:val="00C66D7E"/>
    <w:rsid w:val="00C67215"/>
    <w:rsid w:val="00C67728"/>
    <w:rsid w:val="00C67B21"/>
    <w:rsid w:val="00C67E9C"/>
    <w:rsid w:val="00C70F77"/>
    <w:rsid w:val="00C7164E"/>
    <w:rsid w:val="00C71691"/>
    <w:rsid w:val="00C71F44"/>
    <w:rsid w:val="00C7296B"/>
    <w:rsid w:val="00C72D46"/>
    <w:rsid w:val="00C73986"/>
    <w:rsid w:val="00C74694"/>
    <w:rsid w:val="00C746C7"/>
    <w:rsid w:val="00C74ADC"/>
    <w:rsid w:val="00C752BA"/>
    <w:rsid w:val="00C75ADC"/>
    <w:rsid w:val="00C75C22"/>
    <w:rsid w:val="00C763C9"/>
    <w:rsid w:val="00C76C53"/>
    <w:rsid w:val="00C80057"/>
    <w:rsid w:val="00C8048F"/>
    <w:rsid w:val="00C80687"/>
    <w:rsid w:val="00C80F86"/>
    <w:rsid w:val="00C8141F"/>
    <w:rsid w:val="00C817A9"/>
    <w:rsid w:val="00C824D3"/>
    <w:rsid w:val="00C82C79"/>
    <w:rsid w:val="00C82F19"/>
    <w:rsid w:val="00C82F87"/>
    <w:rsid w:val="00C83C59"/>
    <w:rsid w:val="00C8440E"/>
    <w:rsid w:val="00C84753"/>
    <w:rsid w:val="00C84B19"/>
    <w:rsid w:val="00C84DE2"/>
    <w:rsid w:val="00C85474"/>
    <w:rsid w:val="00C85C91"/>
    <w:rsid w:val="00C8621F"/>
    <w:rsid w:val="00C863DC"/>
    <w:rsid w:val="00C87698"/>
    <w:rsid w:val="00C87873"/>
    <w:rsid w:val="00C903F3"/>
    <w:rsid w:val="00C90818"/>
    <w:rsid w:val="00C9089F"/>
    <w:rsid w:val="00C90A94"/>
    <w:rsid w:val="00C91611"/>
    <w:rsid w:val="00C91933"/>
    <w:rsid w:val="00C9227F"/>
    <w:rsid w:val="00C92502"/>
    <w:rsid w:val="00C92762"/>
    <w:rsid w:val="00C92DA1"/>
    <w:rsid w:val="00C92EC6"/>
    <w:rsid w:val="00C94437"/>
    <w:rsid w:val="00C953FF"/>
    <w:rsid w:val="00C9588C"/>
    <w:rsid w:val="00C95B5B"/>
    <w:rsid w:val="00C96346"/>
    <w:rsid w:val="00C964ED"/>
    <w:rsid w:val="00C97C08"/>
    <w:rsid w:val="00C97FD0"/>
    <w:rsid w:val="00CA0472"/>
    <w:rsid w:val="00CA04A2"/>
    <w:rsid w:val="00CA0FC1"/>
    <w:rsid w:val="00CA10ED"/>
    <w:rsid w:val="00CA1B56"/>
    <w:rsid w:val="00CA22FB"/>
    <w:rsid w:val="00CA2541"/>
    <w:rsid w:val="00CA3053"/>
    <w:rsid w:val="00CA3585"/>
    <w:rsid w:val="00CA35B8"/>
    <w:rsid w:val="00CA3D5A"/>
    <w:rsid w:val="00CA4C7C"/>
    <w:rsid w:val="00CA4D1E"/>
    <w:rsid w:val="00CA4E3A"/>
    <w:rsid w:val="00CA5121"/>
    <w:rsid w:val="00CA6954"/>
    <w:rsid w:val="00CA6FA7"/>
    <w:rsid w:val="00CA7AEB"/>
    <w:rsid w:val="00CB0098"/>
    <w:rsid w:val="00CB0183"/>
    <w:rsid w:val="00CB07B4"/>
    <w:rsid w:val="00CB0FD8"/>
    <w:rsid w:val="00CB139A"/>
    <w:rsid w:val="00CB13FF"/>
    <w:rsid w:val="00CB1D2E"/>
    <w:rsid w:val="00CB1EA3"/>
    <w:rsid w:val="00CB2132"/>
    <w:rsid w:val="00CB2D33"/>
    <w:rsid w:val="00CB2F2D"/>
    <w:rsid w:val="00CB3635"/>
    <w:rsid w:val="00CB45F5"/>
    <w:rsid w:val="00CB489C"/>
    <w:rsid w:val="00CB5439"/>
    <w:rsid w:val="00CB552C"/>
    <w:rsid w:val="00CB5BDB"/>
    <w:rsid w:val="00CB5BE2"/>
    <w:rsid w:val="00CB626B"/>
    <w:rsid w:val="00CB649E"/>
    <w:rsid w:val="00CB672A"/>
    <w:rsid w:val="00CB6A9E"/>
    <w:rsid w:val="00CB78EE"/>
    <w:rsid w:val="00CC0186"/>
    <w:rsid w:val="00CC037C"/>
    <w:rsid w:val="00CC0D2A"/>
    <w:rsid w:val="00CC1C0D"/>
    <w:rsid w:val="00CC3A9A"/>
    <w:rsid w:val="00CC3EC9"/>
    <w:rsid w:val="00CC3F76"/>
    <w:rsid w:val="00CC48BB"/>
    <w:rsid w:val="00CC6181"/>
    <w:rsid w:val="00CC69FF"/>
    <w:rsid w:val="00CD0AC8"/>
    <w:rsid w:val="00CD1615"/>
    <w:rsid w:val="00CD2796"/>
    <w:rsid w:val="00CD2BCD"/>
    <w:rsid w:val="00CD34DA"/>
    <w:rsid w:val="00CD36AA"/>
    <w:rsid w:val="00CD3791"/>
    <w:rsid w:val="00CD3FE9"/>
    <w:rsid w:val="00CD503C"/>
    <w:rsid w:val="00CD6435"/>
    <w:rsid w:val="00CD65B0"/>
    <w:rsid w:val="00CD6AB3"/>
    <w:rsid w:val="00CD6B40"/>
    <w:rsid w:val="00CD7295"/>
    <w:rsid w:val="00CD7299"/>
    <w:rsid w:val="00CD7C4D"/>
    <w:rsid w:val="00CE02CD"/>
    <w:rsid w:val="00CE10E9"/>
    <w:rsid w:val="00CE125A"/>
    <w:rsid w:val="00CE1326"/>
    <w:rsid w:val="00CE1AAB"/>
    <w:rsid w:val="00CE3EBF"/>
    <w:rsid w:val="00CE4B9B"/>
    <w:rsid w:val="00CE54FB"/>
    <w:rsid w:val="00CE55F7"/>
    <w:rsid w:val="00CE5D86"/>
    <w:rsid w:val="00CE5F4B"/>
    <w:rsid w:val="00CE658A"/>
    <w:rsid w:val="00CE7CE7"/>
    <w:rsid w:val="00CE7EEC"/>
    <w:rsid w:val="00CF009D"/>
    <w:rsid w:val="00CF1275"/>
    <w:rsid w:val="00CF1CC8"/>
    <w:rsid w:val="00CF1D10"/>
    <w:rsid w:val="00CF1F13"/>
    <w:rsid w:val="00CF2807"/>
    <w:rsid w:val="00CF2F98"/>
    <w:rsid w:val="00CF33AC"/>
    <w:rsid w:val="00CF3EE8"/>
    <w:rsid w:val="00CF4A34"/>
    <w:rsid w:val="00CF4D83"/>
    <w:rsid w:val="00CF4EB6"/>
    <w:rsid w:val="00CF5599"/>
    <w:rsid w:val="00CF5D23"/>
    <w:rsid w:val="00CF6F08"/>
    <w:rsid w:val="00CF77C7"/>
    <w:rsid w:val="00D00439"/>
    <w:rsid w:val="00D0072E"/>
    <w:rsid w:val="00D010BD"/>
    <w:rsid w:val="00D01468"/>
    <w:rsid w:val="00D02670"/>
    <w:rsid w:val="00D03EA0"/>
    <w:rsid w:val="00D04583"/>
    <w:rsid w:val="00D05959"/>
    <w:rsid w:val="00D06944"/>
    <w:rsid w:val="00D0764D"/>
    <w:rsid w:val="00D076C5"/>
    <w:rsid w:val="00D07E4A"/>
    <w:rsid w:val="00D109A1"/>
    <w:rsid w:val="00D115A1"/>
    <w:rsid w:val="00D1258F"/>
    <w:rsid w:val="00D12EF0"/>
    <w:rsid w:val="00D13732"/>
    <w:rsid w:val="00D1388C"/>
    <w:rsid w:val="00D14D97"/>
    <w:rsid w:val="00D14DC6"/>
    <w:rsid w:val="00D14DCD"/>
    <w:rsid w:val="00D14F7F"/>
    <w:rsid w:val="00D1513A"/>
    <w:rsid w:val="00D15216"/>
    <w:rsid w:val="00D1521C"/>
    <w:rsid w:val="00D15727"/>
    <w:rsid w:val="00D15D38"/>
    <w:rsid w:val="00D16332"/>
    <w:rsid w:val="00D168AA"/>
    <w:rsid w:val="00D16EBF"/>
    <w:rsid w:val="00D17014"/>
    <w:rsid w:val="00D17261"/>
    <w:rsid w:val="00D20486"/>
    <w:rsid w:val="00D2135F"/>
    <w:rsid w:val="00D21807"/>
    <w:rsid w:val="00D22157"/>
    <w:rsid w:val="00D22F03"/>
    <w:rsid w:val="00D22F4B"/>
    <w:rsid w:val="00D23A0B"/>
    <w:rsid w:val="00D23F36"/>
    <w:rsid w:val="00D2407D"/>
    <w:rsid w:val="00D24242"/>
    <w:rsid w:val="00D2471C"/>
    <w:rsid w:val="00D247F5"/>
    <w:rsid w:val="00D2495F"/>
    <w:rsid w:val="00D24972"/>
    <w:rsid w:val="00D24E64"/>
    <w:rsid w:val="00D2515E"/>
    <w:rsid w:val="00D25B8F"/>
    <w:rsid w:val="00D26A59"/>
    <w:rsid w:val="00D27270"/>
    <w:rsid w:val="00D27ABE"/>
    <w:rsid w:val="00D303B2"/>
    <w:rsid w:val="00D308ED"/>
    <w:rsid w:val="00D3101E"/>
    <w:rsid w:val="00D31311"/>
    <w:rsid w:val="00D31359"/>
    <w:rsid w:val="00D313B9"/>
    <w:rsid w:val="00D31650"/>
    <w:rsid w:val="00D31C23"/>
    <w:rsid w:val="00D31F17"/>
    <w:rsid w:val="00D32EC3"/>
    <w:rsid w:val="00D33618"/>
    <w:rsid w:val="00D3394C"/>
    <w:rsid w:val="00D33A42"/>
    <w:rsid w:val="00D33A6E"/>
    <w:rsid w:val="00D33B45"/>
    <w:rsid w:val="00D345F4"/>
    <w:rsid w:val="00D351A3"/>
    <w:rsid w:val="00D3525E"/>
    <w:rsid w:val="00D353BC"/>
    <w:rsid w:val="00D35418"/>
    <w:rsid w:val="00D35A84"/>
    <w:rsid w:val="00D35BDA"/>
    <w:rsid w:val="00D3636D"/>
    <w:rsid w:val="00D3794E"/>
    <w:rsid w:val="00D37A11"/>
    <w:rsid w:val="00D37DA6"/>
    <w:rsid w:val="00D40448"/>
    <w:rsid w:val="00D41A10"/>
    <w:rsid w:val="00D431DB"/>
    <w:rsid w:val="00D4327F"/>
    <w:rsid w:val="00D436C6"/>
    <w:rsid w:val="00D4389D"/>
    <w:rsid w:val="00D438DC"/>
    <w:rsid w:val="00D43BC4"/>
    <w:rsid w:val="00D44593"/>
    <w:rsid w:val="00D45706"/>
    <w:rsid w:val="00D469C8"/>
    <w:rsid w:val="00D46B1A"/>
    <w:rsid w:val="00D46CDC"/>
    <w:rsid w:val="00D47024"/>
    <w:rsid w:val="00D47127"/>
    <w:rsid w:val="00D47B90"/>
    <w:rsid w:val="00D47E93"/>
    <w:rsid w:val="00D50A3A"/>
    <w:rsid w:val="00D511EC"/>
    <w:rsid w:val="00D517FC"/>
    <w:rsid w:val="00D51A11"/>
    <w:rsid w:val="00D51BAE"/>
    <w:rsid w:val="00D51CCA"/>
    <w:rsid w:val="00D52112"/>
    <w:rsid w:val="00D521E3"/>
    <w:rsid w:val="00D527B9"/>
    <w:rsid w:val="00D532C9"/>
    <w:rsid w:val="00D535B1"/>
    <w:rsid w:val="00D540E9"/>
    <w:rsid w:val="00D54765"/>
    <w:rsid w:val="00D555E9"/>
    <w:rsid w:val="00D55618"/>
    <w:rsid w:val="00D56178"/>
    <w:rsid w:val="00D563C6"/>
    <w:rsid w:val="00D565A5"/>
    <w:rsid w:val="00D5667D"/>
    <w:rsid w:val="00D56CF0"/>
    <w:rsid w:val="00D56E76"/>
    <w:rsid w:val="00D56F5C"/>
    <w:rsid w:val="00D57259"/>
    <w:rsid w:val="00D576F2"/>
    <w:rsid w:val="00D57BCE"/>
    <w:rsid w:val="00D57F98"/>
    <w:rsid w:val="00D60C81"/>
    <w:rsid w:val="00D60F50"/>
    <w:rsid w:val="00D6170D"/>
    <w:rsid w:val="00D62673"/>
    <w:rsid w:val="00D62D24"/>
    <w:rsid w:val="00D62E56"/>
    <w:rsid w:val="00D640B0"/>
    <w:rsid w:val="00D645FC"/>
    <w:rsid w:val="00D65B74"/>
    <w:rsid w:val="00D65C21"/>
    <w:rsid w:val="00D65FE2"/>
    <w:rsid w:val="00D662CD"/>
    <w:rsid w:val="00D662F9"/>
    <w:rsid w:val="00D66E2E"/>
    <w:rsid w:val="00D67389"/>
    <w:rsid w:val="00D679A0"/>
    <w:rsid w:val="00D67AE8"/>
    <w:rsid w:val="00D67B57"/>
    <w:rsid w:val="00D704B1"/>
    <w:rsid w:val="00D70B63"/>
    <w:rsid w:val="00D70D31"/>
    <w:rsid w:val="00D70D78"/>
    <w:rsid w:val="00D70D9F"/>
    <w:rsid w:val="00D71023"/>
    <w:rsid w:val="00D726F0"/>
    <w:rsid w:val="00D72B92"/>
    <w:rsid w:val="00D72ED4"/>
    <w:rsid w:val="00D73F61"/>
    <w:rsid w:val="00D7488F"/>
    <w:rsid w:val="00D74B95"/>
    <w:rsid w:val="00D74D77"/>
    <w:rsid w:val="00D754C0"/>
    <w:rsid w:val="00D75FAC"/>
    <w:rsid w:val="00D76263"/>
    <w:rsid w:val="00D7764D"/>
    <w:rsid w:val="00D776A2"/>
    <w:rsid w:val="00D801C4"/>
    <w:rsid w:val="00D803D4"/>
    <w:rsid w:val="00D8047B"/>
    <w:rsid w:val="00D804F3"/>
    <w:rsid w:val="00D809B1"/>
    <w:rsid w:val="00D80A8C"/>
    <w:rsid w:val="00D8178C"/>
    <w:rsid w:val="00D8233C"/>
    <w:rsid w:val="00D82551"/>
    <w:rsid w:val="00D82D36"/>
    <w:rsid w:val="00D82E55"/>
    <w:rsid w:val="00D837C5"/>
    <w:rsid w:val="00D83800"/>
    <w:rsid w:val="00D83A02"/>
    <w:rsid w:val="00D847AB"/>
    <w:rsid w:val="00D85127"/>
    <w:rsid w:val="00D85DC0"/>
    <w:rsid w:val="00D86AD9"/>
    <w:rsid w:val="00D86E21"/>
    <w:rsid w:val="00D8757E"/>
    <w:rsid w:val="00D878E4"/>
    <w:rsid w:val="00D87F11"/>
    <w:rsid w:val="00D905A3"/>
    <w:rsid w:val="00D90836"/>
    <w:rsid w:val="00D90E43"/>
    <w:rsid w:val="00D91292"/>
    <w:rsid w:val="00D9305A"/>
    <w:rsid w:val="00D936C5"/>
    <w:rsid w:val="00D937E1"/>
    <w:rsid w:val="00D93B41"/>
    <w:rsid w:val="00D94224"/>
    <w:rsid w:val="00D9433D"/>
    <w:rsid w:val="00D94717"/>
    <w:rsid w:val="00D95896"/>
    <w:rsid w:val="00D95BC4"/>
    <w:rsid w:val="00D95CC6"/>
    <w:rsid w:val="00D97C18"/>
    <w:rsid w:val="00D97C2D"/>
    <w:rsid w:val="00D97FCC"/>
    <w:rsid w:val="00DA0542"/>
    <w:rsid w:val="00DA0A4B"/>
    <w:rsid w:val="00DA0F71"/>
    <w:rsid w:val="00DA1092"/>
    <w:rsid w:val="00DA143F"/>
    <w:rsid w:val="00DA2DA3"/>
    <w:rsid w:val="00DA2E3C"/>
    <w:rsid w:val="00DA304B"/>
    <w:rsid w:val="00DA36FD"/>
    <w:rsid w:val="00DA3EDF"/>
    <w:rsid w:val="00DA5045"/>
    <w:rsid w:val="00DA50CA"/>
    <w:rsid w:val="00DA624A"/>
    <w:rsid w:val="00DA6615"/>
    <w:rsid w:val="00DA6BE9"/>
    <w:rsid w:val="00DA76AE"/>
    <w:rsid w:val="00DA7932"/>
    <w:rsid w:val="00DB0055"/>
    <w:rsid w:val="00DB0798"/>
    <w:rsid w:val="00DB11A4"/>
    <w:rsid w:val="00DB1293"/>
    <w:rsid w:val="00DB1565"/>
    <w:rsid w:val="00DB181E"/>
    <w:rsid w:val="00DB1C7A"/>
    <w:rsid w:val="00DB1FD1"/>
    <w:rsid w:val="00DB268F"/>
    <w:rsid w:val="00DB2764"/>
    <w:rsid w:val="00DB2983"/>
    <w:rsid w:val="00DB2BA3"/>
    <w:rsid w:val="00DB2E7A"/>
    <w:rsid w:val="00DB343D"/>
    <w:rsid w:val="00DB46D0"/>
    <w:rsid w:val="00DB5104"/>
    <w:rsid w:val="00DB5447"/>
    <w:rsid w:val="00DB5579"/>
    <w:rsid w:val="00DB5793"/>
    <w:rsid w:val="00DB5CFE"/>
    <w:rsid w:val="00DB5E85"/>
    <w:rsid w:val="00DB647C"/>
    <w:rsid w:val="00DB6505"/>
    <w:rsid w:val="00DB7717"/>
    <w:rsid w:val="00DB7813"/>
    <w:rsid w:val="00DB7961"/>
    <w:rsid w:val="00DB7CC3"/>
    <w:rsid w:val="00DC01E0"/>
    <w:rsid w:val="00DC024C"/>
    <w:rsid w:val="00DC13AB"/>
    <w:rsid w:val="00DC1561"/>
    <w:rsid w:val="00DC1A1E"/>
    <w:rsid w:val="00DC20E3"/>
    <w:rsid w:val="00DC20FA"/>
    <w:rsid w:val="00DC22B7"/>
    <w:rsid w:val="00DC292D"/>
    <w:rsid w:val="00DC314D"/>
    <w:rsid w:val="00DC3973"/>
    <w:rsid w:val="00DC4126"/>
    <w:rsid w:val="00DC4797"/>
    <w:rsid w:val="00DC4D1B"/>
    <w:rsid w:val="00DC58C4"/>
    <w:rsid w:val="00DC5A23"/>
    <w:rsid w:val="00DC643B"/>
    <w:rsid w:val="00DC662B"/>
    <w:rsid w:val="00DC6711"/>
    <w:rsid w:val="00DC72A6"/>
    <w:rsid w:val="00DC75B9"/>
    <w:rsid w:val="00DD1300"/>
    <w:rsid w:val="00DD1540"/>
    <w:rsid w:val="00DD1CA9"/>
    <w:rsid w:val="00DD1DBA"/>
    <w:rsid w:val="00DD2113"/>
    <w:rsid w:val="00DD265E"/>
    <w:rsid w:val="00DD2B44"/>
    <w:rsid w:val="00DD2D82"/>
    <w:rsid w:val="00DD3475"/>
    <w:rsid w:val="00DD36C5"/>
    <w:rsid w:val="00DD4415"/>
    <w:rsid w:val="00DD5CED"/>
    <w:rsid w:val="00DD5D03"/>
    <w:rsid w:val="00DD5F3F"/>
    <w:rsid w:val="00DD79E8"/>
    <w:rsid w:val="00DD7FAF"/>
    <w:rsid w:val="00DE0354"/>
    <w:rsid w:val="00DE03C4"/>
    <w:rsid w:val="00DE20F4"/>
    <w:rsid w:val="00DE235D"/>
    <w:rsid w:val="00DE3D1E"/>
    <w:rsid w:val="00DE3D82"/>
    <w:rsid w:val="00DE4D3D"/>
    <w:rsid w:val="00DE4F8A"/>
    <w:rsid w:val="00DE5BD3"/>
    <w:rsid w:val="00DE646F"/>
    <w:rsid w:val="00DE7C5E"/>
    <w:rsid w:val="00DE7F67"/>
    <w:rsid w:val="00DF00DB"/>
    <w:rsid w:val="00DF07E4"/>
    <w:rsid w:val="00DF0D38"/>
    <w:rsid w:val="00DF1930"/>
    <w:rsid w:val="00DF1CE8"/>
    <w:rsid w:val="00DF259D"/>
    <w:rsid w:val="00DF2799"/>
    <w:rsid w:val="00DF39D7"/>
    <w:rsid w:val="00DF4321"/>
    <w:rsid w:val="00DF4926"/>
    <w:rsid w:val="00DF494A"/>
    <w:rsid w:val="00DF514A"/>
    <w:rsid w:val="00DF5744"/>
    <w:rsid w:val="00DF5FD8"/>
    <w:rsid w:val="00DF6688"/>
    <w:rsid w:val="00DF6FB7"/>
    <w:rsid w:val="00E001DE"/>
    <w:rsid w:val="00E00A74"/>
    <w:rsid w:val="00E01524"/>
    <w:rsid w:val="00E02404"/>
    <w:rsid w:val="00E027A7"/>
    <w:rsid w:val="00E02B2E"/>
    <w:rsid w:val="00E02D3B"/>
    <w:rsid w:val="00E031BC"/>
    <w:rsid w:val="00E03334"/>
    <w:rsid w:val="00E0358D"/>
    <w:rsid w:val="00E039A4"/>
    <w:rsid w:val="00E03B2A"/>
    <w:rsid w:val="00E045D4"/>
    <w:rsid w:val="00E04B87"/>
    <w:rsid w:val="00E04E03"/>
    <w:rsid w:val="00E060BE"/>
    <w:rsid w:val="00E06327"/>
    <w:rsid w:val="00E0666E"/>
    <w:rsid w:val="00E1058C"/>
    <w:rsid w:val="00E10E27"/>
    <w:rsid w:val="00E11B64"/>
    <w:rsid w:val="00E11B80"/>
    <w:rsid w:val="00E11BD6"/>
    <w:rsid w:val="00E11BD8"/>
    <w:rsid w:val="00E11EF2"/>
    <w:rsid w:val="00E133DD"/>
    <w:rsid w:val="00E148DF"/>
    <w:rsid w:val="00E15B9B"/>
    <w:rsid w:val="00E15C13"/>
    <w:rsid w:val="00E15FCB"/>
    <w:rsid w:val="00E1689A"/>
    <w:rsid w:val="00E16A6F"/>
    <w:rsid w:val="00E16F13"/>
    <w:rsid w:val="00E17B87"/>
    <w:rsid w:val="00E2064B"/>
    <w:rsid w:val="00E20B29"/>
    <w:rsid w:val="00E221B7"/>
    <w:rsid w:val="00E23548"/>
    <w:rsid w:val="00E2389C"/>
    <w:rsid w:val="00E23CAD"/>
    <w:rsid w:val="00E2439C"/>
    <w:rsid w:val="00E24411"/>
    <w:rsid w:val="00E24603"/>
    <w:rsid w:val="00E24BC5"/>
    <w:rsid w:val="00E25239"/>
    <w:rsid w:val="00E255DB"/>
    <w:rsid w:val="00E25A59"/>
    <w:rsid w:val="00E25F84"/>
    <w:rsid w:val="00E2619E"/>
    <w:rsid w:val="00E26286"/>
    <w:rsid w:val="00E26491"/>
    <w:rsid w:val="00E265B1"/>
    <w:rsid w:val="00E270F5"/>
    <w:rsid w:val="00E27159"/>
    <w:rsid w:val="00E272C2"/>
    <w:rsid w:val="00E272FA"/>
    <w:rsid w:val="00E275B0"/>
    <w:rsid w:val="00E27831"/>
    <w:rsid w:val="00E27C1B"/>
    <w:rsid w:val="00E30237"/>
    <w:rsid w:val="00E30775"/>
    <w:rsid w:val="00E3086D"/>
    <w:rsid w:val="00E30CE6"/>
    <w:rsid w:val="00E30E0D"/>
    <w:rsid w:val="00E31019"/>
    <w:rsid w:val="00E313BB"/>
    <w:rsid w:val="00E31490"/>
    <w:rsid w:val="00E31B39"/>
    <w:rsid w:val="00E31BB5"/>
    <w:rsid w:val="00E31BD0"/>
    <w:rsid w:val="00E32960"/>
    <w:rsid w:val="00E33146"/>
    <w:rsid w:val="00E3393E"/>
    <w:rsid w:val="00E33DCC"/>
    <w:rsid w:val="00E33DE9"/>
    <w:rsid w:val="00E33FC1"/>
    <w:rsid w:val="00E342E1"/>
    <w:rsid w:val="00E34D3E"/>
    <w:rsid w:val="00E34E94"/>
    <w:rsid w:val="00E3551C"/>
    <w:rsid w:val="00E3551E"/>
    <w:rsid w:val="00E35681"/>
    <w:rsid w:val="00E35C94"/>
    <w:rsid w:val="00E35E2D"/>
    <w:rsid w:val="00E35FD8"/>
    <w:rsid w:val="00E367AA"/>
    <w:rsid w:val="00E376E7"/>
    <w:rsid w:val="00E378F7"/>
    <w:rsid w:val="00E37A76"/>
    <w:rsid w:val="00E37D7F"/>
    <w:rsid w:val="00E40A30"/>
    <w:rsid w:val="00E40BA0"/>
    <w:rsid w:val="00E40EAB"/>
    <w:rsid w:val="00E41102"/>
    <w:rsid w:val="00E412D0"/>
    <w:rsid w:val="00E4163B"/>
    <w:rsid w:val="00E416E9"/>
    <w:rsid w:val="00E41AD6"/>
    <w:rsid w:val="00E41D39"/>
    <w:rsid w:val="00E4333D"/>
    <w:rsid w:val="00E43FB5"/>
    <w:rsid w:val="00E43FF9"/>
    <w:rsid w:val="00E44077"/>
    <w:rsid w:val="00E45360"/>
    <w:rsid w:val="00E458F0"/>
    <w:rsid w:val="00E46295"/>
    <w:rsid w:val="00E46AB8"/>
    <w:rsid w:val="00E47CDB"/>
    <w:rsid w:val="00E47D26"/>
    <w:rsid w:val="00E5006F"/>
    <w:rsid w:val="00E50134"/>
    <w:rsid w:val="00E507D1"/>
    <w:rsid w:val="00E50AA8"/>
    <w:rsid w:val="00E50E69"/>
    <w:rsid w:val="00E518A8"/>
    <w:rsid w:val="00E51A01"/>
    <w:rsid w:val="00E51C86"/>
    <w:rsid w:val="00E520EC"/>
    <w:rsid w:val="00E521DB"/>
    <w:rsid w:val="00E52831"/>
    <w:rsid w:val="00E52B45"/>
    <w:rsid w:val="00E53304"/>
    <w:rsid w:val="00E534CC"/>
    <w:rsid w:val="00E53627"/>
    <w:rsid w:val="00E53641"/>
    <w:rsid w:val="00E5370B"/>
    <w:rsid w:val="00E5472D"/>
    <w:rsid w:val="00E54E70"/>
    <w:rsid w:val="00E55844"/>
    <w:rsid w:val="00E55F57"/>
    <w:rsid w:val="00E56240"/>
    <w:rsid w:val="00E566BC"/>
    <w:rsid w:val="00E56A66"/>
    <w:rsid w:val="00E56CDB"/>
    <w:rsid w:val="00E5720F"/>
    <w:rsid w:val="00E6004A"/>
    <w:rsid w:val="00E6043F"/>
    <w:rsid w:val="00E608A1"/>
    <w:rsid w:val="00E60982"/>
    <w:rsid w:val="00E60C8D"/>
    <w:rsid w:val="00E60FDA"/>
    <w:rsid w:val="00E610C3"/>
    <w:rsid w:val="00E615DB"/>
    <w:rsid w:val="00E6162F"/>
    <w:rsid w:val="00E617FF"/>
    <w:rsid w:val="00E61F4F"/>
    <w:rsid w:val="00E622AF"/>
    <w:rsid w:val="00E62759"/>
    <w:rsid w:val="00E6311B"/>
    <w:rsid w:val="00E63F99"/>
    <w:rsid w:val="00E64A22"/>
    <w:rsid w:val="00E64F28"/>
    <w:rsid w:val="00E65313"/>
    <w:rsid w:val="00E6578D"/>
    <w:rsid w:val="00E65BEA"/>
    <w:rsid w:val="00E65D97"/>
    <w:rsid w:val="00E66A3B"/>
    <w:rsid w:val="00E67A77"/>
    <w:rsid w:val="00E67EFD"/>
    <w:rsid w:val="00E70285"/>
    <w:rsid w:val="00E702DC"/>
    <w:rsid w:val="00E70724"/>
    <w:rsid w:val="00E71037"/>
    <w:rsid w:val="00E7163A"/>
    <w:rsid w:val="00E71881"/>
    <w:rsid w:val="00E71FFB"/>
    <w:rsid w:val="00E726C0"/>
    <w:rsid w:val="00E73C49"/>
    <w:rsid w:val="00E73CC4"/>
    <w:rsid w:val="00E75145"/>
    <w:rsid w:val="00E7557D"/>
    <w:rsid w:val="00E759C2"/>
    <w:rsid w:val="00E75A0C"/>
    <w:rsid w:val="00E763A5"/>
    <w:rsid w:val="00E76D1D"/>
    <w:rsid w:val="00E77167"/>
    <w:rsid w:val="00E800D1"/>
    <w:rsid w:val="00E801BB"/>
    <w:rsid w:val="00E806F8"/>
    <w:rsid w:val="00E807BE"/>
    <w:rsid w:val="00E807DD"/>
    <w:rsid w:val="00E8085F"/>
    <w:rsid w:val="00E80A34"/>
    <w:rsid w:val="00E80D93"/>
    <w:rsid w:val="00E80DF9"/>
    <w:rsid w:val="00E81620"/>
    <w:rsid w:val="00E81D77"/>
    <w:rsid w:val="00E82B36"/>
    <w:rsid w:val="00E83968"/>
    <w:rsid w:val="00E83B92"/>
    <w:rsid w:val="00E8481C"/>
    <w:rsid w:val="00E85016"/>
    <w:rsid w:val="00E8502E"/>
    <w:rsid w:val="00E85506"/>
    <w:rsid w:val="00E85960"/>
    <w:rsid w:val="00E86098"/>
    <w:rsid w:val="00E8699C"/>
    <w:rsid w:val="00E86A71"/>
    <w:rsid w:val="00E86E4D"/>
    <w:rsid w:val="00E875DA"/>
    <w:rsid w:val="00E87752"/>
    <w:rsid w:val="00E8793B"/>
    <w:rsid w:val="00E87F61"/>
    <w:rsid w:val="00E90060"/>
    <w:rsid w:val="00E907A7"/>
    <w:rsid w:val="00E9081E"/>
    <w:rsid w:val="00E90E3D"/>
    <w:rsid w:val="00E90F81"/>
    <w:rsid w:val="00E91A6D"/>
    <w:rsid w:val="00E920F9"/>
    <w:rsid w:val="00E9242D"/>
    <w:rsid w:val="00E92C2A"/>
    <w:rsid w:val="00E92EF8"/>
    <w:rsid w:val="00E93267"/>
    <w:rsid w:val="00E933B0"/>
    <w:rsid w:val="00E93716"/>
    <w:rsid w:val="00E93B82"/>
    <w:rsid w:val="00E93E35"/>
    <w:rsid w:val="00E93FFF"/>
    <w:rsid w:val="00E945BA"/>
    <w:rsid w:val="00E9484C"/>
    <w:rsid w:val="00E95080"/>
    <w:rsid w:val="00E9510A"/>
    <w:rsid w:val="00E95888"/>
    <w:rsid w:val="00E96417"/>
    <w:rsid w:val="00E96BEA"/>
    <w:rsid w:val="00E975A6"/>
    <w:rsid w:val="00E97B7C"/>
    <w:rsid w:val="00EA0B02"/>
    <w:rsid w:val="00EA1520"/>
    <w:rsid w:val="00EA21C5"/>
    <w:rsid w:val="00EA25C9"/>
    <w:rsid w:val="00EA3955"/>
    <w:rsid w:val="00EA3EAD"/>
    <w:rsid w:val="00EA4BB8"/>
    <w:rsid w:val="00EA4F71"/>
    <w:rsid w:val="00EA5192"/>
    <w:rsid w:val="00EA6941"/>
    <w:rsid w:val="00EA6F21"/>
    <w:rsid w:val="00EA7934"/>
    <w:rsid w:val="00EA7DD6"/>
    <w:rsid w:val="00EB041C"/>
    <w:rsid w:val="00EB0695"/>
    <w:rsid w:val="00EB0763"/>
    <w:rsid w:val="00EB0991"/>
    <w:rsid w:val="00EB09E3"/>
    <w:rsid w:val="00EB0D19"/>
    <w:rsid w:val="00EB12CD"/>
    <w:rsid w:val="00EB16AC"/>
    <w:rsid w:val="00EB177B"/>
    <w:rsid w:val="00EB1C33"/>
    <w:rsid w:val="00EB287E"/>
    <w:rsid w:val="00EB292B"/>
    <w:rsid w:val="00EB29A6"/>
    <w:rsid w:val="00EB2B1F"/>
    <w:rsid w:val="00EB2CBA"/>
    <w:rsid w:val="00EB2DA9"/>
    <w:rsid w:val="00EB3726"/>
    <w:rsid w:val="00EB3793"/>
    <w:rsid w:val="00EB3B21"/>
    <w:rsid w:val="00EB43BF"/>
    <w:rsid w:val="00EB539E"/>
    <w:rsid w:val="00EB58DA"/>
    <w:rsid w:val="00EB5FD2"/>
    <w:rsid w:val="00EB60BC"/>
    <w:rsid w:val="00EB6246"/>
    <w:rsid w:val="00EB6C2B"/>
    <w:rsid w:val="00EB6EB4"/>
    <w:rsid w:val="00EB750C"/>
    <w:rsid w:val="00EB772C"/>
    <w:rsid w:val="00EB7A3F"/>
    <w:rsid w:val="00EB7CA1"/>
    <w:rsid w:val="00EC0122"/>
    <w:rsid w:val="00EC02DB"/>
    <w:rsid w:val="00EC0318"/>
    <w:rsid w:val="00EC070C"/>
    <w:rsid w:val="00EC0B88"/>
    <w:rsid w:val="00EC0C0D"/>
    <w:rsid w:val="00EC21C2"/>
    <w:rsid w:val="00EC2AFA"/>
    <w:rsid w:val="00EC2B0E"/>
    <w:rsid w:val="00EC2F75"/>
    <w:rsid w:val="00EC308C"/>
    <w:rsid w:val="00EC3112"/>
    <w:rsid w:val="00EC4E92"/>
    <w:rsid w:val="00EC5361"/>
    <w:rsid w:val="00EC5874"/>
    <w:rsid w:val="00ED0DA9"/>
    <w:rsid w:val="00ED12E5"/>
    <w:rsid w:val="00ED1341"/>
    <w:rsid w:val="00ED135F"/>
    <w:rsid w:val="00ED192D"/>
    <w:rsid w:val="00ED22E4"/>
    <w:rsid w:val="00ED2696"/>
    <w:rsid w:val="00ED29A3"/>
    <w:rsid w:val="00ED30B4"/>
    <w:rsid w:val="00ED31F5"/>
    <w:rsid w:val="00ED3313"/>
    <w:rsid w:val="00ED369B"/>
    <w:rsid w:val="00ED3A27"/>
    <w:rsid w:val="00ED5D0A"/>
    <w:rsid w:val="00ED6036"/>
    <w:rsid w:val="00ED60A3"/>
    <w:rsid w:val="00ED6137"/>
    <w:rsid w:val="00ED6339"/>
    <w:rsid w:val="00ED64DF"/>
    <w:rsid w:val="00ED689D"/>
    <w:rsid w:val="00ED6A65"/>
    <w:rsid w:val="00ED6D9C"/>
    <w:rsid w:val="00EE0916"/>
    <w:rsid w:val="00EE097C"/>
    <w:rsid w:val="00EE1D25"/>
    <w:rsid w:val="00EE25CB"/>
    <w:rsid w:val="00EE271B"/>
    <w:rsid w:val="00EE35C7"/>
    <w:rsid w:val="00EE4768"/>
    <w:rsid w:val="00EE50AC"/>
    <w:rsid w:val="00EE6C3A"/>
    <w:rsid w:val="00EE7169"/>
    <w:rsid w:val="00EE73BE"/>
    <w:rsid w:val="00EE7DCE"/>
    <w:rsid w:val="00EF10CE"/>
    <w:rsid w:val="00EF14BF"/>
    <w:rsid w:val="00EF2200"/>
    <w:rsid w:val="00EF2759"/>
    <w:rsid w:val="00EF3202"/>
    <w:rsid w:val="00EF34AF"/>
    <w:rsid w:val="00EF39BC"/>
    <w:rsid w:val="00EF431C"/>
    <w:rsid w:val="00EF45EB"/>
    <w:rsid w:val="00EF4719"/>
    <w:rsid w:val="00EF4902"/>
    <w:rsid w:val="00EF495A"/>
    <w:rsid w:val="00EF5099"/>
    <w:rsid w:val="00EF570D"/>
    <w:rsid w:val="00EF5962"/>
    <w:rsid w:val="00EF5E33"/>
    <w:rsid w:val="00EF6125"/>
    <w:rsid w:val="00EF7127"/>
    <w:rsid w:val="00EF7A52"/>
    <w:rsid w:val="00F00075"/>
    <w:rsid w:val="00F008AF"/>
    <w:rsid w:val="00F015A0"/>
    <w:rsid w:val="00F03314"/>
    <w:rsid w:val="00F03EC6"/>
    <w:rsid w:val="00F04212"/>
    <w:rsid w:val="00F045E8"/>
    <w:rsid w:val="00F04A3B"/>
    <w:rsid w:val="00F04C8F"/>
    <w:rsid w:val="00F051DF"/>
    <w:rsid w:val="00F062E3"/>
    <w:rsid w:val="00F0709E"/>
    <w:rsid w:val="00F07822"/>
    <w:rsid w:val="00F10159"/>
    <w:rsid w:val="00F101CD"/>
    <w:rsid w:val="00F107D2"/>
    <w:rsid w:val="00F11311"/>
    <w:rsid w:val="00F11917"/>
    <w:rsid w:val="00F11DC7"/>
    <w:rsid w:val="00F1204D"/>
    <w:rsid w:val="00F123BB"/>
    <w:rsid w:val="00F12459"/>
    <w:rsid w:val="00F1246B"/>
    <w:rsid w:val="00F1263C"/>
    <w:rsid w:val="00F12B37"/>
    <w:rsid w:val="00F134D4"/>
    <w:rsid w:val="00F1366C"/>
    <w:rsid w:val="00F137EE"/>
    <w:rsid w:val="00F13A7C"/>
    <w:rsid w:val="00F13EC8"/>
    <w:rsid w:val="00F141A4"/>
    <w:rsid w:val="00F141D3"/>
    <w:rsid w:val="00F143C9"/>
    <w:rsid w:val="00F14752"/>
    <w:rsid w:val="00F1482C"/>
    <w:rsid w:val="00F14A04"/>
    <w:rsid w:val="00F14A3B"/>
    <w:rsid w:val="00F14C6D"/>
    <w:rsid w:val="00F15BA1"/>
    <w:rsid w:val="00F15C95"/>
    <w:rsid w:val="00F168B6"/>
    <w:rsid w:val="00F17377"/>
    <w:rsid w:val="00F17605"/>
    <w:rsid w:val="00F17CA1"/>
    <w:rsid w:val="00F17CF1"/>
    <w:rsid w:val="00F20283"/>
    <w:rsid w:val="00F2035A"/>
    <w:rsid w:val="00F2035C"/>
    <w:rsid w:val="00F20A64"/>
    <w:rsid w:val="00F21206"/>
    <w:rsid w:val="00F2128B"/>
    <w:rsid w:val="00F215AD"/>
    <w:rsid w:val="00F22000"/>
    <w:rsid w:val="00F22985"/>
    <w:rsid w:val="00F233B9"/>
    <w:rsid w:val="00F23E45"/>
    <w:rsid w:val="00F241AB"/>
    <w:rsid w:val="00F243C4"/>
    <w:rsid w:val="00F24FAC"/>
    <w:rsid w:val="00F25574"/>
    <w:rsid w:val="00F258F5"/>
    <w:rsid w:val="00F25B51"/>
    <w:rsid w:val="00F25C73"/>
    <w:rsid w:val="00F25E06"/>
    <w:rsid w:val="00F26A60"/>
    <w:rsid w:val="00F26CE2"/>
    <w:rsid w:val="00F26ED9"/>
    <w:rsid w:val="00F272EE"/>
    <w:rsid w:val="00F30365"/>
    <w:rsid w:val="00F3065B"/>
    <w:rsid w:val="00F311B0"/>
    <w:rsid w:val="00F31382"/>
    <w:rsid w:val="00F315F2"/>
    <w:rsid w:val="00F31C28"/>
    <w:rsid w:val="00F3206C"/>
    <w:rsid w:val="00F32DBE"/>
    <w:rsid w:val="00F33463"/>
    <w:rsid w:val="00F33C16"/>
    <w:rsid w:val="00F34021"/>
    <w:rsid w:val="00F346E3"/>
    <w:rsid w:val="00F34CE2"/>
    <w:rsid w:val="00F34EA6"/>
    <w:rsid w:val="00F35829"/>
    <w:rsid w:val="00F35EC4"/>
    <w:rsid w:val="00F3659E"/>
    <w:rsid w:val="00F37511"/>
    <w:rsid w:val="00F4028C"/>
    <w:rsid w:val="00F406AC"/>
    <w:rsid w:val="00F40AD4"/>
    <w:rsid w:val="00F41318"/>
    <w:rsid w:val="00F4134E"/>
    <w:rsid w:val="00F4179A"/>
    <w:rsid w:val="00F41B1B"/>
    <w:rsid w:val="00F41CD5"/>
    <w:rsid w:val="00F4231F"/>
    <w:rsid w:val="00F42868"/>
    <w:rsid w:val="00F44740"/>
    <w:rsid w:val="00F44C38"/>
    <w:rsid w:val="00F452BB"/>
    <w:rsid w:val="00F45A88"/>
    <w:rsid w:val="00F465A7"/>
    <w:rsid w:val="00F474CF"/>
    <w:rsid w:val="00F47717"/>
    <w:rsid w:val="00F478B8"/>
    <w:rsid w:val="00F47D9C"/>
    <w:rsid w:val="00F50289"/>
    <w:rsid w:val="00F50A44"/>
    <w:rsid w:val="00F50A9E"/>
    <w:rsid w:val="00F50B7C"/>
    <w:rsid w:val="00F512A4"/>
    <w:rsid w:val="00F51E53"/>
    <w:rsid w:val="00F5202D"/>
    <w:rsid w:val="00F52118"/>
    <w:rsid w:val="00F52613"/>
    <w:rsid w:val="00F52621"/>
    <w:rsid w:val="00F5273C"/>
    <w:rsid w:val="00F529F3"/>
    <w:rsid w:val="00F52CF6"/>
    <w:rsid w:val="00F537AD"/>
    <w:rsid w:val="00F53835"/>
    <w:rsid w:val="00F5396B"/>
    <w:rsid w:val="00F54496"/>
    <w:rsid w:val="00F54F04"/>
    <w:rsid w:val="00F557A8"/>
    <w:rsid w:val="00F55F46"/>
    <w:rsid w:val="00F55F58"/>
    <w:rsid w:val="00F56049"/>
    <w:rsid w:val="00F565D3"/>
    <w:rsid w:val="00F56A84"/>
    <w:rsid w:val="00F56DA4"/>
    <w:rsid w:val="00F56F23"/>
    <w:rsid w:val="00F60890"/>
    <w:rsid w:val="00F6091D"/>
    <w:rsid w:val="00F61097"/>
    <w:rsid w:val="00F61281"/>
    <w:rsid w:val="00F618D0"/>
    <w:rsid w:val="00F61986"/>
    <w:rsid w:val="00F61EFB"/>
    <w:rsid w:val="00F62463"/>
    <w:rsid w:val="00F62A03"/>
    <w:rsid w:val="00F62BDC"/>
    <w:rsid w:val="00F62D79"/>
    <w:rsid w:val="00F62E84"/>
    <w:rsid w:val="00F63A6D"/>
    <w:rsid w:val="00F64452"/>
    <w:rsid w:val="00F65150"/>
    <w:rsid w:val="00F6526E"/>
    <w:rsid w:val="00F6580F"/>
    <w:rsid w:val="00F65B4D"/>
    <w:rsid w:val="00F66826"/>
    <w:rsid w:val="00F67AFD"/>
    <w:rsid w:val="00F67C15"/>
    <w:rsid w:val="00F67F08"/>
    <w:rsid w:val="00F701F3"/>
    <w:rsid w:val="00F70521"/>
    <w:rsid w:val="00F7053D"/>
    <w:rsid w:val="00F717CA"/>
    <w:rsid w:val="00F71F67"/>
    <w:rsid w:val="00F72416"/>
    <w:rsid w:val="00F728EB"/>
    <w:rsid w:val="00F73175"/>
    <w:rsid w:val="00F73EED"/>
    <w:rsid w:val="00F74345"/>
    <w:rsid w:val="00F74441"/>
    <w:rsid w:val="00F7453B"/>
    <w:rsid w:val="00F745AF"/>
    <w:rsid w:val="00F7465A"/>
    <w:rsid w:val="00F7487E"/>
    <w:rsid w:val="00F75165"/>
    <w:rsid w:val="00F75FDF"/>
    <w:rsid w:val="00F76F94"/>
    <w:rsid w:val="00F7765F"/>
    <w:rsid w:val="00F77D54"/>
    <w:rsid w:val="00F77F30"/>
    <w:rsid w:val="00F80D0B"/>
    <w:rsid w:val="00F80DDA"/>
    <w:rsid w:val="00F813DF"/>
    <w:rsid w:val="00F82589"/>
    <w:rsid w:val="00F828F8"/>
    <w:rsid w:val="00F82B19"/>
    <w:rsid w:val="00F82B53"/>
    <w:rsid w:val="00F832D3"/>
    <w:rsid w:val="00F8394D"/>
    <w:rsid w:val="00F83A9A"/>
    <w:rsid w:val="00F83C87"/>
    <w:rsid w:val="00F84024"/>
    <w:rsid w:val="00F84072"/>
    <w:rsid w:val="00F84621"/>
    <w:rsid w:val="00F85424"/>
    <w:rsid w:val="00F855D8"/>
    <w:rsid w:val="00F857C4"/>
    <w:rsid w:val="00F857D9"/>
    <w:rsid w:val="00F866CD"/>
    <w:rsid w:val="00F86826"/>
    <w:rsid w:val="00F8717C"/>
    <w:rsid w:val="00F8736C"/>
    <w:rsid w:val="00F879AA"/>
    <w:rsid w:val="00F90AA7"/>
    <w:rsid w:val="00F90B5C"/>
    <w:rsid w:val="00F915F4"/>
    <w:rsid w:val="00F9212C"/>
    <w:rsid w:val="00F9212D"/>
    <w:rsid w:val="00F92ADA"/>
    <w:rsid w:val="00F93287"/>
    <w:rsid w:val="00F9358C"/>
    <w:rsid w:val="00F93C19"/>
    <w:rsid w:val="00F9483E"/>
    <w:rsid w:val="00F94D5C"/>
    <w:rsid w:val="00F9627E"/>
    <w:rsid w:val="00F96411"/>
    <w:rsid w:val="00F96B4A"/>
    <w:rsid w:val="00F96B78"/>
    <w:rsid w:val="00F96DF8"/>
    <w:rsid w:val="00F976FF"/>
    <w:rsid w:val="00F978B0"/>
    <w:rsid w:val="00F97B97"/>
    <w:rsid w:val="00F97BF0"/>
    <w:rsid w:val="00FA1507"/>
    <w:rsid w:val="00FA1E2D"/>
    <w:rsid w:val="00FA2FB9"/>
    <w:rsid w:val="00FA301A"/>
    <w:rsid w:val="00FA3261"/>
    <w:rsid w:val="00FA3B72"/>
    <w:rsid w:val="00FA3CF8"/>
    <w:rsid w:val="00FA406A"/>
    <w:rsid w:val="00FA447D"/>
    <w:rsid w:val="00FA4526"/>
    <w:rsid w:val="00FA5CB6"/>
    <w:rsid w:val="00FA638D"/>
    <w:rsid w:val="00FA798B"/>
    <w:rsid w:val="00FA7CF7"/>
    <w:rsid w:val="00FB00D4"/>
    <w:rsid w:val="00FB0A72"/>
    <w:rsid w:val="00FB0C64"/>
    <w:rsid w:val="00FB1553"/>
    <w:rsid w:val="00FB1DE6"/>
    <w:rsid w:val="00FB2781"/>
    <w:rsid w:val="00FB2823"/>
    <w:rsid w:val="00FB2F5D"/>
    <w:rsid w:val="00FB3F7B"/>
    <w:rsid w:val="00FB448A"/>
    <w:rsid w:val="00FB45E3"/>
    <w:rsid w:val="00FB536A"/>
    <w:rsid w:val="00FB63E9"/>
    <w:rsid w:val="00FB6C41"/>
    <w:rsid w:val="00FB6C7D"/>
    <w:rsid w:val="00FB7EEE"/>
    <w:rsid w:val="00FC00C9"/>
    <w:rsid w:val="00FC0688"/>
    <w:rsid w:val="00FC0BB4"/>
    <w:rsid w:val="00FC0ED2"/>
    <w:rsid w:val="00FC1598"/>
    <w:rsid w:val="00FC1720"/>
    <w:rsid w:val="00FC2CEF"/>
    <w:rsid w:val="00FC330E"/>
    <w:rsid w:val="00FC3940"/>
    <w:rsid w:val="00FC3EE9"/>
    <w:rsid w:val="00FC433D"/>
    <w:rsid w:val="00FC4CB4"/>
    <w:rsid w:val="00FC514B"/>
    <w:rsid w:val="00FC5E01"/>
    <w:rsid w:val="00FC66AC"/>
    <w:rsid w:val="00FC709D"/>
    <w:rsid w:val="00FC7375"/>
    <w:rsid w:val="00FC7868"/>
    <w:rsid w:val="00FD02DD"/>
    <w:rsid w:val="00FD0BC0"/>
    <w:rsid w:val="00FD0EEC"/>
    <w:rsid w:val="00FD182A"/>
    <w:rsid w:val="00FD18F4"/>
    <w:rsid w:val="00FD1B69"/>
    <w:rsid w:val="00FD2152"/>
    <w:rsid w:val="00FD37A4"/>
    <w:rsid w:val="00FD3E08"/>
    <w:rsid w:val="00FD3EDF"/>
    <w:rsid w:val="00FD429B"/>
    <w:rsid w:val="00FD54D0"/>
    <w:rsid w:val="00FD5C35"/>
    <w:rsid w:val="00FD617B"/>
    <w:rsid w:val="00FD6539"/>
    <w:rsid w:val="00FD712F"/>
    <w:rsid w:val="00FD72C0"/>
    <w:rsid w:val="00FD74B4"/>
    <w:rsid w:val="00FD754B"/>
    <w:rsid w:val="00FD76DD"/>
    <w:rsid w:val="00FD7F2D"/>
    <w:rsid w:val="00FE1ABA"/>
    <w:rsid w:val="00FE22FA"/>
    <w:rsid w:val="00FE2542"/>
    <w:rsid w:val="00FE331B"/>
    <w:rsid w:val="00FE3789"/>
    <w:rsid w:val="00FE37C1"/>
    <w:rsid w:val="00FE37DA"/>
    <w:rsid w:val="00FE4144"/>
    <w:rsid w:val="00FE4801"/>
    <w:rsid w:val="00FE4B9A"/>
    <w:rsid w:val="00FE518C"/>
    <w:rsid w:val="00FE5BE0"/>
    <w:rsid w:val="00FE6802"/>
    <w:rsid w:val="00FE6DB9"/>
    <w:rsid w:val="00FE6F0E"/>
    <w:rsid w:val="00FF005B"/>
    <w:rsid w:val="00FF088A"/>
    <w:rsid w:val="00FF1997"/>
    <w:rsid w:val="00FF22DC"/>
    <w:rsid w:val="00FF2611"/>
    <w:rsid w:val="00FF263D"/>
    <w:rsid w:val="00FF26DF"/>
    <w:rsid w:val="00FF2AE2"/>
    <w:rsid w:val="00FF327A"/>
    <w:rsid w:val="00FF3848"/>
    <w:rsid w:val="00FF4997"/>
    <w:rsid w:val="00FF4BDF"/>
    <w:rsid w:val="00FF521E"/>
    <w:rsid w:val="00FF536D"/>
    <w:rsid w:val="00FF5612"/>
    <w:rsid w:val="00FF5FEC"/>
    <w:rsid w:val="00FF6031"/>
    <w:rsid w:val="00FF61CB"/>
    <w:rsid w:val="00FF6548"/>
    <w:rsid w:val="00FF6FCE"/>
    <w:rsid w:val="00FF7141"/>
    <w:rsid w:val="00FF7518"/>
    <w:rsid w:val="00FF799E"/>
    <w:rsid w:val="00FF7FD8"/>
    <w:rsid w:val="05742AC8"/>
    <w:rsid w:val="06352F05"/>
    <w:rsid w:val="063E7D85"/>
    <w:rsid w:val="070875E0"/>
    <w:rsid w:val="07293586"/>
    <w:rsid w:val="07295285"/>
    <w:rsid w:val="07770C56"/>
    <w:rsid w:val="07AA7AF4"/>
    <w:rsid w:val="092217DD"/>
    <w:rsid w:val="093A7294"/>
    <w:rsid w:val="0BD27BF6"/>
    <w:rsid w:val="0E110D06"/>
    <w:rsid w:val="0F13775A"/>
    <w:rsid w:val="0F9A112B"/>
    <w:rsid w:val="106D2F64"/>
    <w:rsid w:val="10B63710"/>
    <w:rsid w:val="111C2F7A"/>
    <w:rsid w:val="113013DE"/>
    <w:rsid w:val="122B06C2"/>
    <w:rsid w:val="13951726"/>
    <w:rsid w:val="14396509"/>
    <w:rsid w:val="1447165C"/>
    <w:rsid w:val="15E078FA"/>
    <w:rsid w:val="16714AA4"/>
    <w:rsid w:val="17735226"/>
    <w:rsid w:val="17A57EBA"/>
    <w:rsid w:val="18633624"/>
    <w:rsid w:val="1A1C66C0"/>
    <w:rsid w:val="1A42393B"/>
    <w:rsid w:val="1AA13496"/>
    <w:rsid w:val="1B046F80"/>
    <w:rsid w:val="1B3267B5"/>
    <w:rsid w:val="1BC25DC8"/>
    <w:rsid w:val="1C5E7925"/>
    <w:rsid w:val="1C62373B"/>
    <w:rsid w:val="1C887FC8"/>
    <w:rsid w:val="1D5F6196"/>
    <w:rsid w:val="1D6132A5"/>
    <w:rsid w:val="1D8E56D5"/>
    <w:rsid w:val="1E7A43DA"/>
    <w:rsid w:val="1EB277FE"/>
    <w:rsid w:val="1FE7539E"/>
    <w:rsid w:val="20963CB8"/>
    <w:rsid w:val="20B07FB6"/>
    <w:rsid w:val="212249B1"/>
    <w:rsid w:val="213B74B1"/>
    <w:rsid w:val="215A2310"/>
    <w:rsid w:val="21DE318A"/>
    <w:rsid w:val="21EF5B80"/>
    <w:rsid w:val="2253315F"/>
    <w:rsid w:val="22576990"/>
    <w:rsid w:val="229C4EAB"/>
    <w:rsid w:val="23B31DFD"/>
    <w:rsid w:val="252D53FE"/>
    <w:rsid w:val="25EC2D81"/>
    <w:rsid w:val="26177FFE"/>
    <w:rsid w:val="262C41BF"/>
    <w:rsid w:val="264528BD"/>
    <w:rsid w:val="265E6D8D"/>
    <w:rsid w:val="26BC44AC"/>
    <w:rsid w:val="27AE497A"/>
    <w:rsid w:val="27C7778D"/>
    <w:rsid w:val="27D15DD1"/>
    <w:rsid w:val="280B0B5C"/>
    <w:rsid w:val="28A76295"/>
    <w:rsid w:val="29206EB8"/>
    <w:rsid w:val="29585AA2"/>
    <w:rsid w:val="29E325E0"/>
    <w:rsid w:val="2A452503"/>
    <w:rsid w:val="2B4972A9"/>
    <w:rsid w:val="2BA936A8"/>
    <w:rsid w:val="2BDC5E04"/>
    <w:rsid w:val="2C315A5A"/>
    <w:rsid w:val="2D926AE7"/>
    <w:rsid w:val="2D9E56F5"/>
    <w:rsid w:val="2E667F96"/>
    <w:rsid w:val="2E7E72B4"/>
    <w:rsid w:val="2E8226AB"/>
    <w:rsid w:val="2F832C79"/>
    <w:rsid w:val="2FEF2D58"/>
    <w:rsid w:val="30580BC9"/>
    <w:rsid w:val="311E2ED7"/>
    <w:rsid w:val="315C449C"/>
    <w:rsid w:val="31B82709"/>
    <w:rsid w:val="32400B34"/>
    <w:rsid w:val="32816180"/>
    <w:rsid w:val="329E6876"/>
    <w:rsid w:val="33D934D4"/>
    <w:rsid w:val="33FE2F6A"/>
    <w:rsid w:val="34234DA8"/>
    <w:rsid w:val="34FF38D4"/>
    <w:rsid w:val="357A3761"/>
    <w:rsid w:val="35D97C1A"/>
    <w:rsid w:val="36074A7F"/>
    <w:rsid w:val="368309C5"/>
    <w:rsid w:val="36923549"/>
    <w:rsid w:val="36B75FBF"/>
    <w:rsid w:val="36FB4891"/>
    <w:rsid w:val="37C97ABF"/>
    <w:rsid w:val="38F12CD3"/>
    <w:rsid w:val="38F94775"/>
    <w:rsid w:val="392971ED"/>
    <w:rsid w:val="3B3763D1"/>
    <w:rsid w:val="3C7A25BB"/>
    <w:rsid w:val="3CDA245A"/>
    <w:rsid w:val="3CEE0A37"/>
    <w:rsid w:val="3F412128"/>
    <w:rsid w:val="3F660E74"/>
    <w:rsid w:val="407A6407"/>
    <w:rsid w:val="4110563C"/>
    <w:rsid w:val="423A3BCC"/>
    <w:rsid w:val="431F532D"/>
    <w:rsid w:val="433A6FE6"/>
    <w:rsid w:val="4350713C"/>
    <w:rsid w:val="436653E0"/>
    <w:rsid w:val="436B43D9"/>
    <w:rsid w:val="4488000B"/>
    <w:rsid w:val="44CD14E0"/>
    <w:rsid w:val="458946E9"/>
    <w:rsid w:val="46D955A7"/>
    <w:rsid w:val="47133957"/>
    <w:rsid w:val="47174838"/>
    <w:rsid w:val="4779329E"/>
    <w:rsid w:val="47A07E0C"/>
    <w:rsid w:val="47C94713"/>
    <w:rsid w:val="481D17A2"/>
    <w:rsid w:val="4870272E"/>
    <w:rsid w:val="48EF545A"/>
    <w:rsid w:val="49C652C0"/>
    <w:rsid w:val="49DC7715"/>
    <w:rsid w:val="4A023139"/>
    <w:rsid w:val="4A7B576F"/>
    <w:rsid w:val="4AB3655F"/>
    <w:rsid w:val="4C4A0649"/>
    <w:rsid w:val="4C774153"/>
    <w:rsid w:val="4CE470D3"/>
    <w:rsid w:val="4D733781"/>
    <w:rsid w:val="4DEC4FB0"/>
    <w:rsid w:val="4E075D8A"/>
    <w:rsid w:val="4F070D45"/>
    <w:rsid w:val="4FC62A8C"/>
    <w:rsid w:val="4FE20F0D"/>
    <w:rsid w:val="50504C4B"/>
    <w:rsid w:val="509C6E7C"/>
    <w:rsid w:val="5162104E"/>
    <w:rsid w:val="53A039CC"/>
    <w:rsid w:val="53A1505A"/>
    <w:rsid w:val="54063E08"/>
    <w:rsid w:val="543437E8"/>
    <w:rsid w:val="54A651AA"/>
    <w:rsid w:val="54BB00C5"/>
    <w:rsid w:val="559B174B"/>
    <w:rsid w:val="55CE0CF4"/>
    <w:rsid w:val="56B22A9C"/>
    <w:rsid w:val="56C037A5"/>
    <w:rsid w:val="57425932"/>
    <w:rsid w:val="57B72A76"/>
    <w:rsid w:val="5A030919"/>
    <w:rsid w:val="5A3C747D"/>
    <w:rsid w:val="5ABE2233"/>
    <w:rsid w:val="5B276D18"/>
    <w:rsid w:val="5B487E1F"/>
    <w:rsid w:val="5BDF5D95"/>
    <w:rsid w:val="5DF87A0F"/>
    <w:rsid w:val="5E6D22A2"/>
    <w:rsid w:val="5F1A2B43"/>
    <w:rsid w:val="5FB837BB"/>
    <w:rsid w:val="62364782"/>
    <w:rsid w:val="63D40BE9"/>
    <w:rsid w:val="63E0211F"/>
    <w:rsid w:val="6432037A"/>
    <w:rsid w:val="64DD28D2"/>
    <w:rsid w:val="65373578"/>
    <w:rsid w:val="673F2C7A"/>
    <w:rsid w:val="674F1A43"/>
    <w:rsid w:val="67F56379"/>
    <w:rsid w:val="681F6961"/>
    <w:rsid w:val="68610A2F"/>
    <w:rsid w:val="68805514"/>
    <w:rsid w:val="694E2071"/>
    <w:rsid w:val="697A3B33"/>
    <w:rsid w:val="699E2456"/>
    <w:rsid w:val="6B322639"/>
    <w:rsid w:val="6BE93BEE"/>
    <w:rsid w:val="6C636C38"/>
    <w:rsid w:val="6DB34098"/>
    <w:rsid w:val="6DB545B6"/>
    <w:rsid w:val="6E4375A0"/>
    <w:rsid w:val="6E514CED"/>
    <w:rsid w:val="6E79491A"/>
    <w:rsid w:val="6EB563D5"/>
    <w:rsid w:val="6F056C2E"/>
    <w:rsid w:val="6F225983"/>
    <w:rsid w:val="6FFC5590"/>
    <w:rsid w:val="70301DA3"/>
    <w:rsid w:val="706D1DD0"/>
    <w:rsid w:val="70856B87"/>
    <w:rsid w:val="70D527EE"/>
    <w:rsid w:val="70D87435"/>
    <w:rsid w:val="715B5300"/>
    <w:rsid w:val="715F4BD7"/>
    <w:rsid w:val="71865F54"/>
    <w:rsid w:val="71D27F8A"/>
    <w:rsid w:val="71F744C6"/>
    <w:rsid w:val="71F960CF"/>
    <w:rsid w:val="731F5D5E"/>
    <w:rsid w:val="739C1E1C"/>
    <w:rsid w:val="741E793C"/>
    <w:rsid w:val="7463340D"/>
    <w:rsid w:val="75517D80"/>
    <w:rsid w:val="758D75E2"/>
    <w:rsid w:val="77762421"/>
    <w:rsid w:val="780F09F4"/>
    <w:rsid w:val="789C4F47"/>
    <w:rsid w:val="78A90480"/>
    <w:rsid w:val="79811327"/>
    <w:rsid w:val="7A364017"/>
    <w:rsid w:val="7A8265E1"/>
    <w:rsid w:val="7AD0348B"/>
    <w:rsid w:val="7B686D42"/>
    <w:rsid w:val="7B841746"/>
    <w:rsid w:val="7CF12340"/>
    <w:rsid w:val="7D0239FF"/>
    <w:rsid w:val="7D5E40CD"/>
    <w:rsid w:val="7D693BED"/>
    <w:rsid w:val="7D99550F"/>
    <w:rsid w:val="7E523381"/>
    <w:rsid w:val="7E8E7261"/>
    <w:rsid w:val="7FE47E50"/>
    <w:rsid w:val="FC9E5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nhideWhenUsed="0" w:uiPriority="0" w:semiHidden="0" w:name="heading 6" w:locked="1"/>
    <w:lsdException w:qFormat="1" w:uiPriority="0" w:name="heading 7" w:locked="1"/>
    <w:lsdException w:qFormat="1" w:uiPriority="0" w:name="heading 8" w:locked="1"/>
    <w:lsdException w:qFormat="1" w:uiPriority="0" w:name="heading 9" w:locked="1"/>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ocked="1"/>
    <w:lsdException w:qFormat="1"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38"/>
    <w:qFormat/>
    <w:locked/>
    <w:uiPriority w:val="0"/>
    <w:pPr>
      <w:keepNext/>
      <w:snapToGrid w:val="0"/>
      <w:outlineLvl w:val="1"/>
    </w:pPr>
    <w:rPr>
      <w:kern w:val="0"/>
      <w:sz w:val="25"/>
      <w:szCs w:val="20"/>
    </w:rPr>
  </w:style>
  <w:style w:type="paragraph" w:styleId="4">
    <w:name w:val="heading 3"/>
    <w:basedOn w:val="1"/>
    <w:next w:val="1"/>
    <w:link w:val="39"/>
    <w:qFormat/>
    <w:locked/>
    <w:uiPriority w:val="0"/>
    <w:pPr>
      <w:keepNext/>
      <w:keepLines/>
      <w:spacing w:before="260" w:after="260" w:line="416" w:lineRule="auto"/>
      <w:outlineLvl w:val="2"/>
    </w:pPr>
    <w:rPr>
      <w:b/>
      <w:bCs/>
      <w:sz w:val="32"/>
      <w:szCs w:val="32"/>
    </w:rPr>
  </w:style>
  <w:style w:type="paragraph" w:styleId="5">
    <w:name w:val="heading 4"/>
    <w:basedOn w:val="1"/>
    <w:next w:val="1"/>
    <w:link w:val="40"/>
    <w:qFormat/>
    <w:locked/>
    <w:uiPriority w:val="0"/>
    <w:pPr>
      <w:keepNext/>
      <w:keepLines/>
      <w:tabs>
        <w:tab w:val="left" w:pos="2880"/>
      </w:tabs>
      <w:spacing w:before="280" w:after="290" w:line="372" w:lineRule="auto"/>
      <w:ind w:left="2880" w:hanging="360"/>
      <w:outlineLvl w:val="3"/>
    </w:pPr>
    <w:rPr>
      <w:rFonts w:ascii="Arial" w:hAnsi="Arial" w:eastAsia="黑体" w:cs="宋体"/>
      <w:b/>
      <w:bCs/>
      <w:kern w:val="0"/>
      <w:sz w:val="28"/>
      <w:szCs w:val="28"/>
    </w:rPr>
  </w:style>
  <w:style w:type="paragraph" w:styleId="6">
    <w:name w:val="heading 6"/>
    <w:basedOn w:val="1"/>
    <w:next w:val="1"/>
    <w:link w:val="41"/>
    <w:qFormat/>
    <w:locked/>
    <w:uiPriority w:val="0"/>
    <w:pPr>
      <w:keepNext/>
      <w:keepLines/>
      <w:adjustRightInd w:val="0"/>
      <w:spacing w:before="240" w:after="64" w:line="320" w:lineRule="atLeast"/>
      <w:textAlignment w:val="baseline"/>
      <w:outlineLvl w:val="5"/>
    </w:pPr>
    <w:rPr>
      <w:rFonts w:ascii="Cambria" w:hAnsi="Cambria"/>
      <w:b/>
      <w:bCs/>
      <w:kern w:val="0"/>
      <w:sz w:val="24"/>
    </w:rPr>
  </w:style>
  <w:style w:type="character" w:default="1" w:styleId="32">
    <w:name w:val="Default Paragraph Font"/>
    <w:semiHidden/>
    <w:unhideWhenUsed/>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2"/>
    <w:qFormat/>
    <w:uiPriority w:val="0"/>
    <w:pPr>
      <w:ind w:firstLine="420" w:firstLineChars="200"/>
    </w:pPr>
  </w:style>
  <w:style w:type="paragraph" w:styleId="8">
    <w:name w:val="caption"/>
    <w:basedOn w:val="1"/>
    <w:next w:val="1"/>
    <w:link w:val="43"/>
    <w:qFormat/>
    <w:locked/>
    <w:uiPriority w:val="0"/>
    <w:pPr>
      <w:spacing w:line="328" w:lineRule="auto"/>
      <w:ind w:firstLine="200" w:firstLineChars="200"/>
      <w:jc w:val="center"/>
    </w:pPr>
    <w:rPr>
      <w:rFonts w:ascii="黑体" w:hAnsi="Arial" w:eastAsia="黑体" w:cs="Arial"/>
      <w:b/>
      <w:sz w:val="24"/>
    </w:rPr>
  </w:style>
  <w:style w:type="paragraph" w:styleId="9">
    <w:name w:val="Document Map"/>
    <w:basedOn w:val="1"/>
    <w:link w:val="44"/>
    <w:uiPriority w:val="0"/>
    <w:pPr>
      <w:shd w:val="clear" w:color="auto" w:fill="000080"/>
    </w:pPr>
    <w:rPr>
      <w:kern w:val="0"/>
      <w:sz w:val="20"/>
      <w:szCs w:val="20"/>
    </w:rPr>
  </w:style>
  <w:style w:type="paragraph" w:styleId="10">
    <w:name w:val="annotation text"/>
    <w:basedOn w:val="1"/>
    <w:link w:val="45"/>
    <w:qFormat/>
    <w:uiPriority w:val="0"/>
    <w:pPr>
      <w:jc w:val="left"/>
    </w:pPr>
    <w:rPr>
      <w:kern w:val="0"/>
      <w:sz w:val="20"/>
    </w:rPr>
  </w:style>
  <w:style w:type="paragraph" w:styleId="11">
    <w:name w:val="Body Text"/>
    <w:basedOn w:val="1"/>
    <w:link w:val="46"/>
    <w:uiPriority w:val="0"/>
    <w:pPr>
      <w:widowControl/>
      <w:snapToGrid w:val="0"/>
      <w:spacing w:before="60" w:after="160" w:line="259" w:lineRule="auto"/>
      <w:ind w:right="113"/>
    </w:pPr>
    <w:rPr>
      <w:kern w:val="0"/>
      <w:sz w:val="18"/>
      <w:szCs w:val="18"/>
    </w:rPr>
  </w:style>
  <w:style w:type="paragraph" w:styleId="12">
    <w:name w:val="Body Text Indent"/>
    <w:basedOn w:val="1"/>
    <w:link w:val="47"/>
    <w:qFormat/>
    <w:uiPriority w:val="0"/>
    <w:pPr>
      <w:spacing w:after="120"/>
      <w:ind w:left="420" w:leftChars="200"/>
    </w:pPr>
  </w:style>
  <w:style w:type="paragraph" w:styleId="13">
    <w:name w:val="Block Text"/>
    <w:basedOn w:val="1"/>
    <w:uiPriority w:val="0"/>
    <w:pPr>
      <w:adjustRightInd w:val="0"/>
      <w:snapToGrid w:val="0"/>
      <w:spacing w:line="360" w:lineRule="auto"/>
      <w:ind w:left="105" w:leftChars="50" w:right="105" w:firstLine="557" w:firstLineChars="199"/>
    </w:pPr>
    <w:rPr>
      <w:sz w:val="28"/>
      <w:szCs w:val="20"/>
    </w:rPr>
  </w:style>
  <w:style w:type="paragraph" w:styleId="14">
    <w:name w:val="toc 3"/>
    <w:basedOn w:val="1"/>
    <w:next w:val="1"/>
    <w:unhideWhenUsed/>
    <w:qFormat/>
    <w:locked/>
    <w:uiPriority w:val="39"/>
    <w:pPr>
      <w:widowControl/>
      <w:spacing w:after="100" w:line="276" w:lineRule="auto"/>
      <w:ind w:left="440"/>
      <w:jc w:val="left"/>
    </w:pPr>
    <w:rPr>
      <w:rFonts w:ascii="Calibri" w:hAnsi="Calibri"/>
      <w:kern w:val="0"/>
      <w:sz w:val="22"/>
      <w:szCs w:val="22"/>
    </w:rPr>
  </w:style>
  <w:style w:type="paragraph" w:styleId="15">
    <w:name w:val="Plain Text"/>
    <w:basedOn w:val="1"/>
    <w:link w:val="48"/>
    <w:qFormat/>
    <w:uiPriority w:val="0"/>
    <w:rPr>
      <w:rFonts w:ascii="宋体" w:hAnsi="Courier New"/>
      <w:szCs w:val="20"/>
    </w:rPr>
  </w:style>
  <w:style w:type="paragraph" w:styleId="16">
    <w:name w:val="Date"/>
    <w:basedOn w:val="1"/>
    <w:next w:val="1"/>
    <w:link w:val="49"/>
    <w:qFormat/>
    <w:uiPriority w:val="0"/>
    <w:pPr>
      <w:ind w:left="100" w:leftChars="2500"/>
    </w:pPr>
    <w:rPr>
      <w:kern w:val="0"/>
      <w:sz w:val="20"/>
    </w:rPr>
  </w:style>
  <w:style w:type="paragraph" w:styleId="17">
    <w:name w:val="Body Text Indent 2"/>
    <w:basedOn w:val="1"/>
    <w:link w:val="50"/>
    <w:qFormat/>
    <w:uiPriority w:val="0"/>
    <w:pPr>
      <w:spacing w:after="120" w:line="480" w:lineRule="auto"/>
      <w:ind w:left="420" w:leftChars="200"/>
    </w:pPr>
  </w:style>
  <w:style w:type="paragraph" w:styleId="18">
    <w:name w:val="Balloon Text"/>
    <w:basedOn w:val="1"/>
    <w:link w:val="51"/>
    <w:semiHidden/>
    <w:uiPriority w:val="0"/>
    <w:rPr>
      <w:sz w:val="18"/>
      <w:szCs w:val="18"/>
    </w:rPr>
  </w:style>
  <w:style w:type="paragraph" w:styleId="19">
    <w:name w:val="footer"/>
    <w:basedOn w:val="1"/>
    <w:link w:val="52"/>
    <w:qFormat/>
    <w:uiPriority w:val="99"/>
    <w:pPr>
      <w:tabs>
        <w:tab w:val="center" w:pos="4153"/>
        <w:tab w:val="right" w:pos="8306"/>
      </w:tabs>
      <w:snapToGrid w:val="0"/>
      <w:jc w:val="left"/>
    </w:pPr>
    <w:rPr>
      <w:sz w:val="18"/>
      <w:szCs w:val="18"/>
    </w:rPr>
  </w:style>
  <w:style w:type="paragraph" w:styleId="20">
    <w:name w:val="header"/>
    <w:basedOn w:val="1"/>
    <w:link w:val="53"/>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locked/>
    <w:uiPriority w:val="39"/>
    <w:pPr>
      <w:widowControl/>
      <w:spacing w:after="100" w:line="276" w:lineRule="auto"/>
      <w:jc w:val="left"/>
    </w:pPr>
    <w:rPr>
      <w:rFonts w:ascii="Calibri" w:hAnsi="Calibri"/>
      <w:kern w:val="0"/>
      <w:sz w:val="22"/>
      <w:szCs w:val="22"/>
    </w:rPr>
  </w:style>
  <w:style w:type="paragraph" w:styleId="22">
    <w:name w:val="Body Text Indent 3"/>
    <w:basedOn w:val="1"/>
    <w:link w:val="54"/>
    <w:qFormat/>
    <w:uiPriority w:val="0"/>
    <w:pPr>
      <w:spacing w:after="120"/>
      <w:ind w:left="420" w:leftChars="200"/>
    </w:pPr>
    <w:rPr>
      <w:sz w:val="16"/>
      <w:szCs w:val="16"/>
    </w:rPr>
  </w:style>
  <w:style w:type="paragraph" w:styleId="23">
    <w:name w:val="toc 2"/>
    <w:basedOn w:val="1"/>
    <w:next w:val="1"/>
    <w:unhideWhenUsed/>
    <w:qFormat/>
    <w:locked/>
    <w:uiPriority w:val="39"/>
    <w:pPr>
      <w:ind w:left="420" w:leftChars="200"/>
    </w:pPr>
    <w:rPr>
      <w:szCs w:val="20"/>
    </w:rPr>
  </w:style>
  <w:style w:type="paragraph" w:styleId="24">
    <w:name w:val="Body Text 2"/>
    <w:basedOn w:val="1"/>
    <w:link w:val="55"/>
    <w:qFormat/>
    <w:uiPriority w:val="0"/>
    <w:pPr>
      <w:snapToGrid w:val="0"/>
      <w:spacing w:line="360" w:lineRule="auto"/>
    </w:pPr>
    <w:rPr>
      <w:rFonts w:eastAsia="楷体_GB2312"/>
      <w:kern w:val="0"/>
      <w:sz w:val="28"/>
      <w:szCs w:val="20"/>
    </w:rPr>
  </w:style>
  <w:style w:type="paragraph" w:styleId="25">
    <w:name w:val="Normal (Web)"/>
    <w:basedOn w:val="1"/>
    <w:link w:val="56"/>
    <w:qFormat/>
    <w:uiPriority w:val="0"/>
    <w:pPr>
      <w:widowControl/>
      <w:spacing w:before="100" w:beforeAutospacing="1" w:after="100" w:afterAutospacing="1"/>
      <w:jc w:val="left"/>
    </w:pPr>
    <w:rPr>
      <w:rFonts w:ascii="宋体" w:hAnsi="宋体"/>
      <w:kern w:val="0"/>
      <w:sz w:val="24"/>
    </w:rPr>
  </w:style>
  <w:style w:type="paragraph" w:styleId="26">
    <w:name w:val="index 1"/>
    <w:basedOn w:val="1"/>
    <w:next w:val="1"/>
    <w:unhideWhenUsed/>
    <w:qFormat/>
    <w:uiPriority w:val="0"/>
    <w:pPr>
      <w:spacing w:line="280" w:lineRule="exact"/>
    </w:pPr>
    <w:rPr>
      <w:rFonts w:ascii="Calibri" w:hAnsi="Calibri"/>
    </w:rPr>
  </w:style>
  <w:style w:type="paragraph" w:styleId="27">
    <w:name w:val="Title"/>
    <w:basedOn w:val="1"/>
    <w:next w:val="1"/>
    <w:link w:val="57"/>
    <w:qFormat/>
    <w:locked/>
    <w:uiPriority w:val="0"/>
    <w:pPr>
      <w:spacing w:before="60" w:after="60" w:line="480" w:lineRule="exact"/>
      <w:jc w:val="left"/>
      <w:outlineLvl w:val="0"/>
    </w:pPr>
    <w:rPr>
      <w:rFonts w:ascii="Cambria" w:hAnsi="Cambria"/>
      <w:b/>
      <w:bCs/>
      <w:color w:val="000000"/>
      <w:sz w:val="32"/>
      <w:szCs w:val="32"/>
    </w:rPr>
  </w:style>
  <w:style w:type="paragraph" w:styleId="28">
    <w:name w:val="annotation subject"/>
    <w:basedOn w:val="10"/>
    <w:next w:val="10"/>
    <w:link w:val="58"/>
    <w:qFormat/>
    <w:uiPriority w:val="0"/>
    <w:rPr>
      <w:b/>
      <w:bCs/>
    </w:rPr>
  </w:style>
  <w:style w:type="paragraph" w:styleId="29">
    <w:name w:val="Body Text First Indent"/>
    <w:basedOn w:val="11"/>
    <w:link w:val="59"/>
    <w:unhideWhenUsed/>
    <w:qFormat/>
    <w:uiPriority w:val="0"/>
    <w:pPr>
      <w:widowControl w:val="0"/>
      <w:snapToGrid/>
      <w:spacing w:before="0" w:after="120" w:line="240" w:lineRule="auto"/>
      <w:ind w:right="0" w:firstLine="420" w:firstLineChars="100"/>
    </w:pPr>
    <w:rPr>
      <w:kern w:val="2"/>
      <w:sz w:val="21"/>
      <w:szCs w:val="20"/>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locked/>
    <w:uiPriority w:val="0"/>
    <w:rPr>
      <w:b/>
      <w:bCs/>
    </w:rPr>
  </w:style>
  <w:style w:type="character" w:styleId="34">
    <w:name w:val="page number"/>
    <w:uiPriority w:val="0"/>
  </w:style>
  <w:style w:type="character" w:styleId="35">
    <w:name w:val="Hyperlink"/>
    <w:uiPriority w:val="99"/>
    <w:rPr>
      <w:color w:val="0000FF"/>
      <w:u w:val="single"/>
    </w:rPr>
  </w:style>
  <w:style w:type="character" w:styleId="36">
    <w:name w:val="annotation reference"/>
    <w:uiPriority w:val="99"/>
    <w:rPr>
      <w:sz w:val="21"/>
    </w:rPr>
  </w:style>
  <w:style w:type="character" w:customStyle="1" w:styleId="37">
    <w:name w:val="标题 1 Char1"/>
    <w:link w:val="2"/>
    <w:qFormat/>
    <w:uiPriority w:val="0"/>
    <w:rPr>
      <w:rFonts w:eastAsia="黑体"/>
      <w:b/>
      <w:bCs/>
      <w:color w:val="000000"/>
      <w:kern w:val="44"/>
      <w:sz w:val="30"/>
      <w:szCs w:val="30"/>
    </w:rPr>
  </w:style>
  <w:style w:type="character" w:customStyle="1" w:styleId="38">
    <w:name w:val="标题 2 Char1"/>
    <w:link w:val="3"/>
    <w:uiPriority w:val="0"/>
    <w:rPr>
      <w:sz w:val="25"/>
    </w:rPr>
  </w:style>
  <w:style w:type="character" w:customStyle="1" w:styleId="39">
    <w:name w:val="标题 3 Char"/>
    <w:link w:val="4"/>
    <w:uiPriority w:val="0"/>
    <w:rPr>
      <w:b/>
      <w:bCs/>
      <w:kern w:val="2"/>
      <w:sz w:val="32"/>
      <w:szCs w:val="32"/>
    </w:rPr>
  </w:style>
  <w:style w:type="character" w:customStyle="1" w:styleId="40">
    <w:name w:val="标题 4 Char"/>
    <w:link w:val="5"/>
    <w:qFormat/>
    <w:uiPriority w:val="0"/>
    <w:rPr>
      <w:rFonts w:ascii="Arial" w:hAnsi="Arial" w:eastAsia="黑体" w:cs="宋体"/>
      <w:b/>
      <w:bCs/>
      <w:sz w:val="28"/>
      <w:szCs w:val="28"/>
    </w:rPr>
  </w:style>
  <w:style w:type="character" w:customStyle="1" w:styleId="41">
    <w:name w:val="标题 6 Char"/>
    <w:link w:val="6"/>
    <w:semiHidden/>
    <w:qFormat/>
    <w:uiPriority w:val="0"/>
    <w:rPr>
      <w:rFonts w:ascii="Cambria" w:hAnsi="Cambria"/>
      <w:b/>
      <w:bCs/>
      <w:sz w:val="24"/>
      <w:szCs w:val="24"/>
    </w:rPr>
  </w:style>
  <w:style w:type="character" w:customStyle="1" w:styleId="42">
    <w:name w:val="正文缩进 Char2"/>
    <w:link w:val="7"/>
    <w:qFormat/>
    <w:locked/>
    <w:uiPriority w:val="0"/>
    <w:rPr>
      <w:kern w:val="2"/>
      <w:sz w:val="21"/>
      <w:szCs w:val="24"/>
    </w:rPr>
  </w:style>
  <w:style w:type="character" w:customStyle="1" w:styleId="43">
    <w:name w:val="题注 Char"/>
    <w:link w:val="8"/>
    <w:semiHidden/>
    <w:qFormat/>
    <w:locked/>
    <w:uiPriority w:val="0"/>
    <w:rPr>
      <w:rFonts w:ascii="黑体" w:hAnsi="Arial" w:eastAsia="黑体" w:cs="Arial"/>
      <w:b/>
      <w:kern w:val="2"/>
      <w:sz w:val="24"/>
      <w:szCs w:val="24"/>
    </w:rPr>
  </w:style>
  <w:style w:type="character" w:customStyle="1" w:styleId="44">
    <w:name w:val="文档结构图 Char1"/>
    <w:link w:val="9"/>
    <w:qFormat/>
    <w:uiPriority w:val="0"/>
    <w:rPr>
      <w:shd w:val="clear" w:color="auto" w:fill="000080"/>
    </w:rPr>
  </w:style>
  <w:style w:type="character" w:customStyle="1" w:styleId="45">
    <w:name w:val="批注文字 Char"/>
    <w:link w:val="10"/>
    <w:qFormat/>
    <w:locked/>
    <w:uiPriority w:val="0"/>
    <w:rPr>
      <w:rFonts w:ascii="Times New Roman" w:hAnsi="Times New Roman" w:eastAsia="宋体"/>
      <w:sz w:val="24"/>
    </w:rPr>
  </w:style>
  <w:style w:type="character" w:customStyle="1" w:styleId="46">
    <w:name w:val="正文文本 Char"/>
    <w:link w:val="11"/>
    <w:qFormat/>
    <w:locked/>
    <w:uiPriority w:val="0"/>
    <w:rPr>
      <w:sz w:val="18"/>
    </w:rPr>
  </w:style>
  <w:style w:type="character" w:customStyle="1" w:styleId="47">
    <w:name w:val="正文文本缩进 Char"/>
    <w:link w:val="12"/>
    <w:qFormat/>
    <w:locked/>
    <w:uiPriority w:val="0"/>
    <w:rPr>
      <w:rFonts w:ascii="Times New Roman" w:hAnsi="Times New Roman" w:eastAsia="宋体" w:cs="Times New Roman"/>
      <w:sz w:val="24"/>
      <w:szCs w:val="24"/>
    </w:rPr>
  </w:style>
  <w:style w:type="character" w:customStyle="1" w:styleId="48">
    <w:name w:val="纯文本 Char1"/>
    <w:link w:val="15"/>
    <w:qFormat/>
    <w:uiPriority w:val="0"/>
    <w:rPr>
      <w:rFonts w:ascii="宋体" w:hAnsi="Courier New"/>
      <w:kern w:val="2"/>
      <w:sz w:val="21"/>
    </w:rPr>
  </w:style>
  <w:style w:type="character" w:customStyle="1" w:styleId="49">
    <w:name w:val="日期 Char"/>
    <w:link w:val="16"/>
    <w:locked/>
    <w:uiPriority w:val="0"/>
    <w:rPr>
      <w:rFonts w:ascii="Times New Roman" w:hAnsi="Times New Roman" w:eastAsia="宋体"/>
      <w:sz w:val="24"/>
    </w:rPr>
  </w:style>
  <w:style w:type="character" w:customStyle="1" w:styleId="50">
    <w:name w:val="正文文本缩进 2 Char1"/>
    <w:link w:val="17"/>
    <w:qFormat/>
    <w:uiPriority w:val="0"/>
    <w:rPr>
      <w:kern w:val="2"/>
      <w:sz w:val="21"/>
      <w:szCs w:val="24"/>
    </w:rPr>
  </w:style>
  <w:style w:type="character" w:customStyle="1" w:styleId="51">
    <w:name w:val="批注框文本 Char"/>
    <w:link w:val="18"/>
    <w:semiHidden/>
    <w:qFormat/>
    <w:locked/>
    <w:uiPriority w:val="0"/>
    <w:rPr>
      <w:rFonts w:ascii="Times New Roman" w:hAnsi="Times New Roman" w:eastAsia="宋体" w:cs="Times New Roman"/>
      <w:sz w:val="18"/>
      <w:szCs w:val="18"/>
    </w:rPr>
  </w:style>
  <w:style w:type="character" w:customStyle="1" w:styleId="52">
    <w:name w:val="页脚 Char"/>
    <w:link w:val="19"/>
    <w:qFormat/>
    <w:locked/>
    <w:uiPriority w:val="99"/>
    <w:rPr>
      <w:rFonts w:cs="Times New Roman"/>
      <w:sz w:val="18"/>
      <w:szCs w:val="18"/>
    </w:rPr>
  </w:style>
  <w:style w:type="character" w:customStyle="1" w:styleId="53">
    <w:name w:val="页眉 Char"/>
    <w:link w:val="20"/>
    <w:qFormat/>
    <w:locked/>
    <w:uiPriority w:val="99"/>
    <w:rPr>
      <w:rFonts w:cs="Times New Roman"/>
      <w:sz w:val="18"/>
      <w:szCs w:val="18"/>
    </w:rPr>
  </w:style>
  <w:style w:type="character" w:customStyle="1" w:styleId="54">
    <w:name w:val="正文文本缩进 3 Char"/>
    <w:link w:val="22"/>
    <w:qFormat/>
    <w:uiPriority w:val="0"/>
    <w:rPr>
      <w:kern w:val="2"/>
      <w:sz w:val="16"/>
      <w:szCs w:val="16"/>
    </w:rPr>
  </w:style>
  <w:style w:type="character" w:customStyle="1" w:styleId="55">
    <w:name w:val="正文文本 2 Char1"/>
    <w:link w:val="24"/>
    <w:qFormat/>
    <w:uiPriority w:val="0"/>
    <w:rPr>
      <w:rFonts w:eastAsia="楷体_GB2312"/>
      <w:sz w:val="28"/>
    </w:rPr>
  </w:style>
  <w:style w:type="character" w:customStyle="1" w:styleId="56">
    <w:name w:val="普通(网站) Char1"/>
    <w:link w:val="25"/>
    <w:locked/>
    <w:uiPriority w:val="0"/>
    <w:rPr>
      <w:rFonts w:ascii="宋体" w:hAnsi="宋体" w:eastAsia="宋体"/>
      <w:sz w:val="24"/>
    </w:rPr>
  </w:style>
  <w:style w:type="character" w:customStyle="1" w:styleId="57">
    <w:name w:val="标题 Char1"/>
    <w:link w:val="27"/>
    <w:uiPriority w:val="0"/>
    <w:rPr>
      <w:rFonts w:ascii="Cambria" w:hAnsi="Cambria"/>
      <w:b/>
      <w:bCs/>
      <w:color w:val="000000"/>
      <w:kern w:val="2"/>
      <w:sz w:val="32"/>
      <w:szCs w:val="32"/>
    </w:rPr>
  </w:style>
  <w:style w:type="character" w:customStyle="1" w:styleId="58">
    <w:name w:val="批注主题 Char"/>
    <w:link w:val="28"/>
    <w:semiHidden/>
    <w:qFormat/>
    <w:locked/>
    <w:uiPriority w:val="0"/>
    <w:rPr>
      <w:rFonts w:ascii="Times New Roman" w:hAnsi="Times New Roman" w:eastAsia="宋体" w:cs="Times New Roman"/>
      <w:b/>
      <w:bCs/>
      <w:kern w:val="2"/>
      <w:sz w:val="24"/>
      <w:szCs w:val="24"/>
    </w:rPr>
  </w:style>
  <w:style w:type="character" w:customStyle="1" w:styleId="59">
    <w:name w:val="正文首行缩进 Char1"/>
    <w:link w:val="29"/>
    <w:uiPriority w:val="99"/>
    <w:rPr>
      <w:kern w:val="2"/>
      <w:sz w:val="21"/>
    </w:rPr>
  </w:style>
  <w:style w:type="character" w:customStyle="1" w:styleId="60">
    <w:name w:val="正文文本缩进 字符"/>
    <w:qFormat/>
    <w:uiPriority w:val="0"/>
    <w:rPr>
      <w:rFonts w:ascii="Times New Roman" w:hAnsi="Times New Roman" w:eastAsia="宋体" w:cs="Times New Roman"/>
      <w:kern w:val="0"/>
      <w:sz w:val="28"/>
      <w:szCs w:val="20"/>
    </w:rPr>
  </w:style>
  <w:style w:type="character" w:customStyle="1" w:styleId="61">
    <w:name w:val="**图题格式 Char Char"/>
    <w:link w:val="62"/>
    <w:qFormat/>
    <w:uiPriority w:val="0"/>
    <w:rPr>
      <w:rFonts w:eastAsia="仿宋_GB2312"/>
      <w:b/>
      <w:kern w:val="2"/>
      <w:sz w:val="24"/>
      <w:szCs w:val="24"/>
    </w:rPr>
  </w:style>
  <w:style w:type="paragraph" w:customStyle="1" w:styleId="62">
    <w:name w:val="**图题格式"/>
    <w:basedOn w:val="1"/>
    <w:link w:val="61"/>
    <w:uiPriority w:val="0"/>
    <w:pPr>
      <w:jc w:val="center"/>
    </w:pPr>
    <w:rPr>
      <w:rFonts w:eastAsia="仿宋_GB2312"/>
      <w:b/>
      <w:sz w:val="24"/>
    </w:rPr>
  </w:style>
  <w:style w:type="character" w:customStyle="1" w:styleId="63">
    <w:name w:val="black1"/>
    <w:uiPriority w:val="0"/>
    <w:rPr>
      <w:b/>
      <w:bCs/>
      <w:color w:val="000000"/>
      <w:sz w:val="36"/>
      <w:szCs w:val="36"/>
      <w:u w:val="none"/>
    </w:rPr>
  </w:style>
  <w:style w:type="character" w:customStyle="1" w:styleId="64">
    <w:name w:val="f241"/>
    <w:qFormat/>
    <w:uiPriority w:val="0"/>
    <w:rPr>
      <w:sz w:val="36"/>
      <w:szCs w:val="36"/>
    </w:rPr>
  </w:style>
  <w:style w:type="character" w:customStyle="1" w:styleId="65">
    <w:name w:val="表格1 Char"/>
    <w:link w:val="66"/>
    <w:qFormat/>
    <w:uiPriority w:val="0"/>
    <w:rPr>
      <w:kern w:val="2"/>
      <w:sz w:val="21"/>
    </w:rPr>
  </w:style>
  <w:style w:type="paragraph" w:customStyle="1" w:styleId="66">
    <w:name w:val="表格1"/>
    <w:basedOn w:val="7"/>
    <w:next w:val="7"/>
    <w:link w:val="65"/>
    <w:uiPriority w:val="0"/>
    <w:pPr>
      <w:adjustRightInd w:val="0"/>
      <w:snapToGrid w:val="0"/>
      <w:spacing w:line="340" w:lineRule="exact"/>
      <w:ind w:firstLine="0" w:firstLineChars="0"/>
      <w:jc w:val="center"/>
    </w:pPr>
    <w:rPr>
      <w:szCs w:val="20"/>
    </w:rPr>
  </w:style>
  <w:style w:type="character" w:customStyle="1" w:styleId="67">
    <w:name w:val="上标样式"/>
    <w:uiPriority w:val="0"/>
    <w:rPr>
      <w:rFonts w:ascii="宋体" w:eastAsia="宋体"/>
      <w:b/>
      <w:sz w:val="21"/>
      <w:szCs w:val="21"/>
      <w:vertAlign w:val="superscript"/>
    </w:rPr>
  </w:style>
  <w:style w:type="character" w:customStyle="1" w:styleId="68">
    <w:name w:val="标题 2 Char"/>
    <w:qFormat/>
    <w:uiPriority w:val="0"/>
    <w:rPr>
      <w:rFonts w:ascii="Times New Roman" w:hAnsi="Times New Roman" w:eastAsia="宋体" w:cs="Times New Roman"/>
      <w:sz w:val="25"/>
      <w:szCs w:val="20"/>
    </w:rPr>
  </w:style>
  <w:style w:type="character" w:customStyle="1" w:styleId="69">
    <w:name w:val="批注主题 字符"/>
    <w:semiHidden/>
    <w:qFormat/>
    <w:uiPriority w:val="0"/>
    <w:rPr>
      <w:rFonts w:ascii="Times New Roman" w:hAnsi="Times New Roman"/>
      <w:b/>
      <w:bCs/>
      <w:kern w:val="2"/>
      <w:sz w:val="21"/>
    </w:rPr>
  </w:style>
  <w:style w:type="character" w:customStyle="1" w:styleId="70">
    <w:name w:val="标题 3 字符"/>
    <w:uiPriority w:val="0"/>
    <w:rPr>
      <w:rFonts w:ascii="Times New Roman" w:hAnsi="Times New Roman" w:eastAsia="楷体_GB2312" w:cs="Times New Roman"/>
      <w:sz w:val="28"/>
      <w:szCs w:val="20"/>
    </w:rPr>
  </w:style>
  <w:style w:type="character" w:customStyle="1" w:styleId="71">
    <w:name w:val="超链接1"/>
    <w:uiPriority w:val="0"/>
    <w:rPr>
      <w:color w:val="auto"/>
      <w:sz w:val="18"/>
      <w:u w:val="none"/>
    </w:rPr>
  </w:style>
  <w:style w:type="character" w:customStyle="1" w:styleId="72">
    <w:name w:val="样式4 Char"/>
    <w:qFormat/>
    <w:locked/>
    <w:uiPriority w:val="0"/>
    <w:rPr>
      <w:rFonts w:ascii="黑体" w:hAnsi="宋体" w:eastAsia="黑体"/>
      <w:color w:val="FF00FF"/>
      <w:kern w:val="2"/>
      <w:sz w:val="28"/>
      <w:szCs w:val="28"/>
      <w:lang w:val="en-US" w:eastAsia="zh-CN" w:bidi="ar-SA"/>
    </w:rPr>
  </w:style>
  <w:style w:type="character" w:customStyle="1" w:styleId="73">
    <w:name w:val="正文1 Char"/>
    <w:link w:val="74"/>
    <w:qFormat/>
    <w:uiPriority w:val="0"/>
    <w:rPr>
      <w:rFonts w:ascii="Calibri" w:hAnsi="Calibri"/>
      <w:kern w:val="2"/>
      <w:sz w:val="24"/>
    </w:rPr>
  </w:style>
  <w:style w:type="paragraph" w:customStyle="1" w:styleId="74">
    <w:name w:val="正文1"/>
    <w:basedOn w:val="1"/>
    <w:link w:val="73"/>
    <w:qFormat/>
    <w:uiPriority w:val="0"/>
    <w:pPr>
      <w:adjustRightInd w:val="0"/>
      <w:snapToGrid w:val="0"/>
      <w:spacing w:line="480" w:lineRule="exact"/>
      <w:ind w:firstLine="200" w:firstLineChars="200"/>
    </w:pPr>
    <w:rPr>
      <w:rFonts w:ascii="Calibri" w:hAnsi="Calibri"/>
      <w:sz w:val="24"/>
      <w:szCs w:val="20"/>
    </w:rPr>
  </w:style>
  <w:style w:type="character" w:customStyle="1" w:styleId="75">
    <w:name w:val="正文缩进 Char"/>
    <w:locked/>
    <w:uiPriority w:val="0"/>
    <w:rPr>
      <w:rFonts w:ascii="Times New Roman" w:hAnsi="Times New Roman"/>
      <w:kern w:val="2"/>
      <w:sz w:val="21"/>
      <w:szCs w:val="24"/>
    </w:rPr>
  </w:style>
  <w:style w:type="character" w:customStyle="1" w:styleId="76">
    <w:name w:val="font11"/>
    <w:qFormat/>
    <w:uiPriority w:val="0"/>
    <w:rPr>
      <w:rFonts w:hint="eastAsia" w:ascii="宋体" w:hAnsi="宋体" w:eastAsia="宋体"/>
      <w:color w:val="000000"/>
      <w:sz w:val="22"/>
      <w:szCs w:val="22"/>
      <w:u w:val="none"/>
    </w:rPr>
  </w:style>
  <w:style w:type="character" w:customStyle="1" w:styleId="77">
    <w:name w:val="tpc_content1"/>
    <w:qFormat/>
    <w:uiPriority w:val="0"/>
    <w:rPr>
      <w:sz w:val="18"/>
      <w:szCs w:val="18"/>
    </w:rPr>
  </w:style>
  <w:style w:type="character" w:customStyle="1" w:styleId="78">
    <w:name w:val="apple-style-span"/>
    <w:uiPriority w:val="0"/>
  </w:style>
  <w:style w:type="character" w:customStyle="1" w:styleId="79">
    <w:name w:val="正文缩进 Char1"/>
    <w:uiPriority w:val="0"/>
    <w:rPr>
      <w:rFonts w:eastAsia="宋体"/>
      <w:kern w:val="2"/>
      <w:sz w:val="24"/>
      <w:lang w:val="en-US" w:eastAsia="zh-CN" w:bidi="ar-SA"/>
    </w:rPr>
  </w:style>
  <w:style w:type="character" w:customStyle="1" w:styleId="80">
    <w:name w:val="样式7 Char"/>
    <w:link w:val="81"/>
    <w:qFormat/>
    <w:uiPriority w:val="0"/>
    <w:rPr>
      <w:b/>
      <w:bCs/>
      <w:kern w:val="2"/>
      <w:sz w:val="28"/>
      <w:szCs w:val="28"/>
      <w:lang w:val="en-US" w:eastAsia="zh-CN"/>
    </w:rPr>
  </w:style>
  <w:style w:type="paragraph" w:customStyle="1" w:styleId="81">
    <w:name w:val="样式7"/>
    <w:basedOn w:val="23"/>
    <w:link w:val="80"/>
    <w:qFormat/>
    <w:uiPriority w:val="0"/>
    <w:pPr>
      <w:spacing w:line="360" w:lineRule="auto"/>
      <w:ind w:left="560" w:leftChars="100" w:right="100" w:rightChars="100"/>
      <w:jc w:val="left"/>
    </w:pPr>
    <w:rPr>
      <w:b/>
      <w:bCs/>
      <w:sz w:val="28"/>
      <w:szCs w:val="28"/>
    </w:rPr>
  </w:style>
  <w:style w:type="character" w:customStyle="1" w:styleId="82">
    <w:name w:val="批注框文本 字符"/>
    <w:semiHidden/>
    <w:uiPriority w:val="0"/>
    <w:rPr>
      <w:rFonts w:ascii="Times New Roman" w:hAnsi="Times New Roman" w:eastAsia="宋体" w:cs="Times New Roman"/>
      <w:sz w:val="18"/>
      <w:szCs w:val="18"/>
    </w:rPr>
  </w:style>
  <w:style w:type="character" w:customStyle="1" w:styleId="83">
    <w:name w:val="样式5 Char1"/>
    <w:locked/>
    <w:uiPriority w:val="0"/>
    <w:rPr>
      <w:rFonts w:ascii="宋体" w:hAnsi="宋体" w:eastAsia="宋体" w:cs="宋体"/>
      <w:bCs/>
      <w:color w:val="FF0000"/>
      <w:kern w:val="2"/>
      <w:sz w:val="24"/>
      <w:szCs w:val="24"/>
      <w:lang w:val="en-US" w:eastAsia="zh-CN" w:bidi="ar-SA"/>
    </w:rPr>
  </w:style>
  <w:style w:type="character" w:customStyle="1" w:styleId="84">
    <w:name w:val="fontstyle01"/>
    <w:qFormat/>
    <w:uiPriority w:val="0"/>
    <w:rPr>
      <w:rFonts w:hint="eastAsia" w:ascii="宋体" w:hAnsi="宋体" w:eastAsia="宋体"/>
      <w:color w:val="000000"/>
      <w:sz w:val="24"/>
      <w:szCs w:val="24"/>
    </w:rPr>
  </w:style>
  <w:style w:type="character" w:customStyle="1" w:styleId="85">
    <w:name w:val="**表格文字 Char"/>
    <w:link w:val="86"/>
    <w:qFormat/>
    <w:uiPriority w:val="0"/>
    <w:rPr>
      <w:rFonts w:eastAsia="仿宋_GB2312"/>
      <w:kern w:val="2"/>
      <w:sz w:val="24"/>
      <w:szCs w:val="24"/>
    </w:rPr>
  </w:style>
  <w:style w:type="paragraph" w:customStyle="1" w:styleId="86">
    <w:name w:val="**表格文字"/>
    <w:basedOn w:val="1"/>
    <w:link w:val="85"/>
    <w:qFormat/>
    <w:uiPriority w:val="0"/>
    <w:pPr>
      <w:adjustRightInd w:val="0"/>
      <w:spacing w:line="160" w:lineRule="atLeast"/>
      <w:jc w:val="center"/>
      <w:outlineLvl w:val="8"/>
    </w:pPr>
    <w:rPr>
      <w:rFonts w:eastAsia="仿宋_GB2312"/>
      <w:sz w:val="24"/>
    </w:rPr>
  </w:style>
  <w:style w:type="character" w:customStyle="1" w:styleId="87">
    <w:name w:val="纯文本 Char"/>
    <w:uiPriority w:val="0"/>
    <w:rPr>
      <w:rFonts w:ascii="宋体" w:hAnsi="Courier New"/>
      <w:kern w:val="2"/>
      <w:sz w:val="21"/>
    </w:rPr>
  </w:style>
  <w:style w:type="character" w:customStyle="1" w:styleId="88">
    <w:name w:val="SSEC正文 20150323 Char"/>
    <w:link w:val="89"/>
    <w:qFormat/>
    <w:locked/>
    <w:uiPriority w:val="0"/>
    <w:rPr>
      <w:rFonts w:ascii="宋体" w:hAnsi="宋体"/>
      <w:kern w:val="2"/>
      <w:sz w:val="24"/>
      <w:szCs w:val="24"/>
    </w:rPr>
  </w:style>
  <w:style w:type="paragraph" w:customStyle="1" w:styleId="89">
    <w:name w:val="SSEC正文 20150323"/>
    <w:link w:val="88"/>
    <w:qFormat/>
    <w:uiPriority w:val="0"/>
    <w:pPr>
      <w:adjustRightInd w:val="0"/>
      <w:snapToGrid w:val="0"/>
      <w:spacing w:line="328" w:lineRule="auto"/>
      <w:ind w:firstLine="200" w:firstLineChars="200"/>
      <w:jc w:val="both"/>
    </w:pPr>
    <w:rPr>
      <w:rFonts w:ascii="宋体" w:hAnsi="宋体" w:eastAsia="宋体" w:cs="Times New Roman"/>
      <w:kern w:val="2"/>
      <w:sz w:val="24"/>
      <w:szCs w:val="24"/>
      <w:lang w:val="en-US" w:eastAsia="zh-CN" w:bidi="ar-SA"/>
    </w:rPr>
  </w:style>
  <w:style w:type="character" w:customStyle="1" w:styleId="90">
    <w:name w:val="pv110title"/>
    <w:qFormat/>
    <w:uiPriority w:val="0"/>
  </w:style>
  <w:style w:type="character" w:customStyle="1" w:styleId="91">
    <w:name w:val="标题 Char"/>
    <w:uiPriority w:val="0"/>
    <w:rPr>
      <w:rFonts w:ascii="Cambria" w:hAnsi="Cambria"/>
      <w:b/>
      <w:bCs/>
      <w:color w:val="000000"/>
      <w:kern w:val="2"/>
      <w:sz w:val="32"/>
      <w:szCs w:val="32"/>
    </w:rPr>
  </w:style>
  <w:style w:type="character" w:customStyle="1" w:styleId="92">
    <w:name w:val="链接"/>
    <w:qFormat/>
    <w:uiPriority w:val="0"/>
    <w:rPr>
      <w:color w:val="0000FF"/>
      <w:u w:val="single" w:color="0000FF"/>
    </w:rPr>
  </w:style>
  <w:style w:type="character" w:customStyle="1" w:styleId="93">
    <w:name w:val="批注文字 字符"/>
    <w:semiHidden/>
    <w:qFormat/>
    <w:uiPriority w:val="0"/>
    <w:rPr>
      <w:rFonts w:ascii="Times New Roman" w:hAnsi="Times New Roman"/>
      <w:kern w:val="2"/>
      <w:sz w:val="21"/>
    </w:rPr>
  </w:style>
  <w:style w:type="character" w:customStyle="1" w:styleId="94">
    <w:name w:val="正文文本 2 Char"/>
    <w:qFormat/>
    <w:uiPriority w:val="0"/>
    <w:rPr>
      <w:rFonts w:ascii="Times New Roman" w:hAnsi="Times New Roman" w:eastAsia="楷体_GB2312" w:cs="Times New Roman"/>
      <w:sz w:val="28"/>
      <w:szCs w:val="20"/>
    </w:rPr>
  </w:style>
  <w:style w:type="character" w:customStyle="1" w:styleId="95">
    <w:name w:val="标题1"/>
    <w:uiPriority w:val="0"/>
  </w:style>
  <w:style w:type="character" w:customStyle="1" w:styleId="96">
    <w:name w:val="apple-converted-space"/>
    <w:qFormat/>
    <w:uiPriority w:val="0"/>
  </w:style>
  <w:style w:type="character" w:customStyle="1" w:styleId="97">
    <w:name w:val="报告书正文 Char"/>
    <w:link w:val="98"/>
    <w:qFormat/>
    <w:uiPriority w:val="0"/>
    <w:rPr>
      <w:rFonts w:ascii="Arial" w:hAnsi="Arial"/>
      <w:sz w:val="24"/>
      <w:szCs w:val="24"/>
    </w:rPr>
  </w:style>
  <w:style w:type="paragraph" w:customStyle="1" w:styleId="98">
    <w:name w:val="报告书正文"/>
    <w:basedOn w:val="1"/>
    <w:link w:val="97"/>
    <w:uiPriority w:val="0"/>
    <w:pPr>
      <w:adjustRightInd w:val="0"/>
      <w:snapToGrid w:val="0"/>
      <w:spacing w:line="360" w:lineRule="auto"/>
      <w:ind w:firstLine="425"/>
      <w:textAlignment w:val="baseline"/>
    </w:pPr>
    <w:rPr>
      <w:rFonts w:ascii="Arial" w:hAnsi="Arial"/>
      <w:kern w:val="0"/>
      <w:sz w:val="24"/>
    </w:rPr>
  </w:style>
  <w:style w:type="character" w:customStyle="1" w:styleId="99">
    <w:name w:val="Char Char5"/>
    <w:uiPriority w:val="0"/>
    <w:rPr>
      <w:rFonts w:eastAsia="宋体"/>
      <w:kern w:val="2"/>
      <w:sz w:val="21"/>
      <w:lang w:val="en-US" w:eastAsia="zh-CN" w:bidi="ar-SA"/>
    </w:rPr>
  </w:style>
  <w:style w:type="character" w:customStyle="1" w:styleId="100">
    <w:name w:val="已访问的超链接1"/>
    <w:qFormat/>
    <w:uiPriority w:val="0"/>
    <w:rPr>
      <w:color w:val="800080"/>
      <w:u w:val="single"/>
    </w:rPr>
  </w:style>
  <w:style w:type="character" w:customStyle="1" w:styleId="101">
    <w:name w:val="hei141"/>
    <w:qFormat/>
    <w:uiPriority w:val="0"/>
    <w:rPr>
      <w:color w:val="000000"/>
      <w:sz w:val="21"/>
      <w:szCs w:val="21"/>
    </w:rPr>
  </w:style>
  <w:style w:type="character" w:customStyle="1" w:styleId="102">
    <w:name w:val="要点1"/>
    <w:uiPriority w:val="0"/>
    <w:rPr>
      <w:b/>
    </w:rPr>
  </w:style>
  <w:style w:type="character" w:customStyle="1" w:styleId="103">
    <w:name w:val="正文01 Char1"/>
    <w:link w:val="104"/>
    <w:locked/>
    <w:uiPriority w:val="0"/>
    <w:rPr>
      <w:bCs/>
      <w:sz w:val="24"/>
      <w:szCs w:val="24"/>
    </w:rPr>
  </w:style>
  <w:style w:type="paragraph" w:customStyle="1" w:styleId="104">
    <w:name w:val="正文01"/>
    <w:basedOn w:val="3"/>
    <w:link w:val="103"/>
    <w:qFormat/>
    <w:uiPriority w:val="0"/>
    <w:pPr>
      <w:keepNext w:val="0"/>
      <w:tabs>
        <w:tab w:val="left" w:pos="576"/>
      </w:tabs>
      <w:spacing w:beforeLines="50" w:line="460" w:lineRule="exact"/>
      <w:ind w:firstLine="200" w:firstLineChars="200"/>
      <w:outlineLvl w:val="9"/>
    </w:pPr>
    <w:rPr>
      <w:bCs/>
      <w:sz w:val="24"/>
      <w:szCs w:val="24"/>
    </w:rPr>
  </w:style>
  <w:style w:type="character" w:customStyle="1" w:styleId="105">
    <w:name w:val="样式 正文 首行缩进:  2 字符 SL CON + 首行缩进:  2 字符 Char Char"/>
    <w:link w:val="106"/>
    <w:locked/>
    <w:uiPriority w:val="0"/>
    <w:rPr>
      <w:rFonts w:ascii="宋体" w:hAnsi="宋体" w:cs="宋体"/>
      <w:sz w:val="28"/>
    </w:rPr>
  </w:style>
  <w:style w:type="paragraph" w:customStyle="1" w:styleId="106">
    <w:name w:val="样式 正文 首行缩进:  2 字符 SL CON + 首行缩进:  2 字符"/>
    <w:basedOn w:val="1"/>
    <w:link w:val="105"/>
    <w:qFormat/>
    <w:uiPriority w:val="0"/>
    <w:pPr>
      <w:widowControl/>
      <w:tabs>
        <w:tab w:val="left" w:pos="377"/>
      </w:tabs>
      <w:spacing w:line="360" w:lineRule="auto"/>
      <w:ind w:firstLine="200" w:firstLineChars="200"/>
    </w:pPr>
    <w:rPr>
      <w:rFonts w:ascii="宋体" w:hAnsi="宋体" w:cs="宋体"/>
      <w:kern w:val="0"/>
      <w:sz w:val="28"/>
      <w:szCs w:val="20"/>
    </w:rPr>
  </w:style>
  <w:style w:type="character" w:customStyle="1" w:styleId="107">
    <w:name w:val="SSEC 正文 字符"/>
    <w:link w:val="108"/>
    <w:qFormat/>
    <w:locked/>
    <w:uiPriority w:val="0"/>
    <w:rPr>
      <w:rFonts w:ascii="宋体" w:hAnsi="宋体"/>
      <w:kern w:val="2"/>
      <w:sz w:val="24"/>
      <w:szCs w:val="24"/>
    </w:rPr>
  </w:style>
  <w:style w:type="paragraph" w:customStyle="1" w:styleId="108">
    <w:name w:val="SSEC 正文"/>
    <w:link w:val="107"/>
    <w:qFormat/>
    <w:uiPriority w:val="0"/>
    <w:pPr>
      <w:widowControl w:val="0"/>
      <w:adjustRightInd w:val="0"/>
      <w:snapToGrid w:val="0"/>
      <w:spacing w:line="328" w:lineRule="auto"/>
      <w:ind w:firstLine="200" w:firstLineChars="200"/>
      <w:jc w:val="both"/>
    </w:pPr>
    <w:rPr>
      <w:rFonts w:ascii="宋体" w:hAnsi="宋体" w:eastAsia="宋体" w:cs="Times New Roman"/>
      <w:kern w:val="2"/>
      <w:sz w:val="24"/>
      <w:szCs w:val="24"/>
      <w:lang w:val="en-US" w:eastAsia="zh-CN" w:bidi="ar-SA"/>
    </w:rPr>
  </w:style>
  <w:style w:type="character" w:customStyle="1" w:styleId="109">
    <w:name w:val="样式2 Char"/>
    <w:link w:val="110"/>
    <w:uiPriority w:val="0"/>
    <w:rPr>
      <w:rFonts w:ascii="Arial" w:hAnsi="Arial"/>
      <w:kern w:val="2"/>
      <w:sz w:val="24"/>
      <w:szCs w:val="24"/>
    </w:rPr>
  </w:style>
  <w:style w:type="paragraph" w:customStyle="1" w:styleId="110">
    <w:name w:val="样式2"/>
    <w:basedOn w:val="1"/>
    <w:link w:val="109"/>
    <w:qFormat/>
    <w:uiPriority w:val="0"/>
    <w:pPr>
      <w:spacing w:line="440" w:lineRule="exact"/>
      <w:ind w:firstLine="454"/>
    </w:pPr>
    <w:rPr>
      <w:rFonts w:ascii="Arial" w:hAnsi="Arial"/>
      <w:sz w:val="24"/>
    </w:rPr>
  </w:style>
  <w:style w:type="character" w:customStyle="1" w:styleId="111">
    <w:name w:val="页脚 字符"/>
    <w:qFormat/>
    <w:uiPriority w:val="99"/>
    <w:rPr>
      <w:sz w:val="18"/>
      <w:szCs w:val="18"/>
    </w:rPr>
  </w:style>
  <w:style w:type="character" w:customStyle="1" w:styleId="112">
    <w:name w:val="1 表格样式 Char"/>
    <w:link w:val="113"/>
    <w:uiPriority w:val="0"/>
    <w:rPr>
      <w:color w:val="000000"/>
      <w:kern w:val="2"/>
      <w:sz w:val="24"/>
      <w:szCs w:val="22"/>
    </w:rPr>
  </w:style>
  <w:style w:type="paragraph" w:customStyle="1" w:styleId="113">
    <w:name w:val="1 表格样式"/>
    <w:basedOn w:val="1"/>
    <w:link w:val="112"/>
    <w:qFormat/>
    <w:uiPriority w:val="0"/>
    <w:pPr>
      <w:widowControl/>
      <w:spacing w:beforeLines="50"/>
      <w:jc w:val="center"/>
    </w:pPr>
    <w:rPr>
      <w:color w:val="000000"/>
      <w:sz w:val="24"/>
      <w:szCs w:val="22"/>
    </w:rPr>
  </w:style>
  <w:style w:type="character" w:customStyle="1" w:styleId="114">
    <w:name w:val="a正文 Char"/>
    <w:link w:val="115"/>
    <w:qFormat/>
    <w:uiPriority w:val="0"/>
    <w:rPr>
      <w:snapToGrid/>
      <w:spacing w:val="5"/>
      <w:sz w:val="24"/>
      <w:szCs w:val="25"/>
    </w:rPr>
  </w:style>
  <w:style w:type="paragraph" w:customStyle="1" w:styleId="115">
    <w:name w:val="a正文"/>
    <w:link w:val="114"/>
    <w:qFormat/>
    <w:uiPriority w:val="0"/>
    <w:pPr>
      <w:spacing w:line="360" w:lineRule="auto"/>
      <w:ind w:firstLine="500" w:firstLineChars="200"/>
      <w:jc w:val="both"/>
    </w:pPr>
    <w:rPr>
      <w:rFonts w:ascii="Times New Roman" w:hAnsi="Times New Roman" w:eastAsia="宋体" w:cs="Times New Roman"/>
      <w:snapToGrid w:val="0"/>
      <w:spacing w:val="5"/>
      <w:sz w:val="24"/>
      <w:szCs w:val="25"/>
      <w:lang w:val="en-US" w:eastAsia="zh-CN" w:bidi="ar-SA"/>
    </w:rPr>
  </w:style>
  <w:style w:type="character" w:customStyle="1" w:styleId="116">
    <w:name w:val="样式 小四 加粗"/>
    <w:uiPriority w:val="0"/>
    <w:rPr>
      <w:b/>
      <w:bCs/>
      <w:sz w:val="24"/>
    </w:rPr>
  </w:style>
  <w:style w:type="character" w:customStyle="1" w:styleId="117">
    <w:name w:val="正文首行缩进 Char"/>
    <w:qFormat/>
    <w:uiPriority w:val="99"/>
    <w:rPr>
      <w:rFonts w:ascii="Times New Roman" w:hAnsi="Times New Roman" w:eastAsia="宋体" w:cs="Times New Roman"/>
      <w:kern w:val="2"/>
      <w:sz w:val="21"/>
      <w:szCs w:val="24"/>
    </w:rPr>
  </w:style>
  <w:style w:type="character" w:customStyle="1" w:styleId="118">
    <w:name w:val="样式1 Char Char"/>
    <w:link w:val="119"/>
    <w:qFormat/>
    <w:uiPriority w:val="0"/>
    <w:rPr>
      <w:sz w:val="24"/>
    </w:rPr>
  </w:style>
  <w:style w:type="paragraph" w:customStyle="1" w:styleId="119">
    <w:name w:val="样式1"/>
    <w:basedOn w:val="2"/>
    <w:next w:val="13"/>
    <w:link w:val="118"/>
    <w:qFormat/>
    <w:uiPriority w:val="0"/>
    <w:pPr>
      <w:overflowPunct/>
      <w:snapToGrid/>
      <w:spacing w:before="0" w:after="0" w:line="240" w:lineRule="auto"/>
      <w:ind w:left="0" w:firstLine="200" w:firstLineChars="200"/>
      <w:jc w:val="left"/>
      <w:outlineLvl w:val="9"/>
    </w:pPr>
    <w:rPr>
      <w:rFonts w:eastAsia="宋体"/>
      <w:b w:val="0"/>
      <w:bCs w:val="0"/>
      <w:color w:val="auto"/>
      <w:kern w:val="0"/>
      <w:sz w:val="24"/>
      <w:szCs w:val="20"/>
    </w:rPr>
  </w:style>
  <w:style w:type="character" w:customStyle="1" w:styleId="120">
    <w:name w:val="正文文本 字符"/>
    <w:qFormat/>
    <w:uiPriority w:val="0"/>
    <w:rPr>
      <w:rFonts w:ascii="Times New Roman" w:hAnsi="Times New Roman" w:eastAsia="宋体" w:cs="Times New Roman"/>
      <w:szCs w:val="24"/>
    </w:rPr>
  </w:style>
  <w:style w:type="character" w:customStyle="1" w:styleId="121">
    <w:name w:val="提头 Char"/>
    <w:link w:val="122"/>
    <w:uiPriority w:val="0"/>
    <w:rPr>
      <w:b/>
      <w:kern w:val="2"/>
      <w:sz w:val="24"/>
      <w:szCs w:val="24"/>
    </w:rPr>
  </w:style>
  <w:style w:type="paragraph" w:customStyle="1" w:styleId="122">
    <w:name w:val="提头"/>
    <w:basedOn w:val="1"/>
    <w:next w:val="1"/>
    <w:link w:val="121"/>
    <w:qFormat/>
    <w:uiPriority w:val="0"/>
    <w:pPr>
      <w:tabs>
        <w:tab w:val="left" w:pos="227"/>
      </w:tabs>
      <w:spacing w:beforeLines="20" w:line="360" w:lineRule="auto"/>
      <w:jc w:val="center"/>
    </w:pPr>
    <w:rPr>
      <w:b/>
      <w:sz w:val="24"/>
    </w:rPr>
  </w:style>
  <w:style w:type="character" w:customStyle="1" w:styleId="123">
    <w:name w:val="自定义正文 Char"/>
    <w:link w:val="124"/>
    <w:qFormat/>
    <w:locked/>
    <w:uiPriority w:val="0"/>
    <w:rPr>
      <w:rFonts w:ascii="宋体" w:hAnsi="宋体"/>
      <w:sz w:val="28"/>
      <w:szCs w:val="21"/>
    </w:rPr>
  </w:style>
  <w:style w:type="paragraph" w:customStyle="1" w:styleId="124">
    <w:name w:val="自定义正文"/>
    <w:basedOn w:val="7"/>
    <w:link w:val="123"/>
    <w:qFormat/>
    <w:uiPriority w:val="0"/>
    <w:pPr>
      <w:adjustRightInd w:val="0"/>
      <w:spacing w:line="360" w:lineRule="auto"/>
      <w:ind w:firstLine="200"/>
    </w:pPr>
    <w:rPr>
      <w:rFonts w:ascii="宋体" w:hAnsi="宋体"/>
      <w:kern w:val="0"/>
      <w:sz w:val="28"/>
      <w:szCs w:val="21"/>
    </w:rPr>
  </w:style>
  <w:style w:type="character" w:customStyle="1" w:styleId="125">
    <w:name w:val="文档结构图 Char"/>
    <w:uiPriority w:val="0"/>
    <w:rPr>
      <w:rFonts w:ascii="Times New Roman" w:hAnsi="Times New Roman" w:eastAsia="宋体" w:cs="Times New Roman"/>
      <w:szCs w:val="20"/>
      <w:shd w:val="clear" w:color="auto" w:fill="000080"/>
    </w:rPr>
  </w:style>
  <w:style w:type="character" w:customStyle="1" w:styleId="126">
    <w:name w:val="正文文本 字符1"/>
    <w:semiHidden/>
    <w:qFormat/>
    <w:uiPriority w:val="0"/>
    <w:rPr>
      <w:rFonts w:ascii="Times New Roman" w:hAnsi="Times New Roman" w:eastAsia="宋体" w:cs="Times New Roman"/>
      <w:sz w:val="24"/>
      <w:szCs w:val="24"/>
    </w:rPr>
  </w:style>
  <w:style w:type="character" w:customStyle="1" w:styleId="127">
    <w:name w:val="样式 报告正文 + 首行缩进:  2 字符 Char Char"/>
    <w:link w:val="128"/>
    <w:qFormat/>
    <w:uiPriority w:val="0"/>
    <w:rPr>
      <w:rFonts w:cs="宋体"/>
      <w:snapToGrid/>
      <w:sz w:val="24"/>
    </w:rPr>
  </w:style>
  <w:style w:type="paragraph" w:customStyle="1" w:styleId="128">
    <w:name w:val="样式 报告正文 + 首行缩进:  2 字符"/>
    <w:basedOn w:val="1"/>
    <w:next w:val="1"/>
    <w:link w:val="127"/>
    <w:qFormat/>
    <w:uiPriority w:val="0"/>
    <w:pPr>
      <w:snapToGrid w:val="0"/>
      <w:spacing w:line="360" w:lineRule="auto"/>
      <w:ind w:firstLine="560" w:firstLineChars="200"/>
    </w:pPr>
    <w:rPr>
      <w:rFonts w:cs="宋体"/>
      <w:snapToGrid w:val="0"/>
      <w:kern w:val="0"/>
      <w:sz w:val="24"/>
      <w:szCs w:val="20"/>
    </w:rPr>
  </w:style>
  <w:style w:type="character" w:customStyle="1" w:styleId="129">
    <w:name w:val="样式5 Char2"/>
    <w:locked/>
    <w:uiPriority w:val="0"/>
    <w:rPr>
      <w:rFonts w:ascii="宋体" w:hAnsi="宋体" w:eastAsia="宋体"/>
      <w:kern w:val="2"/>
      <w:sz w:val="24"/>
      <w:szCs w:val="24"/>
      <w:lang w:val="en-US" w:eastAsia="zh-CN" w:bidi="ar-SA"/>
    </w:rPr>
  </w:style>
  <w:style w:type="character" w:customStyle="1" w:styleId="130">
    <w:name w:val="报告表正文 Char"/>
    <w:link w:val="131"/>
    <w:qFormat/>
    <w:uiPriority w:val="0"/>
    <w:rPr>
      <w:kern w:val="2"/>
      <w:sz w:val="24"/>
      <w:szCs w:val="24"/>
    </w:rPr>
  </w:style>
  <w:style w:type="paragraph" w:customStyle="1" w:styleId="131">
    <w:name w:val="报告表正文"/>
    <w:basedOn w:val="17"/>
    <w:link w:val="130"/>
    <w:qFormat/>
    <w:uiPriority w:val="0"/>
    <w:pPr>
      <w:spacing w:after="0" w:line="360" w:lineRule="auto"/>
      <w:ind w:left="0" w:leftChars="0" w:firstLine="200" w:firstLineChars="200"/>
    </w:pPr>
    <w:rPr>
      <w:sz w:val="24"/>
    </w:rPr>
  </w:style>
  <w:style w:type="character" w:customStyle="1" w:styleId="132">
    <w:name w:val="1  表头-苏4 Char"/>
    <w:link w:val="133"/>
    <w:qFormat/>
    <w:uiPriority w:val="0"/>
    <w:rPr>
      <w:b/>
      <w:bCs/>
      <w:kern w:val="32"/>
      <w:sz w:val="24"/>
      <w:szCs w:val="28"/>
    </w:rPr>
  </w:style>
  <w:style w:type="paragraph" w:customStyle="1" w:styleId="133">
    <w:name w:val="1  表头-苏4"/>
    <w:basedOn w:val="1"/>
    <w:next w:val="1"/>
    <w:link w:val="132"/>
    <w:qFormat/>
    <w:uiPriority w:val="0"/>
    <w:pPr>
      <w:widowControl/>
      <w:snapToGrid w:val="0"/>
      <w:ind w:firstLine="482"/>
      <w:jc w:val="center"/>
    </w:pPr>
    <w:rPr>
      <w:b/>
      <w:bCs/>
      <w:kern w:val="32"/>
      <w:sz w:val="24"/>
      <w:szCs w:val="28"/>
    </w:rPr>
  </w:style>
  <w:style w:type="character" w:customStyle="1" w:styleId="134">
    <w:name w:val="2 表头 Char"/>
    <w:link w:val="135"/>
    <w:qFormat/>
    <w:uiPriority w:val="0"/>
    <w:rPr>
      <w:b/>
      <w:color w:val="000000"/>
      <w:kern w:val="2"/>
      <w:sz w:val="24"/>
      <w:szCs w:val="22"/>
    </w:rPr>
  </w:style>
  <w:style w:type="paragraph" w:customStyle="1" w:styleId="135">
    <w:name w:val="2 表头"/>
    <w:basedOn w:val="1"/>
    <w:link w:val="134"/>
    <w:qFormat/>
    <w:uiPriority w:val="0"/>
    <w:pPr>
      <w:widowControl/>
      <w:spacing w:beforeLines="50" w:line="360" w:lineRule="auto"/>
      <w:jc w:val="center"/>
    </w:pPr>
    <w:rPr>
      <w:b/>
      <w:color w:val="000000"/>
      <w:sz w:val="24"/>
      <w:szCs w:val="22"/>
    </w:rPr>
  </w:style>
  <w:style w:type="character" w:customStyle="1" w:styleId="136">
    <w:name w:val="批注文字 字符1"/>
    <w:semiHidden/>
    <w:uiPriority w:val="0"/>
    <w:rPr>
      <w:rFonts w:ascii="Times New Roman" w:hAnsi="Times New Roman" w:eastAsia="宋体" w:cs="Times New Roman"/>
      <w:sz w:val="24"/>
      <w:szCs w:val="24"/>
    </w:rPr>
  </w:style>
  <w:style w:type="character" w:customStyle="1" w:styleId="137">
    <w:name w:val="标题 1 Char"/>
    <w:uiPriority w:val="0"/>
    <w:rPr>
      <w:rFonts w:ascii="Times New Roman" w:hAnsi="Times New Roman" w:eastAsia="楷体_GB2312" w:cs="Times New Roman"/>
      <w:b/>
      <w:sz w:val="28"/>
      <w:szCs w:val="20"/>
    </w:rPr>
  </w:style>
  <w:style w:type="character" w:customStyle="1" w:styleId="138">
    <w:name w:val="ae正文zzzzzzzz Char"/>
    <w:link w:val="139"/>
    <w:qFormat/>
    <w:locked/>
    <w:uiPriority w:val="0"/>
    <w:rPr>
      <w:rFonts w:ascii="宋体" w:hAnsi="宋体" w:cs="宋体"/>
      <w:kern w:val="2"/>
      <w:sz w:val="24"/>
      <w:szCs w:val="24"/>
    </w:rPr>
  </w:style>
  <w:style w:type="paragraph" w:customStyle="1" w:styleId="139">
    <w:name w:val="ae正文zzzzzzzz"/>
    <w:basedOn w:val="1"/>
    <w:link w:val="138"/>
    <w:qFormat/>
    <w:uiPriority w:val="0"/>
    <w:pPr>
      <w:spacing w:line="520" w:lineRule="exact"/>
      <w:ind w:firstLine="200" w:firstLineChars="200"/>
    </w:pPr>
    <w:rPr>
      <w:rFonts w:ascii="宋体" w:hAnsi="宋体" w:cs="宋体"/>
      <w:sz w:val="24"/>
    </w:rPr>
  </w:style>
  <w:style w:type="character" w:customStyle="1" w:styleId="140">
    <w:name w:val="样式5 Char"/>
    <w:link w:val="141"/>
    <w:qFormat/>
    <w:uiPriority w:val="0"/>
    <w:rPr>
      <w:kern w:val="2"/>
      <w:sz w:val="24"/>
      <w:szCs w:val="24"/>
    </w:rPr>
  </w:style>
  <w:style w:type="paragraph" w:customStyle="1" w:styleId="141">
    <w:name w:val="样式5"/>
    <w:basedOn w:val="1"/>
    <w:link w:val="140"/>
    <w:uiPriority w:val="0"/>
    <w:pPr>
      <w:snapToGrid w:val="0"/>
      <w:spacing w:line="360" w:lineRule="auto"/>
      <w:ind w:firstLine="510"/>
    </w:pPr>
    <w:rPr>
      <w:sz w:val="24"/>
    </w:rPr>
  </w:style>
  <w:style w:type="character" w:customStyle="1" w:styleId="142">
    <w:name w:val="样式4 Char1"/>
    <w:link w:val="143"/>
    <w:qFormat/>
    <w:uiPriority w:val="0"/>
    <w:rPr>
      <w:rFonts w:ascii="Arial" w:hAnsi="Arial"/>
      <w:kern w:val="2"/>
      <w:sz w:val="24"/>
    </w:rPr>
  </w:style>
  <w:style w:type="paragraph" w:customStyle="1" w:styleId="143">
    <w:name w:val="样式4"/>
    <w:basedOn w:val="7"/>
    <w:link w:val="142"/>
    <w:qFormat/>
    <w:uiPriority w:val="0"/>
    <w:pPr>
      <w:snapToGrid w:val="0"/>
      <w:spacing w:line="460" w:lineRule="exact"/>
      <w:ind w:firstLine="0" w:firstLineChars="0"/>
    </w:pPr>
    <w:rPr>
      <w:rFonts w:ascii="Arial" w:hAnsi="Arial"/>
      <w:sz w:val="24"/>
      <w:szCs w:val="20"/>
    </w:rPr>
  </w:style>
  <w:style w:type="character" w:customStyle="1" w:styleId="144">
    <w:name w:val="正文文本缩进 3 字符"/>
    <w:qFormat/>
    <w:uiPriority w:val="0"/>
    <w:rPr>
      <w:rFonts w:ascii="Times New Roman" w:hAnsi="Times New Roman" w:eastAsia="宋体" w:cs="Times New Roman"/>
      <w:sz w:val="30"/>
      <w:szCs w:val="20"/>
    </w:rPr>
  </w:style>
  <w:style w:type="character" w:customStyle="1" w:styleId="145">
    <w:name w:val="标题11"/>
    <w:uiPriority w:val="0"/>
  </w:style>
  <w:style w:type="character" w:customStyle="1" w:styleId="146">
    <w:name w:val="普通(网站) 字符"/>
    <w:qFormat/>
    <w:locked/>
    <w:uiPriority w:val="0"/>
    <w:rPr>
      <w:rFonts w:ascii="Times New Roman" w:hAnsi="Times New Roman" w:cs="Times New Roman"/>
      <w:kern w:val="2"/>
      <w:sz w:val="24"/>
      <w:szCs w:val="24"/>
    </w:rPr>
  </w:style>
  <w:style w:type="character" w:customStyle="1" w:styleId="147">
    <w:name w:val="表格正文居中 Char"/>
    <w:link w:val="148"/>
    <w:qFormat/>
    <w:uiPriority w:val="0"/>
    <w:rPr>
      <w:rFonts w:cs="Arial"/>
      <w:kern w:val="2"/>
      <w:sz w:val="24"/>
      <w:szCs w:val="24"/>
    </w:rPr>
  </w:style>
  <w:style w:type="paragraph" w:customStyle="1" w:styleId="148">
    <w:name w:val="表格正文居中"/>
    <w:basedOn w:val="1"/>
    <w:link w:val="147"/>
    <w:uiPriority w:val="0"/>
    <w:pPr>
      <w:adjustRightInd w:val="0"/>
      <w:snapToGrid w:val="0"/>
      <w:spacing w:line="360" w:lineRule="auto"/>
      <w:ind w:firstLine="437" w:firstLineChars="182"/>
    </w:pPr>
    <w:rPr>
      <w:rFonts w:cs="Arial"/>
      <w:sz w:val="24"/>
    </w:rPr>
  </w:style>
  <w:style w:type="character" w:customStyle="1" w:styleId="149">
    <w:name w:val="日期 字符"/>
    <w:uiPriority w:val="0"/>
    <w:rPr>
      <w:rFonts w:ascii="Times New Roman" w:hAnsi="Times New Roman" w:eastAsia="宋体" w:cs="Times New Roman"/>
      <w:sz w:val="24"/>
      <w:szCs w:val="24"/>
    </w:rPr>
  </w:style>
  <w:style w:type="character" w:customStyle="1" w:styleId="150">
    <w:name w:val="表格 Char"/>
    <w:link w:val="151"/>
    <w:qFormat/>
    <w:locked/>
    <w:uiPriority w:val="0"/>
    <w:rPr>
      <w:rFonts w:ascii="宋体"/>
      <w:sz w:val="21"/>
    </w:rPr>
  </w:style>
  <w:style w:type="paragraph" w:customStyle="1" w:styleId="151">
    <w:name w:val="表格"/>
    <w:basedOn w:val="1"/>
    <w:next w:val="1"/>
    <w:link w:val="150"/>
    <w:qFormat/>
    <w:uiPriority w:val="0"/>
    <w:pPr>
      <w:adjustRightInd w:val="0"/>
      <w:snapToGrid w:val="0"/>
      <w:spacing w:beforeLines="10" w:afterLines="10" w:line="259" w:lineRule="auto"/>
      <w:jc w:val="center"/>
    </w:pPr>
    <w:rPr>
      <w:rFonts w:ascii="宋体"/>
      <w:kern w:val="0"/>
      <w:sz w:val="20"/>
      <w:szCs w:val="21"/>
    </w:rPr>
  </w:style>
  <w:style w:type="character" w:customStyle="1" w:styleId="152">
    <w:name w:val="正文文本缩进 2 Char"/>
    <w:qFormat/>
    <w:uiPriority w:val="0"/>
    <w:rPr>
      <w:rFonts w:ascii="Times New Roman" w:hAnsi="Times New Roman" w:eastAsia="楷体_GB2312" w:cs="Times New Roman"/>
      <w:b/>
      <w:sz w:val="28"/>
      <w:szCs w:val="20"/>
    </w:rPr>
  </w:style>
  <w:style w:type="character" w:customStyle="1" w:styleId="153">
    <w:name w:val="普通(网站) Char"/>
    <w:qFormat/>
    <w:locked/>
    <w:uiPriority w:val="0"/>
    <w:rPr>
      <w:rFonts w:ascii="宋体" w:hAnsi="宋体" w:eastAsia="宋体"/>
      <w:sz w:val="24"/>
    </w:rPr>
  </w:style>
  <w:style w:type="character" w:customStyle="1" w:styleId="154">
    <w:name w:val="font21"/>
    <w:qFormat/>
    <w:uiPriority w:val="99"/>
    <w:rPr>
      <w:rFonts w:ascii="仿宋_GB2312" w:eastAsia="仿宋_GB2312" w:cs="仿宋_GB2312"/>
      <w:color w:val="000000"/>
      <w:sz w:val="24"/>
      <w:szCs w:val="24"/>
      <w:u w:val="none"/>
      <w:vertAlign w:val="superscript"/>
    </w:rPr>
  </w:style>
  <w:style w:type="character" w:customStyle="1" w:styleId="155">
    <w:name w:val="正文内容 Char Char"/>
    <w:link w:val="156"/>
    <w:uiPriority w:val="0"/>
    <w:rPr>
      <w:rFonts w:ascii="宋体" w:hAnsi="宋体"/>
      <w:kern w:val="2"/>
      <w:sz w:val="24"/>
    </w:rPr>
  </w:style>
  <w:style w:type="paragraph" w:customStyle="1" w:styleId="156">
    <w:name w:val="正文内容"/>
    <w:basedOn w:val="1"/>
    <w:link w:val="155"/>
    <w:qFormat/>
    <w:uiPriority w:val="0"/>
    <w:pPr>
      <w:spacing w:line="360" w:lineRule="auto"/>
      <w:ind w:firstLine="200" w:firstLineChars="200"/>
      <w:jc w:val="left"/>
    </w:pPr>
    <w:rPr>
      <w:rFonts w:ascii="宋体" w:hAnsi="宋体"/>
      <w:sz w:val="24"/>
      <w:szCs w:val="20"/>
    </w:rPr>
  </w:style>
  <w:style w:type="character" w:customStyle="1" w:styleId="157">
    <w:name w:val="页眉 字符"/>
    <w:semiHidden/>
    <w:qFormat/>
    <w:uiPriority w:val="99"/>
    <w:rPr>
      <w:sz w:val="18"/>
      <w:szCs w:val="18"/>
    </w:rPr>
  </w:style>
  <w:style w:type="character" w:customStyle="1" w:styleId="158">
    <w:name w:val="search_content1"/>
    <w:qFormat/>
    <w:uiPriority w:val="0"/>
    <w:rPr>
      <w:sz w:val="20"/>
      <w:szCs w:val="20"/>
    </w:rPr>
  </w:style>
  <w:style w:type="character" w:customStyle="1" w:styleId="159">
    <w:name w:val="info3"/>
    <w:uiPriority w:val="0"/>
  </w:style>
  <w:style w:type="paragraph" w:customStyle="1" w:styleId="160">
    <w:name w:val="正文文本 21"/>
    <w:basedOn w:val="1"/>
    <w:qFormat/>
    <w:uiPriority w:val="0"/>
    <w:pPr>
      <w:adjustRightInd w:val="0"/>
      <w:spacing w:line="600" w:lineRule="exact"/>
      <w:ind w:firstLine="640"/>
      <w:textAlignment w:val="baseline"/>
    </w:pPr>
    <w:rPr>
      <w:rFonts w:ascii="仿宋_GB2312" w:eastAsia="仿宋_GB2312"/>
      <w:sz w:val="32"/>
      <w:szCs w:val="20"/>
    </w:rPr>
  </w:style>
  <w:style w:type="paragraph" w:customStyle="1" w:styleId="161">
    <w:name w:val="Char11"/>
    <w:basedOn w:val="1"/>
    <w:qFormat/>
    <w:uiPriority w:val="0"/>
    <w:rPr>
      <w:sz w:val="24"/>
    </w:rPr>
  </w:style>
  <w:style w:type="paragraph" w:customStyle="1" w:styleId="162">
    <w:name w:val="默认段落字体 Para Char Char Char Char"/>
    <w:basedOn w:val="1"/>
    <w:uiPriority w:val="0"/>
    <w:pPr>
      <w:adjustRightInd w:val="0"/>
      <w:snapToGrid w:val="0"/>
      <w:spacing w:line="360" w:lineRule="auto"/>
    </w:pPr>
    <w:rPr>
      <w:b/>
      <w:sz w:val="28"/>
      <w:szCs w:val="30"/>
    </w:rPr>
  </w:style>
  <w:style w:type="paragraph" w:customStyle="1" w:styleId="163">
    <w:name w:val="Char Char Char Char Char Char Char Char Char Char Char Char Char Char Char Char Char Char Char"/>
    <w:basedOn w:val="1"/>
    <w:qFormat/>
    <w:uiPriority w:val="0"/>
    <w:rPr>
      <w:sz w:val="24"/>
    </w:rPr>
  </w:style>
  <w:style w:type="paragraph" w:customStyle="1" w:styleId="164">
    <w:name w:val="正文文本缩进 31"/>
    <w:basedOn w:val="1"/>
    <w:qFormat/>
    <w:uiPriority w:val="0"/>
    <w:pPr>
      <w:adjustRightInd w:val="0"/>
      <w:ind w:firstLine="640"/>
      <w:textAlignment w:val="baseline"/>
    </w:pPr>
    <w:rPr>
      <w:rFonts w:ascii="仿宋_GB2312" w:eastAsia="仿宋_GB2312"/>
      <w:color w:val="FF0000"/>
      <w:sz w:val="32"/>
      <w:szCs w:val="20"/>
    </w:rPr>
  </w:style>
  <w:style w:type="paragraph" w:customStyle="1" w:styleId="165">
    <w:name w:val="表格文字"/>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166">
    <w:name w:val="三级标题"/>
    <w:basedOn w:val="1"/>
    <w:qFormat/>
    <w:uiPriority w:val="0"/>
    <w:pPr>
      <w:spacing w:line="360" w:lineRule="auto"/>
    </w:pPr>
    <w:rPr>
      <w:rFonts w:ascii="宋体" w:hAnsi="宋体"/>
      <w:bCs/>
      <w:sz w:val="24"/>
    </w:rPr>
  </w:style>
  <w:style w:type="paragraph" w:customStyle="1" w:styleId="167">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168">
    <w:name w:val="表格标题"/>
    <w:basedOn w:val="1"/>
    <w:qFormat/>
    <w:uiPriority w:val="0"/>
    <w:pPr>
      <w:adjustRightInd w:val="0"/>
      <w:snapToGrid w:val="0"/>
      <w:spacing w:line="480" w:lineRule="exact"/>
      <w:jc w:val="center"/>
    </w:pPr>
    <w:rPr>
      <w:rFonts w:ascii="宋体" w:hAnsi="Calibri"/>
      <w:b/>
      <w:snapToGrid w:val="0"/>
      <w:kern w:val="0"/>
      <w:sz w:val="24"/>
      <w:szCs w:val="20"/>
    </w:rPr>
  </w:style>
  <w:style w:type="paragraph" w:customStyle="1" w:styleId="169">
    <w:name w:val="Char Char Char Char Char Char Char"/>
    <w:basedOn w:val="1"/>
    <w:uiPriority w:val="0"/>
    <w:rPr>
      <w:szCs w:val="21"/>
    </w:rPr>
  </w:style>
  <w:style w:type="paragraph" w:styleId="170">
    <w:name w:val="No Spacing"/>
    <w:qFormat/>
    <w:uiPriority w:val="0"/>
    <w:pPr>
      <w:ind w:firstLine="200" w:firstLineChars="200"/>
    </w:pPr>
    <w:rPr>
      <w:rFonts w:ascii="Times New Roman" w:hAnsi="Times New Roman" w:eastAsia="Times New Roman" w:cs="Times New Roman"/>
      <w:color w:val="000000"/>
      <w:kern w:val="2"/>
      <w:sz w:val="28"/>
      <w:szCs w:val="22"/>
      <w:lang w:val="en-US" w:eastAsia="zh-CN" w:bidi="ar-SA"/>
    </w:rPr>
  </w:style>
  <w:style w:type="paragraph" w:customStyle="1" w:styleId="171">
    <w:name w:val="Default"/>
    <w:qFormat/>
    <w:uiPriority w:val="0"/>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172">
    <w:name w:val="Char Char Char Char Char Char Char1"/>
    <w:basedOn w:val="1"/>
    <w:qFormat/>
    <w:uiPriority w:val="0"/>
    <w:rPr>
      <w:rFonts w:ascii="Calibri" w:hAnsi="Calibri"/>
      <w:szCs w:val="21"/>
    </w:rPr>
  </w:style>
  <w:style w:type="paragraph" w:customStyle="1" w:styleId="173">
    <w:name w:val="Char13"/>
    <w:basedOn w:val="1"/>
    <w:uiPriority w:val="0"/>
  </w:style>
  <w:style w:type="paragraph" w:customStyle="1" w:styleId="174">
    <w:name w:val="0环评正文"/>
    <w:basedOn w:val="1"/>
    <w:qFormat/>
    <w:uiPriority w:val="0"/>
    <w:pPr>
      <w:spacing w:line="480" w:lineRule="exact"/>
      <w:ind w:firstLine="200" w:firstLineChars="200"/>
    </w:pPr>
    <w:rPr>
      <w:rFonts w:ascii="Calibri" w:hAnsi="Calibri"/>
      <w:sz w:val="26"/>
      <w:szCs w:val="22"/>
    </w:rPr>
  </w:style>
  <w:style w:type="paragraph" w:customStyle="1" w:styleId="175">
    <w:name w:val="修订1"/>
    <w:semiHidden/>
    <w:qFormat/>
    <w:uiPriority w:val="99"/>
    <w:rPr>
      <w:rFonts w:ascii="Times New Roman" w:hAnsi="Times New Roman" w:eastAsia="宋体" w:cs="Calibri"/>
      <w:kern w:val="2"/>
      <w:sz w:val="21"/>
      <w:lang w:val="en-US" w:eastAsia="zh-CN" w:bidi="ar-SA"/>
    </w:rPr>
  </w:style>
  <w:style w:type="paragraph" w:customStyle="1" w:styleId="176">
    <w:name w:val="Char Char Char Char Char Char Char Char Char Char1 Char Char Char Char Char Char"/>
    <w:basedOn w:val="1"/>
    <w:uiPriority w:val="0"/>
    <w:rPr>
      <w:rFonts w:ascii="宋体" w:hAnsi="宋体" w:cs="Courier New"/>
      <w:sz w:val="32"/>
      <w:szCs w:val="32"/>
    </w:rPr>
  </w:style>
  <w:style w:type="paragraph" w:customStyle="1" w:styleId="177">
    <w:name w:val="Char Char Char Char Char Char Char Char Char Char"/>
    <w:basedOn w:val="1"/>
    <w:qFormat/>
    <w:uiPriority w:val="0"/>
    <w:pPr>
      <w:spacing w:line="240" w:lineRule="exact"/>
      <w:ind w:firstLine="200" w:firstLineChars="200"/>
    </w:pPr>
    <w:rPr>
      <w:rFonts w:ascii="宋体" w:hAnsi="宋体" w:cs="宋体"/>
      <w:sz w:val="24"/>
    </w:rPr>
  </w:style>
  <w:style w:type="paragraph" w:customStyle="1" w:styleId="178">
    <w:name w:val="Char14"/>
    <w:basedOn w:val="1"/>
    <w:qFormat/>
    <w:uiPriority w:val="0"/>
  </w:style>
  <w:style w:type="paragraph" w:customStyle="1" w:styleId="179">
    <w:name w:val="Char1"/>
    <w:basedOn w:val="1"/>
    <w:qFormat/>
    <w:uiPriority w:val="0"/>
    <w:pPr>
      <w:snapToGrid w:val="0"/>
      <w:spacing w:line="360" w:lineRule="auto"/>
      <w:ind w:firstLine="200" w:firstLineChars="200"/>
    </w:pPr>
    <w:rPr>
      <w:sz w:val="24"/>
    </w:rPr>
  </w:style>
  <w:style w:type="paragraph" w:customStyle="1" w:styleId="180">
    <w:name w:val="WPS Plain"/>
    <w:uiPriority w:val="0"/>
    <w:rPr>
      <w:rFonts w:ascii="Times New Roman" w:hAnsi="Times New Roman" w:eastAsia="宋体" w:cs="Calibri"/>
      <w:lang w:val="en-US" w:eastAsia="zh-CN" w:bidi="ar-SA"/>
    </w:rPr>
  </w:style>
  <w:style w:type="paragraph" w:customStyle="1" w:styleId="181">
    <w:name w:val="a表头zzzzzzzzzzzzzz"/>
    <w:basedOn w:val="1"/>
    <w:next w:val="1"/>
    <w:qFormat/>
    <w:uiPriority w:val="0"/>
    <w:pPr>
      <w:spacing w:before="62" w:after="62" w:line="520" w:lineRule="exact"/>
      <w:ind w:firstLine="200" w:firstLineChars="200"/>
      <w:jc w:val="center"/>
    </w:pPr>
    <w:rPr>
      <w:rFonts w:cs="宋体"/>
      <w:b/>
      <w:bCs/>
      <w:sz w:val="24"/>
    </w:rPr>
  </w:style>
  <w:style w:type="paragraph" w:customStyle="1" w:styleId="182">
    <w:name w:val="文章副标题"/>
    <w:basedOn w:val="1"/>
    <w:next w:val="2"/>
    <w:qFormat/>
    <w:uiPriority w:val="0"/>
    <w:pPr>
      <w:spacing w:before="104" w:after="104" w:line="0" w:lineRule="atLeast"/>
      <w:ind w:left="1"/>
      <w:jc w:val="center"/>
      <w:textAlignment w:val="bottom"/>
    </w:pPr>
    <w:rPr>
      <w:kern w:val="0"/>
      <w:sz w:val="36"/>
      <w:szCs w:val="20"/>
    </w:rPr>
  </w:style>
  <w:style w:type="paragraph" w:customStyle="1" w:styleId="183">
    <w:name w:val="普通(网站)2"/>
    <w:basedOn w:val="1"/>
    <w:uiPriority w:val="0"/>
    <w:pPr>
      <w:widowControl/>
      <w:spacing w:before="100" w:beforeAutospacing="1" w:after="100" w:afterAutospacing="1"/>
      <w:jc w:val="left"/>
    </w:pPr>
    <w:rPr>
      <w:rFonts w:ascii="宋体" w:hAnsi="宋体"/>
      <w:sz w:val="24"/>
      <w:szCs w:val="20"/>
    </w:rPr>
  </w:style>
  <w:style w:type="paragraph" w:customStyle="1" w:styleId="184">
    <w:name w:val="Char"/>
    <w:basedOn w:val="1"/>
    <w:uiPriority w:val="0"/>
    <w:pPr>
      <w:snapToGrid w:val="0"/>
      <w:spacing w:line="360" w:lineRule="auto"/>
      <w:ind w:firstLine="529" w:firstLineChars="200"/>
    </w:pPr>
    <w:rPr>
      <w:rFonts w:ascii="宋体" w:hAnsi="宋体"/>
      <w:b/>
    </w:rPr>
  </w:style>
  <w:style w:type="paragraph" w:customStyle="1" w:styleId="185">
    <w:name w:val="我的表格文字"/>
    <w:basedOn w:val="1"/>
    <w:qFormat/>
    <w:uiPriority w:val="0"/>
    <w:pPr>
      <w:adjustRightInd w:val="0"/>
      <w:snapToGrid w:val="0"/>
      <w:jc w:val="center"/>
      <w:textAlignment w:val="center"/>
    </w:pPr>
    <w:rPr>
      <w:rFonts w:ascii="Calibri" w:hAnsi="宋体" w:cs="宋体"/>
      <w:color w:val="FF0000"/>
      <w:szCs w:val="21"/>
    </w:rPr>
  </w:style>
  <w:style w:type="paragraph" w:customStyle="1" w:styleId="186">
    <w:name w:val="单行表格样式(居中)"/>
    <w:qFormat/>
    <w:uiPriority w:val="0"/>
    <w:pPr>
      <w:jc w:val="center"/>
    </w:pPr>
    <w:rPr>
      <w:rFonts w:ascii="宋体" w:hAnsi="宋体" w:eastAsia="宋体" w:cs="Times New Roman"/>
      <w:kern w:val="2"/>
      <w:sz w:val="21"/>
      <w:szCs w:val="28"/>
      <w:lang w:val="en-US" w:eastAsia="zh-CN" w:bidi="ar-SA"/>
    </w:rPr>
  </w:style>
  <w:style w:type="paragraph" w:customStyle="1" w:styleId="187">
    <w:name w:val="无间隔1"/>
    <w:basedOn w:val="1"/>
    <w:qFormat/>
    <w:uiPriority w:val="0"/>
    <w:pPr>
      <w:widowControl/>
      <w:jc w:val="left"/>
    </w:pPr>
    <w:rPr>
      <w:rFonts w:ascii="Calibri" w:hAnsi="Calibri"/>
      <w:spacing w:val="5"/>
      <w:kern w:val="0"/>
      <w:sz w:val="22"/>
      <w:szCs w:val="22"/>
      <w:lang w:eastAsia="en-US" w:bidi="en-US"/>
    </w:rPr>
  </w:style>
  <w:style w:type="paragraph" w:customStyle="1" w:styleId="188">
    <w:name w:val="样式 小四 首行缩进:  1.01 厘米 行距: 1.5 倍行距"/>
    <w:basedOn w:val="1"/>
    <w:uiPriority w:val="0"/>
    <w:pPr>
      <w:adjustRightInd w:val="0"/>
      <w:snapToGrid w:val="0"/>
      <w:spacing w:line="360" w:lineRule="auto"/>
      <w:ind w:firstLine="200" w:firstLineChars="200"/>
    </w:pPr>
    <w:rPr>
      <w:snapToGrid w:val="0"/>
      <w:kern w:val="24"/>
      <w:sz w:val="24"/>
      <w:szCs w:val="20"/>
    </w:rPr>
  </w:style>
  <w:style w:type="paragraph" w:customStyle="1" w:styleId="189">
    <w:name w:val="Char2 Char Char Char"/>
    <w:basedOn w:val="1"/>
    <w:qFormat/>
    <w:uiPriority w:val="0"/>
    <w:pPr>
      <w:autoSpaceDE w:val="0"/>
      <w:autoSpaceDN w:val="0"/>
      <w:adjustRightInd w:val="0"/>
      <w:snapToGrid w:val="0"/>
      <w:spacing w:before="50" w:after="50" w:line="360" w:lineRule="auto"/>
      <w:ind w:firstLine="560" w:firstLineChars="200"/>
    </w:pPr>
    <w:rPr>
      <w:rFonts w:ascii="宋体" w:hAnsi="宋体" w:eastAsia="仿宋_GB2312"/>
      <w:color w:val="000000"/>
      <w:sz w:val="24"/>
    </w:rPr>
  </w:style>
  <w:style w:type="paragraph" w:customStyle="1" w:styleId="190">
    <w:name w:val="样式 四号 首行缩进:  2 字符"/>
    <w:basedOn w:val="1"/>
    <w:qFormat/>
    <w:uiPriority w:val="0"/>
    <w:pPr>
      <w:spacing w:line="480" w:lineRule="atLeast"/>
      <w:ind w:firstLine="200" w:firstLineChars="200"/>
    </w:pPr>
    <w:rPr>
      <w:sz w:val="24"/>
    </w:rPr>
  </w:style>
  <w:style w:type="paragraph" w:customStyle="1" w:styleId="191">
    <w:name w:val="Char Char Char Char Char Char Char Char Char Char Char Char Char Char Char Char Char Char Char1"/>
    <w:basedOn w:val="1"/>
    <w:uiPriority w:val="0"/>
    <w:pPr>
      <w:adjustRightInd w:val="0"/>
      <w:snapToGrid w:val="0"/>
      <w:spacing w:line="360" w:lineRule="auto"/>
      <w:ind w:firstLine="200" w:firstLineChars="200"/>
      <w:jc w:val="left"/>
    </w:pPr>
    <w:rPr>
      <w:rFonts w:ascii="仿宋_GB2312" w:hAnsi="仿宋_GB2312" w:eastAsia="仿宋_GB2312" w:cs="宋体"/>
      <w:sz w:val="24"/>
    </w:rPr>
  </w:style>
  <w:style w:type="paragraph" w:customStyle="1" w:styleId="192">
    <w:name w:val="_Style 33"/>
    <w:basedOn w:val="1"/>
    <w:qFormat/>
    <w:uiPriority w:val="0"/>
    <w:pPr>
      <w:adjustRightInd w:val="0"/>
      <w:snapToGrid w:val="0"/>
      <w:spacing w:line="360" w:lineRule="auto"/>
      <w:ind w:firstLine="200" w:firstLineChars="200"/>
      <w:jc w:val="left"/>
    </w:pPr>
    <w:rPr>
      <w:rFonts w:ascii="Calibri" w:hAnsi="Calibri"/>
      <w:kern w:val="0"/>
      <w:szCs w:val="20"/>
    </w:rPr>
  </w:style>
  <w:style w:type="paragraph" w:customStyle="1" w:styleId="193">
    <w:name w:val="Revision"/>
    <w:semiHidden/>
    <w:qFormat/>
    <w:uiPriority w:val="99"/>
    <w:rPr>
      <w:rFonts w:ascii="Times New Roman" w:hAnsi="Times New Roman" w:eastAsia="宋体" w:cs="Times New Roman"/>
      <w:kern w:val="2"/>
      <w:sz w:val="21"/>
      <w:lang w:val="en-US" w:eastAsia="zh-CN" w:bidi="ar-SA"/>
    </w:rPr>
  </w:style>
  <w:style w:type="paragraph" w:styleId="194">
    <w:name w:val="List Paragraph"/>
    <w:basedOn w:val="1"/>
    <w:qFormat/>
    <w:uiPriority w:val="99"/>
    <w:pPr>
      <w:ind w:firstLine="420" w:firstLineChars="200"/>
    </w:pPr>
    <w:rPr>
      <w:rFonts w:ascii="Calibri" w:hAnsi="Calibri"/>
      <w:szCs w:val="22"/>
    </w:rPr>
  </w:style>
  <w:style w:type="paragraph" w:customStyle="1" w:styleId="195">
    <w:name w:val="报告正文"/>
    <w:basedOn w:val="1"/>
    <w:qFormat/>
    <w:uiPriority w:val="0"/>
    <w:pPr>
      <w:snapToGrid w:val="0"/>
      <w:spacing w:line="360" w:lineRule="auto"/>
      <w:ind w:firstLine="200" w:firstLineChars="200"/>
    </w:pPr>
    <w:rPr>
      <w:rFonts w:ascii="Calibri" w:hAnsi="Calibri"/>
      <w:sz w:val="24"/>
    </w:rPr>
  </w:style>
  <w:style w:type="paragraph" w:customStyle="1" w:styleId="196">
    <w:name w:val="武正文"/>
    <w:basedOn w:val="1"/>
    <w:qFormat/>
    <w:uiPriority w:val="0"/>
    <w:pPr>
      <w:spacing w:line="460" w:lineRule="exact"/>
      <w:ind w:firstLine="200"/>
    </w:pPr>
  </w:style>
  <w:style w:type="paragraph" w:customStyle="1" w:styleId="197">
    <w:name w:val="默认段落字体 Para Char Char Char Char Char Char Char Char Char Char"/>
    <w:basedOn w:val="4"/>
    <w:qFormat/>
    <w:uiPriority w:val="0"/>
    <w:pPr>
      <w:tabs>
        <w:tab w:val="left" w:pos="360"/>
        <w:tab w:val="left" w:pos="900"/>
      </w:tabs>
      <w:snapToGrid w:val="0"/>
      <w:spacing w:before="120" w:after="120" w:line="360" w:lineRule="auto"/>
      <w:ind w:left="542" w:leftChars="-12" w:firstLine="200" w:firstLineChars="200"/>
      <w:jc w:val="left"/>
    </w:pPr>
    <w:rPr>
      <w:b w:val="0"/>
      <w:color w:val="000000"/>
      <w:sz w:val="21"/>
      <w:u w:color="000000"/>
    </w:rPr>
  </w:style>
  <w:style w:type="paragraph" w:customStyle="1" w:styleId="198">
    <w:name w:val="目录标题"/>
    <w:basedOn w:val="1"/>
    <w:next w:val="1"/>
    <w:uiPriority w:val="0"/>
    <w:pPr>
      <w:spacing w:before="104" w:after="209" w:line="0" w:lineRule="atLeast"/>
      <w:ind w:left="1"/>
      <w:jc w:val="center"/>
      <w:textAlignment w:val="bottom"/>
    </w:pPr>
    <w:rPr>
      <w:rFonts w:ascii="Arial" w:hAnsi="Arial" w:eastAsia="黑体"/>
      <w:spacing w:val="104"/>
      <w:kern w:val="0"/>
      <w:sz w:val="44"/>
      <w:szCs w:val="20"/>
    </w:rPr>
  </w:style>
  <w:style w:type="paragraph" w:customStyle="1" w:styleId="199">
    <w:name w:val="Char Char Char Char Char Char Char Char Char Char Char Char Char Char Char1 Char"/>
    <w:basedOn w:val="1"/>
    <w:next w:val="1"/>
    <w:qFormat/>
    <w:uiPriority w:val="0"/>
    <w:pPr>
      <w:spacing w:line="360" w:lineRule="auto"/>
      <w:ind w:firstLine="200" w:firstLineChars="200"/>
    </w:pPr>
    <w:rPr>
      <w:rFonts w:ascii="宋体" w:hAnsi="宋体" w:cs="宋体"/>
      <w:sz w:val="24"/>
    </w:rPr>
  </w:style>
  <w:style w:type="paragraph" w:customStyle="1" w:styleId="200">
    <w:name w:val="Char12"/>
    <w:basedOn w:val="1"/>
    <w:qFormat/>
    <w:uiPriority w:val="0"/>
  </w:style>
  <w:style w:type="paragraph" w:customStyle="1" w:styleId="201">
    <w:name w:val="样式 标题 3 + (西文) Arial (中文) 宋体 小四 段前: 0 磅 段后: 0 磅 行距: 单倍行距"/>
    <w:basedOn w:val="4"/>
    <w:qFormat/>
    <w:uiPriority w:val="0"/>
    <w:pPr>
      <w:keepNext w:val="0"/>
      <w:keepLines w:val="0"/>
      <w:adjustRightInd w:val="0"/>
      <w:snapToGrid w:val="0"/>
      <w:spacing w:before="0" w:after="0" w:line="240" w:lineRule="auto"/>
    </w:pPr>
    <w:rPr>
      <w:rFonts w:ascii="Arial" w:hAnsi="Arial" w:cs="宋体"/>
      <w:b w:val="0"/>
      <w:snapToGrid w:val="0"/>
      <w:color w:val="000000"/>
      <w:kern w:val="0"/>
      <w:sz w:val="24"/>
      <w:szCs w:val="20"/>
    </w:rPr>
  </w:style>
  <w:style w:type="paragraph" w:customStyle="1" w:styleId="202">
    <w:name w:val="简单回函地址"/>
    <w:basedOn w:val="1"/>
    <w:qFormat/>
    <w:uiPriority w:val="0"/>
  </w:style>
  <w:style w:type="paragraph" w:customStyle="1" w:styleId="203">
    <w:name w:val="表格样式"/>
    <w:basedOn w:val="1"/>
    <w:qFormat/>
    <w:uiPriority w:val="0"/>
    <w:pPr>
      <w:adjustRightInd w:val="0"/>
      <w:snapToGrid w:val="0"/>
      <w:jc w:val="center"/>
    </w:pPr>
    <w:rPr>
      <w:sz w:val="28"/>
    </w:rPr>
  </w:style>
  <w:style w:type="paragraph" w:customStyle="1" w:styleId="204">
    <w:name w:val="0"/>
    <w:basedOn w:val="1"/>
    <w:uiPriority w:val="0"/>
    <w:pPr>
      <w:widowControl/>
      <w:snapToGrid w:val="0"/>
      <w:spacing w:line="365" w:lineRule="atLeast"/>
      <w:ind w:left="1"/>
      <w:textAlignment w:val="bottom"/>
    </w:pPr>
    <w:rPr>
      <w:kern w:val="0"/>
      <w:sz w:val="20"/>
      <w:szCs w:val="20"/>
    </w:rPr>
  </w:style>
  <w:style w:type="paragraph" w:customStyle="1" w:styleId="205">
    <w:name w:val="s16qcsl240slmult0nowidct"/>
    <w:uiPriority w:val="0"/>
    <w:pPr>
      <w:widowControl w:val="0"/>
      <w:adjustRightInd w:val="0"/>
      <w:textAlignment w:val="baseline"/>
    </w:pPr>
    <w:rPr>
      <w:rFonts w:ascii="Times New Roman" w:hAnsi="Times New Roman" w:eastAsia="宋体" w:cs="Times New Roman"/>
      <w:sz w:val="21"/>
      <w:lang w:val="en-US" w:eastAsia="zh-CN" w:bidi="ar-SA"/>
    </w:rPr>
  </w:style>
  <w:style w:type="paragraph" w:customStyle="1" w:styleId="206">
    <w:name w:val="列出段落1"/>
    <w:basedOn w:val="1"/>
    <w:qFormat/>
    <w:uiPriority w:val="34"/>
    <w:pPr>
      <w:ind w:firstLine="420" w:firstLineChars="200"/>
    </w:pPr>
  </w:style>
  <w:style w:type="paragraph" w:customStyle="1" w:styleId="207">
    <w:name w:val="表"/>
    <w:basedOn w:val="1"/>
    <w:qFormat/>
    <w:uiPriority w:val="0"/>
    <w:pPr>
      <w:spacing w:line="360" w:lineRule="auto"/>
      <w:jc w:val="center"/>
    </w:pPr>
    <w:rPr>
      <w:rFonts w:ascii="宋体" w:hAnsi="Courier New"/>
      <w:szCs w:val="21"/>
    </w:rPr>
  </w:style>
  <w:style w:type="paragraph" w:customStyle="1" w:styleId="20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09">
    <w:name w:val="Char1 Char Char Char Char Char Char Char Char Char"/>
    <w:basedOn w:val="1"/>
    <w:qFormat/>
    <w:uiPriority w:val="0"/>
    <w:rPr>
      <w:rFonts w:ascii="Calibri" w:hAnsi="Calibri"/>
    </w:rPr>
  </w:style>
  <w:style w:type="paragraph" w:customStyle="1" w:styleId="210">
    <w:name w:val="Char Char Char1"/>
    <w:basedOn w:val="1"/>
    <w:qFormat/>
    <w:uiPriority w:val="0"/>
  </w:style>
  <w:style w:type="paragraph" w:customStyle="1" w:styleId="211">
    <w:name w:val="Char15"/>
    <w:basedOn w:val="1"/>
    <w:qFormat/>
    <w:uiPriority w:val="0"/>
    <w:pPr>
      <w:spacing w:line="360" w:lineRule="auto"/>
      <w:ind w:firstLine="200" w:firstLineChars="200"/>
    </w:pPr>
    <w:rPr>
      <w:rFonts w:ascii="宋体" w:hAnsi="宋体" w:cs="宋体"/>
      <w:sz w:val="24"/>
    </w:rPr>
  </w:style>
  <w:style w:type="paragraph" w:customStyle="1" w:styleId="212">
    <w:name w:val="普通(网站)1"/>
    <w:basedOn w:val="1"/>
    <w:qFormat/>
    <w:uiPriority w:val="0"/>
    <w:pPr>
      <w:widowControl/>
      <w:adjustRightInd w:val="0"/>
      <w:spacing w:before="100" w:after="100"/>
      <w:jc w:val="left"/>
      <w:textAlignment w:val="baseline"/>
    </w:pPr>
    <w:rPr>
      <w:rFonts w:ascii="宋体" w:hAnsi="宋体"/>
      <w:color w:val="000000"/>
      <w:kern w:val="0"/>
      <w:sz w:val="24"/>
      <w:szCs w:val="20"/>
    </w:rPr>
  </w:style>
  <w:style w:type="paragraph" w:customStyle="1" w:styleId="213">
    <w:name w:val="Char Char Char Char Char Char"/>
    <w:basedOn w:val="1"/>
    <w:qFormat/>
    <w:uiPriority w:val="0"/>
    <w:rPr>
      <w:rFonts w:ascii="Calibri" w:hAnsi="Calibri"/>
      <w:sz w:val="24"/>
    </w:rPr>
  </w:style>
  <w:style w:type="paragraph" w:customStyle="1" w:styleId="214">
    <w:name w:val="ZWWZ"/>
    <w:basedOn w:val="1"/>
    <w:qFormat/>
    <w:uiPriority w:val="0"/>
    <w:pPr>
      <w:widowControl/>
      <w:adjustRightInd w:val="0"/>
      <w:snapToGrid w:val="0"/>
      <w:spacing w:before="120" w:line="300" w:lineRule="auto"/>
      <w:ind w:firstLine="200" w:firstLineChars="200"/>
      <w:jc w:val="left"/>
    </w:pPr>
    <w:rPr>
      <w:rFonts w:ascii="宋体" w:hAnsi="宋体" w:cs="宋体"/>
      <w:snapToGrid w:val="0"/>
      <w:kern w:val="0"/>
      <w:sz w:val="24"/>
    </w:rPr>
  </w:style>
  <w:style w:type="paragraph" w:customStyle="1" w:styleId="215">
    <w:name w:val="正文文本缩进 21"/>
    <w:basedOn w:val="1"/>
    <w:qFormat/>
    <w:uiPriority w:val="0"/>
    <w:pPr>
      <w:adjustRightInd w:val="0"/>
      <w:ind w:firstLine="640"/>
      <w:textAlignment w:val="baseline"/>
    </w:pPr>
    <w:rPr>
      <w:rFonts w:eastAsia="仿宋_GB2312"/>
      <w:color w:val="0000FF"/>
      <w:sz w:val="32"/>
      <w:szCs w:val="20"/>
    </w:rPr>
  </w:style>
  <w:style w:type="paragraph" w:customStyle="1" w:styleId="216">
    <w:name w:val="p0"/>
    <w:basedOn w:val="1"/>
    <w:qFormat/>
    <w:uiPriority w:val="0"/>
    <w:pPr>
      <w:widowControl/>
      <w:spacing w:line="365" w:lineRule="atLeast"/>
      <w:ind w:left="1"/>
    </w:pPr>
    <w:rPr>
      <w:kern w:val="0"/>
      <w:sz w:val="20"/>
      <w:szCs w:val="20"/>
    </w:rPr>
  </w:style>
  <w:style w:type="paragraph" w:customStyle="1" w:styleId="217">
    <w:name w:val="默认段落字体 Para Char Char Char1 Char"/>
    <w:basedOn w:val="1"/>
    <w:qFormat/>
    <w:uiPriority w:val="0"/>
    <w:pPr>
      <w:spacing w:line="240" w:lineRule="atLeast"/>
      <w:ind w:left="420" w:firstLine="420"/>
    </w:pPr>
  </w:style>
  <w:style w:type="paragraph" w:customStyle="1" w:styleId="218">
    <w:name w:val="标题3 Char Char Char Char"/>
    <w:basedOn w:val="1"/>
    <w:qFormat/>
    <w:uiPriority w:val="0"/>
    <w:pPr>
      <w:spacing w:afterLines="50" w:line="560" w:lineRule="exact"/>
    </w:pPr>
    <w:rPr>
      <w:rFonts w:eastAsia="黑体"/>
      <w:sz w:val="30"/>
      <w:szCs w:val="30"/>
    </w:rPr>
  </w:style>
  <w:style w:type="paragraph" w:customStyle="1" w:styleId="219">
    <w:name w:val="2.1.1"/>
    <w:basedOn w:val="1"/>
    <w:qFormat/>
    <w:uiPriority w:val="0"/>
    <w:rPr>
      <w:sz w:val="24"/>
    </w:rPr>
  </w:style>
  <w:style w:type="paragraph" w:customStyle="1" w:styleId="220">
    <w:name w:val="Table Paragraph"/>
    <w:basedOn w:val="1"/>
    <w:qFormat/>
    <w:uiPriority w:val="0"/>
    <w:pPr>
      <w:jc w:val="left"/>
    </w:pPr>
    <w:rPr>
      <w:rFonts w:ascii="Calibri" w:hAnsi="Calibri"/>
      <w:kern w:val="0"/>
      <w:sz w:val="22"/>
      <w:szCs w:val="22"/>
      <w:lang w:eastAsia="en-US"/>
    </w:rPr>
  </w:style>
  <w:style w:type="paragraph" w:customStyle="1" w:styleId="221">
    <w:name w:val="xxxxx正文"/>
    <w:basedOn w:val="1"/>
    <w:qFormat/>
    <w:uiPriority w:val="0"/>
    <w:pPr>
      <w:topLinePunct/>
      <w:spacing w:line="440" w:lineRule="exact"/>
      <w:ind w:firstLine="200" w:firstLineChars="200"/>
    </w:pPr>
    <w:rPr>
      <w:rFonts w:ascii="Calibri" w:hAnsi="Calibri"/>
      <w:sz w:val="24"/>
      <w:szCs w:val="20"/>
      <w:lang w:val="zh-CN"/>
    </w:rPr>
  </w:style>
  <w:style w:type="paragraph" w:customStyle="1" w:styleId="222">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3">
    <w:name w:val="_Style 114"/>
    <w:basedOn w:val="1"/>
    <w:next w:val="194"/>
    <w:qFormat/>
    <w:uiPriority w:val="99"/>
    <w:pPr>
      <w:ind w:firstLine="420" w:firstLineChars="200"/>
    </w:pPr>
    <w:rPr>
      <w:rFonts w:ascii="Calibri" w:hAnsi="Calibri"/>
      <w:szCs w:val="20"/>
    </w:rPr>
  </w:style>
  <w:style w:type="paragraph" w:customStyle="1" w:styleId="224">
    <w:name w:val="样式 正文 首行缩进:  2 字符 SL CON + 首行缩进:  2 字符 + 首行缩进:  2 字符 + 首行缩..."/>
    <w:basedOn w:val="1"/>
    <w:uiPriority w:val="0"/>
    <w:pPr>
      <w:widowControl/>
      <w:tabs>
        <w:tab w:val="left" w:pos="377"/>
      </w:tabs>
      <w:spacing w:line="360" w:lineRule="auto"/>
      <w:ind w:firstLine="560" w:firstLineChars="200"/>
    </w:pPr>
    <w:rPr>
      <w:rFonts w:ascii="宋体"/>
      <w:kern w:val="0"/>
      <w:sz w:val="28"/>
      <w:szCs w:val="20"/>
    </w:rPr>
  </w:style>
  <w:style w:type="paragraph" w:customStyle="1" w:styleId="225">
    <w:name w:val="默认段落字体 Para Char Char Char Char Char Char Char"/>
    <w:basedOn w:val="1"/>
    <w:qFormat/>
    <w:uiPriority w:val="0"/>
    <w:rPr>
      <w:rFonts w:ascii="Arial" w:hAnsi="Arial" w:cs="Arial"/>
      <w:sz w:val="20"/>
    </w:rPr>
  </w:style>
  <w:style w:type="paragraph" w:customStyle="1" w:styleId="226">
    <w:name w:val="默认段落字体 Para Char"/>
    <w:basedOn w:val="1"/>
    <w:next w:val="1"/>
    <w:qFormat/>
    <w:uiPriority w:val="0"/>
    <w:pPr>
      <w:spacing w:line="360" w:lineRule="auto"/>
      <w:ind w:firstLine="200" w:firstLineChars="200"/>
    </w:pPr>
    <w:rPr>
      <w:rFonts w:ascii="宋体" w:hAnsi="宋体" w:cs="宋体"/>
      <w:sz w:val="24"/>
    </w:rPr>
  </w:style>
  <w:style w:type="paragraph" w:customStyle="1" w:styleId="227">
    <w:name w:val="图表头"/>
    <w:basedOn w:val="1"/>
    <w:uiPriority w:val="0"/>
    <w:pPr>
      <w:adjustRightInd w:val="0"/>
      <w:spacing w:line="360" w:lineRule="auto"/>
      <w:jc w:val="center"/>
      <w:textAlignment w:val="baseline"/>
    </w:pPr>
    <w:rPr>
      <w:rFonts w:ascii="黑体" w:hAnsi="Calibri" w:eastAsia="黑体"/>
      <w:spacing w:val="5"/>
      <w:kern w:val="0"/>
      <w:szCs w:val="20"/>
    </w:rPr>
  </w:style>
  <w:style w:type="paragraph" w:customStyle="1" w:styleId="228">
    <w:name w:val="xl26"/>
    <w:basedOn w:val="1"/>
    <w:uiPriority w:val="0"/>
    <w:pPr>
      <w:widowControl/>
      <w:pBdr>
        <w:bottom w:val="single" w:color="auto" w:sz="4" w:space="0"/>
        <w:right w:val="single" w:color="auto" w:sz="4" w:space="0"/>
      </w:pBdr>
      <w:spacing w:before="100" w:after="100"/>
      <w:jc w:val="center"/>
      <w:textAlignment w:val="top"/>
    </w:pPr>
    <w:rPr>
      <w:rFonts w:ascii="宋体" w:hAnsi="宋体"/>
      <w:kern w:val="0"/>
      <w:szCs w:val="20"/>
    </w:rPr>
  </w:style>
  <w:style w:type="paragraph" w:customStyle="1" w:styleId="229">
    <w:name w:val="表格文字2"/>
    <w:basedOn w:val="165"/>
    <w:qFormat/>
    <w:uiPriority w:val="0"/>
    <w:pPr>
      <w:autoSpaceDE/>
      <w:autoSpaceDN/>
      <w:spacing w:before="60"/>
      <w:jc w:val="center"/>
    </w:pPr>
    <w:rPr>
      <w:color w:val="auto"/>
    </w:rPr>
  </w:style>
  <w:style w:type="paragraph" w:customStyle="1" w:styleId="230">
    <w:name w:val="样式3"/>
    <w:basedOn w:val="3"/>
    <w:qFormat/>
    <w:uiPriority w:val="0"/>
    <w:pPr>
      <w:keepLines/>
      <w:adjustRightInd w:val="0"/>
      <w:snapToGrid/>
      <w:spacing w:beforeLines="50" w:after="260" w:line="360" w:lineRule="auto"/>
      <w:textAlignment w:val="baseline"/>
    </w:pPr>
    <w:rPr>
      <w:rFonts w:ascii="宋体" w:hAnsi="宋体" w:eastAsia="黑体"/>
      <w:bCs/>
      <w:sz w:val="28"/>
      <w:szCs w:val="28"/>
    </w:rPr>
  </w:style>
  <w:style w:type="paragraph" w:customStyle="1" w:styleId="231">
    <w:name w:val="1正文-吉泰"/>
    <w:basedOn w:val="1"/>
    <w:qFormat/>
    <w:uiPriority w:val="0"/>
    <w:pPr>
      <w:snapToGrid w:val="0"/>
      <w:spacing w:line="360" w:lineRule="auto"/>
      <w:ind w:firstLine="200" w:firstLineChars="200"/>
    </w:pPr>
    <w:rPr>
      <w:kern w:val="0"/>
      <w:sz w:val="24"/>
      <w:szCs w:val="20"/>
      <w:lang w:eastAsia="en-US"/>
    </w:rPr>
  </w:style>
  <w:style w:type="table" w:customStyle="1" w:styleId="232">
    <w:name w:val="SSEC表格样式"/>
    <w:basedOn w:val="30"/>
    <w:uiPriority w:val="99"/>
    <w:pPr>
      <w:adjustRightInd w:val="0"/>
      <w:snapToGrid w:val="0"/>
    </w:pPr>
    <w:rPr>
      <w:rFonts w:ascii="Calibri" w:hAnsi="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233">
    <w:name w:val="TOC Heading"/>
    <w:basedOn w:val="2"/>
    <w:next w:val="1"/>
    <w:qFormat/>
    <w:uiPriority w:val="39"/>
    <w:pPr>
      <w:keepLines/>
      <w:widowControl/>
      <w:overflowPunct/>
      <w:snapToGrid/>
      <w:spacing w:before="480" w:after="0" w:line="276" w:lineRule="auto"/>
      <w:ind w:left="0" w:firstLine="0"/>
      <w:jc w:val="left"/>
      <w:outlineLvl w:val="9"/>
    </w:pPr>
    <w:rPr>
      <w:rFonts w:ascii="Cambria" w:hAnsi="Cambria" w:eastAsia="宋体"/>
      <w:color w:val="365F91"/>
      <w:kern w:val="0"/>
      <w:sz w:val="28"/>
      <w:szCs w:val="28"/>
    </w:rPr>
  </w:style>
  <w:style w:type="character" w:customStyle="1" w:styleId="234">
    <w:name w:val="普通(网站) 字符1"/>
    <w:qFormat/>
    <w:locked/>
    <w:uiPriority w:val="0"/>
    <w:rPr>
      <w:rFonts w:ascii="宋体" w:hAnsi="宋体" w:eastAsia="宋体"/>
      <w:sz w:val="24"/>
    </w:rPr>
  </w:style>
  <w:style w:type="paragraph" w:customStyle="1" w:styleId="235">
    <w:name w:val="文本"/>
    <w:basedOn w:val="12"/>
    <w:qFormat/>
    <w:uiPriority w:val="0"/>
    <w:pPr>
      <w:adjustRightInd w:val="0"/>
      <w:snapToGrid w:val="0"/>
      <w:spacing w:line="520" w:lineRule="exact"/>
      <w:ind w:firstLine="200" w:firstLineChars="200"/>
    </w:pPr>
    <w:rPr>
      <w:rFonts w:ascii="宋体" w:eastAsia="仿宋_GB2312"/>
      <w:kern w:val="0"/>
      <w:sz w:val="24"/>
    </w:rPr>
  </w:style>
</w:styles>
</file>

<file path=word/_rels/document.xml.rels><?xml version="1.0" encoding="UTF-8" standalone="yes"?>
<Relationships xmlns="http://schemas.openxmlformats.org/package/2006/relationships"><Relationship Id="rId99" Type="http://schemas.openxmlformats.org/officeDocument/2006/relationships/image" Target="media/image91.jpeg"/><Relationship Id="rId98" Type="http://schemas.openxmlformats.org/officeDocument/2006/relationships/image" Target="media/image90.jpeg"/><Relationship Id="rId97" Type="http://schemas.openxmlformats.org/officeDocument/2006/relationships/image" Target="media/image89.jpeg"/><Relationship Id="rId96" Type="http://schemas.openxmlformats.org/officeDocument/2006/relationships/image" Target="media/image88.jpeg"/><Relationship Id="rId95" Type="http://schemas.openxmlformats.org/officeDocument/2006/relationships/image" Target="media/image87.jpeg"/><Relationship Id="rId94" Type="http://schemas.openxmlformats.org/officeDocument/2006/relationships/image" Target="media/image86.jpeg"/><Relationship Id="rId93" Type="http://schemas.openxmlformats.org/officeDocument/2006/relationships/image" Target="media/image85.jpeg"/><Relationship Id="rId92" Type="http://schemas.openxmlformats.org/officeDocument/2006/relationships/image" Target="media/image84.jpeg"/><Relationship Id="rId91" Type="http://schemas.openxmlformats.org/officeDocument/2006/relationships/image" Target="media/image83.jpeg"/><Relationship Id="rId90" Type="http://schemas.openxmlformats.org/officeDocument/2006/relationships/image" Target="media/image82.jpeg"/><Relationship Id="rId9" Type="http://schemas.openxmlformats.org/officeDocument/2006/relationships/image" Target="media/image2.jpeg"/><Relationship Id="rId89" Type="http://schemas.openxmlformats.org/officeDocument/2006/relationships/image" Target="media/image81.jpeg"/><Relationship Id="rId88" Type="http://schemas.openxmlformats.org/officeDocument/2006/relationships/image" Target="media/image80.jpeg"/><Relationship Id="rId87" Type="http://schemas.openxmlformats.org/officeDocument/2006/relationships/image" Target="media/image79.jpeg"/><Relationship Id="rId86" Type="http://schemas.openxmlformats.org/officeDocument/2006/relationships/image" Target="media/image78.jpeg"/><Relationship Id="rId85" Type="http://schemas.openxmlformats.org/officeDocument/2006/relationships/image" Target="media/image77.jpeg"/><Relationship Id="rId84" Type="http://schemas.openxmlformats.org/officeDocument/2006/relationships/image" Target="media/image76.jpeg"/><Relationship Id="rId83" Type="http://schemas.openxmlformats.org/officeDocument/2006/relationships/image" Target="media/image75.jpeg"/><Relationship Id="rId82" Type="http://schemas.openxmlformats.org/officeDocument/2006/relationships/image" Target="media/image74.jpeg"/><Relationship Id="rId81" Type="http://schemas.openxmlformats.org/officeDocument/2006/relationships/image" Target="media/image73.jpeg"/><Relationship Id="rId80" Type="http://schemas.openxmlformats.org/officeDocument/2006/relationships/image" Target="media/image72.jpeg"/><Relationship Id="rId8" Type="http://schemas.openxmlformats.org/officeDocument/2006/relationships/image" Target="media/image1.jpeg"/><Relationship Id="rId79" Type="http://schemas.openxmlformats.org/officeDocument/2006/relationships/image" Target="media/image71.jpeg"/><Relationship Id="rId78" Type="http://schemas.openxmlformats.org/officeDocument/2006/relationships/image" Target="media/image70.jpeg"/><Relationship Id="rId77" Type="http://schemas.openxmlformats.org/officeDocument/2006/relationships/image" Target="media/image69.jpeg"/><Relationship Id="rId76" Type="http://schemas.openxmlformats.org/officeDocument/2006/relationships/image" Target="media/image68.jpeg"/><Relationship Id="rId75" Type="http://schemas.openxmlformats.org/officeDocument/2006/relationships/image" Target="media/image67.jpeg"/><Relationship Id="rId74" Type="http://schemas.openxmlformats.org/officeDocument/2006/relationships/image" Target="media/image66.jpeg"/><Relationship Id="rId73" Type="http://schemas.openxmlformats.org/officeDocument/2006/relationships/image" Target="media/image65.jpeg"/><Relationship Id="rId72" Type="http://schemas.openxmlformats.org/officeDocument/2006/relationships/image" Target="media/image64.jpeg"/><Relationship Id="rId71" Type="http://schemas.openxmlformats.org/officeDocument/2006/relationships/image" Target="media/image63.jpeg"/><Relationship Id="rId70" Type="http://schemas.openxmlformats.org/officeDocument/2006/relationships/image" Target="media/image62.jpeg"/><Relationship Id="rId7" Type="http://schemas.openxmlformats.org/officeDocument/2006/relationships/theme" Target="theme/theme1.xml"/><Relationship Id="rId69" Type="http://schemas.openxmlformats.org/officeDocument/2006/relationships/image" Target="media/image61.jpeg"/><Relationship Id="rId68" Type="http://schemas.openxmlformats.org/officeDocument/2006/relationships/image" Target="media/image60.jpeg"/><Relationship Id="rId67" Type="http://schemas.openxmlformats.org/officeDocument/2006/relationships/image" Target="media/image59.jpe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footer" Target="footer4.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jpeg"/><Relationship Id="rId54" Type="http://schemas.openxmlformats.org/officeDocument/2006/relationships/image" Target="media/image46.jpeg"/><Relationship Id="rId53" Type="http://schemas.openxmlformats.org/officeDocument/2006/relationships/image" Target="media/image45.jpeg"/><Relationship Id="rId52" Type="http://schemas.openxmlformats.org/officeDocument/2006/relationships/image" Target="media/image44.jpeg"/><Relationship Id="rId51" Type="http://schemas.openxmlformats.org/officeDocument/2006/relationships/image" Target="media/image43.jpeg"/><Relationship Id="rId50" Type="http://schemas.openxmlformats.org/officeDocument/2006/relationships/image" Target="media/image42.jpeg"/><Relationship Id="rId5" Type="http://schemas.openxmlformats.org/officeDocument/2006/relationships/footer" Target="footer3.xml"/><Relationship Id="rId49" Type="http://schemas.openxmlformats.org/officeDocument/2006/relationships/image" Target="media/image41.jpe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footer" Target="footer2.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jpe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er" Target="footer1.xml"/><Relationship Id="rId29" Type="http://schemas.openxmlformats.org/officeDocument/2006/relationships/image" Target="media/image21.png"/><Relationship Id="rId28" Type="http://schemas.openxmlformats.org/officeDocument/2006/relationships/image" Target="media/image20.emf"/><Relationship Id="rId27" Type="http://schemas.openxmlformats.org/officeDocument/2006/relationships/package" Target="embeddings/Microsoft_Visio___1.vsdx"/><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pn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8" Type="http://schemas.openxmlformats.org/officeDocument/2006/relationships/fontTable" Target="fontTable.xml"/><Relationship Id="rId117" Type="http://schemas.openxmlformats.org/officeDocument/2006/relationships/customXml" Target="../customXml/item1.xml"/><Relationship Id="rId116" Type="http://schemas.openxmlformats.org/officeDocument/2006/relationships/image" Target="media/image108.jpeg"/><Relationship Id="rId115" Type="http://schemas.openxmlformats.org/officeDocument/2006/relationships/image" Target="media/image107.jpeg"/><Relationship Id="rId114" Type="http://schemas.openxmlformats.org/officeDocument/2006/relationships/image" Target="media/image106.jpeg"/><Relationship Id="rId113" Type="http://schemas.openxmlformats.org/officeDocument/2006/relationships/image" Target="media/image105.jpeg"/><Relationship Id="rId112" Type="http://schemas.openxmlformats.org/officeDocument/2006/relationships/image" Target="media/image104.jpeg"/><Relationship Id="rId111" Type="http://schemas.openxmlformats.org/officeDocument/2006/relationships/image" Target="media/image103.jpeg"/><Relationship Id="rId110" Type="http://schemas.openxmlformats.org/officeDocument/2006/relationships/image" Target="media/image102.jpeg"/><Relationship Id="rId11" Type="http://schemas.openxmlformats.org/officeDocument/2006/relationships/image" Target="media/image4.jpeg"/><Relationship Id="rId109" Type="http://schemas.openxmlformats.org/officeDocument/2006/relationships/image" Target="media/image101.jpeg"/><Relationship Id="rId108" Type="http://schemas.openxmlformats.org/officeDocument/2006/relationships/image" Target="media/image100.jpeg"/><Relationship Id="rId107" Type="http://schemas.openxmlformats.org/officeDocument/2006/relationships/image" Target="media/image99.jpeg"/><Relationship Id="rId106" Type="http://schemas.openxmlformats.org/officeDocument/2006/relationships/image" Target="media/image98.jpeg"/><Relationship Id="rId105" Type="http://schemas.openxmlformats.org/officeDocument/2006/relationships/image" Target="media/image97.jpeg"/><Relationship Id="rId104" Type="http://schemas.openxmlformats.org/officeDocument/2006/relationships/image" Target="media/image96.jpeg"/><Relationship Id="rId103" Type="http://schemas.openxmlformats.org/officeDocument/2006/relationships/image" Target="media/image95.jpeg"/><Relationship Id="rId102" Type="http://schemas.openxmlformats.org/officeDocument/2006/relationships/image" Target="media/image94.jpeg"/><Relationship Id="rId101" Type="http://schemas.openxmlformats.org/officeDocument/2006/relationships/image" Target="media/image93.jpeg"/><Relationship Id="rId100" Type="http://schemas.openxmlformats.org/officeDocument/2006/relationships/image" Target="media/image92.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208</Pages>
  <Words>14102</Words>
  <Characters>80384</Characters>
  <Lines>669</Lines>
  <Paragraphs>188</Paragraphs>
  <TotalTime>525</TotalTime>
  <ScaleCrop>false</ScaleCrop>
  <LinksUpToDate>false</LinksUpToDate>
  <CharactersWithSpaces>94298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2026-07-06T17:44:00Z</dcterms:created>
  <dc:creator>PC</dc:creator>
  <cp:lastModifiedBy>WPS_1729516128</cp:lastModifiedBy>
  <cp:lastPrinted>2026-07-14T11:39:00Z</cp:lastPrinted>
  <dcterms:modified xsi:type="dcterms:W3CDTF">2026-07-14T15:52:33Z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7A364DEBB7D67569C1EA556A24E32FB4_43</vt:lpwstr>
  </property>
</Properties>
</file>