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i w:val="0"/>
          <w:caps w:val="0"/>
          <w:color w:val="333333"/>
          <w:spacing w:val="0"/>
          <w:sz w:val="45"/>
          <w:szCs w:val="45"/>
        </w:rPr>
      </w:pPr>
      <w:r>
        <w:rPr>
          <w:rFonts w:hint="eastAsia" w:ascii="微软雅黑" w:hAnsi="微软雅黑" w:eastAsia="微软雅黑" w:cs="微软雅黑"/>
          <w:b/>
          <w:i w:val="0"/>
          <w:caps w:val="0"/>
          <w:color w:val="333333"/>
          <w:spacing w:val="0"/>
          <w:sz w:val="45"/>
          <w:szCs w:val="45"/>
          <w:bdr w:val="none" w:color="auto" w:sz="0" w:space="0"/>
          <w:shd w:val="clear" w:fill="FFFFFF"/>
        </w:rPr>
        <w:t>养老服务扶持政策措施清单</w:t>
      </w:r>
    </w:p>
    <w:p>
      <w:pPr>
        <w:keepNext w:val="0"/>
        <w:keepLines w:val="0"/>
        <w:widowControl/>
        <w:suppressLineNumbers w:val="0"/>
        <w:pBdr>
          <w:top w:val="none" w:color="auto" w:sz="0" w:space="0"/>
          <w:left w:val="none" w:color="auto" w:sz="0" w:space="0"/>
          <w:bottom w:val="single" w:color="DDDDDD" w:sz="6"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caps w:val="0"/>
          <w:color w:val="5D5D5D"/>
          <w:spacing w:val="0"/>
          <w:sz w:val="21"/>
          <w:szCs w:val="21"/>
        </w:rPr>
      </w:pPr>
      <w:r>
        <w:rPr>
          <w:rFonts w:hint="eastAsia" w:ascii="微软雅黑" w:hAnsi="微软雅黑" w:eastAsia="微软雅黑" w:cs="微软雅黑"/>
          <w:i w:val="0"/>
          <w:caps w:val="0"/>
          <w:color w:val="5D5D5D"/>
          <w:spacing w:val="0"/>
          <w:kern w:val="0"/>
          <w:sz w:val="21"/>
          <w:szCs w:val="21"/>
          <w:bdr w:val="none" w:color="auto" w:sz="0" w:space="0"/>
          <w:shd w:val="clear" w:fill="FFFFFF"/>
          <w:lang w:val="en-US" w:eastAsia="zh-CN" w:bidi="ar"/>
        </w:rPr>
        <w:t>发布时间：2021-02-19 18:39 来源： 市民政局 浏览量：191 【字体：</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"https://www.bengbu.gov.cn/public/21981/javascript:void(0);"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5D5D5D"/>
          <w:spacing w:val="0"/>
          <w:sz w:val="21"/>
          <w:szCs w:val="21"/>
          <w:u w:val="none"/>
          <w:bdr w:val="none" w:color="auto" w:sz="0" w:space="0"/>
          <w:shd w:val="clear" w:fill="FFFFFF"/>
        </w:rPr>
        <w:t>大</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5D5D5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"https://www.bengbu.gov.cn/public/21981/javascript:void(0);"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5D5D5D"/>
          <w:spacing w:val="0"/>
          <w:sz w:val="21"/>
          <w:szCs w:val="21"/>
          <w:u w:val="none"/>
          <w:bdr w:val="none" w:color="auto" w:sz="0" w:space="0"/>
          <w:shd w:val="clear" w:fill="FFFFFF"/>
        </w:rPr>
        <w:t>中</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5D5D5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"https://www.bengbu.gov.cn/public/21981/javascript:void(0);"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5D5D5D"/>
          <w:spacing w:val="0"/>
          <w:sz w:val="21"/>
          <w:szCs w:val="21"/>
          <w:u w:val="none"/>
          <w:bdr w:val="none" w:color="auto" w:sz="0" w:space="0"/>
          <w:shd w:val="clear" w:fill="FFFFFF"/>
        </w:rPr>
        <w:t>小</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5D5D5D"/>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"https://www.bengbu.gov.cn/public/21981/javascript:window.print()"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5D5D5D"/>
          <w:spacing w:val="0"/>
          <w:sz w:val="21"/>
          <w:szCs w:val="21"/>
          <w:u w:val="none"/>
          <w:bdr w:val="none" w:color="auto" w:sz="0" w:space="0"/>
          <w:shd w:val="clear" w:fill="FFFFFF"/>
        </w:rPr>
        <w:t>打印</w: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5D5D5D"/>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textAlignment w:val="top"/>
        <w:rPr>
          <w:rFonts w:hint="eastAsia" w:ascii="微软雅黑" w:hAnsi="微软雅黑" w:eastAsia="微软雅黑" w:cs="微软雅黑"/>
          <w:i w:val="0"/>
          <w:caps w:val="0"/>
          <w:color w:val="5D5D5D"/>
          <w:spacing w:val="0"/>
          <w:sz w:val="21"/>
          <w:szCs w:val="21"/>
        </w:rPr>
      </w:pP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"https://www.bengbu.gov.cn/public/21981/javascript:void(0)" \o "分享到微信"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"https://www.bengbu.gov.cn/public/21981/javascript:void(0)" \o "分享到新浪微博"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instrText xml:space="preserve"> HYPERLINK "https://www.bengbu.gov.cn/public/21981/javascript:void(0)" \o "分享到QQ空间" </w:instrText>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5D5D5D"/>
          <w:spacing w:val="0"/>
          <w:kern w:val="0"/>
          <w:sz w:val="21"/>
          <w:szCs w:val="21"/>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center"/>
        <w:rPr>
          <w:rFonts w:ascii="Calibri" w:hAnsi="Calibri" w:cs="Calibri"/>
          <w:sz w:val="21"/>
          <w:szCs w:val="21"/>
        </w:rPr>
      </w:pPr>
      <w:r>
        <w:rPr>
          <w:rFonts w:ascii="楷体" w:hAnsi="楷体" w:eastAsia="楷体" w:cs="楷体"/>
          <w:i w:val="0"/>
          <w:caps w:val="0"/>
          <w:color w:val="333333"/>
          <w:spacing w:val="0"/>
          <w:sz w:val="40"/>
          <w:szCs w:val="40"/>
          <w:bdr w:val="none" w:color="auto" w:sz="0" w:space="0"/>
          <w:shd w:val="clear" w:fill="FFFFFF"/>
        </w:rPr>
        <w:t>养老服务扶持政策措施清单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一、城乡“三级中心”建设和运营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ascii="仿宋_GB2312" w:hAnsi="仿宋" w:eastAsia="仿宋_GB2312" w:cs="仿宋_GB2312"/>
          <w:i w:val="0"/>
          <w:caps w:val="0"/>
          <w:color w:val="333333"/>
          <w:spacing w:val="0"/>
          <w:sz w:val="32"/>
          <w:szCs w:val="32"/>
          <w:bdr w:val="none" w:color="auto" w:sz="0" w:space="0"/>
          <w:shd w:val="clear" w:fill="FFFFFF"/>
        </w:rPr>
        <w:t>城乡</w:t>
      </w:r>
      <w:r>
        <w:rPr>
          <w:rFonts w:hint="eastAsia" w:ascii="仿宋" w:hAnsi="仿宋" w:eastAsia="仿宋" w:cs="仿宋"/>
          <w:i w:val="0"/>
          <w:caps w:val="0"/>
          <w:color w:val="333333"/>
          <w:spacing w:val="0"/>
          <w:sz w:val="32"/>
          <w:szCs w:val="32"/>
          <w:bdr w:val="none" w:color="auto" w:sz="0" w:space="0"/>
          <w:shd w:val="clear" w:fill="FFFFFF"/>
        </w:rPr>
        <w:t>“三级中心”建设标准按照《安徽省城乡养老服务三级中心建设规范（试行）》执行，县级民政部门根据自身实际情况，排定项目实施年度任务计划，商同级财政部门后，督促项目实施单位严格履行工程建设相关要求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1.补助范围。符合《安徽省城乡养老服务三级中心建设规范（试行）》的县级养老服务指导中心、街道（乡镇）养老服务中心、社区养老服务中心（站）、社区老年人日间照料（配餐、活动）中心（站）。纳入养老机构管理的社区嵌入式中小型养老机构，按照养老机构相关扶持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2.补助方式和标准。符合条件的县级养老服务指导中心、街道（乡镇）养老服务中心、社区养老服务中心（站）、社区老年人日间照料（配餐、活动）中心（站）等各类社区养老服务设施，给予一次性建设补助，每张床位（按照实际建筑面积，每5平方米折算成一张床位）一次性建设补助1000元（含省级财政补助500元）。对社会化运营的养老服务“三级中心”等各类社区养老服务设施，根据规范服务情况，按照设施规模、服务人数、服务内容等给予日常运营补贴。具体实施办法由各县、区制定，以上补助所需资金由各县、区财政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二、支持社会力量兴办养老机构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1.补助范围。由企事业单位、集体组织、社会组织、慈善机构及个人等社会力量，以独资、合资、合作等形式兴办（含公建民营养老机构及公办养老机构改革改制后成立的法人机构），具备独立法人资格，并依法在民政部门备案登记的各类养老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default" w:ascii="仿宋_GB2312" w:hAnsi="仿宋" w:eastAsia="仿宋_GB2312" w:cs="仿宋_GB2312"/>
          <w:i w:val="0"/>
          <w:caps w:val="0"/>
          <w:color w:val="333333"/>
          <w:spacing w:val="0"/>
          <w:sz w:val="32"/>
          <w:szCs w:val="32"/>
          <w:bdr w:val="none" w:color="auto" w:sz="0" w:space="0"/>
          <w:shd w:val="clear" w:fill="FFFFFF"/>
        </w:rPr>
        <w:t>医疗机构举办的具有法人地位的养老机构，享受其他社会力量举办养老机构相关扶持政策。既符合《老年养护院建设标准（建标</w:t>
      </w:r>
      <w:r>
        <w:rPr>
          <w:rFonts w:hint="eastAsia" w:ascii="仿宋" w:hAnsi="仿宋" w:eastAsia="仿宋" w:cs="仿宋"/>
          <w:i w:val="0"/>
          <w:caps w:val="0"/>
          <w:color w:val="333333"/>
          <w:spacing w:val="0"/>
          <w:sz w:val="32"/>
          <w:szCs w:val="32"/>
          <w:bdr w:val="none" w:color="auto" w:sz="0" w:space="0"/>
          <w:shd w:val="clear" w:fill="FFFFFF"/>
        </w:rPr>
        <w:t>144-2010）》，又符合《护理院基本标准（2011版）》、《安宁疗护中心基本标准和管理规范（2017版，试行）》，且获得“医疗机构执业许可证”的护理院、安宁疗护中心，可实行“一个机构、两块牌子”，依法在民政部门备案后，享受社会办养老机构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2.补助方式和标准。(1)一次性建设补贴。对符合条件的社会办养老机构，按照实际新增床位数给予一次性建设补助（一次性建设补助不包括公办养老机构、公建民营养老机构、公办养老机构改革改制后成立的法人机构、老年医疗机构、老年住宅、老年社区等），每张床位一次性床位建设补贴2000元（含省级财政补助1000）。其中，对50张（含）床位以上且与有执业资质的医生和护士签订长期劳务或服夯协议的医养结合养老机构，每张床位给予一次性床位建设补贴3000元（含省级财政补助1000元）。对被评为省级示范智慧养老机构的，在现行一次性建设补贴标准的基础上提高30%予以补助(2)日常运营补贴。已建成并投入运营的社会办养老机构，根据实际入住人数（具有本市户籍）给予运营补贴。社会办养老机构运营补贴的标准按照不低于每人每月200元的标准确定，为失能失智老年人服务的，按照收住对象轻、中、重度失能失智程度，运营补贴分别上浮50%、100%和200%以上。对被评为省级示范智慧养老机构的，按现行补贴标准10%的幅度提高运营补贴。所需资金由市、区财政各承担50%，其中市本级资金从财政预算和福利彩票公益金中各安排50%。三县参照执行。(3)贷款贴息补助。社会办养老机构从银行等金融机构贷款用于养老机构建设的，按照不低于同期三年期贷款基准利率的30%给予贷款贴息补助，所需资金由市财政安排。三县参照执行。(4)医养融合。鼓励有条件的社会办养老机构开展医养结合，对社会办养老机构内设的医务室、护理站获得“医疗机构执业许可证书”的，给予一定补助。各项补贴原则上通过市级养老服务综合信息平台，按规定程序申报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三、实施养老机构综合责任保险制度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    1.补助范围。购买养老机构综合责任保险的各类养老机构。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    2.补助方式。保费、赔付标准按照省招标结果执行。县区民政部门结合辖区内养老机构实际情况，制定综合责任保险实施方案，对参保机构给予参保补贴。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四、推进养老智慧化建设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1.补助范围。县区结合实际，制定本地养老智慧化建设试点示范实施方案，在智慧养老机构、智慧社区居家养老服务示范项目及符合《安徽省智慧社区居家养老服务模式建设规范》要求的养老服务三级中心中，任选1种开展试点示范，鼓励有条件的县区整体推进养老智慧化建设，拓展试点示范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2.补助方式。市级根据县区试点示范项目绩效，对纳入智慧养老创建试点的养老机构（项目、社区），给予一定数额奖补。对被评为省级示范智慧养老机构和智慧社区居家养老服务示范项目的，依据省政府办公厅《关于印发加快发展智慧养老若干政策的通知》（</w:t>
      </w:r>
      <w:r>
        <w:rPr>
          <w:rFonts w:hint="default" w:ascii="仿宋_GB2312" w:hAnsi="仿宋" w:eastAsia="仿宋_GB2312" w:cs="仿宋_GB2312"/>
          <w:i w:val="0"/>
          <w:caps w:val="0"/>
          <w:color w:val="333333"/>
          <w:spacing w:val="0"/>
          <w:sz w:val="32"/>
          <w:szCs w:val="32"/>
          <w:bdr w:val="none" w:color="auto" w:sz="0" w:space="0"/>
          <w:shd w:val="clear" w:fill="FFFFFF"/>
        </w:rPr>
        <w:t>皖政办〔</w:t>
      </w:r>
      <w:r>
        <w:rPr>
          <w:rFonts w:hint="eastAsia" w:ascii="仿宋" w:hAnsi="仿宋" w:eastAsia="仿宋" w:cs="仿宋"/>
          <w:i w:val="0"/>
          <w:caps w:val="0"/>
          <w:color w:val="333333"/>
          <w:spacing w:val="0"/>
          <w:sz w:val="32"/>
          <w:szCs w:val="32"/>
          <w:bdr w:val="none" w:color="auto" w:sz="0" w:space="0"/>
          <w:shd w:val="clear" w:fill="FFFFFF"/>
        </w:rPr>
        <w:t>2019〕20 </w:t>
      </w:r>
      <w:r>
        <w:rPr>
          <w:rFonts w:hint="default" w:ascii="仿宋_GB2312" w:hAnsi="仿宋" w:eastAsia="仿宋_GB2312" w:cs="仿宋_GB2312"/>
          <w:i w:val="0"/>
          <w:caps w:val="0"/>
          <w:color w:val="333333"/>
          <w:spacing w:val="0"/>
          <w:sz w:val="32"/>
          <w:szCs w:val="32"/>
          <w:bdr w:val="none" w:color="auto" w:sz="0" w:space="0"/>
          <w:shd w:val="clear" w:fill="FFFFFF"/>
        </w:rPr>
        <w:t>号），在省级拨付的奖补资金中给予</w:t>
      </w:r>
      <w:r>
        <w:rPr>
          <w:rFonts w:hint="eastAsia" w:ascii="仿宋" w:hAnsi="仿宋" w:eastAsia="仿宋" w:cs="仿宋"/>
          <w:i w:val="0"/>
          <w:caps w:val="0"/>
          <w:color w:val="333333"/>
          <w:spacing w:val="0"/>
          <w:sz w:val="32"/>
          <w:szCs w:val="32"/>
          <w:bdr w:val="none" w:color="auto" w:sz="0" w:space="0"/>
          <w:shd w:val="clear" w:fill="FFFFFF"/>
        </w:rPr>
        <w:t>20万元的一次性奖补。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E2B02"/>
    <w:rsid w:val="187E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2021-11-10T07:18:00Z</dcterms:created>
  <dc:creator>Ｃici」胆小鬼</dc:creator>
  <cp:lastModifiedBy>Ｃici」胆小鬼</cp:lastModifiedBy>
  <dcterms:modified xsi:type="dcterms:W3CDTF">2021-11-10T07:18:35Z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