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49" w:tblpY="108"/>
        <w:tblOverlap w:val="never"/>
        <w:tblW w:w="13245" w:type="dxa"/>
        <w:tblInd w:w="0" w:type="dxa"/>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Layout w:type="autofit"/>
        <w:tblCellMar>
          <w:top w:w="195" w:type="dxa"/>
          <w:left w:w="150" w:type="dxa"/>
          <w:bottom w:w="195" w:type="dxa"/>
          <w:right w:w="150" w:type="dxa"/>
        </w:tblCellMar>
      </w:tblPr>
      <w:tblGrid>
        <w:gridCol w:w="3137"/>
        <w:gridCol w:w="2216"/>
        <w:gridCol w:w="3137"/>
        <w:gridCol w:w="4755"/>
      </w:tblGrid>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事项名称</w:t>
            </w:r>
          </w:p>
        </w:tc>
        <w:tc>
          <w:tcPr>
            <w:tcW w:w="0" w:type="auto"/>
            <w:gridSpan w:val="3"/>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公租房租赁补贴资格确认</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基本编码</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000717007000</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实施编码</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11152823MB1688003F4000717007000</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实施主体</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实施主体编码</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11152823MB1688003F</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实施主体性质</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法定机关</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联办机构</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无</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事项类型</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行政确认</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办件类型</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承诺件</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服务对象</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自然人</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办理形式</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窗口办理、网上办理、快递申请</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是否网办</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是否收费</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是否支持网上支付</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是否支持物流快递</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是否支持预约办理</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是否支持自助终端办理</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是否进驻政务大厅</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中介服务</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rPr>
                <w:rFonts w:hint="eastAsia" w:ascii="微软雅黑" w:hAnsi="微软雅黑" w:eastAsia="微软雅黑" w:cs="微软雅黑"/>
                <w:b w:val="0"/>
                <w:bCs w:val="0"/>
                <w:color w:val="666666"/>
                <w:sz w:val="24"/>
                <w:szCs w:val="24"/>
                <w:u w:val="none"/>
              </w:rPr>
            </w:pP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事项状态</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发布</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事项版本</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34</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数量限制</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无</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通办范围</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无</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移动端是否对接单点登录</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移动端办理地址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color w:val="389173"/>
                <w:sz w:val="21"/>
                <w:szCs w:val="21"/>
                <w:u w:val="none"/>
              </w:rPr>
            </w:pPr>
            <w:r>
              <w:rPr>
                <w:rFonts w:hint="eastAsia" w:ascii="微软雅黑" w:hAnsi="微软雅黑" w:eastAsia="微软雅黑" w:cs="微软雅黑"/>
                <w:b w:val="0"/>
                <w:bCs w:val="0"/>
                <w:color w:val="389173"/>
                <w:sz w:val="21"/>
                <w:szCs w:val="21"/>
                <w:u w:val="none"/>
              </w:rPr>
              <w:t>查看详情</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计算机端是否对接单点登录</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计算机端在线办理跳转地址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color w:val="389173"/>
                <w:sz w:val="21"/>
                <w:szCs w:val="21"/>
                <w:u w:val="none"/>
              </w:rPr>
            </w:pPr>
            <w:r>
              <w:rPr>
                <w:rFonts w:hint="eastAsia" w:ascii="微软雅黑" w:hAnsi="微软雅黑" w:eastAsia="微软雅黑" w:cs="微软雅黑"/>
                <w:b w:val="0"/>
                <w:bCs w:val="0"/>
                <w:color w:val="389173"/>
                <w:sz w:val="21"/>
                <w:szCs w:val="21"/>
                <w:u w:val="none"/>
              </w:rPr>
              <w:t>查看详情</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权力来源</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法定本级行使</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审批结果类型</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其他</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审批结果名称</w:t>
            </w:r>
          </w:p>
        </w:tc>
        <w:tc>
          <w:tcPr>
            <w:tcW w:w="0" w:type="auto"/>
            <w:gridSpan w:val="3"/>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公示</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审批结果样本</w:t>
            </w:r>
          </w:p>
        </w:tc>
        <w:tc>
          <w:tcPr>
            <w:tcW w:w="0" w:type="auto"/>
            <w:gridSpan w:val="3"/>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无</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网上办理深度</w:t>
            </w:r>
          </w:p>
        </w:tc>
        <w:tc>
          <w:tcPr>
            <w:tcW w:w="0" w:type="auto"/>
            <w:gridSpan w:val="3"/>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全程网办（Ⅳ级）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color w:val="389173"/>
                <w:sz w:val="21"/>
                <w:szCs w:val="21"/>
                <w:u w:val="none"/>
              </w:rPr>
            </w:pPr>
            <w:r>
              <w:rPr>
                <w:rFonts w:hint="eastAsia" w:ascii="微软雅黑" w:hAnsi="微软雅黑" w:eastAsia="微软雅黑" w:cs="微软雅黑"/>
                <w:b w:val="0"/>
                <w:bCs w:val="0"/>
                <w:color w:val="389173"/>
                <w:sz w:val="21"/>
                <w:szCs w:val="21"/>
                <w:u w:val="none"/>
              </w:rPr>
              <w:t>查看详情</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行使层级</w:t>
            </w:r>
          </w:p>
        </w:tc>
        <w:tc>
          <w:tcPr>
            <w:tcW w:w="0" w:type="auto"/>
            <w:gridSpan w:val="3"/>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县级</w:t>
            </w:r>
          </w:p>
        </w:tc>
      </w:tr>
    </w:tbl>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基本信息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0F0F0"/>
        <w:spacing w:before="0" w:beforeAutospacing="0" w:after="0" w:afterAutospacing="0" w:line="570" w:lineRule="atLeast"/>
        <w:ind w:left="0" w:right="0" w:firstLine="0"/>
        <w:jc w:val="center"/>
        <w:rPr>
          <w:rFonts w:hint="eastAsia" w:ascii="微软雅黑" w:hAnsi="微软雅黑" w:eastAsia="微软雅黑" w:cs="微软雅黑"/>
          <w:b/>
          <w:bCs/>
          <w:i w:val="0"/>
          <w:iCs w:val="0"/>
          <w:caps w:val="0"/>
          <w:color w:val="666666"/>
          <w:spacing w:val="0"/>
          <w:sz w:val="22"/>
          <w:szCs w:val="22"/>
          <w:u w:val="none"/>
        </w:rPr>
      </w:pPr>
      <w:r>
        <w:rPr>
          <w:rFonts w:hint="eastAsia" w:ascii="微软雅黑" w:hAnsi="微软雅黑" w:eastAsia="微软雅黑" w:cs="微软雅黑"/>
          <w:b/>
          <w:bCs/>
          <w:i w:val="0"/>
          <w:iCs w:val="0"/>
          <w:caps w:val="0"/>
          <w:color w:val="666666"/>
          <w:spacing w:val="0"/>
          <w:kern w:val="0"/>
          <w:sz w:val="22"/>
          <w:szCs w:val="22"/>
          <w:u w:val="none"/>
          <w:shd w:val="clear" w:fill="F0F0F0"/>
          <w:lang w:val="en-US" w:eastAsia="zh-CN" w:bidi="ar"/>
        </w:rPr>
        <w:t>展示更多 </w:t>
      </w:r>
      <w:r>
        <w:rPr>
          <w:rFonts w:hint="eastAsia" w:ascii="微软雅黑" w:hAnsi="微软雅黑" w:eastAsia="微软雅黑" w:cs="微软雅黑"/>
          <w:b/>
          <w:bCs/>
          <w:i w:val="0"/>
          <w:iCs w:val="0"/>
          <w:caps w:val="0"/>
          <w:color w:val="666666"/>
          <w:spacing w:val="0"/>
          <w:kern w:val="0"/>
          <w:sz w:val="22"/>
          <w:szCs w:val="22"/>
          <w:u w:val="none"/>
          <w:shd w:val="clear" w:fill="F0F0F0"/>
          <w:lang w:val="en-US" w:eastAsia="zh-CN" w:bidi="ar"/>
        </w:rPr>
        <w:drawing>
          <wp:inline distT="0" distB="0" distL="114300" distR="114300">
            <wp:extent cx="114300" cy="76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14300" cy="762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受理条件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磴政发【2019】139号磴口县人民政府关于扩大保障性住房</w:t>
      </w:r>
      <w:bookmarkStart w:id="0" w:name="_GoBack"/>
      <w:bookmarkEnd w:id="0"/>
      <w:r>
        <w:rPr>
          <w:rFonts w:hint="eastAsia" w:ascii="微软雅黑" w:hAnsi="微软雅黑" w:eastAsia="微软雅黑" w:cs="微软雅黑"/>
          <w:b w:val="0"/>
          <w:bCs w:val="0"/>
          <w:i w:val="0"/>
          <w:iCs w:val="0"/>
          <w:caps w:val="0"/>
          <w:color w:val="666666"/>
          <w:spacing w:val="0"/>
          <w:sz w:val="24"/>
          <w:szCs w:val="24"/>
          <w:u w:val="none"/>
          <w:shd w:val="clear" w:fill="FFFFFF"/>
          <w:lang w:eastAsia="zh-CN"/>
        </w:rPr>
        <w:t>租赁</w:t>
      </w:r>
      <w:r>
        <w:rPr>
          <w:rFonts w:hint="eastAsia" w:ascii="微软雅黑" w:hAnsi="微软雅黑" w:eastAsia="微软雅黑" w:cs="微软雅黑"/>
          <w:b w:val="0"/>
          <w:bCs w:val="0"/>
          <w:i w:val="0"/>
          <w:iCs w:val="0"/>
          <w:caps w:val="0"/>
          <w:color w:val="666666"/>
          <w:spacing w:val="0"/>
          <w:sz w:val="24"/>
          <w:szCs w:val="24"/>
          <w:u w:val="none"/>
          <w:shd w:val="clear" w:fill="FFFFFF"/>
        </w:rPr>
        <w:t>补贴发放范围和标准的批复， 1、个人租赁补贴申请一份 2、申请人及家庭成员身份证、户口本、低保证、婚姻状况证明等材料复印件。 3、如申请人是租房居住的，需提供房主身份证、房本、租房协议复印件。 4、如申请人是私有住房不足15㎡的，需提供房本复印件。</w:t>
      </w:r>
    </w:p>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设定依据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住房城乡建设部财政部关于做好城镇住房保障家庭租赁补贴工作的指导意见》（建保〔2016〕281号）：二、明确租赁补贴具体政策（一）研究制定准入条件。……具体条件和比例由各地研究确定，并动态调整，向社会公布。（二）分档确定补贴标准。各地要结合当地住房租赁市场的租金水平、补贴申请家庭支付能力以及财力水平等因素，分档确定租赁补贴的标准……（三）合理确定租赁补贴面积。……原则上住房保障家庭应租住中小户型住房，户均租赁补贴面积不超过60平方米，超出部分由住房保障家庭自行承担。（四）加大政策支持力度。……三、强化租赁补贴监督管理（一）规范合同备案制度。租赁补贴申请家庭应与房屋产权人或其委托人签订租赁合同……（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收费标准和依据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b w:val="0"/>
          <w:bCs w:val="0"/>
          <w:i w:val="0"/>
          <w:iCs w:val="0"/>
          <w:caps w:val="0"/>
          <w:color w:val="666666"/>
          <w:spacing w:val="0"/>
          <w:sz w:val="24"/>
          <w:szCs w:val="24"/>
          <w:u w:val="none"/>
        </w:rPr>
      </w:pPr>
      <w:r>
        <w:rPr>
          <w:rFonts w:hint="eastAsia" w:ascii="微软雅黑" w:hAnsi="微软雅黑" w:eastAsia="微软雅黑" w:cs="微软雅黑"/>
          <w:b w:val="0"/>
          <w:bCs w:val="0"/>
          <w:i w:val="0"/>
          <w:iCs w:val="0"/>
          <w:caps w:val="0"/>
          <w:color w:val="666666"/>
          <w:spacing w:val="0"/>
          <w:kern w:val="0"/>
          <w:sz w:val="24"/>
          <w:szCs w:val="24"/>
          <w:u w:val="none"/>
          <w:shd w:val="clear" w:fill="FFFFFF"/>
          <w:lang w:val="en-US" w:eastAsia="zh-CN" w:bidi="ar"/>
        </w:rPr>
        <w:t>暂无收费标准和依据</w:t>
      </w:r>
    </w:p>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办理流程</w:t>
      </w:r>
      <w:r>
        <w:rPr>
          <w:rFonts w:hint="eastAsia" w:ascii="微软雅黑" w:hAnsi="微软雅黑" w:eastAsia="微软雅黑" w:cs="微软雅黑"/>
          <w:i w:val="0"/>
          <w:iCs w:val="0"/>
          <w:caps w:val="0"/>
          <w:color w:val="FFFFFF"/>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color w:val="FFFFFF"/>
          <w:spacing w:val="0"/>
          <w:kern w:val="0"/>
          <w:sz w:val="24"/>
          <w:szCs w:val="24"/>
          <w:u w:val="none"/>
          <w:shd w:val="clear" w:fill="FFFFFF"/>
          <w:lang w:val="en-US" w:eastAsia="zh-CN" w:bidi="ar"/>
        </w:rPr>
        <w:instrText xml:space="preserve"> HYPERLINK "javascript:void(0);" </w:instrText>
      </w:r>
      <w:r>
        <w:rPr>
          <w:rFonts w:hint="eastAsia" w:ascii="微软雅黑" w:hAnsi="微软雅黑" w:eastAsia="微软雅黑" w:cs="微软雅黑"/>
          <w:i w:val="0"/>
          <w:iCs w:val="0"/>
          <w:caps w:val="0"/>
          <w:color w:val="FFFFFF"/>
          <w:spacing w:val="0"/>
          <w:kern w:val="0"/>
          <w:sz w:val="24"/>
          <w:szCs w:val="24"/>
          <w:u w:val="none"/>
          <w:shd w:val="clear" w:fill="FFFFFF"/>
          <w:lang w:val="en-US" w:eastAsia="zh-CN" w:bidi="ar"/>
        </w:rPr>
        <w:fldChar w:fldCharType="separate"/>
      </w:r>
      <w:r>
        <w:rPr>
          <w:rStyle w:val="5"/>
          <w:rFonts w:hint="eastAsia" w:ascii="微软雅黑" w:hAnsi="微软雅黑" w:eastAsia="微软雅黑" w:cs="微软雅黑"/>
          <w:i w:val="0"/>
          <w:iCs w:val="0"/>
          <w:caps w:val="0"/>
          <w:color w:val="FFFFFF"/>
          <w:spacing w:val="0"/>
          <w:sz w:val="24"/>
          <w:szCs w:val="24"/>
          <w:u w:val="none"/>
          <w:shd w:val="clear" w:fill="FFFFFF"/>
        </w:rPr>
        <w:t>查看流程图</w:t>
      </w:r>
      <w:r>
        <w:rPr>
          <w:rFonts w:hint="eastAsia" w:ascii="微软雅黑" w:hAnsi="微软雅黑" w:eastAsia="微软雅黑" w:cs="微软雅黑"/>
          <w:i w:val="0"/>
          <w:iCs w:val="0"/>
          <w:caps w:val="0"/>
          <w:color w:val="FFFFFF"/>
          <w:spacing w:val="0"/>
          <w:kern w:val="0"/>
          <w:sz w:val="24"/>
          <w:szCs w:val="24"/>
          <w:u w:val="none"/>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15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申请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15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受理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15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审核</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15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街道办、苏木镇入户调查核实，进行民主评议并公示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15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县住房保障综合服务中心组织审核小组成员单位进行审核批准并公示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办结</w:t>
      </w:r>
    </w:p>
    <w:tbl>
      <w:tblPr>
        <w:tblStyle w:val="3"/>
        <w:tblW w:w="13245" w:type="dxa"/>
        <w:jc w:val="center"/>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Layout w:type="autofit"/>
        <w:tblCellMar>
          <w:top w:w="195" w:type="dxa"/>
          <w:left w:w="150" w:type="dxa"/>
          <w:bottom w:w="195" w:type="dxa"/>
          <w:right w:w="150" w:type="dxa"/>
        </w:tblCellMar>
      </w:tblPr>
      <w:tblGrid>
        <w:gridCol w:w="2986"/>
        <w:gridCol w:w="1249"/>
        <w:gridCol w:w="842"/>
        <w:gridCol w:w="2907"/>
        <w:gridCol w:w="4168"/>
        <w:gridCol w:w="1093"/>
      </w:tblGrid>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环节</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办理人员</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办理时限</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审查标准</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办理结果</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是否存在特殊环节</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申请人向户籍所在地的社区、嘎查村提出申请，并提交相应材料。</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纳入公共租赁住房保障。</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受理</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申请材料是否齐全、是否符合法定形式。</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申请人的申请符合法定条件、标准的，予以受理；申请人的申请不符合法定条件、标准的，不予受理。</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审核</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2个工作日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申请材料是否齐全、是否符合法定形式。</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申请人的申请符合法定条件、标准的，予以通过；申请人的申请不符合法定条件、标准的，不予通过。</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街道办、苏木镇入户调查核实，进行民主评议并公示</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5个工作日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审批通过。</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阿拉善日报公示。</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县住房保障综合服务中心组织审核小组成员单位进行审核批准并公示</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6个工作日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审核通过。</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纳入公共租赁住房保障。</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办结</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根据审核公示。</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纳入公租房保障范围。</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bl>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办事情形与材料</w:t>
      </w:r>
    </w:p>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办理地点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办理地点：巴彦淖尔市磴口县人民路司法大楼房屋产权交易中心住房保障中心七楼710室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办理时间：周一至周五上午9：00-12：00，下午15：00-18：00（法定节假日除外）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公交路线：无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办理地点：磴口县人民北路政务服务大厅二楼中厅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办理时间：周一至周五上午9：00-12：00，下午15:00-18:00（法定节假日除外）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公交路线：无</w:t>
      </w:r>
    </w:p>
    <w:p>
      <w:pPr>
        <w:keepNext w:val="0"/>
        <w:keepLines w:val="0"/>
        <w:widowControl/>
        <w:suppressLineNumbers w:val="0"/>
        <w:spacing w:before="0" w:beforeAutospacing="0" w:after="0" w:afterAutospacing="0"/>
        <w:ind w:left="0" w:right="0"/>
        <w:jc w:val="left"/>
      </w:pPr>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666AA"/>
    <w:multiLevelType w:val="multilevel"/>
    <w:tmpl w:val="6FF666A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342D7D41"/>
    <w:rsid w:val="2A097578"/>
    <w:rsid w:val="342D7D41"/>
    <w:rsid w:val="64F55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3408</Words>
  <Characters>3605</Characters>
  <Lines>0</Lines>
  <Paragraphs>0</Paragraphs>
  <TotalTime>4</TotalTime>
  <ScaleCrop>false</ScaleCrop>
  <LinksUpToDate>false</LinksUpToDate>
  <CharactersWithSpaces>3616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2023-07-21T10:02:00Z</dcterms:created>
  <dc:creator>焦雯婧的妈妈15164823459</dc:creator>
  <cp:lastModifiedBy>Administrator</cp:lastModifiedBy>
  <dcterms:modified xsi:type="dcterms:W3CDTF">2023-07-25T03:46:39Z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6FF97284487E4A79BF011C1F03F39503_11</vt:lpwstr>
  </property>
</Properties>
</file>