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5" w:line="224" w:lineRule="auto"/>
        <w:ind w:left="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spacing w:val="-49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件</w:t>
      </w:r>
      <w:r>
        <w:rPr>
          <w:rFonts w:ascii="黑体" w:hAnsi="黑体" w:eastAsia="黑体" w:cs="黑体"/>
          <w:spacing w:val="-51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2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43" w:line="679" w:lineRule="exact"/>
        <w:ind w:left="1120"/>
        <w:rPr>
          <w:sz w:val="44"/>
          <w:szCs w:val="44"/>
        </w:rPr>
      </w:pPr>
      <w:r>
        <w:rPr>
          <w:rFonts w:ascii="Times New Roman" w:hAnsi="Times New Roman" w:eastAsia="Times New Roman" w:cs="Times New Roman"/>
          <w:b/>
          <w:bCs/>
          <w:position w:val="16"/>
          <w:sz w:val="44"/>
          <w:szCs w:val="44"/>
        </w:rPr>
        <w:t>XX</w:t>
      </w:r>
      <w:r>
        <w:rPr>
          <w:b/>
          <w:bCs/>
          <w:spacing w:val="8"/>
          <w:position w:val="16"/>
          <w:sz w:val="44"/>
          <w:szCs w:val="44"/>
        </w:rPr>
        <w:t>年度</w:t>
      </w:r>
      <w:r>
        <w:rPr>
          <w:rFonts w:ascii="Times New Roman" w:hAnsi="Times New Roman" w:eastAsia="Times New Roman" w:cs="Times New Roman"/>
          <w:b/>
          <w:bCs/>
          <w:position w:val="16"/>
          <w:sz w:val="44"/>
          <w:szCs w:val="44"/>
        </w:rPr>
        <w:t>XX</w:t>
      </w:r>
      <w:r>
        <w:rPr>
          <w:rFonts w:ascii="Times New Roman" w:hAnsi="Times New Roman" w:eastAsia="Times New Roman" w:cs="Times New Roman"/>
          <w:b/>
          <w:bCs/>
          <w:spacing w:val="8"/>
          <w:position w:val="16"/>
          <w:sz w:val="44"/>
          <w:szCs w:val="44"/>
        </w:rPr>
        <w:t xml:space="preserve"> </w:t>
      </w:r>
      <w:r>
        <w:rPr>
          <w:b/>
          <w:bCs/>
          <w:spacing w:val="8"/>
          <w:position w:val="16"/>
          <w:sz w:val="44"/>
          <w:szCs w:val="44"/>
        </w:rPr>
        <w:t>出租汽车专用充换电站</w:t>
      </w:r>
    </w:p>
    <w:p>
      <w:pPr>
        <w:pStyle w:val="2"/>
        <w:spacing w:before="1" w:line="218" w:lineRule="auto"/>
        <w:ind w:left="1836"/>
        <w:rPr>
          <w:sz w:val="44"/>
          <w:szCs w:val="44"/>
        </w:rPr>
      </w:pPr>
      <w:r>
        <w:rPr>
          <w:b/>
          <w:bCs/>
          <w:spacing w:val="-10"/>
          <w:sz w:val="44"/>
          <w:szCs w:val="44"/>
        </w:rPr>
        <w:t>建设、运营奖补项目申报书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tabs>
          <w:tab w:val="left" w:pos="8270"/>
          <w:tab w:val="left" w:pos="8290"/>
        </w:tabs>
        <w:spacing w:before="95" w:line="397" w:lineRule="auto"/>
        <w:ind w:right="697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6"/>
          <w:sz w:val="29"/>
          <w:szCs w:val="29"/>
        </w:rPr>
        <w:t xml:space="preserve">申报单位：  </w:t>
      </w:r>
      <w:r>
        <w:rPr>
          <w:rFonts w:ascii="仿宋" w:hAnsi="仿宋" w:eastAsia="仿宋" w:cs="仿宋"/>
          <w:sz w:val="29"/>
          <w:szCs w:val="29"/>
          <w:u w:val="single" w:color="auto"/>
        </w:rPr>
        <w:tab/>
      </w:r>
      <w:r>
        <w:rPr>
          <w:rFonts w:ascii="仿宋" w:hAnsi="仿宋" w:eastAsia="仿宋" w:cs="仿宋"/>
          <w:sz w:val="29"/>
          <w:szCs w:val="29"/>
          <w:u w:val="single" w:color="auto"/>
        </w:rPr>
        <w:tab/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1"/>
          <w:sz w:val="29"/>
          <w:szCs w:val="29"/>
        </w:rPr>
        <w:t xml:space="preserve">申报内容：  </w:t>
      </w:r>
      <w:r>
        <w:rPr>
          <w:rFonts w:ascii="仿宋" w:hAnsi="仿宋" w:eastAsia="仿宋" w:cs="仿宋"/>
          <w:spacing w:val="4"/>
          <w:sz w:val="29"/>
          <w:szCs w:val="29"/>
          <w:u w:val="single" w:color="auto"/>
        </w:rPr>
        <w:t xml:space="preserve">        </w:t>
      </w:r>
      <w:r>
        <w:rPr>
          <w:rFonts w:ascii="仿宋" w:hAnsi="仿宋" w:eastAsia="仿宋" w:cs="仿宋"/>
          <w:spacing w:val="-21"/>
          <w:sz w:val="29"/>
          <w:szCs w:val="29"/>
          <w:u w:val="single" w:color="auto"/>
        </w:rPr>
        <w:t>建 设</w:t>
      </w:r>
      <w:r>
        <w:rPr>
          <w:rFonts w:ascii="仿宋" w:hAnsi="仿宋" w:eastAsia="仿宋" w:cs="仿宋"/>
          <w:spacing w:val="26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21"/>
          <w:sz w:val="29"/>
          <w:szCs w:val="29"/>
          <w:u w:val="single" w:color="auto"/>
        </w:rPr>
        <w:t>补</w:t>
      </w:r>
      <w:r>
        <w:rPr>
          <w:rFonts w:ascii="仿宋" w:hAnsi="仿宋" w:eastAsia="仿宋" w:cs="仿宋"/>
          <w:spacing w:val="25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21"/>
          <w:sz w:val="29"/>
          <w:szCs w:val="29"/>
          <w:u w:val="single" w:color="auto"/>
        </w:rPr>
        <w:t>贴</w:t>
      </w:r>
      <w:r>
        <w:rPr>
          <w:rFonts w:ascii="仿宋" w:hAnsi="仿宋" w:eastAsia="仿宋" w:cs="仿宋"/>
          <w:spacing w:val="25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21"/>
          <w:sz w:val="29"/>
          <w:szCs w:val="29"/>
          <w:u w:val="single" w:color="auto"/>
        </w:rPr>
        <w:t>或</w:t>
      </w:r>
      <w:r>
        <w:rPr>
          <w:rFonts w:ascii="仿宋" w:hAnsi="仿宋" w:eastAsia="仿宋" w:cs="仿宋"/>
          <w:spacing w:val="23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21"/>
          <w:sz w:val="29"/>
          <w:szCs w:val="29"/>
          <w:u w:val="single" w:color="auto"/>
        </w:rPr>
        <w:t>运</w:t>
      </w:r>
      <w:r>
        <w:rPr>
          <w:rFonts w:ascii="仿宋" w:hAnsi="仿宋" w:eastAsia="仿宋" w:cs="仿宋"/>
          <w:spacing w:val="28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21"/>
          <w:sz w:val="29"/>
          <w:szCs w:val="29"/>
          <w:u w:val="single" w:color="auto"/>
        </w:rPr>
        <w:t>营</w:t>
      </w:r>
      <w:r>
        <w:rPr>
          <w:rFonts w:ascii="仿宋" w:hAnsi="仿宋" w:eastAsia="仿宋" w:cs="仿宋"/>
          <w:spacing w:val="25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21"/>
          <w:sz w:val="29"/>
          <w:szCs w:val="29"/>
          <w:u w:val="single" w:color="auto"/>
        </w:rPr>
        <w:t>补</w:t>
      </w:r>
      <w:r>
        <w:rPr>
          <w:rFonts w:ascii="仿宋" w:hAnsi="仿宋" w:eastAsia="仿宋" w:cs="仿宋"/>
          <w:spacing w:val="25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21"/>
          <w:sz w:val="29"/>
          <w:szCs w:val="29"/>
          <w:u w:val="single" w:color="auto"/>
        </w:rPr>
        <w:t>贴</w:t>
      </w:r>
      <w:r>
        <w:rPr>
          <w:rFonts w:ascii="仿宋" w:hAnsi="仿宋" w:eastAsia="仿宋" w:cs="仿宋"/>
          <w:sz w:val="29"/>
          <w:szCs w:val="29"/>
          <w:u w:val="single" w:color="auto"/>
        </w:rPr>
        <w:tab/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9"/>
          <w:sz w:val="29"/>
          <w:szCs w:val="29"/>
        </w:rPr>
        <w:t>申报时间：</w:t>
      </w:r>
      <w:r>
        <w:rPr>
          <w:rFonts w:ascii="仿宋" w:hAnsi="仿宋" w:eastAsia="仿宋" w:cs="仿宋"/>
          <w:spacing w:val="108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  <w:u w:val="single" w:color="auto"/>
        </w:rPr>
        <w:tab/>
      </w:r>
      <w:r>
        <w:rPr>
          <w:rFonts w:ascii="仿宋" w:hAnsi="仿宋" w:eastAsia="仿宋" w:cs="仿宋"/>
          <w:sz w:val="29"/>
          <w:szCs w:val="29"/>
          <w:u w:val="single" w:color="auto"/>
        </w:rPr>
        <w:tab/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6"/>
          <w:sz w:val="29"/>
          <w:szCs w:val="29"/>
        </w:rPr>
        <w:t>联</w:t>
      </w:r>
      <w:r>
        <w:rPr>
          <w:rFonts w:ascii="仿宋" w:hAnsi="仿宋" w:eastAsia="仿宋" w:cs="仿宋"/>
          <w:spacing w:val="2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6"/>
          <w:sz w:val="29"/>
          <w:szCs w:val="29"/>
        </w:rPr>
        <w:t>系</w:t>
      </w:r>
      <w:r>
        <w:rPr>
          <w:rFonts w:ascii="仿宋" w:hAnsi="仿宋" w:eastAsia="仿宋" w:cs="仿宋"/>
          <w:spacing w:val="1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6"/>
          <w:sz w:val="29"/>
          <w:szCs w:val="29"/>
        </w:rPr>
        <w:t>人</w:t>
      </w:r>
      <w:r>
        <w:rPr>
          <w:rFonts w:ascii="仿宋" w:hAnsi="仿宋" w:eastAsia="仿宋" w:cs="仿宋"/>
          <w:spacing w:val="3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6"/>
          <w:sz w:val="29"/>
          <w:szCs w:val="29"/>
        </w:rPr>
        <w:t>：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                               </w:t>
      </w:r>
    </w:p>
    <w:p>
      <w:pPr>
        <w:spacing w:line="223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2"/>
          <w:sz w:val="29"/>
          <w:szCs w:val="29"/>
        </w:rPr>
        <w:t>联系电话：</w:t>
      </w:r>
      <w:r>
        <w:rPr>
          <w:rFonts w:ascii="仿宋" w:hAnsi="仿宋" w:eastAsia="仿宋" w:cs="仿宋"/>
          <w:spacing w:val="74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                               </w:t>
      </w:r>
    </w:p>
    <w:p>
      <w:pPr>
        <w:spacing w:line="223" w:lineRule="auto"/>
        <w:rPr>
          <w:rFonts w:ascii="仿宋" w:hAnsi="仿宋" w:eastAsia="仿宋" w:cs="仿宋"/>
          <w:sz w:val="29"/>
          <w:szCs w:val="29"/>
        </w:rPr>
        <w:sectPr>
          <w:footerReference r:id="rId5" w:type="default"/>
          <w:pgSz w:w="11900" w:h="16840"/>
          <w:pgMar w:top="1431" w:right="1412" w:bottom="1124" w:left="1499" w:header="0" w:footer="835" w:gutter="0"/>
          <w:cols w:space="720" w:num="1"/>
        </w:sect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01" w:line="222" w:lineRule="auto"/>
        <w:ind w:left="70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一、申报单位基本情况</w:t>
      </w:r>
    </w:p>
    <w:p>
      <w:pPr>
        <w:pStyle w:val="2"/>
        <w:spacing w:before="221" w:line="321" w:lineRule="auto"/>
        <w:ind w:firstLine="699"/>
        <w:jc w:val="both"/>
        <w:rPr>
          <w:rFonts w:ascii="仿宋" w:hAnsi="仿宋" w:eastAsia="仿宋" w:cs="仿宋"/>
          <w:sz w:val="31"/>
          <w:szCs w:val="31"/>
        </w:rPr>
      </w:pPr>
      <w:r>
        <w:rPr>
          <w:spacing w:val="3"/>
          <w:sz w:val="31"/>
          <w:szCs w:val="31"/>
        </w:rPr>
        <w:t>包括但不限于：单位名称、成立时间、办公地点、企业性质、</w:t>
      </w:r>
      <w:r>
        <w:rPr>
          <w:rFonts w:ascii="仿宋" w:hAnsi="仿宋" w:eastAsia="仿宋" w:cs="仿宋"/>
          <w:spacing w:val="10"/>
          <w:sz w:val="31"/>
          <w:szCs w:val="31"/>
        </w:rPr>
        <w:t>企业法人、企业股东、注册资金、经营范围、充换电设施建设规</w:t>
      </w:r>
      <w:bookmarkStart w:id="0" w:name="_GoBack"/>
      <w:bookmarkEnd w:id="0"/>
      <w:r>
        <w:rPr>
          <w:rFonts w:ascii="仿宋" w:hAnsi="仿宋" w:eastAsia="仿宋" w:cs="仿宋"/>
          <w:spacing w:val="-5"/>
          <w:sz w:val="31"/>
          <w:szCs w:val="31"/>
        </w:rPr>
        <w:t>模等内容。</w:t>
      </w:r>
    </w:p>
    <w:p>
      <w:pPr>
        <w:spacing w:before="192" w:line="222" w:lineRule="auto"/>
        <w:ind w:left="70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二、</w:t>
      </w:r>
      <w:r>
        <w:rPr>
          <w:rFonts w:ascii="黑体" w:hAnsi="黑体" w:eastAsia="黑体" w:cs="黑体"/>
          <w:spacing w:val="-5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申报项目基本情况</w:t>
      </w:r>
    </w:p>
    <w:p>
      <w:pPr>
        <w:spacing w:before="185" w:line="334" w:lineRule="auto"/>
        <w:ind w:right="109" w:firstLine="69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以充换电站为单元，说明项目基本情况，包括但不限于：项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目名称、建设地点、建设内容及规模、充换电设备功率类型及技</w:t>
      </w:r>
      <w:r>
        <w:rPr>
          <w:rFonts w:ascii="仿宋" w:hAnsi="仿宋" w:eastAsia="仿宋" w:cs="仿宋"/>
          <w:spacing w:val="2"/>
          <w:sz w:val="31"/>
          <w:szCs w:val="31"/>
        </w:rPr>
        <w:t>术参数、充电桩总数量、电动汽车泊位数量、充电桩与停车位比、</w:t>
      </w:r>
      <w:r>
        <w:rPr>
          <w:rFonts w:ascii="仿宋" w:hAnsi="仿宋" w:eastAsia="仿宋" w:cs="仿宋"/>
          <w:spacing w:val="7"/>
          <w:sz w:val="31"/>
          <w:szCs w:val="31"/>
        </w:rPr>
        <w:t>项目总投资(包括但不限于建筑工程费，电缆、变压器、配电柜、</w:t>
      </w:r>
      <w:r>
        <w:rPr>
          <w:rFonts w:ascii="仿宋" w:hAnsi="仿宋" w:eastAsia="仿宋" w:cs="仿宋"/>
          <w:spacing w:val="16"/>
          <w:sz w:val="31"/>
          <w:szCs w:val="31"/>
        </w:rPr>
        <w:t>充换电设备购置费，其他费用)、项目投运时间等情况，</w:t>
      </w:r>
      <w:r>
        <w:rPr>
          <w:rFonts w:ascii="仿宋" w:hAnsi="仿宋" w:eastAsia="仿宋" w:cs="仿宋"/>
          <w:spacing w:val="15"/>
          <w:sz w:val="31"/>
          <w:szCs w:val="31"/>
        </w:rPr>
        <w:t>获得其</w:t>
      </w:r>
      <w:r>
        <w:rPr>
          <w:rFonts w:ascii="仿宋" w:hAnsi="仿宋" w:eastAsia="仿宋" w:cs="仿宋"/>
          <w:spacing w:val="1"/>
          <w:sz w:val="31"/>
          <w:szCs w:val="31"/>
        </w:rPr>
        <w:t>他部门其他方面的补助情况。</w:t>
      </w:r>
    </w:p>
    <w:p>
      <w:pPr>
        <w:spacing w:before="175" w:line="222" w:lineRule="auto"/>
        <w:ind w:left="70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三、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申报项目运营情况</w:t>
      </w:r>
    </w:p>
    <w:p>
      <w:pPr>
        <w:spacing w:before="190" w:line="334" w:lineRule="auto"/>
        <w:ind w:right="59" w:firstLine="699"/>
        <w:jc w:val="both"/>
      </w:pPr>
      <w:r>
        <w:rPr>
          <w:rFonts w:ascii="仿宋" w:hAnsi="仿宋" w:eastAsia="仿宋" w:cs="仿宋"/>
          <w:spacing w:val="17"/>
          <w:sz w:val="31"/>
          <w:szCs w:val="31"/>
        </w:rPr>
        <w:t>包括运营状况、运营模式、运维团队、管理制度</w:t>
      </w:r>
      <w:r>
        <w:rPr>
          <w:rFonts w:ascii="仿宋" w:hAnsi="仿宋" w:eastAsia="仿宋" w:cs="仿宋"/>
          <w:spacing w:val="16"/>
          <w:sz w:val="31"/>
          <w:szCs w:val="31"/>
        </w:rPr>
        <w:t>(含运维管</w:t>
      </w:r>
      <w:r>
        <w:rPr>
          <w:rFonts w:ascii="仿宋" w:hAnsi="仿宋" w:eastAsia="仿宋" w:cs="仿宋"/>
          <w:spacing w:val="13"/>
          <w:sz w:val="31"/>
          <w:szCs w:val="31"/>
        </w:rPr>
        <w:t>理、安全管理)、服务价格、收费模式(如采用预付式消</w:t>
      </w:r>
      <w:r>
        <w:rPr>
          <w:rFonts w:ascii="仿宋" w:hAnsi="仿宋" w:eastAsia="仿宋" w:cs="仿宋"/>
          <w:spacing w:val="12"/>
          <w:sz w:val="31"/>
          <w:szCs w:val="31"/>
        </w:rPr>
        <w:t>费模式，</w:t>
      </w:r>
      <w:r>
        <w:rPr>
          <w:rFonts w:ascii="仿宋" w:hAnsi="仿宋" w:eastAsia="仿宋" w:cs="仿宋"/>
          <w:spacing w:val="13"/>
          <w:sz w:val="31"/>
          <w:szCs w:val="31"/>
        </w:rPr>
        <w:t>说明押金、预付资金退还方式和退款周期，并附相关</w:t>
      </w:r>
      <w:r>
        <w:rPr>
          <w:rFonts w:ascii="Times New Roman" w:hAnsi="Times New Roman" w:eastAsia="Times New Roman" w:cs="Times New Roman"/>
          <w:sz w:val="31"/>
          <w:szCs w:val="31"/>
        </w:rPr>
        <w:t>App</w:t>
      </w:r>
      <w:r>
        <w:rPr>
          <w:rFonts w:ascii="仿宋" w:hAnsi="仿宋" w:eastAsia="仿宋" w:cs="仿宋"/>
          <w:spacing w:val="13"/>
          <w:sz w:val="31"/>
          <w:szCs w:val="31"/>
        </w:rPr>
        <w:t>截图)、</w:t>
      </w:r>
      <w:r>
        <w:rPr>
          <w:rFonts w:ascii="仿宋" w:hAnsi="仿宋" w:eastAsia="仿宋" w:cs="仿宋"/>
          <w:spacing w:val="16"/>
          <w:sz w:val="31"/>
          <w:szCs w:val="31"/>
        </w:rPr>
        <w:t>停车泊位管理、投保情况、实际运营状况(含充换电量、客</w:t>
      </w:r>
      <w:r>
        <w:rPr>
          <w:rFonts w:ascii="仿宋" w:hAnsi="仿宋" w:eastAsia="仿宋" w:cs="仿宋"/>
          <w:spacing w:val="15"/>
          <w:sz w:val="31"/>
          <w:szCs w:val="31"/>
        </w:rPr>
        <w:t>户类</w:t>
      </w:r>
      <w:r>
        <w:rPr>
          <w:spacing w:val="24"/>
          <w:sz w:val="31"/>
          <w:szCs w:val="31"/>
        </w:rPr>
        <w:t>型)等。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jc w:val="right"/>
      <w:rPr>
        <w:sz w:val="29"/>
        <w:szCs w:val="29"/>
      </w:rPr>
    </w:pPr>
    <w:r>
      <w:rPr>
        <w:spacing w:val="-12"/>
        <w:sz w:val="29"/>
        <w:szCs w:val="29"/>
      </w:rPr>
      <w:t>—17</w:t>
    </w:r>
    <w:r>
      <w:rPr>
        <w:spacing w:val="-8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10E36028"/>
    <w:rsid w:val="10E3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2"/>
      <w:szCs w:val="6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2024-03-28T03:35:00Z</dcterms:created>
  <dc:creator>覆水难收</dc:creator>
  <cp:lastModifiedBy>覆水难收</cp:lastModifiedBy>
  <dcterms:modified xsi:type="dcterms:W3CDTF">2024-03-28T03:36:57Z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2A890EA0D1CF47B68E63F4153D8E2EC6_11</vt:lpwstr>
  </property>
</Properties>
</file>