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附件5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40" w:line="219" w:lineRule="auto"/>
        <w:ind w:left="1076"/>
        <w:rPr>
          <w:sz w:val="43"/>
          <w:szCs w:val="43"/>
        </w:rPr>
      </w:pPr>
      <w:r>
        <w:rPr>
          <w:b/>
          <w:bCs/>
          <w:spacing w:val="-1"/>
          <w:sz w:val="43"/>
          <w:szCs w:val="43"/>
        </w:rPr>
        <w:t>出租汽车专用充换电站运营考核标准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01" w:line="329" w:lineRule="auto"/>
        <w:ind w:right="7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自出租汽车专用充换电站正式运营日期至年底为一个考核周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期，考核周期内出现以下情况之一的，年度考核为不合格，</w:t>
      </w:r>
      <w:r>
        <w:rPr>
          <w:rFonts w:ascii="仿宋" w:hAnsi="仿宋" w:eastAsia="仿宋" w:cs="仿宋"/>
          <w:spacing w:val="10"/>
          <w:sz w:val="31"/>
          <w:szCs w:val="31"/>
        </w:rPr>
        <w:t>取消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当年度运营补贴资格：</w:t>
      </w:r>
    </w:p>
    <w:p>
      <w:pPr>
        <w:spacing w:before="249" w:line="222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1.运营过程中发生人员死亡的事件。</w:t>
      </w:r>
    </w:p>
    <w:p>
      <w:pPr>
        <w:spacing w:before="201" w:line="60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2.投诉率(年度经核实确定的巡游出租汽车司机关于充换电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12"/>
          <w:sz w:val="31"/>
          <w:szCs w:val="31"/>
        </w:rPr>
        <w:t>站的投诉数量÷年度换电巡游出租汽车车次≥3件/百车</w:t>
      </w:r>
      <w:r>
        <w:rPr>
          <w:rFonts w:ascii="仿宋" w:hAnsi="仿宋" w:eastAsia="仿宋" w:cs="仿宋"/>
          <w:spacing w:val="11"/>
          <w:sz w:val="31"/>
          <w:szCs w:val="31"/>
        </w:rPr>
        <w:t>次)</w:t>
      </w:r>
    </w:p>
    <w:p>
      <w:pPr>
        <w:spacing w:before="241" w:line="590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1"/>
          <w:sz w:val="31"/>
          <w:szCs w:val="31"/>
        </w:rPr>
        <w:t>3.出租汽车专用充换电站因服务不到位，或问题解决不及</w:t>
      </w:r>
      <w:r>
        <w:rPr>
          <w:rFonts w:ascii="仿宋" w:hAnsi="仿宋" w:eastAsia="仿宋" w:cs="仿宋"/>
          <w:spacing w:val="1"/>
          <w:position w:val="21"/>
          <w:sz w:val="31"/>
          <w:szCs w:val="31"/>
        </w:rPr>
        <w:t>时，</w:t>
      </w:r>
    </w:p>
    <w:p>
      <w:pPr>
        <w:spacing w:before="1"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从业人员群体反映强烈或引发行业不稳定事件。</w:t>
      </w:r>
    </w:p>
    <w:p>
      <w:pPr>
        <w:spacing w:before="232" w:line="603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2"/>
          <w:sz w:val="31"/>
          <w:szCs w:val="31"/>
        </w:rPr>
        <w:t>4.出租汽车专用充换电站停运后，2个小时内未向当地交通运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输主管部门报告。</w:t>
      </w:r>
    </w:p>
    <w:p>
      <w:pPr>
        <w:spacing w:before="228" w:line="598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1"/>
          <w:sz w:val="31"/>
          <w:szCs w:val="31"/>
        </w:rPr>
        <w:t>5.缺少管理制度：安全生产管理制度、安全培</w:t>
      </w:r>
      <w:r>
        <w:rPr>
          <w:rFonts w:ascii="仿宋" w:hAnsi="仿宋" w:eastAsia="仿宋" w:cs="仿宋"/>
          <w:spacing w:val="12"/>
          <w:position w:val="21"/>
          <w:sz w:val="31"/>
          <w:szCs w:val="31"/>
        </w:rPr>
        <w:t>训组织(培训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照片、记录等资料)、应急预案、专业运维团队配</w:t>
      </w:r>
      <w:r>
        <w:rPr>
          <w:rFonts w:ascii="仿宋" w:hAnsi="仿宋" w:eastAsia="仿宋" w:cs="仿宋"/>
          <w:spacing w:val="9"/>
          <w:sz w:val="31"/>
          <w:szCs w:val="31"/>
        </w:rPr>
        <w:t>备。</w:t>
      </w:r>
    </w:p>
    <w:p>
      <w:pPr>
        <w:spacing w:before="241" w:line="352" w:lineRule="auto"/>
        <w:ind w:right="5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6.出租汽车专用充换电站，未能保持充换电价格相对稳定(用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电成本短期内波动较大的情况除外),或充换电的单位公里价格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高于当地主流传统能源(油或气)价格。</w:t>
      </w:r>
    </w:p>
    <w:p>
      <w:pPr>
        <w:spacing w:before="235" w:line="219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7.不满足出租汽车专用充换电站相关技术条件的。</w:t>
      </w:r>
    </w:p>
    <w:p>
      <w:pPr>
        <w:spacing w:before="232" w:line="219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8.检查发现存在严重安全隐患(表1、2)。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40"/>
          <w:pgMar w:top="1431" w:right="1334" w:bottom="1098" w:left="1499" w:header="0" w:footer="790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pStyle w:val="2"/>
        <w:spacing w:before="94" w:line="219" w:lineRule="auto"/>
        <w:ind w:left="3054"/>
        <w:rPr>
          <w:sz w:val="29"/>
          <w:szCs w:val="29"/>
        </w:rPr>
      </w:pPr>
      <w:r>
        <w:rPr>
          <w:b/>
          <w:bCs/>
          <w:spacing w:val="-4"/>
          <w:sz w:val="29"/>
          <w:szCs w:val="29"/>
        </w:rPr>
        <w:t>表1充电站严重隐患内容</w:t>
      </w:r>
    </w:p>
    <w:p>
      <w:pPr>
        <w:spacing w:line="31" w:lineRule="auto"/>
        <w:rPr>
          <w:rFonts w:ascii="Arial"/>
          <w:sz w:val="2"/>
        </w:rPr>
      </w:pPr>
    </w:p>
    <w:tbl>
      <w:tblPr>
        <w:tblStyle w:val="6"/>
        <w:tblW w:w="8409" w:type="dxa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42" w:line="20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1" w:line="202" w:lineRule="auto"/>
              <w:ind w:left="313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严重隐患内容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1" w:line="198" w:lineRule="exact"/>
              <w:ind w:left="31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1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0" w:line="20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未与充电车辆连接时，充电接口带危险电压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2" w:line="197" w:lineRule="exact"/>
              <w:ind w:left="31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2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0" w:line="199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用户通过设备通风孔等开孔能接触到内部危险带电部件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3" w:line="196" w:lineRule="exact"/>
              <w:ind w:left="31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3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1" w:line="198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拔枪后，充电接口危险电压泄放时间过长(&gt;1s)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4" w:line="195" w:lineRule="exact"/>
              <w:ind w:left="31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4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1" w:line="198" w:lineRule="auto"/>
              <w:ind w:left="1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模拟对地绝缘故障发生时，直流充电机没有相应保护措施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267" w:line="182" w:lineRule="auto"/>
              <w:ind w:lef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34" w:line="225" w:lineRule="auto"/>
              <w:ind w:left="140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模拟BMS发送故障报文(过温、过流、过压)时，直流充电机没有响应， </w:t>
            </w:r>
            <w:r>
              <w:rPr>
                <w:spacing w:val="3"/>
                <w:sz w:val="24"/>
                <w:szCs w:val="24"/>
              </w:rPr>
              <w:t>继续充电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6" w:line="193" w:lineRule="exact"/>
              <w:ind w:left="31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6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4" w:line="19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直流充电机充电时过电流保护断路器动作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9" w:line="200" w:lineRule="exact"/>
              <w:ind w:left="314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7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5" w:line="203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充电设备内部导电部位覆盖有潮湿物或铁屑等导电杂物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98" w:line="191" w:lineRule="exact"/>
              <w:ind w:left="31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8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36" w:line="194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正常充电时，漏电保护装置动作(说明处于漏电状态)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9" w:line="200" w:lineRule="exact"/>
              <w:ind w:left="314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9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6" w:line="202" w:lineRule="auto"/>
              <w:ind w:left="14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模拟漏电情况发生时，漏电保护装置不动作(</w:t>
            </w:r>
            <w:r>
              <w:rPr>
                <w:spacing w:val="1"/>
                <w:sz w:val="24"/>
                <w:szCs w:val="24"/>
              </w:rPr>
              <w:t>或未安装漏电保护装置)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09" w:line="190" w:lineRule="exact"/>
              <w:ind w:left="255"/>
              <w:rPr>
                <w:sz w:val="24"/>
                <w:szCs w:val="24"/>
              </w:rPr>
            </w:pPr>
            <w:r>
              <w:rPr>
                <w:spacing w:val="-7"/>
                <w:position w:val="-3"/>
                <w:sz w:val="24"/>
                <w:szCs w:val="24"/>
              </w:rPr>
              <w:t>10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48" w:line="193" w:lineRule="auto"/>
              <w:ind w:left="1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接地连续性不完好，接地回路阻抗过大或断开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64" w:type="dxa"/>
            <w:vAlign w:val="top"/>
          </w:tcPr>
          <w:p>
            <w:pPr>
              <w:pStyle w:val="5"/>
              <w:spacing w:before="110" w:line="195" w:lineRule="exact"/>
              <w:ind w:left="255"/>
              <w:rPr>
                <w:sz w:val="24"/>
                <w:szCs w:val="24"/>
              </w:rPr>
            </w:pPr>
            <w:r>
              <w:rPr>
                <w:spacing w:val="-7"/>
                <w:position w:val="-3"/>
                <w:sz w:val="24"/>
                <w:szCs w:val="24"/>
              </w:rPr>
              <w:t>11</w:t>
            </w:r>
          </w:p>
        </w:tc>
        <w:tc>
          <w:tcPr>
            <w:tcW w:w="7645" w:type="dxa"/>
            <w:vAlign w:val="top"/>
          </w:tcPr>
          <w:p>
            <w:pPr>
              <w:pStyle w:val="5"/>
              <w:spacing w:before="50" w:line="196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启动急停装置时，设备不能切断电源输入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84" w:line="219" w:lineRule="auto"/>
        <w:ind w:left="3023"/>
        <w:rPr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表2换电站严重隐患内容</w:t>
      </w:r>
    </w:p>
    <w:p>
      <w:pPr>
        <w:spacing w:line="97" w:lineRule="auto"/>
        <w:rPr>
          <w:rFonts w:ascii="Arial"/>
          <w:sz w:val="2"/>
        </w:rPr>
      </w:pPr>
    </w:p>
    <w:tbl>
      <w:tblPr>
        <w:tblStyle w:val="6"/>
        <w:tblW w:w="8438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75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43" w:line="209" w:lineRule="auto"/>
              <w:ind w:left="1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0" w:line="211" w:lineRule="auto"/>
              <w:ind w:left="3094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严重隐患内容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11" w:line="160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9" w:line="207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换电站内未设置事故电池隔离措施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02" w:line="197" w:lineRule="exact"/>
              <w:ind w:left="354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2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39" w:line="200" w:lineRule="auto"/>
              <w:ind w:left="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充换电工作区存放易燃易爆物品、污染和腐蚀介质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03" w:line="159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2" w:line="206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电池仓不具备温度调节功能，不具备烟雾报警功能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13" w:line="158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51" w:line="206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充电架未采用框架组合结构，或有变形、污渍、倾斜，不牢固可靠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06" w:line="203" w:lineRule="exact"/>
              <w:ind w:left="354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5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1" w:line="206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供电系统容量不满足充换电、照明、监控、办公等用电要求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05" w:line="157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3" w:line="205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变配电室的电缆沟无防水、排水措施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4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2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32" w:line="230" w:lineRule="auto"/>
              <w:ind w:left="1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电池更换监控系统不具备对电池箱充电状态</w:t>
            </w:r>
            <w:r>
              <w:rPr>
                <w:spacing w:val="-4"/>
                <w:sz w:val="24"/>
                <w:szCs w:val="24"/>
              </w:rPr>
              <w:t>、电池箱更换状态、设备运行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状态、电池箱更换过程等进行监视和控制的功能，不具备电池储存环境监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测功能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266" w:line="183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3" w:line="225" w:lineRule="auto"/>
              <w:ind w:left="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未安装充电设施运行状态实时监控装置，或</w:t>
            </w:r>
            <w:r>
              <w:rPr>
                <w:spacing w:val="-4"/>
                <w:sz w:val="24"/>
                <w:szCs w:val="24"/>
              </w:rPr>
              <w:t>与监控平台不能有效连接，不</w:t>
            </w:r>
            <w:r>
              <w:rPr>
                <w:sz w:val="24"/>
                <w:szCs w:val="24"/>
              </w:rPr>
              <w:t xml:space="preserve"> 能实现故障监测、系统化方式对过充实行冗余保护控制措施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07" w:line="202" w:lineRule="exact"/>
              <w:ind w:left="354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9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4" w:line="204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消防设备及防护器材不齐备，设备防雷保护装置不符合规范要求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06" w:line="202" w:lineRule="exact"/>
              <w:ind w:left="294"/>
              <w:rPr>
                <w:sz w:val="24"/>
                <w:szCs w:val="24"/>
              </w:rPr>
            </w:pPr>
            <w:r>
              <w:rPr>
                <w:spacing w:val="-7"/>
                <w:position w:val="-2"/>
                <w:sz w:val="24"/>
                <w:szCs w:val="24"/>
              </w:rPr>
              <w:t>10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5" w:line="203" w:lineRule="auto"/>
              <w:ind w:left="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挪用消防器材，埋压和圈占消防设施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17" w:line="201" w:lineRule="exact"/>
              <w:ind w:left="294"/>
              <w:rPr>
                <w:sz w:val="24"/>
                <w:szCs w:val="24"/>
              </w:rPr>
            </w:pPr>
            <w:r>
              <w:rPr>
                <w:spacing w:val="-7"/>
                <w:position w:val="-2"/>
                <w:sz w:val="24"/>
                <w:szCs w:val="24"/>
              </w:rPr>
              <w:t>11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56" w:line="202" w:lineRule="auto"/>
              <w:ind w:left="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换电站应急照明设施故障损坏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268" w:line="184" w:lineRule="auto"/>
              <w:ind w:left="29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9" w:line="219" w:lineRule="auto"/>
              <w:ind w:left="11" w:firstLin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对充配电设备的系统控制及保护功能(如接地保护连接、漏电保护、急停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保护、线缆接口等电气绝缘及隔离防护)等不符合要求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84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184" w:lineRule="auto"/>
              <w:ind w:left="29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8" w:line="229" w:lineRule="auto"/>
              <w:ind w:left="20" w:right="119" w:hanging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直流充电设备不具有故障监测告警功能，过流等电气安全保护功能不正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常；充(换)电设备不具有电池极值设定自动保护功能；充(换)电设备</w:t>
            </w:r>
          </w:p>
          <w:p>
            <w:pPr>
              <w:pStyle w:val="5"/>
              <w:spacing w:before="35" w:line="219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不具有输出电压最高值过压保护控制功能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44" w:type="dxa"/>
            <w:vAlign w:val="top"/>
          </w:tcPr>
          <w:p>
            <w:pPr>
              <w:pStyle w:val="5"/>
              <w:spacing w:before="110" w:line="203" w:lineRule="exact"/>
              <w:ind w:left="294"/>
              <w:rPr>
                <w:sz w:val="24"/>
                <w:szCs w:val="24"/>
              </w:rPr>
            </w:pPr>
            <w:r>
              <w:rPr>
                <w:spacing w:val="-7"/>
                <w:position w:val="-2"/>
                <w:sz w:val="24"/>
                <w:szCs w:val="24"/>
              </w:rPr>
              <w:t>14</w:t>
            </w:r>
          </w:p>
        </w:tc>
        <w:tc>
          <w:tcPr>
            <w:tcW w:w="7594" w:type="dxa"/>
            <w:vAlign w:val="top"/>
          </w:tcPr>
          <w:p>
            <w:pPr>
              <w:pStyle w:val="5"/>
              <w:spacing w:before="48" w:line="204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无提供醒目且便于操作的急停按钮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8159"/>
      <w:rPr>
        <w:sz w:val="31"/>
        <w:szCs w:val="31"/>
      </w:rPr>
    </w:pPr>
    <w:r>
      <w:rPr>
        <w:spacing w:val="-18"/>
        <w:sz w:val="31"/>
        <w:szCs w:val="31"/>
      </w:rPr>
      <w:t>—21—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1CA57B9E"/>
    <w:rsid w:val="1CA5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2024-03-28T03:38:00Z</dcterms:created>
  <dc:creator>覆水难收</dc:creator>
  <cp:lastModifiedBy>覆水难收</cp:lastModifiedBy>
  <dcterms:modified xsi:type="dcterms:W3CDTF">2024-03-28T03:39:05Z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A9966D2B39F34960998F8D562B0E0CC0_11</vt:lpwstr>
  </property>
</Properties>
</file>